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8C2" w:rsidRDefault="005B3E0F" w:rsidP="005B3E0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0CCBF53B50742D7ABACA70ECB8FFFA3" style="width:450.25pt;height:498.85pt">
            <v:imagedata r:id="rId9" o:title=""/>
          </v:shape>
        </w:pict>
      </w:r>
    </w:p>
    <w:bookmarkEnd w:id="0"/>
    <w:p w:rsidR="006E58C2" w:rsidRDefault="006E58C2">
      <w:pPr>
        <w:rPr>
          <w:noProof/>
        </w:rPr>
        <w:sectPr w:rsidR="006E58C2" w:rsidSect="005B3E0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6E58C2" w:rsidRDefault="006E58C2">
      <w:pPr>
        <w:widowControl w:val="0"/>
        <w:tabs>
          <w:tab w:val="right" w:leader="dot" w:pos="8640"/>
        </w:tabs>
        <w:spacing w:before="120" w:after="120" w:line="240" w:lineRule="auto"/>
        <w:ind w:right="720"/>
        <w:rPr>
          <w:rFonts w:eastAsia="Times New Roman" w:cs="Times New Roman"/>
          <w:noProof/>
          <w:szCs w:val="20"/>
        </w:rPr>
      </w:pPr>
      <w:bookmarkStart w:id="1" w:name="_GoBack"/>
      <w:bookmarkEnd w:id="1"/>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5B3E0F">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6E58C2" w:rsidRDefault="006E58C2">
      <w:pPr>
        <w:widowControl w:val="0"/>
        <w:tabs>
          <w:tab w:val="right" w:leader="dot" w:pos="8640"/>
        </w:tabs>
        <w:spacing w:before="120" w:after="120" w:line="240" w:lineRule="auto"/>
        <w:ind w:left="482" w:right="720" w:hanging="482"/>
        <w:rPr>
          <w:rFonts w:eastAsia="Times New Roman" w:cs="Times New Roman"/>
          <w:noProof/>
          <w:szCs w:val="20"/>
        </w:rPr>
      </w:pPr>
    </w:p>
    <w:p w:rsidR="006E58C2" w:rsidRDefault="005B3E0F">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6E58C2" w:rsidRDefault="006E58C2">
      <w:pPr>
        <w:widowControl w:val="0"/>
        <w:tabs>
          <w:tab w:val="right" w:leader="dot" w:pos="8640"/>
        </w:tabs>
        <w:spacing w:before="120" w:after="120" w:line="240" w:lineRule="auto"/>
        <w:ind w:left="482" w:right="720" w:hanging="482"/>
        <w:rPr>
          <w:rFonts w:eastAsia="Times New Roman" w:cs="Times New Roman"/>
          <w:noProof/>
          <w:szCs w:val="20"/>
        </w:rPr>
      </w:pPr>
    </w:p>
    <w:p w:rsidR="006E58C2" w:rsidRDefault="005B3E0F">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p.9 – © subtik/iStock; p.10 – ©LIFE04 NAT/CZ/000015/Libor Kotouc; p.17 – ©Oleksiy Mark/iStock; p.22 – ©matteusus/iStock</w:t>
      </w: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5B3E0F">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 xml:space="preserve">For reproduction or use </w:t>
      </w:r>
      <w:r>
        <w:rPr>
          <w:rFonts w:eastAsia="Times New Roman" w:cs="Times New Roman"/>
          <w:noProof/>
          <w:szCs w:val="20"/>
        </w:rPr>
        <w:t>of these photos, permission must be sought directly from the copyright holder.</w:t>
      </w:r>
    </w:p>
    <w:p w:rsidR="006E58C2" w:rsidRDefault="006E58C2">
      <w:pPr>
        <w:widowControl w:val="0"/>
        <w:tabs>
          <w:tab w:val="right" w:leader="dot" w:pos="8640"/>
        </w:tabs>
        <w:spacing w:before="120" w:after="120" w:line="240" w:lineRule="auto"/>
        <w:jc w:val="both"/>
        <w:rPr>
          <w:rFonts w:eastAsia="Times New Roman" w:cs="Times New Roman"/>
          <w:noProof/>
          <w:szCs w:val="20"/>
        </w:rPr>
      </w:pPr>
    </w:p>
    <w:p w:rsidR="006E58C2" w:rsidRDefault="005B3E0F">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6E58C2" w:rsidRDefault="005B3E0F">
      <w:pPr>
        <w:widowControl w:val="0"/>
        <w:tabs>
          <w:tab w:val="right" w:leader="dot" w:pos="8640"/>
        </w:tabs>
        <w:spacing w:before="120" w:after="120" w:line="240" w:lineRule="auto"/>
        <w:rPr>
          <w:rFonts w:eastAsia="Times New Roman" w:cs="Times New Roman"/>
          <w:noProof/>
          <w:szCs w:val="20"/>
        </w:rPr>
        <w:sectPr w:rsidR="006E58C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Reproduction is authorised provided the source is acknowledged.</w:t>
      </w:r>
    </w:p>
    <w:p w:rsidR="006E58C2" w:rsidRDefault="005B3E0F">
      <w:pPr>
        <w:keepNext/>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6E58C2" w:rsidRDefault="005B3E0F">
      <w:pPr>
        <w:pStyle w:val="TOC1"/>
        <w:rPr>
          <w:rFonts w:asciiTheme="minorHAnsi" w:eastAsiaTheme="minorEastAsia" w:hAnsiTheme="minorHAnsi" w:cstheme="minorBidi"/>
          <w:caps w:val="0"/>
          <w:noProof/>
          <w:sz w:val="22"/>
          <w:szCs w:val="22"/>
          <w:lang w:eastAsia="en-GB"/>
        </w:rPr>
      </w:pPr>
      <w:hyperlink w:anchor="_Toc469413338"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_Toc469413338 \h </w:instrText>
        </w:r>
        <w:r>
          <w:rPr>
            <w:noProof/>
            <w:webHidden/>
          </w:rPr>
        </w:r>
        <w:r>
          <w:rPr>
            <w:noProof/>
            <w:webHidden/>
          </w:rPr>
          <w:fldChar w:fldCharType="separate"/>
        </w:r>
        <w:r>
          <w:rPr>
            <w:noProof/>
            <w:webHidden/>
          </w:rPr>
          <w:t>4</w:t>
        </w:r>
        <w:r>
          <w:rPr>
            <w:noProof/>
            <w:webHidden/>
          </w:rPr>
          <w:fldChar w:fldCharType="end"/>
        </w:r>
      </w:hyperlink>
    </w:p>
    <w:p w:rsidR="006E58C2" w:rsidRDefault="005B3E0F">
      <w:pPr>
        <w:pStyle w:val="TOC1"/>
        <w:rPr>
          <w:rFonts w:asciiTheme="minorHAnsi" w:eastAsiaTheme="minorEastAsia" w:hAnsiTheme="minorHAnsi" w:cstheme="minorBidi"/>
          <w:caps w:val="0"/>
          <w:noProof/>
          <w:sz w:val="22"/>
          <w:szCs w:val="22"/>
          <w:lang w:eastAsia="en-GB"/>
        </w:rPr>
      </w:pPr>
      <w:hyperlink w:anchor="_Toc469413339"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_Toc469413339 \h </w:instrText>
        </w:r>
        <w:r>
          <w:rPr>
            <w:noProof/>
            <w:webHidden/>
          </w:rPr>
        </w:r>
        <w:r>
          <w:rPr>
            <w:noProof/>
            <w:webHidden/>
          </w:rPr>
          <w:fldChar w:fldCharType="separate"/>
        </w:r>
        <w:r>
          <w:rPr>
            <w:noProof/>
            <w:webHidden/>
          </w:rPr>
          <w:t>5</w:t>
        </w:r>
        <w:r>
          <w:rPr>
            <w:noProof/>
            <w:webHidden/>
          </w:rPr>
          <w:fldChar w:fldCharType="end"/>
        </w:r>
      </w:hyperlink>
    </w:p>
    <w:p w:rsidR="006E58C2" w:rsidRDefault="005B3E0F">
      <w:pPr>
        <w:pStyle w:val="TOC1"/>
        <w:rPr>
          <w:rFonts w:asciiTheme="minorHAnsi" w:eastAsiaTheme="minorEastAsia" w:hAnsiTheme="minorHAnsi" w:cstheme="minorBidi"/>
          <w:caps w:val="0"/>
          <w:noProof/>
          <w:sz w:val="22"/>
          <w:szCs w:val="22"/>
          <w:lang w:eastAsia="en-GB"/>
        </w:rPr>
      </w:pPr>
      <w:hyperlink w:anchor="_Toc469413340"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_Toc469413340 \h </w:instrText>
        </w:r>
        <w:r>
          <w:rPr>
            <w:noProof/>
            <w:webHidden/>
          </w:rPr>
        </w:r>
        <w:r>
          <w:rPr>
            <w:noProof/>
            <w:webHidden/>
          </w:rPr>
          <w:fldChar w:fldCharType="separate"/>
        </w:r>
        <w:r>
          <w:rPr>
            <w:noProof/>
            <w:webHidden/>
          </w:rPr>
          <w:t>5</w:t>
        </w:r>
        <w:r>
          <w:rPr>
            <w:noProof/>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41" w:history="1">
        <w:r>
          <w:rPr>
            <w:rStyle w:val="Hyperlink"/>
          </w:rPr>
          <w:t>Developing a circular economy and improving resource efficiency</w:t>
        </w:r>
        <w:r>
          <w:rPr>
            <w:webHidden/>
          </w:rPr>
          <w:tab/>
        </w:r>
        <w:r>
          <w:rPr>
            <w:webHidden/>
          </w:rPr>
          <w:fldChar w:fldCharType="begin"/>
        </w:r>
        <w:r>
          <w:rPr>
            <w:webHidden/>
          </w:rPr>
          <w:instrText xml:space="preserve"> PAGEREF _Toc469413341 \h </w:instrText>
        </w:r>
        <w:r>
          <w:rPr>
            <w:webHidden/>
          </w:rPr>
        </w:r>
        <w:r>
          <w:rPr>
            <w:webHidden/>
          </w:rPr>
          <w:fldChar w:fldCharType="separate"/>
        </w:r>
        <w:r>
          <w:rPr>
            <w:webHidden/>
          </w:rPr>
          <w:t>5</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42" w:history="1">
        <w:r>
          <w:rPr>
            <w:rStyle w:val="Hyperlink"/>
          </w:rPr>
          <w:t>Waste management</w:t>
        </w:r>
        <w:r>
          <w:rPr>
            <w:webHidden/>
          </w:rPr>
          <w:tab/>
        </w:r>
        <w:r>
          <w:rPr>
            <w:webHidden/>
          </w:rPr>
          <w:fldChar w:fldCharType="begin"/>
        </w:r>
        <w:r>
          <w:rPr>
            <w:webHidden/>
          </w:rPr>
          <w:instrText xml:space="preserve"> PAGEREF _Toc469413342 \h </w:instrText>
        </w:r>
        <w:r>
          <w:rPr>
            <w:webHidden/>
          </w:rPr>
        </w:r>
        <w:r>
          <w:rPr>
            <w:webHidden/>
          </w:rPr>
          <w:fldChar w:fldCharType="separate"/>
        </w:r>
        <w:r>
          <w:rPr>
            <w:webHidden/>
          </w:rPr>
          <w:t>6</w:t>
        </w:r>
        <w:r>
          <w:rPr>
            <w:webHidden/>
          </w:rPr>
          <w:fldChar w:fldCharType="end"/>
        </w:r>
      </w:hyperlink>
    </w:p>
    <w:p w:rsidR="006E58C2" w:rsidRDefault="005B3E0F">
      <w:pPr>
        <w:pStyle w:val="TOC1"/>
        <w:rPr>
          <w:rFonts w:asciiTheme="minorHAnsi" w:eastAsiaTheme="minorEastAsia" w:hAnsiTheme="minorHAnsi" w:cstheme="minorBidi"/>
          <w:caps w:val="0"/>
          <w:noProof/>
          <w:sz w:val="22"/>
          <w:szCs w:val="22"/>
          <w:lang w:eastAsia="en-GB"/>
        </w:rPr>
      </w:pPr>
      <w:hyperlink w:anchor="_Toc469413343"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w:t>
        </w:r>
        <w:r>
          <w:rPr>
            <w:rStyle w:val="Hyperlink"/>
            <w:rFonts w:cstheme="majorBidi"/>
            <w:bCs/>
            <w:noProof/>
          </w:rPr>
          <w:t>g, conserving and enhancing natural capital</w:t>
        </w:r>
        <w:r>
          <w:rPr>
            <w:noProof/>
            <w:webHidden/>
          </w:rPr>
          <w:tab/>
        </w:r>
        <w:r>
          <w:rPr>
            <w:noProof/>
            <w:webHidden/>
          </w:rPr>
          <w:fldChar w:fldCharType="begin"/>
        </w:r>
        <w:r>
          <w:rPr>
            <w:noProof/>
            <w:webHidden/>
          </w:rPr>
          <w:instrText xml:space="preserve"> PAGEREF _Toc469413343 \h </w:instrText>
        </w:r>
        <w:r>
          <w:rPr>
            <w:noProof/>
            <w:webHidden/>
          </w:rPr>
        </w:r>
        <w:r>
          <w:rPr>
            <w:noProof/>
            <w:webHidden/>
          </w:rPr>
          <w:fldChar w:fldCharType="separate"/>
        </w:r>
        <w:r>
          <w:rPr>
            <w:noProof/>
            <w:webHidden/>
          </w:rPr>
          <w:t>9</w:t>
        </w:r>
        <w:r>
          <w:rPr>
            <w:noProof/>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44" w:history="1">
        <w:r>
          <w:rPr>
            <w:rStyle w:val="Hyperlink"/>
          </w:rPr>
          <w:t>Nature and Biodiversity</w:t>
        </w:r>
        <w:r>
          <w:rPr>
            <w:webHidden/>
          </w:rPr>
          <w:tab/>
        </w:r>
        <w:r>
          <w:rPr>
            <w:webHidden/>
          </w:rPr>
          <w:fldChar w:fldCharType="begin"/>
        </w:r>
        <w:r>
          <w:rPr>
            <w:webHidden/>
          </w:rPr>
          <w:instrText xml:space="preserve"> PAGEREF _Toc469413344 \h </w:instrText>
        </w:r>
        <w:r>
          <w:rPr>
            <w:webHidden/>
          </w:rPr>
        </w:r>
        <w:r>
          <w:rPr>
            <w:webHidden/>
          </w:rPr>
          <w:fldChar w:fldCharType="separate"/>
        </w:r>
        <w:r>
          <w:rPr>
            <w:webHidden/>
          </w:rPr>
          <w:t>9</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45" w:history="1">
        <w:r>
          <w:rPr>
            <w:rStyle w:val="Hyperlink"/>
          </w:rPr>
          <w:t>Estimating Natural Capital</w:t>
        </w:r>
        <w:r>
          <w:rPr>
            <w:webHidden/>
          </w:rPr>
          <w:tab/>
        </w:r>
        <w:r>
          <w:rPr>
            <w:webHidden/>
          </w:rPr>
          <w:fldChar w:fldCharType="begin"/>
        </w:r>
        <w:r>
          <w:rPr>
            <w:webHidden/>
          </w:rPr>
          <w:instrText xml:space="preserve"> PAGEREF _Toc469413345 \h </w:instrText>
        </w:r>
        <w:r>
          <w:rPr>
            <w:webHidden/>
          </w:rPr>
        </w:r>
        <w:r>
          <w:rPr>
            <w:webHidden/>
          </w:rPr>
          <w:fldChar w:fldCharType="separate"/>
        </w:r>
        <w:r>
          <w:rPr>
            <w:webHidden/>
          </w:rPr>
          <w:t>11</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46" w:history="1">
        <w:r>
          <w:rPr>
            <w:rStyle w:val="Hyperlink"/>
          </w:rPr>
          <w:t>Green Infrastructure</w:t>
        </w:r>
        <w:r>
          <w:rPr>
            <w:webHidden/>
          </w:rPr>
          <w:tab/>
        </w:r>
        <w:r>
          <w:rPr>
            <w:webHidden/>
          </w:rPr>
          <w:fldChar w:fldCharType="begin"/>
        </w:r>
        <w:r>
          <w:rPr>
            <w:webHidden/>
          </w:rPr>
          <w:instrText xml:space="preserve"> PAGEREF _Toc469413346 \h </w:instrText>
        </w:r>
        <w:r>
          <w:rPr>
            <w:webHidden/>
          </w:rPr>
        </w:r>
        <w:r>
          <w:rPr>
            <w:webHidden/>
          </w:rPr>
          <w:fldChar w:fldCharType="separate"/>
        </w:r>
        <w:r>
          <w:rPr>
            <w:webHidden/>
          </w:rPr>
          <w:t>11</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47" w:history="1">
        <w:r>
          <w:rPr>
            <w:rStyle w:val="Hyperlink"/>
          </w:rPr>
          <w:t>Soil pro</w:t>
        </w:r>
        <w:r>
          <w:rPr>
            <w:rStyle w:val="Hyperlink"/>
          </w:rPr>
          <w:t>tection</w:t>
        </w:r>
        <w:r>
          <w:rPr>
            <w:webHidden/>
          </w:rPr>
          <w:tab/>
        </w:r>
        <w:r>
          <w:rPr>
            <w:webHidden/>
          </w:rPr>
          <w:fldChar w:fldCharType="begin"/>
        </w:r>
        <w:r>
          <w:rPr>
            <w:webHidden/>
          </w:rPr>
          <w:instrText xml:space="preserve"> PAGEREF _Toc469413347 \h </w:instrText>
        </w:r>
        <w:r>
          <w:rPr>
            <w:webHidden/>
          </w:rPr>
        </w:r>
        <w:r>
          <w:rPr>
            <w:webHidden/>
          </w:rPr>
          <w:fldChar w:fldCharType="separate"/>
        </w:r>
        <w:r>
          <w:rPr>
            <w:webHidden/>
          </w:rPr>
          <w:t>12</w:t>
        </w:r>
        <w:r>
          <w:rPr>
            <w:webHidden/>
          </w:rPr>
          <w:fldChar w:fldCharType="end"/>
        </w:r>
      </w:hyperlink>
    </w:p>
    <w:p w:rsidR="006E58C2" w:rsidRDefault="005B3E0F">
      <w:pPr>
        <w:pStyle w:val="TOC1"/>
        <w:rPr>
          <w:rFonts w:asciiTheme="minorHAnsi" w:eastAsiaTheme="minorEastAsia" w:hAnsiTheme="minorHAnsi" w:cstheme="minorBidi"/>
          <w:caps w:val="0"/>
          <w:noProof/>
          <w:sz w:val="22"/>
          <w:szCs w:val="22"/>
          <w:lang w:eastAsia="en-GB"/>
        </w:rPr>
      </w:pPr>
      <w:hyperlink w:anchor="_Toc469413348"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Ensuring citizens' health and quality of life</w:t>
        </w:r>
        <w:r>
          <w:rPr>
            <w:noProof/>
            <w:webHidden/>
          </w:rPr>
          <w:tab/>
        </w:r>
        <w:r>
          <w:rPr>
            <w:noProof/>
            <w:webHidden/>
          </w:rPr>
          <w:fldChar w:fldCharType="begin"/>
        </w:r>
        <w:r>
          <w:rPr>
            <w:noProof/>
            <w:webHidden/>
          </w:rPr>
          <w:instrText xml:space="preserve"> PAGEREF _Toc469413348 \h </w:instrText>
        </w:r>
        <w:r>
          <w:rPr>
            <w:noProof/>
            <w:webHidden/>
          </w:rPr>
        </w:r>
        <w:r>
          <w:rPr>
            <w:noProof/>
            <w:webHidden/>
          </w:rPr>
          <w:fldChar w:fldCharType="separate"/>
        </w:r>
        <w:r>
          <w:rPr>
            <w:noProof/>
            <w:webHidden/>
          </w:rPr>
          <w:t>13</w:t>
        </w:r>
        <w:r>
          <w:rPr>
            <w:noProof/>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49" w:history="1">
        <w:r>
          <w:rPr>
            <w:rStyle w:val="Hyperlink"/>
          </w:rPr>
          <w:t>Air quality</w:t>
        </w:r>
        <w:r>
          <w:rPr>
            <w:webHidden/>
          </w:rPr>
          <w:tab/>
        </w:r>
        <w:r>
          <w:rPr>
            <w:webHidden/>
          </w:rPr>
          <w:fldChar w:fldCharType="begin"/>
        </w:r>
        <w:r>
          <w:rPr>
            <w:webHidden/>
          </w:rPr>
          <w:instrText xml:space="preserve"> PAGEREF _Toc469413349 \h </w:instrText>
        </w:r>
        <w:r>
          <w:rPr>
            <w:webHidden/>
          </w:rPr>
        </w:r>
        <w:r>
          <w:rPr>
            <w:webHidden/>
          </w:rPr>
          <w:fldChar w:fldCharType="separate"/>
        </w:r>
        <w:r>
          <w:rPr>
            <w:webHidden/>
          </w:rPr>
          <w:t>13</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50" w:history="1">
        <w:r>
          <w:rPr>
            <w:rStyle w:val="Hyperlink"/>
          </w:rPr>
          <w:t>Noise</w:t>
        </w:r>
        <w:r>
          <w:rPr>
            <w:webHidden/>
          </w:rPr>
          <w:tab/>
        </w:r>
        <w:r>
          <w:rPr>
            <w:webHidden/>
          </w:rPr>
          <w:tab/>
        </w:r>
        <w:r>
          <w:rPr>
            <w:webHidden/>
          </w:rPr>
          <w:fldChar w:fldCharType="begin"/>
        </w:r>
        <w:r>
          <w:rPr>
            <w:webHidden/>
          </w:rPr>
          <w:instrText xml:space="preserve"> PAGEREF _Toc469413350 \h </w:instrText>
        </w:r>
        <w:r>
          <w:rPr>
            <w:webHidden/>
          </w:rPr>
        </w:r>
        <w:r>
          <w:rPr>
            <w:webHidden/>
          </w:rPr>
          <w:fldChar w:fldCharType="separate"/>
        </w:r>
        <w:r>
          <w:rPr>
            <w:webHidden/>
          </w:rPr>
          <w:t>14</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51" w:history="1">
        <w:r>
          <w:rPr>
            <w:rStyle w:val="Hyperlink"/>
            <w:lang w:eastAsia="en-GB"/>
          </w:rPr>
          <w:t>Water quality and mana</w:t>
        </w:r>
        <w:r>
          <w:rPr>
            <w:rStyle w:val="Hyperlink"/>
            <w:lang w:eastAsia="en-GB"/>
          </w:rPr>
          <w:t>gement</w:t>
        </w:r>
        <w:r>
          <w:rPr>
            <w:webHidden/>
          </w:rPr>
          <w:tab/>
        </w:r>
        <w:r>
          <w:rPr>
            <w:webHidden/>
          </w:rPr>
          <w:fldChar w:fldCharType="begin"/>
        </w:r>
        <w:r>
          <w:rPr>
            <w:webHidden/>
          </w:rPr>
          <w:instrText xml:space="preserve"> PAGEREF _Toc469413351 \h </w:instrText>
        </w:r>
        <w:r>
          <w:rPr>
            <w:webHidden/>
          </w:rPr>
        </w:r>
        <w:r>
          <w:rPr>
            <w:webHidden/>
          </w:rPr>
          <w:fldChar w:fldCharType="separate"/>
        </w:r>
        <w:r>
          <w:rPr>
            <w:webHidden/>
          </w:rPr>
          <w:t>14</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52" w:history="1">
        <w:r>
          <w:rPr>
            <w:rStyle w:val="Hyperlink"/>
          </w:rPr>
          <w:t>Enhancing the sustainability of cities</w:t>
        </w:r>
        <w:r>
          <w:rPr>
            <w:webHidden/>
          </w:rPr>
          <w:tab/>
        </w:r>
        <w:r>
          <w:rPr>
            <w:webHidden/>
          </w:rPr>
          <w:fldChar w:fldCharType="begin"/>
        </w:r>
        <w:r>
          <w:rPr>
            <w:webHidden/>
          </w:rPr>
          <w:instrText xml:space="preserve"> PAGEREF _Toc469413352 \h </w:instrText>
        </w:r>
        <w:r>
          <w:rPr>
            <w:webHidden/>
          </w:rPr>
        </w:r>
        <w:r>
          <w:rPr>
            <w:webHidden/>
          </w:rPr>
          <w:fldChar w:fldCharType="separate"/>
        </w:r>
        <w:r>
          <w:rPr>
            <w:webHidden/>
          </w:rPr>
          <w:t>17</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53" w:history="1">
        <w:r>
          <w:rPr>
            <w:rStyle w:val="Hyperlink"/>
            <w:lang w:eastAsia="en-GB"/>
          </w:rPr>
          <w:t>International agreements</w:t>
        </w:r>
        <w:r>
          <w:rPr>
            <w:webHidden/>
          </w:rPr>
          <w:tab/>
        </w:r>
        <w:r>
          <w:rPr>
            <w:webHidden/>
          </w:rPr>
          <w:fldChar w:fldCharType="begin"/>
        </w:r>
        <w:r>
          <w:rPr>
            <w:webHidden/>
          </w:rPr>
          <w:instrText xml:space="preserve"> PAGEREF _Toc469413353 \h </w:instrText>
        </w:r>
        <w:r>
          <w:rPr>
            <w:webHidden/>
          </w:rPr>
        </w:r>
        <w:r>
          <w:rPr>
            <w:webHidden/>
          </w:rPr>
          <w:fldChar w:fldCharType="separate"/>
        </w:r>
        <w:r>
          <w:rPr>
            <w:webHidden/>
          </w:rPr>
          <w:t>17</w:t>
        </w:r>
        <w:r>
          <w:rPr>
            <w:webHidden/>
          </w:rPr>
          <w:fldChar w:fldCharType="end"/>
        </w:r>
      </w:hyperlink>
    </w:p>
    <w:p w:rsidR="006E58C2" w:rsidRDefault="005B3E0F">
      <w:pPr>
        <w:pStyle w:val="TOC1"/>
        <w:rPr>
          <w:rFonts w:asciiTheme="minorHAnsi" w:eastAsiaTheme="minorEastAsia" w:hAnsiTheme="minorHAnsi" w:cstheme="minorBidi"/>
          <w:caps w:val="0"/>
          <w:noProof/>
          <w:sz w:val="22"/>
          <w:szCs w:val="22"/>
          <w:lang w:eastAsia="en-GB"/>
        </w:rPr>
      </w:pPr>
      <w:hyperlink w:anchor="_Toc469413354"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w:instrText>
        </w:r>
        <w:r>
          <w:rPr>
            <w:noProof/>
            <w:webHidden/>
          </w:rPr>
          <w:instrText xml:space="preserve">EREF _Toc469413354 \h </w:instrText>
        </w:r>
        <w:r>
          <w:rPr>
            <w:noProof/>
            <w:webHidden/>
          </w:rPr>
        </w:r>
        <w:r>
          <w:rPr>
            <w:noProof/>
            <w:webHidden/>
          </w:rPr>
          <w:fldChar w:fldCharType="separate"/>
        </w:r>
        <w:r>
          <w:rPr>
            <w:noProof/>
            <w:webHidden/>
          </w:rPr>
          <w:t>18</w:t>
        </w:r>
        <w:r>
          <w:rPr>
            <w:noProof/>
            <w:webHidden/>
          </w:rPr>
          <w:fldChar w:fldCharType="end"/>
        </w:r>
      </w:hyperlink>
    </w:p>
    <w:p w:rsidR="006E58C2" w:rsidRDefault="005B3E0F">
      <w:pPr>
        <w:pStyle w:val="TOC1"/>
        <w:rPr>
          <w:rFonts w:asciiTheme="minorHAnsi" w:eastAsiaTheme="minorEastAsia" w:hAnsiTheme="minorHAnsi" w:cstheme="minorBidi"/>
          <w:caps w:val="0"/>
          <w:noProof/>
          <w:sz w:val="22"/>
          <w:szCs w:val="22"/>
          <w:lang w:eastAsia="en-GB"/>
        </w:rPr>
      </w:pPr>
      <w:hyperlink w:anchor="_Toc469413355"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_Toc469413355 \h </w:instrText>
        </w:r>
        <w:r>
          <w:rPr>
            <w:noProof/>
            <w:webHidden/>
          </w:rPr>
        </w:r>
        <w:r>
          <w:rPr>
            <w:noProof/>
            <w:webHidden/>
          </w:rPr>
          <w:fldChar w:fldCharType="separate"/>
        </w:r>
        <w:r>
          <w:rPr>
            <w:noProof/>
            <w:webHidden/>
          </w:rPr>
          <w:t>18</w:t>
        </w:r>
        <w:r>
          <w:rPr>
            <w:noProof/>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56" w:history="1">
        <w:r>
          <w:rPr>
            <w:rStyle w:val="Hyperlink"/>
          </w:rPr>
          <w:t>Green taxation and environmentally harmful subsidies</w:t>
        </w:r>
        <w:r>
          <w:rPr>
            <w:webHidden/>
          </w:rPr>
          <w:tab/>
        </w:r>
        <w:r>
          <w:rPr>
            <w:webHidden/>
          </w:rPr>
          <w:fldChar w:fldCharType="begin"/>
        </w:r>
        <w:r>
          <w:rPr>
            <w:webHidden/>
          </w:rPr>
          <w:instrText xml:space="preserve"> PAGEREF _Toc469413356 \h </w:instrText>
        </w:r>
        <w:r>
          <w:rPr>
            <w:webHidden/>
          </w:rPr>
        </w:r>
        <w:r>
          <w:rPr>
            <w:webHidden/>
          </w:rPr>
          <w:fldChar w:fldCharType="separate"/>
        </w:r>
        <w:r>
          <w:rPr>
            <w:webHidden/>
          </w:rPr>
          <w:t>18</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57" w:history="1">
        <w:r>
          <w:rPr>
            <w:rStyle w:val="Hyperlink"/>
            <w:lang w:eastAsia="en-GB"/>
          </w:rPr>
          <w:t>Green Public Procurement</w:t>
        </w:r>
        <w:r>
          <w:rPr>
            <w:webHidden/>
          </w:rPr>
          <w:tab/>
        </w:r>
        <w:r>
          <w:rPr>
            <w:webHidden/>
          </w:rPr>
          <w:fldChar w:fldCharType="begin"/>
        </w:r>
        <w:r>
          <w:rPr>
            <w:webHidden/>
          </w:rPr>
          <w:instrText xml:space="preserve"> PAGEREF _Toc469413357 \h </w:instrText>
        </w:r>
        <w:r>
          <w:rPr>
            <w:webHidden/>
          </w:rPr>
        </w:r>
        <w:r>
          <w:rPr>
            <w:webHidden/>
          </w:rPr>
          <w:fldChar w:fldCharType="separate"/>
        </w:r>
        <w:r>
          <w:rPr>
            <w:webHidden/>
          </w:rPr>
          <w:t>19</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58" w:history="1">
        <w:r>
          <w:rPr>
            <w:rStyle w:val="Hyperlink"/>
          </w:rPr>
          <w:t>Investments: the contribution of EU funds</w:t>
        </w:r>
        <w:r>
          <w:rPr>
            <w:webHidden/>
          </w:rPr>
          <w:tab/>
        </w:r>
        <w:r>
          <w:rPr>
            <w:webHidden/>
          </w:rPr>
          <w:fldChar w:fldCharType="begin"/>
        </w:r>
        <w:r>
          <w:rPr>
            <w:webHidden/>
          </w:rPr>
          <w:instrText xml:space="preserve"> PAGEREF _Toc469413358 \h </w:instrText>
        </w:r>
        <w:r>
          <w:rPr>
            <w:webHidden/>
          </w:rPr>
        </w:r>
        <w:r>
          <w:rPr>
            <w:webHidden/>
          </w:rPr>
          <w:fldChar w:fldCharType="separate"/>
        </w:r>
        <w:r>
          <w:rPr>
            <w:webHidden/>
          </w:rPr>
          <w:t>19</w:t>
        </w:r>
        <w:r>
          <w:rPr>
            <w:webHidden/>
          </w:rPr>
          <w:fldChar w:fldCharType="end"/>
        </w:r>
      </w:hyperlink>
    </w:p>
    <w:p w:rsidR="006E58C2" w:rsidRDefault="005B3E0F">
      <w:pPr>
        <w:pStyle w:val="TOC1"/>
        <w:rPr>
          <w:rFonts w:asciiTheme="minorHAnsi" w:eastAsiaTheme="minorEastAsia" w:hAnsiTheme="minorHAnsi" w:cstheme="minorBidi"/>
          <w:caps w:val="0"/>
          <w:noProof/>
          <w:sz w:val="22"/>
          <w:szCs w:val="22"/>
          <w:lang w:eastAsia="en-GB"/>
        </w:rPr>
      </w:pPr>
      <w:hyperlink w:anchor="_Toc469413359"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_Toc469413359 \h </w:instrText>
        </w:r>
        <w:r>
          <w:rPr>
            <w:noProof/>
            <w:webHidden/>
          </w:rPr>
        </w:r>
        <w:r>
          <w:rPr>
            <w:noProof/>
            <w:webHidden/>
          </w:rPr>
          <w:fldChar w:fldCharType="separate"/>
        </w:r>
        <w:r>
          <w:rPr>
            <w:noProof/>
            <w:webHidden/>
          </w:rPr>
          <w:t>21</w:t>
        </w:r>
        <w:r>
          <w:rPr>
            <w:noProof/>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60" w:history="1">
        <w:r>
          <w:rPr>
            <w:rStyle w:val="Hyperlink"/>
          </w:rPr>
          <w:t>Effective governance within central, regional and local government</w:t>
        </w:r>
        <w:r>
          <w:rPr>
            <w:webHidden/>
          </w:rPr>
          <w:tab/>
        </w:r>
        <w:r>
          <w:rPr>
            <w:webHidden/>
          </w:rPr>
          <w:fldChar w:fldCharType="begin"/>
        </w:r>
        <w:r>
          <w:rPr>
            <w:webHidden/>
          </w:rPr>
          <w:instrText xml:space="preserve"> PAGEREF _Toc469413360 \h </w:instrText>
        </w:r>
        <w:r>
          <w:rPr>
            <w:webHidden/>
          </w:rPr>
        </w:r>
        <w:r>
          <w:rPr>
            <w:webHidden/>
          </w:rPr>
          <w:fldChar w:fldCharType="separate"/>
        </w:r>
        <w:r>
          <w:rPr>
            <w:webHidden/>
          </w:rPr>
          <w:t>21</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61" w:history="1">
        <w:r>
          <w:rPr>
            <w:rStyle w:val="Hyperlink"/>
          </w:rPr>
          <w:t>Compliance assurance</w:t>
        </w:r>
        <w:r>
          <w:rPr>
            <w:webHidden/>
          </w:rPr>
          <w:tab/>
        </w:r>
        <w:r>
          <w:rPr>
            <w:webHidden/>
          </w:rPr>
          <w:fldChar w:fldCharType="begin"/>
        </w:r>
        <w:r>
          <w:rPr>
            <w:webHidden/>
          </w:rPr>
          <w:instrText xml:space="preserve"> PAGEREF _Toc469413361 \h </w:instrText>
        </w:r>
        <w:r>
          <w:rPr>
            <w:webHidden/>
          </w:rPr>
        </w:r>
        <w:r>
          <w:rPr>
            <w:webHidden/>
          </w:rPr>
          <w:fldChar w:fldCharType="separate"/>
        </w:r>
        <w:r>
          <w:rPr>
            <w:webHidden/>
          </w:rPr>
          <w:t>22</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62" w:history="1">
        <w:r>
          <w:rPr>
            <w:rStyle w:val="Hyperlink"/>
          </w:rPr>
          <w:t>Public p</w:t>
        </w:r>
        <w:r>
          <w:rPr>
            <w:rStyle w:val="Hyperlink"/>
          </w:rPr>
          <w:t>articipation and access to justice</w:t>
        </w:r>
        <w:r>
          <w:rPr>
            <w:webHidden/>
          </w:rPr>
          <w:tab/>
        </w:r>
        <w:r>
          <w:rPr>
            <w:webHidden/>
          </w:rPr>
          <w:fldChar w:fldCharType="begin"/>
        </w:r>
        <w:r>
          <w:rPr>
            <w:webHidden/>
          </w:rPr>
          <w:instrText xml:space="preserve"> PAGEREF _Toc469413362 \h </w:instrText>
        </w:r>
        <w:r>
          <w:rPr>
            <w:webHidden/>
          </w:rPr>
        </w:r>
        <w:r>
          <w:rPr>
            <w:webHidden/>
          </w:rPr>
          <w:fldChar w:fldCharType="separate"/>
        </w:r>
        <w:r>
          <w:rPr>
            <w:webHidden/>
          </w:rPr>
          <w:t>24</w:t>
        </w:r>
        <w:r>
          <w:rPr>
            <w:webHidden/>
          </w:rPr>
          <w:fldChar w:fldCharType="end"/>
        </w:r>
      </w:hyperlink>
    </w:p>
    <w:p w:rsidR="006E58C2" w:rsidRDefault="005B3E0F">
      <w:pPr>
        <w:pStyle w:val="TOC2"/>
        <w:rPr>
          <w:rFonts w:asciiTheme="minorHAnsi" w:eastAsiaTheme="minorEastAsia" w:hAnsiTheme="minorHAnsi" w:cstheme="minorBidi"/>
          <w:sz w:val="22"/>
          <w:szCs w:val="22"/>
          <w:lang w:eastAsia="en-GB"/>
        </w:rPr>
      </w:pPr>
      <w:hyperlink w:anchor="_Toc469413363" w:history="1">
        <w:r>
          <w:rPr>
            <w:rStyle w:val="Hyperlink"/>
          </w:rPr>
          <w:t>Access to information, knowledge and evidence</w:t>
        </w:r>
        <w:r>
          <w:rPr>
            <w:webHidden/>
          </w:rPr>
          <w:tab/>
        </w:r>
        <w:r>
          <w:rPr>
            <w:webHidden/>
          </w:rPr>
          <w:fldChar w:fldCharType="begin"/>
        </w:r>
        <w:r>
          <w:rPr>
            <w:webHidden/>
          </w:rPr>
          <w:instrText xml:space="preserve"> PAGEREF _Toc469413363 \h </w:instrText>
        </w:r>
        <w:r>
          <w:rPr>
            <w:webHidden/>
          </w:rPr>
        </w:r>
        <w:r>
          <w:rPr>
            <w:webHidden/>
          </w:rPr>
          <w:fldChar w:fldCharType="separate"/>
        </w:r>
        <w:r>
          <w:rPr>
            <w:webHidden/>
          </w:rPr>
          <w:t>24</w:t>
        </w:r>
        <w:r>
          <w:rPr>
            <w:webHidden/>
          </w:rPr>
          <w:fldChar w:fldCharType="end"/>
        </w:r>
      </w:hyperlink>
    </w:p>
    <w:p w:rsidR="006E58C2" w:rsidRDefault="005B3E0F">
      <w:pPr>
        <w:keepNext/>
        <w:widowControl w:val="0"/>
        <w:spacing w:before="240" w:after="120" w:line="240" w:lineRule="auto"/>
        <w:ind w:left="113" w:hanging="113"/>
        <w:jc w:val="center"/>
        <w:rPr>
          <w:rFonts w:eastAsia="Times New Roman"/>
          <w:b/>
          <w:noProof/>
          <w:lang w:eastAsia="en-GB"/>
        </w:rPr>
      </w:pPr>
      <w:r>
        <w:rPr>
          <w:rFonts w:eastAsiaTheme="minorEastAsia"/>
          <w:caps/>
          <w:noProof/>
          <w:lang w:val="en-US" w:eastAsia="ja-JP"/>
        </w:rPr>
        <w:fldChar w:fldCharType="end"/>
      </w:r>
    </w:p>
    <w:p w:rsidR="006E58C2" w:rsidRDefault="005B3E0F">
      <w:pPr>
        <w:widowControl w:val="0"/>
        <w:spacing w:after="120"/>
        <w:rPr>
          <w:rFonts w:cs="Times New Roman"/>
          <w:noProof/>
          <w:sz w:val="20"/>
        </w:rPr>
        <w:sectPr w:rsidR="006E58C2">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cs="Times New Roman"/>
          <w:noProof/>
          <w:sz w:val="20"/>
        </w:rPr>
        <w:br w:type="page"/>
      </w:r>
    </w:p>
    <w:p w:rsidR="006E58C2" w:rsidRDefault="005B3E0F">
      <w:pPr>
        <w:keepNext/>
        <w:keepLines/>
        <w:widowControl w:val="0"/>
        <w:spacing w:after="0" w:line="240" w:lineRule="auto"/>
        <w:jc w:val="center"/>
        <w:outlineLvl w:val="0"/>
        <w:rPr>
          <w:rFonts w:eastAsiaTheme="majorEastAsia" w:cstheme="majorBidi"/>
          <w:b/>
          <w:bCs/>
          <w:noProof/>
          <w:color w:val="1F497D" w:themeColor="text2"/>
          <w:sz w:val="32"/>
          <w:szCs w:val="28"/>
        </w:rPr>
      </w:pPr>
      <w:bookmarkStart w:id="5" w:name="_Toc454812218"/>
      <w:bookmarkStart w:id="6" w:name="_Toc456012018"/>
      <w:bookmarkStart w:id="7" w:name="_Toc469413338"/>
      <w:bookmarkEnd w:id="4"/>
      <w:r>
        <w:rPr>
          <w:rFonts w:eastAsiaTheme="majorEastAsia" w:cstheme="majorBidi"/>
          <w:b/>
          <w:bCs/>
          <w:noProof/>
          <w:color w:val="1F497D" w:themeColor="text2"/>
          <w:sz w:val="32"/>
          <w:szCs w:val="28"/>
        </w:rPr>
        <w:lastRenderedPageBreak/>
        <w:t>Executive summary</w:t>
      </w:r>
      <w:bookmarkEnd w:id="5"/>
      <w:bookmarkEnd w:id="6"/>
      <w:bookmarkEnd w:id="7"/>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sectPr w:rsidR="006E58C2">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6E58C2" w:rsidRDefault="005B3E0F">
      <w:pPr>
        <w:widowControl w:val="0"/>
        <w:spacing w:after="120" w:line="240" w:lineRule="auto"/>
        <w:jc w:val="both"/>
        <w:rPr>
          <w:rFonts w:cstheme="minorHAnsi"/>
          <w:i/>
          <w:noProof/>
          <w:color w:val="1F497D" w:themeColor="text2"/>
        </w:rPr>
      </w:pPr>
      <w:r>
        <w:rPr>
          <w:rFonts w:cstheme="minorHAnsi"/>
          <w:b/>
          <w:noProof/>
          <w:color w:val="1F497D" w:themeColor="text2"/>
        </w:rPr>
        <w:lastRenderedPageBreak/>
        <w:t>About the Environmental Implementation Review</w:t>
      </w:r>
    </w:p>
    <w:p w:rsidR="006E58C2" w:rsidRDefault="005B3E0F">
      <w:pPr>
        <w:widowControl w:val="0"/>
        <w:spacing w:after="120" w:line="240" w:lineRule="auto"/>
        <w:jc w:val="both"/>
        <w:rPr>
          <w:noProof/>
          <w:sz w:val="20"/>
        </w:rPr>
      </w:pPr>
      <w:r>
        <w:rPr>
          <w:noProof/>
          <w:sz w:val="20"/>
        </w:rPr>
        <w:t xml:space="preserve">In May 2016, the Commission launched the Environmental Implementation Review (EIR), a </w:t>
      </w:r>
      <w:r>
        <w:rPr>
          <w:noProof/>
          <w:sz w:val="20"/>
        </w:rPr>
        <w:t>two-year cycle of analysis, dialogue and collaboration to improve the implementation of existing EU environmental policy and legislation</w:t>
      </w:r>
      <w:r>
        <w:rPr>
          <w:noProof/>
          <w:sz w:val="20"/>
          <w:vertAlign w:val="superscript"/>
        </w:rPr>
        <w:footnoteReference w:id="1"/>
      </w:r>
      <w:r>
        <w:rPr>
          <w:noProof/>
          <w:sz w:val="20"/>
        </w:rPr>
        <w:t xml:space="preserve">. As a first step, the Commission drafted 28 reports describing the main challenges and opportunities on environmental </w:t>
      </w:r>
      <w:r>
        <w:rPr>
          <w:noProof/>
          <w:sz w:val="20"/>
        </w:rPr>
        <w:t xml:space="preserve">implementation for each Member State. These reports are meant to stimulate a positive debate both on shared environmental challenges for the EU, as well as on the most effective ways to address the key implementation gaps. The reports rely on the detailed </w:t>
      </w:r>
      <w:r>
        <w:rPr>
          <w:noProof/>
          <w:sz w:val="20"/>
        </w:rPr>
        <w:t>sectoral implementation reports collected or issued by the Commission under specific environmental legislation as well as the 2015 State of the Environment Report and other reports by the European Environment Agency. These reports will not replace the spec</w:t>
      </w:r>
      <w:r>
        <w:rPr>
          <w:noProof/>
          <w:sz w:val="20"/>
        </w:rPr>
        <w:t xml:space="preserve">ific instruments to ensure compliance with the EU legal obligations. </w:t>
      </w:r>
    </w:p>
    <w:p w:rsidR="006E58C2" w:rsidRDefault="005B3E0F">
      <w:pPr>
        <w:widowControl w:val="0"/>
        <w:spacing w:after="120" w:line="240" w:lineRule="auto"/>
        <w:jc w:val="both"/>
        <w:rPr>
          <w:rFonts w:cs="Times New Roman"/>
          <w:noProof/>
          <w:sz w:val="20"/>
        </w:rPr>
      </w:pPr>
      <w:r>
        <w:rPr>
          <w:rFonts w:cs="Times New Roman"/>
          <w:noProof/>
          <w:sz w:val="20"/>
        </w:rPr>
        <w:t>The reports will broadly follow the outline of the 7th Environmental Action Programme</w:t>
      </w:r>
      <w:r>
        <w:rPr>
          <w:rFonts w:eastAsia="Calibri" w:cs="Times New Roman"/>
          <w:noProof/>
          <w:sz w:val="20"/>
          <w:vertAlign w:val="superscript"/>
        </w:rPr>
        <w:footnoteReference w:id="2"/>
      </w:r>
      <w:r>
        <w:rPr>
          <w:rFonts w:eastAsia="Calibri" w:cs="Times New Roman"/>
          <w:noProof/>
          <w:sz w:val="20"/>
        </w:rPr>
        <w:t xml:space="preserve"> </w:t>
      </w:r>
      <w:r>
        <w:rPr>
          <w:rFonts w:cs="Times New Roman"/>
          <w:noProof/>
          <w:sz w:val="20"/>
        </w:rPr>
        <w:t xml:space="preserve">and refer to the 2030 Agenda for Sustainable development and related </w:t>
      </w:r>
      <w:r>
        <w:rPr>
          <w:rFonts w:eastAsia="Calibri" w:cs="Times New Roman"/>
          <w:noProof/>
          <w:sz w:val="20"/>
        </w:rPr>
        <w:t xml:space="preserve">Sustainable Development Goals </w:t>
      </w:r>
      <w:r>
        <w:rPr>
          <w:rFonts w:eastAsia="Calibri" w:cs="Times New Roman"/>
          <w:noProof/>
          <w:sz w:val="20"/>
        </w:rPr>
        <w:t>(SDGs)</w:t>
      </w:r>
      <w:r>
        <w:rPr>
          <w:rFonts w:eastAsia="Calibri" w:cs="Times New Roman"/>
          <w:noProof/>
          <w:sz w:val="20"/>
          <w:vertAlign w:val="superscript"/>
        </w:rPr>
        <w:footnoteReference w:id="3"/>
      </w:r>
      <w:r>
        <w:rPr>
          <w:rFonts w:eastAsia="Calibri" w:cs="Times New Roman"/>
          <w:noProof/>
          <w:sz w:val="20"/>
        </w:rPr>
        <w:t xml:space="preserve"> </w:t>
      </w:r>
      <w:r>
        <w:rPr>
          <w:rFonts w:cs="Times New Roman"/>
          <w:noProof/>
          <w:sz w:val="20"/>
        </w:rPr>
        <w:t>to the extent to which they reflect the existing obligations and policy objectives of EU environmental law</w:t>
      </w:r>
      <w:r>
        <w:rPr>
          <w:rFonts w:eastAsia="Calibri" w:cs="Times New Roman"/>
          <w:noProof/>
          <w:sz w:val="20"/>
          <w:vertAlign w:val="superscript"/>
        </w:rPr>
        <w:footnoteReference w:id="4"/>
      </w:r>
      <w:r>
        <w:rPr>
          <w:rFonts w:cs="Times New Roman"/>
          <w:noProof/>
          <w:sz w:val="20"/>
        </w:rPr>
        <w:t xml:space="preserve">. </w:t>
      </w:r>
    </w:p>
    <w:p w:rsidR="006E58C2" w:rsidRDefault="005B3E0F">
      <w:pPr>
        <w:widowControl w:val="0"/>
        <w:spacing w:after="120" w:line="240" w:lineRule="auto"/>
        <w:jc w:val="both"/>
        <w:rPr>
          <w:rFonts w:cs="Times New Roman"/>
          <w:noProof/>
          <w:sz w:val="20"/>
        </w:rPr>
      </w:pPr>
      <w:r>
        <w:rPr>
          <w:noProof/>
          <w:sz w:val="20"/>
        </w:rPr>
        <w:t xml:space="preserve">The main challenges have been selected by taking into account factors such as the importance or the gravity of the environmental </w:t>
      </w:r>
      <w:r>
        <w:rPr>
          <w:noProof/>
          <w:sz w:val="20"/>
        </w:rPr>
        <w:t>implementation issue in the light of the impact on the quality of life of the citizens, the distance to target, and financial implications.</w:t>
      </w:r>
    </w:p>
    <w:p w:rsidR="006E58C2" w:rsidRDefault="005B3E0F">
      <w:pPr>
        <w:spacing w:after="120" w:line="240" w:lineRule="auto"/>
        <w:jc w:val="both"/>
        <w:rPr>
          <w:noProof/>
          <w:sz w:val="20"/>
        </w:rPr>
      </w:pPr>
      <w:r>
        <w:rPr>
          <w:noProof/>
          <w:sz w:val="20"/>
        </w:rPr>
        <w:t>The reports accompany the Communication "</w:t>
      </w:r>
      <w:r>
        <w:rPr>
          <w:i/>
          <w:noProof/>
          <w:sz w:val="20"/>
        </w:rPr>
        <w:t xml:space="preserve">The EU Environmental Implementation Review 2016: Common challenges and how </w:t>
      </w:r>
      <w:r>
        <w:rPr>
          <w:i/>
          <w:noProof/>
          <w:sz w:val="20"/>
        </w:rPr>
        <w:t>to combine efforts to deliver better results</w:t>
      </w:r>
      <w:r>
        <w:rPr>
          <w:noProof/>
          <w:sz w:val="20"/>
        </w:rPr>
        <w:t>", which identifies challenges that are common to several Member States, provides preliminary conclusions on possible root causes of implementation gaps and proposes joint actions to deliver better results. It al</w:t>
      </w:r>
      <w:r>
        <w:rPr>
          <w:noProof/>
          <w:sz w:val="20"/>
        </w:rPr>
        <w:t>so groups in its Annex the actions proposed in each country report to improve implementation at national level.</w:t>
      </w:r>
    </w:p>
    <w:p w:rsidR="006E58C2" w:rsidRDefault="005B3E0F">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6E58C2" w:rsidRDefault="005B3E0F">
      <w:pPr>
        <w:widowControl w:val="0"/>
        <w:spacing w:after="120" w:line="240" w:lineRule="auto"/>
        <w:jc w:val="both"/>
        <w:rPr>
          <w:noProof/>
          <w:sz w:val="20"/>
        </w:rPr>
      </w:pPr>
      <w:r>
        <w:rPr>
          <w:noProof/>
          <w:sz w:val="20"/>
        </w:rPr>
        <w:t xml:space="preserve">The Czech Republic has a varied performance when it comes to the effectiveness in the implementation of environmental policies. </w:t>
      </w:r>
    </w:p>
    <w:p w:rsidR="006E58C2" w:rsidRDefault="005B3E0F">
      <w:pPr>
        <w:widowControl w:val="0"/>
        <w:spacing w:after="120" w:line="240" w:lineRule="auto"/>
        <w:jc w:val="both"/>
        <w:rPr>
          <w:noProof/>
          <w:sz w:val="20"/>
        </w:rPr>
      </w:pPr>
      <w:r>
        <w:rPr>
          <w:noProof/>
          <w:sz w:val="20"/>
        </w:rPr>
        <w:lastRenderedPageBreak/>
        <w:t>Though there are more opportunities to move towards circular economy than in other similar MS, these are not fully exploited yet. Air quality remains a significant problem in some areas of the country. Water scarcity is giving a rise to growing concerns o</w:t>
      </w:r>
      <w:r>
        <w:rPr>
          <w:noProof/>
          <w:sz w:val="20"/>
        </w:rPr>
        <w:t xml:space="preserve">ver the implementation of a right mix of measures to combat it. Nature protection benefits from a long tradition but conflicts remain with other sectors as </w:t>
      </w:r>
      <w:r>
        <w:rPr>
          <w:rFonts w:cs="Times New Roman"/>
          <w:noProof/>
          <w:sz w:val="20"/>
        </w:rPr>
        <w:t>a continuous challenge.</w:t>
      </w:r>
      <w:r>
        <w:rPr>
          <w:noProof/>
          <w:sz w:val="20"/>
        </w:rPr>
        <w:t xml:space="preserve"> The EIA and development consent processes suffer from the legacy of non-comp</w:t>
      </w:r>
      <w:r>
        <w:rPr>
          <w:noProof/>
          <w:sz w:val="20"/>
        </w:rPr>
        <w:t xml:space="preserve">liance with EU law. </w:t>
      </w:r>
    </w:p>
    <w:p w:rsidR="006E58C2" w:rsidRDefault="005B3E0F">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6E58C2" w:rsidRDefault="005B3E0F">
      <w:pPr>
        <w:widowControl w:val="0"/>
        <w:spacing w:after="120" w:line="240" w:lineRule="auto"/>
        <w:jc w:val="both"/>
        <w:rPr>
          <w:rFonts w:cs="Times New Roman"/>
          <w:noProof/>
          <w:sz w:val="20"/>
        </w:rPr>
      </w:pPr>
      <w:r>
        <w:rPr>
          <w:rFonts w:cs="Times New Roman"/>
          <w:noProof/>
          <w:sz w:val="20"/>
        </w:rPr>
        <w:t>The three main challenges with regard to implementation of EU environmental policy and law in Czech Republic are:</w:t>
      </w:r>
    </w:p>
    <w:p w:rsidR="006E58C2" w:rsidRDefault="005B3E0F">
      <w:pPr>
        <w:widowControl w:val="0"/>
        <w:numPr>
          <w:ilvl w:val="0"/>
          <w:numId w:val="30"/>
        </w:numPr>
        <w:spacing w:after="120" w:line="240" w:lineRule="auto"/>
        <w:contextualSpacing/>
        <w:jc w:val="both"/>
        <w:rPr>
          <w:rFonts w:cs="Times New Roman"/>
          <w:noProof/>
          <w:sz w:val="20"/>
        </w:rPr>
      </w:pPr>
      <w:r>
        <w:rPr>
          <w:rFonts w:cs="Times New Roman"/>
          <w:noProof/>
          <w:sz w:val="20"/>
        </w:rPr>
        <w:t>Moving towards an effective and legally compliant EIA process, including other environmental assessments,</w:t>
      </w:r>
      <w:r>
        <w:rPr>
          <w:rFonts w:cs="Times New Roman"/>
          <w:noProof/>
          <w:sz w:val="20"/>
        </w:rPr>
        <w:t xml:space="preserve"> which would build societal acceptance and use best practices </w:t>
      </w:r>
    </w:p>
    <w:p w:rsidR="006E58C2" w:rsidRDefault="005B3E0F">
      <w:pPr>
        <w:widowControl w:val="0"/>
        <w:numPr>
          <w:ilvl w:val="0"/>
          <w:numId w:val="30"/>
        </w:numPr>
        <w:spacing w:after="120" w:line="240" w:lineRule="auto"/>
        <w:contextualSpacing/>
        <w:jc w:val="both"/>
        <w:rPr>
          <w:rFonts w:cs="Times New Roman"/>
          <w:noProof/>
          <w:sz w:val="20"/>
          <w:szCs w:val="20"/>
        </w:rPr>
      </w:pPr>
      <w:r>
        <w:rPr>
          <w:rFonts w:cs="Times New Roman"/>
          <w:noProof/>
          <w:sz w:val="20"/>
        </w:rPr>
        <w:t>Putting in place the infrastructures and conditions (including reliable statistics in the waste sector) to move towards a recycling economy</w:t>
      </w:r>
    </w:p>
    <w:p w:rsidR="006E58C2" w:rsidRDefault="005B3E0F">
      <w:pPr>
        <w:widowControl w:val="0"/>
        <w:numPr>
          <w:ilvl w:val="0"/>
          <w:numId w:val="30"/>
        </w:numPr>
        <w:spacing w:after="120" w:line="240" w:lineRule="auto"/>
        <w:contextualSpacing/>
        <w:jc w:val="both"/>
        <w:rPr>
          <w:rFonts w:cs="Times New Roman"/>
          <w:noProof/>
          <w:sz w:val="20"/>
          <w:szCs w:val="20"/>
        </w:rPr>
      </w:pPr>
      <w:r>
        <w:rPr>
          <w:rFonts w:cs="Times New Roman"/>
          <w:noProof/>
          <w:sz w:val="20"/>
        </w:rPr>
        <w:t>Improving air quality in critical regions of the coun</w:t>
      </w:r>
      <w:r>
        <w:rPr>
          <w:rFonts w:cs="Times New Roman"/>
          <w:noProof/>
          <w:sz w:val="20"/>
        </w:rPr>
        <w:t>try, notably in urban areas, while promoting the right set of measures</w:t>
      </w:r>
    </w:p>
    <w:p w:rsidR="006E58C2" w:rsidRDefault="005B3E0F">
      <w:pPr>
        <w:widowControl w:val="0"/>
        <w:spacing w:before="240" w:after="120" w:line="240" w:lineRule="auto"/>
        <w:jc w:val="both"/>
        <w:rPr>
          <w:rFonts w:cstheme="minorHAnsi"/>
          <w:b/>
          <w:noProof/>
          <w:color w:val="1F497D" w:themeColor="text2"/>
        </w:rPr>
      </w:pPr>
      <w:r>
        <w:rPr>
          <w:rFonts w:cstheme="minorHAnsi"/>
          <w:b/>
          <w:noProof/>
          <w:color w:val="1F497D" w:themeColor="text2"/>
        </w:rPr>
        <w:t>Main Opportunities</w:t>
      </w:r>
    </w:p>
    <w:p w:rsidR="006E58C2" w:rsidRDefault="005B3E0F">
      <w:pPr>
        <w:widowControl w:val="0"/>
        <w:spacing w:after="120" w:line="240" w:lineRule="auto"/>
        <w:jc w:val="both"/>
        <w:rPr>
          <w:rFonts w:cs="Times New Roman"/>
          <w:noProof/>
          <w:sz w:val="20"/>
          <w:lang w:eastAsia="ja-JP"/>
        </w:rPr>
      </w:pPr>
      <w:r>
        <w:rPr>
          <w:rFonts w:cs="Times New Roman"/>
          <w:noProof/>
          <w:sz w:val="20"/>
          <w:lang w:eastAsia="ja-JP"/>
        </w:rPr>
        <w:t>Czech Republic could perform better on topics where there is already a good knowledge base and good practices. This applies in particular to:</w:t>
      </w:r>
    </w:p>
    <w:p w:rsidR="006E58C2" w:rsidRDefault="005B3E0F">
      <w:pPr>
        <w:widowControl w:val="0"/>
        <w:numPr>
          <w:ilvl w:val="0"/>
          <w:numId w:val="31"/>
        </w:numPr>
        <w:spacing w:after="120" w:line="240" w:lineRule="auto"/>
        <w:contextualSpacing/>
        <w:jc w:val="both"/>
        <w:rPr>
          <w:rFonts w:cs="Times New Roman"/>
          <w:noProof/>
          <w:sz w:val="20"/>
        </w:rPr>
      </w:pPr>
      <w:r>
        <w:rPr>
          <w:rFonts w:cs="Times New Roman"/>
          <w:noProof/>
          <w:sz w:val="20"/>
        </w:rPr>
        <w:t xml:space="preserve">Building on experiences </w:t>
      </w:r>
      <w:r>
        <w:rPr>
          <w:rFonts w:cs="Times New Roman"/>
          <w:noProof/>
          <w:sz w:val="20"/>
        </w:rPr>
        <w:t xml:space="preserve">in nature protection including the comprehensive nation-wide species and habitat monitoring system towards a complete and well managed Natura 2000 network </w:t>
      </w:r>
    </w:p>
    <w:p w:rsidR="006E58C2" w:rsidRDefault="005B3E0F">
      <w:pPr>
        <w:widowControl w:val="0"/>
        <w:numPr>
          <w:ilvl w:val="0"/>
          <w:numId w:val="31"/>
        </w:numPr>
        <w:spacing w:after="120" w:line="240" w:lineRule="auto"/>
        <w:contextualSpacing/>
        <w:jc w:val="both"/>
        <w:rPr>
          <w:rFonts w:cs="Times New Roman"/>
          <w:noProof/>
          <w:sz w:val="20"/>
          <w:lang w:eastAsia="ja-JP"/>
        </w:rPr>
      </w:pPr>
      <w:r>
        <w:rPr>
          <w:rFonts w:cs="Times New Roman"/>
          <w:noProof/>
          <w:sz w:val="20"/>
          <w:lang w:eastAsia="ja-JP"/>
        </w:rPr>
        <w:t>Working in water and climate change policy more within the framework of EU Water Framework Directive</w:t>
      </w:r>
      <w:r>
        <w:rPr>
          <w:rFonts w:cs="Times New Roman"/>
          <w:noProof/>
          <w:sz w:val="20"/>
          <w:lang w:eastAsia="ja-JP"/>
        </w:rPr>
        <w:t>, and notably integrating RBMPs better into planning and decision making in the water sector</w:t>
      </w:r>
    </w:p>
    <w:p w:rsidR="006E58C2" w:rsidRDefault="005B3E0F">
      <w:pPr>
        <w:widowControl w:val="0"/>
        <w:numPr>
          <w:ilvl w:val="0"/>
          <w:numId w:val="31"/>
        </w:numPr>
        <w:spacing w:after="120" w:line="240" w:lineRule="auto"/>
        <w:contextualSpacing/>
        <w:jc w:val="both"/>
        <w:rPr>
          <w:rFonts w:cs="Times New Roman"/>
          <w:noProof/>
          <w:sz w:val="20"/>
          <w:szCs w:val="20"/>
          <w:lang w:eastAsia="ja-JP"/>
        </w:rPr>
      </w:pPr>
      <w:r>
        <w:rPr>
          <w:rFonts w:cs="Times New Roman"/>
          <w:noProof/>
          <w:sz w:val="20"/>
          <w:szCs w:val="20"/>
          <w:lang w:eastAsia="ja-JP"/>
        </w:rPr>
        <w:t>More ambitious use of the opportunities provided by the ESIF (and ESFI) to enhance environmental integration</w:t>
      </w:r>
    </w:p>
    <w:p w:rsidR="006E58C2" w:rsidRDefault="005B3E0F">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Excellence</w:t>
      </w:r>
    </w:p>
    <w:p w:rsidR="006E58C2" w:rsidRDefault="005B3E0F">
      <w:pPr>
        <w:widowControl w:val="0"/>
        <w:spacing w:after="120" w:line="240" w:lineRule="auto"/>
        <w:jc w:val="both"/>
        <w:rPr>
          <w:rFonts w:cs="Times New Roman"/>
          <w:noProof/>
          <w:sz w:val="20"/>
        </w:rPr>
      </w:pPr>
      <w:r>
        <w:rPr>
          <w:rFonts w:cs="Times New Roman"/>
          <w:noProof/>
          <w:sz w:val="20"/>
        </w:rPr>
        <w:t xml:space="preserve">Where Czech Republic is a leader </w:t>
      </w:r>
      <w:r>
        <w:rPr>
          <w:rFonts w:cs="Times New Roman"/>
          <w:noProof/>
          <w:sz w:val="20"/>
        </w:rPr>
        <w:t>on environmental implementation, innovative approaches could be shared more widely with other countries. Good examples are:</w:t>
      </w:r>
    </w:p>
    <w:p w:rsidR="006E58C2" w:rsidRDefault="005B3E0F">
      <w:pPr>
        <w:widowControl w:val="0"/>
        <w:numPr>
          <w:ilvl w:val="0"/>
          <w:numId w:val="32"/>
        </w:numPr>
        <w:spacing w:after="120" w:line="240" w:lineRule="auto"/>
        <w:contextualSpacing/>
        <w:jc w:val="both"/>
        <w:rPr>
          <w:rFonts w:cs="Times New Roman"/>
          <w:noProof/>
          <w:sz w:val="20"/>
          <w:lang w:eastAsia="ja-JP"/>
        </w:rPr>
      </w:pPr>
      <w:r>
        <w:rPr>
          <w:rFonts w:cs="Times New Roman"/>
          <w:noProof/>
          <w:sz w:val="20"/>
          <w:lang w:eastAsia="ja-JP"/>
        </w:rPr>
        <w:t xml:space="preserve">The monitoring of habitats and species under the Habitats Directive is very well established and organized in the Czech Republic.  </w:t>
      </w:r>
    </w:p>
    <w:p w:rsidR="006E58C2" w:rsidRDefault="005B3E0F">
      <w:pPr>
        <w:widowControl w:val="0"/>
        <w:numPr>
          <w:ilvl w:val="0"/>
          <w:numId w:val="32"/>
        </w:numPr>
        <w:spacing w:after="120" w:line="240" w:lineRule="auto"/>
        <w:contextualSpacing/>
        <w:jc w:val="both"/>
        <w:rPr>
          <w:rFonts w:eastAsia="Calibri" w:cs="Times New Roman"/>
          <w:noProof/>
          <w:sz w:val="20"/>
          <w:szCs w:val="20"/>
        </w:rPr>
      </w:pPr>
      <w:r>
        <w:rPr>
          <w:rFonts w:cs="Times New Roman"/>
          <w:noProof/>
          <w:sz w:val="20"/>
        </w:rPr>
        <w:t>The Czech Republic has a well-established EPR scheme for municipal waste packaging.</w:t>
      </w:r>
    </w:p>
    <w:p w:rsidR="006E58C2" w:rsidRDefault="005B3E0F">
      <w:pPr>
        <w:widowControl w:val="0"/>
        <w:numPr>
          <w:ilvl w:val="0"/>
          <w:numId w:val="32"/>
        </w:numPr>
        <w:spacing w:after="120" w:line="240" w:lineRule="auto"/>
        <w:contextualSpacing/>
        <w:jc w:val="both"/>
        <w:rPr>
          <w:rFonts w:eastAsia="Calibri" w:cs="Times New Roman"/>
          <w:noProof/>
          <w:sz w:val="20"/>
          <w:szCs w:val="20"/>
        </w:rPr>
      </w:pPr>
      <w:r>
        <w:rPr>
          <w:rFonts w:cs="Times New Roman"/>
          <w:noProof/>
          <w:sz w:val="20"/>
        </w:rPr>
        <w:t>Czech Republic is an advanced player in the field of international cooperation (e.g. CITES)</w:t>
      </w:r>
    </w:p>
    <w:p w:rsidR="006E58C2" w:rsidRDefault="006E58C2">
      <w:pPr>
        <w:widowControl w:val="0"/>
        <w:spacing w:after="120" w:line="240" w:lineRule="auto"/>
        <w:contextualSpacing/>
        <w:jc w:val="both"/>
        <w:rPr>
          <w:rFonts w:cs="Times New Roman"/>
          <w:noProof/>
          <w:sz w:val="20"/>
          <w:lang w:eastAsia="ja-JP"/>
        </w:rPr>
        <w:sectPr w:rsidR="006E58C2">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991" w:bottom="1440" w:left="1080" w:header="709" w:footer="709" w:gutter="0"/>
          <w:pgNumType w:fmt="lowerRoman"/>
          <w:cols w:num="2" w:space="360"/>
          <w:docGrid w:linePitch="360"/>
        </w:sectPr>
      </w:pPr>
    </w:p>
    <w:p w:rsidR="006E58C2" w:rsidRDefault="006E58C2">
      <w:pPr>
        <w:widowControl w:val="0"/>
        <w:spacing w:after="120" w:line="240" w:lineRule="auto"/>
        <w:jc w:val="both"/>
        <w:rPr>
          <w:rFonts w:cs="Times New Roman"/>
          <w:noProof/>
          <w:sz w:val="20"/>
        </w:rPr>
        <w:sectPr w:rsidR="006E58C2">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fmt="lowerRoman" w:start="1"/>
          <w:cols w:space="360"/>
          <w:docGrid w:linePitch="360"/>
        </w:sectPr>
      </w:pPr>
    </w:p>
    <w:p w:rsidR="006E58C2" w:rsidRDefault="005B3E0F">
      <w:pPr>
        <w:keepNext/>
        <w:keepLines/>
        <w:widowControl w:val="0"/>
        <w:spacing w:after="0" w:line="240" w:lineRule="auto"/>
        <w:jc w:val="center"/>
        <w:outlineLvl w:val="0"/>
        <w:rPr>
          <w:rFonts w:eastAsiaTheme="majorEastAsia" w:cstheme="majorBidi"/>
          <w:b/>
          <w:bCs/>
          <w:noProof/>
          <w:color w:val="1F497D" w:themeColor="text2"/>
          <w:sz w:val="32"/>
          <w:szCs w:val="28"/>
        </w:rPr>
      </w:pPr>
      <w:bookmarkStart w:id="8" w:name="_Toc433296150"/>
      <w:bookmarkStart w:id="9" w:name="_Toc456012019"/>
      <w:bookmarkStart w:id="10" w:name="_Toc469413339"/>
      <w:r>
        <w:rPr>
          <w:rFonts w:eastAsiaTheme="majorEastAsia" w:cstheme="majorBidi"/>
          <w:b/>
          <w:bCs/>
          <w:noProof/>
          <w:color w:val="1F497D" w:themeColor="text2"/>
          <w:sz w:val="32"/>
          <w:szCs w:val="28"/>
        </w:rPr>
        <w:lastRenderedPageBreak/>
        <w:t>Part I: Thematic Areas</w:t>
      </w:r>
      <w:bookmarkEnd w:id="8"/>
      <w:bookmarkEnd w:id="9"/>
      <w:bookmarkEnd w:id="10"/>
    </w:p>
    <w:p w:rsidR="006E58C2" w:rsidRDefault="006E58C2">
      <w:pPr>
        <w:widowControl w:val="0"/>
        <w:spacing w:after="120" w:line="240" w:lineRule="auto"/>
        <w:jc w:val="both"/>
        <w:rPr>
          <w:rFonts w:cs="Times New Roman"/>
          <w:noProof/>
          <w:sz w:val="20"/>
        </w:rPr>
      </w:pPr>
    </w:p>
    <w:p w:rsidR="006E58C2" w:rsidRDefault="005B3E0F">
      <w:pPr>
        <w:keepNext/>
        <w:widowControl w:val="0"/>
        <w:numPr>
          <w:ilvl w:val="0"/>
          <w:numId w:val="27"/>
        </w:numPr>
        <w:spacing w:after="0" w:line="240" w:lineRule="auto"/>
        <w:jc w:val="center"/>
        <w:outlineLvl w:val="0"/>
        <w:rPr>
          <w:rFonts w:eastAsiaTheme="majorEastAsia" w:cstheme="majorBidi"/>
          <w:b/>
          <w:bCs/>
          <w:noProof/>
          <w:color w:val="1F497D" w:themeColor="text2"/>
          <w:sz w:val="32"/>
          <w:szCs w:val="28"/>
        </w:rPr>
      </w:pPr>
      <w:bookmarkStart w:id="11" w:name="_Toc433296151"/>
      <w:bookmarkStart w:id="12" w:name="_Toc456012020"/>
      <w:bookmarkStart w:id="13" w:name="_Toc469413340"/>
      <w:r>
        <w:rPr>
          <w:rFonts w:eastAsiaTheme="majorEastAsia" w:cstheme="majorBidi"/>
          <w:b/>
          <w:bCs/>
          <w:noProof/>
          <w:color w:val="1F497D" w:themeColor="text2"/>
          <w:sz w:val="32"/>
          <w:szCs w:val="28"/>
        </w:rPr>
        <w:t>Turning the EU into a circular,</w:t>
      </w:r>
      <w:r>
        <w:rPr>
          <w:rFonts w:eastAsiaTheme="majorEastAsia" w:cstheme="majorBidi"/>
          <w:b/>
          <w:bCs/>
          <w:noProof/>
          <w:color w:val="1F497D" w:themeColor="text2"/>
          <w:sz w:val="32"/>
          <w:szCs w:val="28"/>
        </w:rPr>
        <w:t xml:space="preserve"> resource-efficient, green and competitive low-carbon economy</w:t>
      </w:r>
      <w:bookmarkEnd w:id="11"/>
      <w:bookmarkEnd w:id="12"/>
      <w:bookmarkEnd w:id="13"/>
    </w:p>
    <w:p w:rsidR="006E58C2" w:rsidRDefault="006E58C2">
      <w:pPr>
        <w:widowControl w:val="0"/>
        <w:spacing w:after="120" w:line="240" w:lineRule="auto"/>
        <w:jc w:val="both"/>
        <w:rPr>
          <w:rFonts w:cs="Times New Roman"/>
          <w:noProof/>
          <w:sz w:val="20"/>
        </w:rPr>
        <w:sectPr w:rsidR="006E58C2">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080" w:bottom="1440" w:left="1080" w:header="708" w:footer="708" w:gutter="0"/>
          <w:pgNumType w:start="5"/>
          <w:cols w:space="708"/>
          <w:docGrid w:linePitch="360"/>
        </w:sectPr>
      </w:pPr>
    </w:p>
    <w:p w:rsidR="006E58C2" w:rsidRDefault="005B3E0F">
      <w:pPr>
        <w:widowControl w:val="0"/>
        <w:spacing w:before="360" w:after="120" w:line="240" w:lineRule="auto"/>
        <w:outlineLvl w:val="1"/>
        <w:rPr>
          <w:rFonts w:cs="Times New Roman"/>
          <w:b/>
          <w:noProof/>
          <w:color w:val="1F497D" w:themeColor="text2"/>
          <w:sz w:val="24"/>
        </w:rPr>
      </w:pPr>
      <w:bookmarkStart w:id="14" w:name="_Toc433296152"/>
      <w:bookmarkStart w:id="15" w:name="_Toc454813106"/>
      <w:bookmarkStart w:id="16" w:name="_Toc456012021"/>
      <w:bookmarkStart w:id="17" w:name="_Toc469413341"/>
      <w:r>
        <w:rPr>
          <w:rFonts w:cs="Times New Roman"/>
          <w:b/>
          <w:noProof/>
          <w:color w:val="1F497D" w:themeColor="text2"/>
          <w:sz w:val="24"/>
        </w:rPr>
        <w:lastRenderedPageBreak/>
        <w:t>Developing a circular economy</w:t>
      </w:r>
      <w:bookmarkEnd w:id="14"/>
      <w:r>
        <w:rPr>
          <w:rFonts w:cs="Times New Roman"/>
          <w:b/>
          <w:noProof/>
          <w:color w:val="1F497D" w:themeColor="text2"/>
          <w:sz w:val="24"/>
        </w:rPr>
        <w:t xml:space="preserve"> and improving resource efficiency</w:t>
      </w:r>
      <w:bookmarkEnd w:id="15"/>
      <w:bookmarkEnd w:id="16"/>
      <w:bookmarkEnd w:id="17"/>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 a cascading use of resources and residual waste that is close to zero. This can be facilitated by the devel</w:t>
      </w:r>
      <w:r>
        <w:rPr>
          <w:rFonts w:cs="Times New Roman"/>
          <w:noProof/>
          <w:color w:val="FFFFFF" w:themeColor="background1"/>
          <w:sz w:val="20"/>
        </w:rPr>
        <w:t>opment of, and access to, innovative financial instruments and funding for eco-innovation.</w:t>
      </w:r>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and sustainable economic growth, full and productive employment and decent work for all. SDG 9 highlights the</w:t>
      </w:r>
      <w:r>
        <w:rPr>
          <w:rFonts w:cs="Times New Roman"/>
          <w:noProof/>
          <w:color w:val="FFFFFF" w:themeColor="background1"/>
          <w:sz w:val="20"/>
        </w:rPr>
        <w:t xml:space="preserve"> need to build resilient infrastructure, promote inclusive and sustainable industrialization and foster innovation. SDG 12 encourages countries to achieve the sustainable management and efficient use of natural resources by 2030.</w:t>
      </w:r>
    </w:p>
    <w:p w:rsidR="006E58C2" w:rsidRDefault="005B3E0F">
      <w:pPr>
        <w:pStyle w:val="Heading3"/>
        <w:rPr>
          <w:noProof/>
        </w:rPr>
      </w:pPr>
      <w:r>
        <w:rPr>
          <w:noProof/>
        </w:rPr>
        <w:t xml:space="preserve">Measures towards a </w:t>
      </w:r>
      <w:r>
        <w:rPr>
          <w:noProof/>
        </w:rPr>
        <w:t>circular economy</w:t>
      </w:r>
    </w:p>
    <w:p w:rsidR="006E58C2" w:rsidRDefault="005B3E0F">
      <w:pPr>
        <w:widowControl w:val="0"/>
        <w:spacing w:after="120" w:line="240" w:lineRule="auto"/>
        <w:jc w:val="both"/>
        <w:rPr>
          <w:rFonts w:cs="Times New Roman"/>
          <w:noProof/>
          <w:sz w:val="20"/>
        </w:rPr>
      </w:pPr>
      <w:r>
        <w:rPr>
          <w:rFonts w:cs="Times New Roman"/>
          <w:noProof/>
          <w:sz w:val="20"/>
        </w:rPr>
        <w:t xml:space="preserve">Transforming our economies from linear to circular offers an opportunity to reinvent them and make them more sustainable and competitive. This will stimulate investments and bring both short and long-term benefits for the economy, </w:t>
      </w:r>
      <w:r>
        <w:rPr>
          <w:rFonts w:cs="Times New Roman"/>
          <w:noProof/>
          <w:sz w:val="20"/>
        </w:rPr>
        <w:t>environment and citizens alike.</w:t>
      </w:r>
      <w:r>
        <w:rPr>
          <w:rFonts w:cs="Times New Roman"/>
          <w:noProof/>
          <w:sz w:val="20"/>
          <w:vertAlign w:val="superscript"/>
        </w:rPr>
        <w:footnoteReference w:id="5"/>
      </w:r>
    </w:p>
    <w:p w:rsidR="006E58C2" w:rsidRDefault="005B3E0F">
      <w:pPr>
        <w:widowControl w:val="0"/>
        <w:spacing w:after="120" w:line="240" w:lineRule="auto"/>
        <w:jc w:val="both"/>
        <w:rPr>
          <w:rFonts w:cs="Times New Roman"/>
          <w:noProof/>
          <w:sz w:val="20"/>
        </w:rPr>
      </w:pPr>
      <w:r>
        <w:rPr>
          <w:rFonts w:cs="Times New Roman"/>
          <w:noProof/>
          <w:sz w:val="20"/>
        </w:rPr>
        <w:t>The Czech Republic is performing below the EU average in terms of resource productivity</w:t>
      </w:r>
      <w:r>
        <w:rPr>
          <w:rFonts w:cs="Times New Roman"/>
          <w:noProof/>
          <w:sz w:val="20"/>
          <w:vertAlign w:val="superscript"/>
        </w:rPr>
        <w:footnoteReference w:id="6"/>
      </w:r>
      <w:r>
        <w:rPr>
          <w:rFonts w:cs="Times New Roman"/>
          <w:noProof/>
          <w:sz w:val="20"/>
        </w:rPr>
        <w:t xml:space="preserve"> (how efficiently the economy uses material resources to produce wealth), with 1.0 EUR/kg (EU average is 2 EUR/kg) in 2015. Figure 1 sh</w:t>
      </w:r>
      <w:r>
        <w:rPr>
          <w:rFonts w:cs="Times New Roman"/>
          <w:noProof/>
          <w:sz w:val="20"/>
        </w:rPr>
        <w:t>ows a modest but stable increase since 2003, remaining stable since 2013.</w:t>
      </w:r>
      <w:r>
        <w:rPr>
          <w:rFonts w:cs="Times New Roman"/>
          <w:noProof/>
          <w:sz w:val="20"/>
          <w:vertAlign w:val="superscript"/>
        </w:rPr>
        <w:footnoteReference w:id="7"/>
      </w:r>
      <w:r>
        <w:rPr>
          <w:rFonts w:cs="Times New Roman"/>
          <w:noProof/>
          <w:sz w:val="20"/>
        </w:rPr>
        <w:t xml:space="preserve"> </w:t>
      </w:r>
    </w:p>
    <w:p w:rsidR="006E58C2" w:rsidRDefault="005B3E0F">
      <w:pPr>
        <w:widowControl w:val="0"/>
        <w:spacing w:after="120" w:line="240" w:lineRule="auto"/>
        <w:jc w:val="both"/>
        <w:rPr>
          <w:rFonts w:cs="Times New Roman"/>
          <w:noProof/>
          <w:sz w:val="20"/>
        </w:rPr>
      </w:pPr>
      <w:r>
        <w:rPr>
          <w:rFonts w:cs="Times New Roman"/>
          <w:noProof/>
          <w:sz w:val="20"/>
        </w:rPr>
        <w:t>To date, there is no national policy outlining a coherent approach towards eco-innovation and the circular economy</w:t>
      </w:r>
      <w:r>
        <w:rPr>
          <w:rFonts w:cs="Times New Roman"/>
          <w:noProof/>
          <w:sz w:val="20"/>
          <w:vertAlign w:val="superscript"/>
        </w:rPr>
        <w:footnoteReference w:id="8"/>
      </w:r>
      <w:r>
        <w:rPr>
          <w:rFonts w:cs="Times New Roman"/>
          <w:noProof/>
          <w:sz w:val="20"/>
        </w:rPr>
        <w:t>.</w:t>
      </w:r>
    </w:p>
    <w:p w:rsidR="006E58C2" w:rsidRDefault="005B3E0F">
      <w:pPr>
        <w:widowControl w:val="0"/>
        <w:spacing w:after="120" w:line="240" w:lineRule="auto"/>
        <w:jc w:val="both"/>
        <w:rPr>
          <w:rFonts w:cs="Times New Roman"/>
          <w:noProof/>
          <w:sz w:val="20"/>
        </w:rPr>
      </w:pPr>
      <w:r>
        <w:rPr>
          <w:rFonts w:cs="Times New Roman"/>
          <w:noProof/>
          <w:sz w:val="20"/>
        </w:rPr>
        <w:t>The new Waste Management Plan of the Czech Republic for the per</w:t>
      </w:r>
      <w:r>
        <w:rPr>
          <w:rFonts w:cs="Times New Roman"/>
          <w:noProof/>
          <w:sz w:val="20"/>
        </w:rPr>
        <w:t xml:space="preserve">iod 2015-2024 has proposed the transition to a circular economy as an objective. </w:t>
      </w:r>
    </w:p>
    <w:p w:rsidR="006E58C2" w:rsidRDefault="005B3E0F">
      <w:pPr>
        <w:widowControl w:val="0"/>
        <w:spacing w:after="120" w:line="240" w:lineRule="auto"/>
        <w:jc w:val="both"/>
        <w:rPr>
          <w:rFonts w:cs="Times New Roman"/>
          <w:noProof/>
          <w:sz w:val="20"/>
        </w:rPr>
      </w:pPr>
      <w:r>
        <w:rPr>
          <w:rFonts w:cs="Times New Roman"/>
          <w:noProof/>
          <w:sz w:val="20"/>
        </w:rPr>
        <w:t>There are some circular economy initiatives in the Czech Republic, but these are rather scarce</w:t>
      </w:r>
      <w:r>
        <w:rPr>
          <w:rFonts w:cs="Times New Roman"/>
          <w:noProof/>
          <w:sz w:val="20"/>
          <w:vertAlign w:val="superscript"/>
        </w:rPr>
        <w:footnoteReference w:id="9"/>
      </w:r>
      <w:r>
        <w:rPr>
          <w:rFonts w:cs="Times New Roman"/>
          <w:noProof/>
          <w:sz w:val="20"/>
        </w:rPr>
        <w:t xml:space="preserve">. </w:t>
      </w:r>
    </w:p>
    <w:p w:rsidR="006E58C2" w:rsidRDefault="006E58C2">
      <w:pPr>
        <w:widowControl w:val="0"/>
        <w:spacing w:after="120" w:line="240" w:lineRule="auto"/>
        <w:jc w:val="both"/>
        <w:rPr>
          <w:rFonts w:cs="Times New Roman"/>
          <w:noProof/>
          <w:sz w:val="20"/>
        </w:rPr>
      </w:pPr>
    </w:p>
    <w:p w:rsidR="006E58C2" w:rsidRDefault="005B3E0F">
      <w:pPr>
        <w:widowControl w:val="0"/>
        <w:spacing w:after="120" w:line="240" w:lineRule="auto"/>
        <w:jc w:val="both"/>
        <w:rPr>
          <w:rFonts w:ascii="Calibri" w:hAnsi="Calibri" w:cs="Times New Roman"/>
          <w:bCs/>
          <w:noProof/>
          <w:sz w:val="20"/>
        </w:rPr>
      </w:pPr>
      <w:r>
        <w:rPr>
          <w:rFonts w:cs="Times New Roman"/>
          <w:noProof/>
          <w:sz w:val="20"/>
        </w:rPr>
        <w:t>The main challenges the Czech Republic faces with respect to eco-innovation</w:t>
      </w:r>
      <w:r>
        <w:rPr>
          <w:rFonts w:cs="Times New Roman"/>
          <w:noProof/>
          <w:sz w:val="20"/>
        </w:rPr>
        <w:t xml:space="preserve"> and circular economy are related to the research and innovation system. The education and public research systems also need to be stepped up to address this challenge.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4909" w:type="dxa"/>
          </w:tcPr>
          <w:p w:rsidR="006E58C2" w:rsidRDefault="005B3E0F">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10"/>
            </w:r>
          </w:p>
        </w:tc>
      </w:tr>
      <w:tr w:rsidR="006E58C2">
        <w:tc>
          <w:tcPr>
            <w:tcW w:w="4909" w:type="dxa"/>
          </w:tcPr>
          <w:p w:rsidR="006E58C2" w:rsidRDefault="005B3E0F">
            <w:pPr>
              <w:widowControl w:val="0"/>
              <w:spacing w:after="120"/>
              <w:jc w:val="both"/>
              <w:rPr>
                <w:rFonts w:cs="Times New Roman"/>
                <w:noProof/>
                <w:sz w:val="20"/>
              </w:rPr>
            </w:pPr>
            <w:r>
              <w:rPr>
                <w:rFonts w:cs="Times New Roman"/>
                <w:noProof/>
                <w:sz w:val="20"/>
                <w:lang w:eastAsia="en-GB"/>
              </w:rPr>
              <w:drawing>
                <wp:inline distT="0" distB="0" distL="0" distR="0" wp14:anchorId="3B9A211C" wp14:editId="22F508DD">
                  <wp:extent cx="3084828" cy="20478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8343" cy="2050209"/>
                          </a:xfrm>
                          <a:prstGeom prst="rect">
                            <a:avLst/>
                          </a:prstGeom>
                          <a:noFill/>
                        </pic:spPr>
                      </pic:pic>
                    </a:graphicData>
                  </a:graphic>
                </wp:inline>
              </w:drawing>
            </w:r>
          </w:p>
        </w:tc>
      </w:tr>
    </w:tbl>
    <w:p w:rsidR="006E58C2" w:rsidRDefault="005B3E0F">
      <w:pPr>
        <w:widowControl w:val="0"/>
        <w:spacing w:after="120" w:line="240" w:lineRule="auto"/>
        <w:jc w:val="both"/>
        <w:rPr>
          <w:rFonts w:cs="Times New Roman"/>
          <w:noProof/>
          <w:sz w:val="20"/>
        </w:rPr>
      </w:pPr>
      <w:r>
        <w:rPr>
          <w:rFonts w:cs="Times New Roman"/>
          <w:noProof/>
          <w:sz w:val="20"/>
        </w:rPr>
        <w:t>Eco-innovation and circular economy develo</w:t>
      </w:r>
      <w:r>
        <w:rPr>
          <w:rFonts w:cs="Times New Roman"/>
          <w:noProof/>
          <w:sz w:val="20"/>
        </w:rPr>
        <w:t xml:space="preserve">pments in the Czech Republic are primarily focused on energy efficiency in buildings and infrastructure, sustainable transport, and several environmental topics – such as water efficiency and wastewater treatment, waste management (e.g. municipal and food </w:t>
      </w:r>
      <w:r>
        <w:rPr>
          <w:rFonts w:cs="Times New Roman"/>
          <w:noProof/>
          <w:sz w:val="20"/>
        </w:rPr>
        <w:t>waste) and resource efficiency (e.g. reuse and recycling of construction and demolition waste, and reduced resource consumption).  In recent years, there appears to have been rapid growth in innovation in bio- and nanotechnologies.</w:t>
      </w:r>
    </w:p>
    <w:p w:rsidR="006E58C2" w:rsidRDefault="005B3E0F">
      <w:pPr>
        <w:widowControl w:val="0"/>
        <w:spacing w:after="120" w:line="240" w:lineRule="auto"/>
        <w:jc w:val="both"/>
        <w:rPr>
          <w:rFonts w:cs="Times New Roman"/>
          <w:noProof/>
          <w:sz w:val="20"/>
        </w:rPr>
      </w:pPr>
      <w:r>
        <w:rPr>
          <w:rFonts w:cs="Times New Roman"/>
          <w:noProof/>
          <w:sz w:val="20"/>
        </w:rPr>
        <w:t>The Czech Republic emplo</w:t>
      </w:r>
      <w:r>
        <w:rPr>
          <w:rFonts w:cs="Times New Roman"/>
          <w:noProof/>
          <w:sz w:val="20"/>
        </w:rPr>
        <w:t>yed 96,381 people in the environmental goods and services sector in 2013 (96.875 in 2012).</w:t>
      </w:r>
    </w:p>
    <w:p w:rsidR="006E58C2" w:rsidRDefault="005B3E0F">
      <w:pPr>
        <w:pStyle w:val="Heading3"/>
        <w:rPr>
          <w:noProof/>
        </w:rPr>
      </w:pPr>
      <w:r>
        <w:rPr>
          <w:noProof/>
        </w:rPr>
        <w:t>SMEs and resource efficiency</w:t>
      </w:r>
    </w:p>
    <w:p w:rsidR="006E58C2" w:rsidRDefault="005B3E0F">
      <w:pPr>
        <w:widowControl w:val="0"/>
        <w:spacing w:after="120" w:line="240" w:lineRule="auto"/>
        <w:jc w:val="both"/>
        <w:rPr>
          <w:rFonts w:cs="Times New Roman"/>
          <w:noProof/>
          <w:color w:val="FF0000"/>
          <w:sz w:val="20"/>
        </w:rPr>
      </w:pPr>
      <w:r>
        <w:rPr>
          <w:rFonts w:cs="Times New Roman"/>
          <w:noProof/>
          <w:sz w:val="20"/>
        </w:rPr>
        <w:t>In the Flash 426 Eurobarometer "SMEs, resource efficiency and green markets" it is shown that 56% of Czech Republic's SMEs have invested</w:t>
      </w:r>
      <w:r>
        <w:rPr>
          <w:rFonts w:cs="Times New Roman"/>
          <w:noProof/>
          <w:sz w:val="20"/>
        </w:rPr>
        <w:t xml:space="preserve"> up to 5% of their annual turnover in their resource efficiency actions (EU28 </w:t>
      </w:r>
      <w:r>
        <w:rPr>
          <w:rFonts w:cs="Times New Roman"/>
          <w:noProof/>
          <w:sz w:val="20"/>
        </w:rPr>
        <w:lastRenderedPageBreak/>
        <w:t>average 50%), 22 % of them are currently offering green products and services (EU28 average 26%), 67% took measures to save energy (EU28 average 59%), 65% to minimise waste (EU28</w:t>
      </w:r>
      <w:r>
        <w:rPr>
          <w:rFonts w:cs="Times New Roman"/>
          <w:noProof/>
          <w:sz w:val="20"/>
        </w:rPr>
        <w:t xml:space="preserve"> average 60%), 46% to save water (EU28 average 44%), and 51% to save materials (EU28 average 54%). From a circular economy perspective, 42% took measures to recycle by reusing material or waste within the company (EU28 average 40%), 26% to design products </w:t>
      </w:r>
      <w:r>
        <w:rPr>
          <w:rFonts w:cs="Times New Roman"/>
          <w:noProof/>
          <w:sz w:val="20"/>
        </w:rPr>
        <w:t xml:space="preserve">that are easier to maintain, repair or reuse (EU28 average 22%) and 32% were able to sell their scrap material to another company (EU28 average 25%). </w:t>
      </w:r>
      <w:r>
        <w:rPr>
          <w:rFonts w:cs="Times New Roman"/>
          <w:noProof/>
          <w:color w:val="FF0000"/>
          <w:sz w:val="20"/>
        </w:rPr>
        <w:t xml:space="preserve"> </w:t>
      </w:r>
    </w:p>
    <w:p w:rsidR="006E58C2" w:rsidRDefault="005B3E0F">
      <w:pPr>
        <w:widowControl w:val="0"/>
        <w:spacing w:after="120" w:line="240" w:lineRule="auto"/>
        <w:jc w:val="both"/>
        <w:rPr>
          <w:rFonts w:cs="Times New Roman"/>
          <w:noProof/>
          <w:sz w:val="24"/>
          <w:szCs w:val="24"/>
          <w:lang w:eastAsia="en-GB"/>
        </w:rPr>
      </w:pPr>
      <w:r>
        <w:rPr>
          <w:rFonts w:cs="Times New Roman"/>
          <w:noProof/>
          <w:sz w:val="20"/>
        </w:rPr>
        <w:t xml:space="preserve">According to the Flash 426 Eurobarometer, the resource efficiency actions undertaken allowed the </w:t>
      </w:r>
      <w:r>
        <w:rPr>
          <w:rFonts w:cs="Times New Roman"/>
          <w:noProof/>
          <w:sz w:val="20"/>
        </w:rPr>
        <w:t xml:space="preserve">reduction of production costs in a 45% of the Czech Republic's SMEs (EU28 average 45%). The Flash 426 Eurobarometer "SMEs, resource efficiency and green markets" shows that 20% of the SMEs in Czech Republic have one or more full time employee working in a </w:t>
      </w:r>
      <w:r>
        <w:rPr>
          <w:rFonts w:cs="Times New Roman"/>
          <w:noProof/>
          <w:sz w:val="20"/>
        </w:rPr>
        <w:t>green job at least some of the time (EU28 average 35%). Czech Republic has an average number of 1.2 full time green employees per SME (EU28 average 1.7)</w:t>
      </w:r>
      <w:r>
        <w:rPr>
          <w:rFonts w:cs="Times New Roman"/>
          <w:noProof/>
          <w:sz w:val="20"/>
          <w:vertAlign w:val="superscript"/>
        </w:rPr>
        <w:footnoteReference w:id="11"/>
      </w:r>
      <w:r>
        <w:rPr>
          <w:rFonts w:cs="Times New Roman"/>
          <w:noProof/>
          <w:sz w:val="20"/>
        </w:rPr>
        <w:t xml:space="preserve"> </w:t>
      </w:r>
    </w:p>
    <w:p w:rsidR="006E58C2" w:rsidRDefault="005B3E0F">
      <w:pPr>
        <w:keepNext/>
        <w:keepLines/>
        <w:widowControl w:val="0"/>
        <w:spacing w:before="240" w:after="12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Eco-innovation</w:t>
      </w:r>
    </w:p>
    <w:p w:rsidR="006E58C2" w:rsidRDefault="005B3E0F">
      <w:pPr>
        <w:widowControl w:val="0"/>
        <w:spacing w:after="120" w:line="240" w:lineRule="auto"/>
        <w:jc w:val="both"/>
        <w:rPr>
          <w:rFonts w:cs="Times New Roman"/>
          <w:noProof/>
          <w:sz w:val="20"/>
        </w:rPr>
      </w:pPr>
      <w:r>
        <w:rPr>
          <w:rFonts w:cs="Times New Roman"/>
          <w:noProof/>
          <w:sz w:val="20"/>
        </w:rPr>
        <w:t>The scoreboard shows that the overall 2015 eco-innovation performance of the Czech Republic has improved compared to 2013, with an overall index score of 99 (compared to a score of 71 in 2013), ranking as 13th among the 28 EU Member States (compared to 17t</w:t>
      </w:r>
      <w:r>
        <w:rPr>
          <w:rFonts w:cs="Times New Roman"/>
          <w:noProof/>
          <w:sz w:val="20"/>
        </w:rPr>
        <w:t xml:space="preserve">h place in 2013). The significant improvement in ranking and the overall score could have been caused by a data source change and hence the results for these indicators are not fully comparable with the data for 2013. </w:t>
      </w:r>
    </w:p>
    <w:p w:rsidR="006E58C2" w:rsidRDefault="005B3E0F">
      <w:pPr>
        <w:widowControl w:val="0"/>
        <w:spacing w:after="120" w:line="240" w:lineRule="auto"/>
        <w:jc w:val="both"/>
        <w:rPr>
          <w:rFonts w:cs="Times New Roman"/>
          <w:noProof/>
          <w:sz w:val="20"/>
        </w:rPr>
      </w:pPr>
      <w:r>
        <w:rPr>
          <w:rFonts w:cs="Times New Roman"/>
          <w:noProof/>
          <w:sz w:val="20"/>
        </w:rPr>
        <w:t>Existing barriers in R&amp;D</w:t>
      </w:r>
      <w:r>
        <w:rPr>
          <w:rFonts w:cs="Times New Roman"/>
          <w:noProof/>
          <w:sz w:val="20"/>
          <w:vertAlign w:val="superscript"/>
        </w:rPr>
        <w:footnoteReference w:id="12"/>
      </w:r>
      <w:r>
        <w:rPr>
          <w:rFonts w:cs="Times New Roman"/>
          <w:noProof/>
          <w:sz w:val="20"/>
        </w:rPr>
        <w:t xml:space="preserve"> are relevan</w:t>
      </w:r>
      <w:r>
        <w:rPr>
          <w:rFonts w:cs="Times New Roman"/>
          <w:noProof/>
          <w:sz w:val="20"/>
        </w:rPr>
        <w:t>t also for eco-innovation sector. The examples can be summarised as follows:</w:t>
      </w:r>
    </w:p>
    <w:p w:rsidR="006E58C2" w:rsidRDefault="005B3E0F">
      <w:pPr>
        <w:widowControl w:val="0"/>
        <w:spacing w:after="120" w:line="240" w:lineRule="auto"/>
        <w:jc w:val="both"/>
        <w:rPr>
          <w:rFonts w:cs="Times New Roman"/>
          <w:noProof/>
          <w:sz w:val="20"/>
        </w:rPr>
      </w:pPr>
      <w:r>
        <w:rPr>
          <w:rFonts w:cs="Times New Roman"/>
          <w:noProof/>
          <w:sz w:val="20"/>
        </w:rPr>
        <w:t>Weak outcomes and results of Czech R&amp;D activities, limited cooperation between academia and business. R&amp;D policy and funding framework remains fragmented</w:t>
      </w:r>
    </w:p>
    <w:p w:rsidR="006E58C2" w:rsidRDefault="005B3E0F">
      <w:pPr>
        <w:widowControl w:val="0"/>
        <w:spacing w:after="120" w:line="240" w:lineRule="auto"/>
        <w:jc w:val="both"/>
        <w:rPr>
          <w:rFonts w:cs="Times New Roman"/>
          <w:noProof/>
          <w:sz w:val="20"/>
        </w:rPr>
      </w:pPr>
      <w:r>
        <w:rPr>
          <w:rFonts w:cs="Times New Roman"/>
          <w:noProof/>
          <w:sz w:val="20"/>
        </w:rPr>
        <w:t>High dependence of the Cz</w:t>
      </w:r>
      <w:r>
        <w:rPr>
          <w:rFonts w:cs="Times New Roman"/>
          <w:noProof/>
          <w:sz w:val="20"/>
        </w:rPr>
        <w:t xml:space="preserve">ech Republic’s economic development on the activities of foreign-owned companies that only use the Czech Republic as a manufacturing base </w:t>
      </w:r>
    </w:p>
    <w:p w:rsidR="006E58C2" w:rsidRDefault="005B3E0F">
      <w:pPr>
        <w:widowControl w:val="0"/>
        <w:spacing w:after="120" w:line="240" w:lineRule="auto"/>
        <w:jc w:val="both"/>
        <w:rPr>
          <w:rFonts w:cs="Times New Roman"/>
          <w:noProof/>
          <w:sz w:val="20"/>
        </w:rPr>
      </w:pPr>
      <w:r>
        <w:rPr>
          <w:rFonts w:cs="Times New Roman"/>
          <w:noProof/>
          <w:sz w:val="20"/>
        </w:rPr>
        <w:t>The instability of the regulatory framework and the administrative burden associated with complying with the regulato</w:t>
      </w:r>
      <w:r>
        <w:rPr>
          <w:rFonts w:cs="Times New Roman"/>
          <w:noProof/>
          <w:sz w:val="20"/>
        </w:rPr>
        <w:t xml:space="preserve">ry rules.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rsidRPr="005B3E0F">
        <w:tc>
          <w:tcPr>
            <w:tcW w:w="4909" w:type="dxa"/>
          </w:tcPr>
          <w:p w:rsidR="006E58C2" w:rsidRDefault="005B3E0F">
            <w:pPr>
              <w:widowControl w:val="0"/>
              <w:spacing w:after="120"/>
              <w:jc w:val="both"/>
              <w:rPr>
                <w:rFonts w:cs="Times New Roman"/>
                <w:noProof/>
                <w:color w:val="1F497D" w:themeColor="text2"/>
                <w:sz w:val="20"/>
                <w:lang w:val="it-IT"/>
              </w:rPr>
            </w:pPr>
            <w:r>
              <w:rPr>
                <w:b/>
                <w:noProof/>
                <w:color w:val="1F497D" w:themeColor="text2"/>
                <w:sz w:val="20"/>
                <w:lang w:val="it-IT"/>
              </w:rPr>
              <w:lastRenderedPageBreak/>
              <w:t>Figure 2: Eco-Innovation Index 2015 (EU=100)</w:t>
            </w:r>
            <w:r>
              <w:rPr>
                <w:b/>
                <w:noProof/>
                <w:color w:val="1F497D" w:themeColor="text2"/>
                <w:sz w:val="20"/>
                <w:vertAlign w:val="superscript"/>
                <w:lang w:val="it-IT"/>
              </w:rPr>
              <w:footnoteReference w:id="13"/>
            </w:r>
          </w:p>
        </w:tc>
      </w:tr>
      <w:tr w:rsidR="006E58C2">
        <w:tc>
          <w:tcPr>
            <w:tcW w:w="4909" w:type="dxa"/>
          </w:tcPr>
          <w:p w:rsidR="006E58C2" w:rsidRDefault="005B3E0F">
            <w:pPr>
              <w:widowControl w:val="0"/>
              <w:spacing w:after="120"/>
              <w:jc w:val="both"/>
              <w:rPr>
                <w:rFonts w:cs="Times New Roman"/>
                <w:noProof/>
                <w:sz w:val="20"/>
                <w:lang w:val="it-IT"/>
              </w:rPr>
            </w:pPr>
            <w:r>
              <w:rPr>
                <w:rFonts w:cs="Times New Roman"/>
                <w:noProof/>
                <w:sz w:val="20"/>
                <w:lang w:eastAsia="en-GB"/>
              </w:rPr>
              <w:drawing>
                <wp:inline distT="0" distB="0" distL="0" distR="0" wp14:anchorId="2D61CA06" wp14:editId="1B900373">
                  <wp:extent cx="2984122" cy="40671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5990" cy="4069721"/>
                          </a:xfrm>
                          <a:prstGeom prst="rect">
                            <a:avLst/>
                          </a:prstGeom>
                          <a:noFill/>
                        </pic:spPr>
                      </pic:pic>
                    </a:graphicData>
                  </a:graphic>
                </wp:inline>
              </w:drawing>
            </w:r>
          </w:p>
        </w:tc>
      </w:tr>
    </w:tbl>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E58C2" w:rsidRDefault="005B3E0F">
      <w:pPr>
        <w:pStyle w:val="NoSpacing"/>
        <w:rPr>
          <w:noProof/>
        </w:rPr>
      </w:pPr>
      <w:r>
        <w:rPr>
          <w:noProof/>
        </w:rPr>
        <w:t xml:space="preserve">Strengthen the policy framework to speed up the uptake of the circular economy providing further support to local businesses and increasing investments in the public research and education systems. </w:t>
      </w:r>
    </w:p>
    <w:p w:rsidR="006E58C2" w:rsidRDefault="005B3E0F">
      <w:pPr>
        <w:pStyle w:val="NoSpacing"/>
        <w:rPr>
          <w:noProof/>
        </w:rPr>
      </w:pPr>
      <w:r>
        <w:rPr>
          <w:noProof/>
        </w:rPr>
        <w:t>Incentivise investments in green products and services.</w:t>
      </w:r>
    </w:p>
    <w:p w:rsidR="006E58C2" w:rsidRDefault="005B3E0F">
      <w:pPr>
        <w:pStyle w:val="NoSpacing"/>
        <w:rPr>
          <w:noProof/>
        </w:rPr>
      </w:pPr>
      <w:r>
        <w:rPr>
          <w:noProof/>
        </w:rPr>
        <w:t>F</w:t>
      </w:r>
      <w:r>
        <w:rPr>
          <w:noProof/>
        </w:rPr>
        <w:t>oster R&amp;D funding among SMEs.</w:t>
      </w:r>
    </w:p>
    <w:p w:rsidR="006E58C2" w:rsidRDefault="005B3E0F">
      <w:pPr>
        <w:widowControl w:val="0"/>
        <w:spacing w:before="360" w:after="120" w:line="240" w:lineRule="auto"/>
        <w:outlineLvl w:val="1"/>
        <w:rPr>
          <w:rFonts w:cs="Times New Roman"/>
          <w:b/>
          <w:noProof/>
          <w:color w:val="1F497D" w:themeColor="text2"/>
          <w:sz w:val="24"/>
        </w:rPr>
      </w:pPr>
      <w:bookmarkStart w:id="18" w:name="_Toc433296157"/>
      <w:bookmarkStart w:id="19" w:name="_Toc456012022"/>
      <w:bookmarkStart w:id="20" w:name="_Toc469413342"/>
      <w:r>
        <w:rPr>
          <w:rFonts w:cs="Times New Roman"/>
          <w:b/>
          <w:noProof/>
          <w:color w:val="1F497D" w:themeColor="text2"/>
          <w:sz w:val="24"/>
        </w:rPr>
        <w:t>Waste management</w:t>
      </w:r>
      <w:bookmarkEnd w:id="18"/>
      <w:bookmarkEnd w:id="19"/>
      <w:bookmarkEnd w:id="20"/>
      <w:r>
        <w:rPr>
          <w:rFonts w:cs="Times New Roman"/>
          <w:b/>
          <w:noProof/>
          <w:color w:val="1F497D" w:themeColor="text2"/>
          <w:sz w:val="24"/>
        </w:rPr>
        <w:t xml:space="preserve"> </w:t>
      </w:r>
    </w:p>
    <w:p w:rsidR="006E58C2" w:rsidRDefault="005B3E0F">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6E58C2" w:rsidRDefault="005B3E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Full implementation of Union waste legislation, which includes the waste hierarchy; the need to ensure separate collection of waste; the landfill diversion targets etc.</w:t>
      </w:r>
    </w:p>
    <w:p w:rsidR="006E58C2" w:rsidRDefault="005B3E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6E58C2" w:rsidRDefault="005B3E0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recyclable or recoverable waste.</w:t>
      </w:r>
    </w:p>
    <w:p w:rsidR="006E58C2" w:rsidRDefault="005B3E0F">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SDG 12 invites countries to substantially reduce waste genera</w:t>
      </w:r>
      <w:r>
        <w:rPr>
          <w:noProof/>
          <w:color w:val="FFFFFF" w:themeColor="background1"/>
          <w:sz w:val="20"/>
        </w:rPr>
        <w:t xml:space="preserve">tion through prevention, reduction, recycling and reuse, by 2030. </w:t>
      </w:r>
    </w:p>
    <w:p w:rsidR="006E58C2" w:rsidRDefault="005B3E0F">
      <w:pPr>
        <w:widowControl w:val="0"/>
        <w:spacing w:before="240" w:after="120" w:line="240" w:lineRule="auto"/>
        <w:jc w:val="both"/>
        <w:rPr>
          <w:rFonts w:cs="Times New Roman"/>
          <w:noProof/>
          <w:sz w:val="20"/>
        </w:rPr>
      </w:pPr>
      <w:r>
        <w:rPr>
          <w:rFonts w:cs="Times New Roman"/>
          <w:noProof/>
          <w:sz w:val="20"/>
        </w:rPr>
        <w:t xml:space="preserve">The EU's approach to waste management is based on the "waste hierarchy" which sets out an order of priority </w:t>
      </w:r>
      <w:r>
        <w:rPr>
          <w:rFonts w:cs="Times New Roman"/>
          <w:noProof/>
          <w:sz w:val="20"/>
        </w:rPr>
        <w:lastRenderedPageBreak/>
        <w:t>when shaping waste policy and managing waste at the operational level: prevention</w:t>
      </w:r>
      <w:r>
        <w:rPr>
          <w:rFonts w:cs="Times New Roman"/>
          <w:noProof/>
          <w:sz w:val="20"/>
        </w:rPr>
        <w:t>, (preparing for) reuse, recycling, recovery and, as the least preferred option, disposal (which includes landfilling and incineration without energy recovery). The progress towards reaching recycling targets and the adoption of adequate WMP/WPP</w:t>
      </w:r>
      <w:r>
        <w:rPr>
          <w:rFonts w:cs="Times New Roman"/>
          <w:noProof/>
          <w:sz w:val="20"/>
          <w:vertAlign w:val="superscript"/>
        </w:rPr>
        <w:footnoteReference w:id="14"/>
      </w:r>
      <w:r>
        <w:rPr>
          <w:rFonts w:cs="Times New Roman"/>
          <w:noProof/>
          <w:sz w:val="20"/>
        </w:rPr>
        <w:t xml:space="preserve"> should be</w:t>
      </w:r>
      <w:r>
        <w:rPr>
          <w:rFonts w:cs="Times New Roman"/>
          <w:noProof/>
          <w:sz w:val="20"/>
        </w:rPr>
        <w:t xml:space="preserve"> the key items to measure the performance of Member States. This section focuses on management of municipal waste for which EU law sets mandatory recycling targets.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4909" w:type="dxa"/>
          </w:tcPr>
          <w:p w:rsidR="006E58C2" w:rsidRDefault="005B3E0F">
            <w:pPr>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Czech Republic 2007-14</w:t>
            </w:r>
            <w:r>
              <w:rPr>
                <w:b/>
                <w:bCs/>
                <w:noProof/>
                <w:color w:val="1F497D" w:themeColor="text2"/>
                <w:sz w:val="20"/>
                <w:vertAlign w:val="superscript"/>
              </w:rPr>
              <w:footnoteReference w:id="15"/>
            </w:r>
          </w:p>
        </w:tc>
      </w:tr>
      <w:tr w:rsidR="006E58C2">
        <w:tc>
          <w:tcPr>
            <w:tcW w:w="4909" w:type="dxa"/>
          </w:tcPr>
          <w:p w:rsidR="006E58C2" w:rsidRDefault="005B3E0F">
            <w:pPr>
              <w:widowControl w:val="0"/>
              <w:spacing w:after="120"/>
              <w:jc w:val="both"/>
              <w:rPr>
                <w:rFonts w:cs="Times New Roman"/>
                <w:noProof/>
                <w:sz w:val="20"/>
              </w:rPr>
            </w:pPr>
            <w:r>
              <w:rPr>
                <w:rFonts w:cs="Times New Roman"/>
                <w:noProof/>
                <w:sz w:val="20"/>
                <w:lang w:eastAsia="en-GB"/>
              </w:rPr>
              <w:drawing>
                <wp:inline distT="0" distB="0" distL="0" distR="0" wp14:anchorId="7EE12040" wp14:editId="1D9F3069">
                  <wp:extent cx="2935455" cy="2609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35455" cy="2609850"/>
                          </a:xfrm>
                          <a:prstGeom prst="rect">
                            <a:avLst/>
                          </a:prstGeom>
                        </pic:spPr>
                      </pic:pic>
                    </a:graphicData>
                  </a:graphic>
                </wp:inline>
              </w:drawing>
            </w:r>
          </w:p>
        </w:tc>
      </w:tr>
    </w:tbl>
    <w:p w:rsidR="006E58C2" w:rsidRDefault="005B3E0F">
      <w:pPr>
        <w:widowControl w:val="0"/>
        <w:spacing w:after="120" w:line="240" w:lineRule="auto"/>
        <w:jc w:val="both"/>
        <w:rPr>
          <w:rFonts w:eastAsia="Calibri" w:cs="Times New Roman"/>
          <w:noProof/>
          <w:sz w:val="20"/>
        </w:rPr>
      </w:pPr>
      <w:r>
        <w:rPr>
          <w:rFonts w:cs="Times New Roman"/>
          <w:noProof/>
          <w:sz w:val="20"/>
        </w:rPr>
        <w:t>Municipal waste</w:t>
      </w:r>
      <w:r>
        <w:rPr>
          <w:rFonts w:eastAsia="Calibri" w:cs="Times New Roman"/>
          <w:noProof/>
          <w:sz w:val="20"/>
          <w:vertAlign w:val="superscript"/>
        </w:rPr>
        <w:footnoteReference w:id="16"/>
      </w:r>
      <w:r>
        <w:rPr>
          <w:rFonts w:cs="Times New Roman"/>
          <w:noProof/>
          <w:sz w:val="20"/>
        </w:rPr>
        <w:t xml:space="preserve"> generation in Czech Republic remains much lower compared to the EU average (310 kg/y/inhabitant compared to around 475 kg/y/inhabitant on average).</w:t>
      </w:r>
      <w:r>
        <w:rPr>
          <w:rFonts w:cs="Times New Roman"/>
          <w:noProof/>
          <w:sz w:val="20"/>
          <w:vertAlign w:val="superscript"/>
        </w:rPr>
        <w:footnoteReference w:id="17"/>
      </w:r>
      <w:r>
        <w:rPr>
          <w:rFonts w:eastAsia="Calibri" w:cs="Times New Roman"/>
          <w:noProof/>
          <w:sz w:val="20"/>
        </w:rPr>
        <w:t xml:space="preserve"> </w:t>
      </w:r>
    </w:p>
    <w:p w:rsidR="006E58C2" w:rsidRDefault="005B3E0F">
      <w:pPr>
        <w:widowControl w:val="0"/>
        <w:spacing w:after="120" w:line="240" w:lineRule="auto"/>
        <w:jc w:val="both"/>
        <w:rPr>
          <w:rFonts w:eastAsia="Calibri" w:cs="Times New Roman"/>
          <w:noProof/>
          <w:sz w:val="20"/>
        </w:rPr>
      </w:pPr>
      <w:r>
        <w:rPr>
          <w:rFonts w:eastAsia="Calibri" w:cs="Times New Roman"/>
          <w:noProof/>
          <w:sz w:val="20"/>
        </w:rPr>
        <w:t>Figure 3 depicts the municipal waste by treatment in Czech Republic in terms of kg per capita, which show</w:t>
      </w:r>
      <w:r>
        <w:rPr>
          <w:rFonts w:eastAsia="Calibri" w:cs="Times New Roman"/>
          <w:noProof/>
          <w:sz w:val="20"/>
        </w:rPr>
        <w:t>s a slightly increase of the recycling rates compared to 2013.</w:t>
      </w:r>
    </w:p>
    <w:p w:rsidR="006E58C2" w:rsidRDefault="005B3E0F">
      <w:pPr>
        <w:widowControl w:val="0"/>
        <w:spacing w:after="120" w:line="240" w:lineRule="auto"/>
        <w:jc w:val="both"/>
        <w:rPr>
          <w:rFonts w:eastAsia="Calibri" w:cs="Times New Roman"/>
          <w:noProof/>
          <w:sz w:val="20"/>
        </w:rPr>
      </w:pPr>
      <w:r>
        <w:rPr>
          <w:rFonts w:eastAsia="Calibri" w:cs="Times New Roman"/>
          <w:noProof/>
          <w:sz w:val="20"/>
        </w:rPr>
        <w:t>Recycling of municipal waste accounts for 25% being below the EU average (44%) as shown in Figure 4. Figure 4 also shows that Czech Republic, while having a steady increase in recycling rate, m</w:t>
      </w:r>
      <w:r>
        <w:rPr>
          <w:rFonts w:eastAsia="Calibri" w:cs="Times New Roman"/>
          <w:noProof/>
          <w:sz w:val="20"/>
        </w:rPr>
        <w:t>ust invest further in recycling in the next coming years in order to reach the 2020 recycling target.</w:t>
      </w:r>
      <w:r>
        <w:rPr>
          <w:rFonts w:eastAsia="Calibri" w:cs="Times New Roman"/>
          <w:noProof/>
          <w:sz w:val="20"/>
          <w:vertAlign w:val="superscript"/>
        </w:rPr>
        <w:footnoteReference w:id="18"/>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4909" w:type="dxa"/>
          </w:tcPr>
          <w:p w:rsidR="006E58C2" w:rsidRDefault="005B3E0F">
            <w:pPr>
              <w:widowControl w:val="0"/>
              <w:spacing w:after="120"/>
              <w:jc w:val="both"/>
              <w:rPr>
                <w:rFonts w:cs="Times New Roman"/>
                <w:noProof/>
                <w:color w:val="1F497D" w:themeColor="text2"/>
                <w:sz w:val="20"/>
              </w:rPr>
            </w:pPr>
            <w:r>
              <w:rPr>
                <w:rFonts w:cs="Times New Roman"/>
                <w:b/>
                <w:bCs/>
                <w:noProof/>
                <w:color w:val="1F497D" w:themeColor="text2"/>
                <w:sz w:val="20"/>
              </w:rPr>
              <w:lastRenderedPageBreak/>
              <w:t>Figure 4: Recycling rate of municipal waste 2007-14</w:t>
            </w:r>
            <w:r>
              <w:rPr>
                <w:b/>
                <w:bCs/>
                <w:noProof/>
                <w:color w:val="1F497D" w:themeColor="text2"/>
                <w:sz w:val="20"/>
                <w:vertAlign w:val="superscript"/>
              </w:rPr>
              <w:footnoteReference w:id="19"/>
            </w:r>
          </w:p>
        </w:tc>
      </w:tr>
      <w:tr w:rsidR="006E58C2">
        <w:tc>
          <w:tcPr>
            <w:tcW w:w="4909" w:type="dxa"/>
          </w:tcPr>
          <w:p w:rsidR="006E58C2" w:rsidRDefault="005B3E0F">
            <w:pPr>
              <w:widowControl w:val="0"/>
              <w:spacing w:after="120"/>
              <w:jc w:val="both"/>
              <w:rPr>
                <w:rFonts w:cs="Times New Roman"/>
                <w:noProof/>
                <w:sz w:val="20"/>
              </w:rPr>
            </w:pPr>
            <w:r>
              <w:rPr>
                <w:rFonts w:cs="Times New Roman"/>
                <w:noProof/>
                <w:sz w:val="20"/>
                <w:lang w:eastAsia="en-GB"/>
              </w:rPr>
              <w:drawing>
                <wp:inline distT="0" distB="0" distL="0" distR="0" wp14:anchorId="7F10FB0A" wp14:editId="497BB91A">
                  <wp:extent cx="2927126" cy="26289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9348" cy="2630895"/>
                          </a:xfrm>
                          <a:prstGeom prst="rect">
                            <a:avLst/>
                          </a:prstGeom>
                          <a:noFill/>
                        </pic:spPr>
                      </pic:pic>
                    </a:graphicData>
                  </a:graphic>
                </wp:inline>
              </w:drawing>
            </w:r>
          </w:p>
        </w:tc>
      </w:tr>
    </w:tbl>
    <w:p w:rsidR="006E58C2" w:rsidRDefault="005B3E0F">
      <w:pPr>
        <w:widowControl w:val="0"/>
        <w:spacing w:after="120" w:line="240" w:lineRule="auto"/>
        <w:jc w:val="both"/>
        <w:rPr>
          <w:rFonts w:cs="Times New Roman"/>
          <w:noProof/>
          <w:sz w:val="20"/>
        </w:rPr>
      </w:pPr>
      <w:r>
        <w:rPr>
          <w:rFonts w:cs="Times New Roman"/>
          <w:noProof/>
          <w:sz w:val="20"/>
        </w:rPr>
        <w:t xml:space="preserve">The main treatment option for municipal waste is still landfilling. It accounts for 56% and it </w:t>
      </w:r>
      <w:r>
        <w:rPr>
          <w:rFonts w:cs="Times New Roman"/>
          <w:noProof/>
          <w:sz w:val="20"/>
        </w:rPr>
        <w:t>is above the EU average of 28%.</w:t>
      </w:r>
    </w:p>
    <w:p w:rsidR="006E58C2" w:rsidRDefault="005B3E0F">
      <w:pPr>
        <w:widowControl w:val="0"/>
        <w:spacing w:after="120" w:line="240" w:lineRule="auto"/>
        <w:jc w:val="both"/>
        <w:rPr>
          <w:rFonts w:eastAsia="Calibri" w:cs="Times New Roman"/>
          <w:noProof/>
          <w:sz w:val="20"/>
        </w:rPr>
      </w:pPr>
      <w:r>
        <w:rPr>
          <w:rFonts w:eastAsia="Calibri" w:cs="Times New Roman"/>
          <w:noProof/>
          <w:sz w:val="20"/>
        </w:rPr>
        <w:t>Currently, a number of flaws in waste management policy make it difficult for Czech Republic to comply with EU targets: a high share of biodegradable waste goes to landfills. Waste treatment is not fully in line with the was</w:t>
      </w:r>
      <w:r>
        <w:rPr>
          <w:rFonts w:eastAsia="Calibri" w:cs="Times New Roman"/>
          <w:noProof/>
          <w:sz w:val="20"/>
        </w:rPr>
        <w:t xml:space="preserve">te hierarchy, there is a non-harmonised national waste data base and insufficient reporting structures. </w:t>
      </w:r>
    </w:p>
    <w:p w:rsidR="006E58C2" w:rsidRDefault="005B3E0F">
      <w:pPr>
        <w:widowControl w:val="0"/>
        <w:spacing w:before="120" w:after="120" w:line="240" w:lineRule="auto"/>
        <w:jc w:val="both"/>
        <w:rPr>
          <w:rFonts w:cs="Times New Roman"/>
          <w:noProof/>
          <w:sz w:val="20"/>
        </w:rPr>
      </w:pPr>
      <w:r>
        <w:rPr>
          <w:rFonts w:eastAsia="Calibri" w:cs="Times New Roman"/>
          <w:noProof/>
          <w:sz w:val="20"/>
        </w:rPr>
        <w:t>In order to help bridge the implementation gap in Czech Republic, the Commission has delivered a roadmap for compliance in which economic instruments p</w:t>
      </w:r>
      <w:r>
        <w:rPr>
          <w:rFonts w:eastAsia="Calibri" w:cs="Times New Roman"/>
          <w:noProof/>
          <w:sz w:val="20"/>
        </w:rPr>
        <w:t>lay a crucial role.</w:t>
      </w:r>
      <w:r>
        <w:rPr>
          <w:rFonts w:eastAsia="Calibri" w:cs="Times New Roman"/>
          <w:noProof/>
          <w:sz w:val="20"/>
          <w:vertAlign w:val="superscript"/>
        </w:rPr>
        <w:footnoteReference w:id="20"/>
      </w:r>
      <w:r>
        <w:rPr>
          <w:rFonts w:eastAsia="Calibri" w:cs="Times New Roman"/>
          <w:noProof/>
          <w:sz w:val="20"/>
        </w:rPr>
        <w:t xml:space="preserve"> The Czech Republic adopted the revision of the Waste Act mandating separate collection of biodegradable waste in all municipalities since 2015, and announcing a ban on landfilling of recyclable, recoverable and mixed municipal waste si</w:t>
      </w:r>
      <w:r>
        <w:rPr>
          <w:rFonts w:eastAsia="Calibri" w:cs="Times New Roman"/>
          <w:noProof/>
          <w:sz w:val="20"/>
        </w:rPr>
        <w:t>nce 2024</w:t>
      </w:r>
      <w:r>
        <w:rPr>
          <w:rFonts w:eastAsia="Calibri" w:cs="Times New Roman"/>
          <w:noProof/>
          <w:sz w:val="20"/>
          <w:vertAlign w:val="superscript"/>
        </w:rPr>
        <w:footnoteReference w:id="21"/>
      </w:r>
      <w:r>
        <w:rPr>
          <w:rFonts w:eastAsia="Calibri" w:cs="Times New Roman"/>
          <w:noProof/>
          <w:sz w:val="20"/>
        </w:rPr>
        <w:t>. These</w:t>
      </w:r>
      <w:r>
        <w:rPr>
          <w:rFonts w:cs="Times New Roman"/>
          <w:noProof/>
          <w:sz w:val="20"/>
        </w:rPr>
        <w:t xml:space="preserve"> </w:t>
      </w:r>
      <w:r>
        <w:rPr>
          <w:rFonts w:eastAsia="Calibri" w:cs="Times New Roman"/>
          <w:noProof/>
          <w:sz w:val="20"/>
        </w:rPr>
        <w:t>changes in the Waste Act lead explicitly to divert waste from landfills towards treatments higher in the waste hierarchy.</w:t>
      </w:r>
    </w:p>
    <w:p w:rsidR="006E58C2" w:rsidRDefault="005B3E0F">
      <w:pPr>
        <w:widowControl w:val="0"/>
        <w:tabs>
          <w:tab w:val="num" w:pos="2160"/>
        </w:tabs>
        <w:spacing w:after="120" w:line="240" w:lineRule="auto"/>
        <w:jc w:val="both"/>
        <w:rPr>
          <w:rFonts w:cs="Times New Roman"/>
          <w:noProof/>
          <w:sz w:val="20"/>
        </w:rPr>
      </w:pPr>
      <w:r>
        <w:rPr>
          <w:rFonts w:cs="Times New Roman"/>
          <w:noProof/>
          <w:sz w:val="20"/>
        </w:rPr>
        <w:t>However, an objective assessment of the performance of Czech Republic in the area of municipal waste management is ha</w:t>
      </w:r>
      <w:r>
        <w:rPr>
          <w:rFonts w:cs="Times New Roman"/>
          <w:noProof/>
          <w:sz w:val="20"/>
        </w:rPr>
        <w:t xml:space="preserve">mpered by large discrepancies between the Ministry of Environment data used e.g. in the national WMP and the official waste statistics of the Czech Statistical Office, while only the latter was validated by Eurostat. </w:t>
      </w:r>
    </w:p>
    <w:p w:rsidR="006E58C2" w:rsidRDefault="005B3E0F">
      <w:pPr>
        <w:widowControl w:val="0"/>
        <w:tabs>
          <w:tab w:val="num" w:pos="2160"/>
        </w:tabs>
        <w:spacing w:after="120" w:line="240" w:lineRule="auto"/>
        <w:jc w:val="both"/>
        <w:rPr>
          <w:rFonts w:eastAsia="Calibri" w:cs="Times New Roman"/>
          <w:noProof/>
          <w:sz w:val="20"/>
          <w:szCs w:val="20"/>
        </w:rPr>
      </w:pPr>
      <w:r>
        <w:rPr>
          <w:rFonts w:cs="Times New Roman"/>
          <w:noProof/>
          <w:sz w:val="20"/>
        </w:rPr>
        <w:t xml:space="preserve">The </w:t>
      </w:r>
      <w:r>
        <w:rPr>
          <w:rFonts w:cs="Times New Roman"/>
          <w:noProof/>
          <w:sz w:val="20"/>
          <w:szCs w:val="20"/>
        </w:rPr>
        <w:t>discrepancies are quite relevant i</w:t>
      </w:r>
      <w:r>
        <w:rPr>
          <w:rFonts w:cs="Times New Roman"/>
          <w:noProof/>
          <w:sz w:val="20"/>
          <w:szCs w:val="20"/>
        </w:rPr>
        <w:t>n magnitude and lead to different projections. The most visible aspect is, that</w:t>
      </w:r>
      <w:r>
        <w:rPr>
          <w:rFonts w:eastAsia="Calibri" w:cs="Times New Roman"/>
          <w:noProof/>
          <w:sz w:val="20"/>
          <w:szCs w:val="20"/>
        </w:rPr>
        <w:t xml:space="preserve"> according to the new Waste management plan, </w:t>
      </w:r>
      <w:r>
        <w:rPr>
          <w:rFonts w:eastAsia="Calibri" w:cs="Times New Roman"/>
          <w:noProof/>
          <w:sz w:val="20"/>
          <w:szCs w:val="20"/>
        </w:rPr>
        <w:lastRenderedPageBreak/>
        <w:t>additional waste to energy capacity is foreseen (of 18% in 2020 and 28% in 2024) claiming that only 11% of waste is incinerated when</w:t>
      </w:r>
      <w:r>
        <w:rPr>
          <w:rFonts w:eastAsia="Calibri" w:cs="Times New Roman"/>
          <w:noProof/>
          <w:sz w:val="20"/>
          <w:szCs w:val="20"/>
        </w:rPr>
        <w:t>, according to Eurostat, almost 20% of the municipal waste was incinerated in 2014.</w:t>
      </w:r>
      <w:r>
        <w:rPr>
          <w:rFonts w:eastAsia="Calibri" w:cs="Times New Roman"/>
          <w:noProof/>
          <w:sz w:val="20"/>
          <w:szCs w:val="20"/>
          <w:vertAlign w:val="superscript"/>
        </w:rPr>
        <w:footnoteReference w:id="22"/>
      </w:r>
      <w:r>
        <w:rPr>
          <w:rFonts w:eastAsia="Calibri" w:cs="Times New Roman"/>
          <w:noProof/>
          <w:sz w:val="20"/>
          <w:szCs w:val="20"/>
        </w:rPr>
        <w:t xml:space="preserve"> </w:t>
      </w:r>
    </w:p>
    <w:p w:rsidR="006E58C2" w:rsidRDefault="005B3E0F">
      <w:pPr>
        <w:widowControl w:val="0"/>
        <w:spacing w:after="120" w:line="240" w:lineRule="auto"/>
        <w:jc w:val="both"/>
        <w:rPr>
          <w:rFonts w:eastAsia="Calibri" w:cs="Times New Roman"/>
          <w:noProof/>
          <w:sz w:val="20"/>
          <w:szCs w:val="20"/>
        </w:rPr>
      </w:pPr>
      <w:r>
        <w:rPr>
          <w:rFonts w:eastAsia="Calibri" w:cs="Times New Roman"/>
          <w:noProof/>
          <w:sz w:val="20"/>
          <w:szCs w:val="20"/>
        </w:rPr>
        <w:t xml:space="preserve">In August 2016, the Ministry of Environment and the Czech Statistical Office agreed to reduce discrepancies between data of both institutions on municipal waste </w:t>
      </w:r>
      <w:r>
        <w:rPr>
          <w:rFonts w:eastAsia="Calibri" w:cs="Times New Roman"/>
          <w:noProof/>
          <w:sz w:val="20"/>
          <w:szCs w:val="20"/>
        </w:rPr>
        <w:t>generation. The agreement includes short-term and long-term objectives needed for a full consolidation of data. Its implementation is still outstanding.</w:t>
      </w:r>
    </w:p>
    <w:p w:rsidR="006E58C2" w:rsidRDefault="005B3E0F">
      <w:pPr>
        <w:widowControl w:val="0"/>
        <w:spacing w:after="120" w:line="240" w:lineRule="auto"/>
        <w:jc w:val="both"/>
        <w:rPr>
          <w:rFonts w:cs="Times New Roman"/>
          <w:noProof/>
          <w:sz w:val="20"/>
        </w:rPr>
      </w:pPr>
      <w:r>
        <w:rPr>
          <w:rFonts w:eastAsia="Calibri" w:cs="Times New Roman"/>
          <w:noProof/>
          <w:sz w:val="20"/>
          <w:szCs w:val="20"/>
        </w:rPr>
        <w:t>The National Waste Management Plan 2015-2024 was adopted on 22 December 2014 by the Czech Government (t</w:t>
      </w:r>
      <w:r>
        <w:rPr>
          <w:rFonts w:eastAsia="Calibri" w:cs="Times New Roman"/>
          <w:noProof/>
          <w:sz w:val="20"/>
          <w:szCs w:val="20"/>
        </w:rPr>
        <w:t xml:space="preserve">ogether with the National Waste Prevention Programme). The Regional Waste Management Plans were adopted by June 2016. </w:t>
      </w:r>
      <w:r>
        <w:rPr>
          <w:rFonts w:cs="Times New Roman"/>
          <w:noProof/>
          <w:sz w:val="20"/>
        </w:rPr>
        <w:t xml:space="preserve"> The plans include policy measures which should help the Czech Republic achieve its recycling targets; there are however concerns as regar</w:t>
      </w:r>
      <w:r>
        <w:rPr>
          <w:rFonts w:cs="Times New Roman"/>
          <w:noProof/>
          <w:sz w:val="20"/>
        </w:rPr>
        <w:t>ds planned capacity for residual waste treatment, namely waste to energy. The issue is directly linked with the problem of data escribed above.</w:t>
      </w:r>
    </w:p>
    <w:p w:rsidR="006E58C2" w:rsidRDefault="005B3E0F">
      <w:pPr>
        <w:widowControl w:val="0"/>
        <w:spacing w:after="120" w:line="240" w:lineRule="auto"/>
        <w:jc w:val="both"/>
        <w:rPr>
          <w:rFonts w:eastAsia="Calibri" w:cs="Times New Roman"/>
          <w:noProof/>
          <w:sz w:val="20"/>
          <w:szCs w:val="20"/>
        </w:rPr>
      </w:pPr>
      <w:r>
        <w:rPr>
          <w:rFonts w:cs="Times New Roman"/>
          <w:noProof/>
          <w:sz w:val="20"/>
        </w:rPr>
        <w:t>The Czech Republic has a well-functioning EPR scheme for packaging</w:t>
      </w:r>
      <w:r>
        <w:rPr>
          <w:rFonts w:cs="Times New Roman"/>
          <w:noProof/>
          <w:sz w:val="20"/>
          <w:vertAlign w:val="superscript"/>
        </w:rPr>
        <w:footnoteReference w:id="23"/>
      </w:r>
      <w:r>
        <w:rPr>
          <w:rFonts w:cs="Times New Roman"/>
          <w:noProof/>
          <w:sz w:val="20"/>
        </w:rPr>
        <w:t xml:space="preserve"> and overachieves the relevant packaging targ</w:t>
      </w:r>
      <w:r>
        <w:rPr>
          <w:rFonts w:cs="Times New Roman"/>
          <w:noProof/>
          <w:sz w:val="20"/>
        </w:rPr>
        <w:t>ets.</w:t>
      </w:r>
    </w:p>
    <w:p w:rsidR="006E58C2" w:rsidRDefault="005B3E0F">
      <w:pPr>
        <w:widowControl w:val="0"/>
        <w:spacing w:after="120" w:line="240" w:lineRule="auto"/>
        <w:jc w:val="both"/>
        <w:rPr>
          <w:rFonts w:eastAsia="Calibri" w:cs="Times New Roman"/>
          <w:noProof/>
          <w:sz w:val="20"/>
          <w:szCs w:val="20"/>
        </w:rPr>
      </w:pPr>
      <w:r>
        <w:rPr>
          <w:rFonts w:eastAsia="Calibri" w:cs="Times New Roman"/>
          <w:noProof/>
          <w:sz w:val="20"/>
          <w:szCs w:val="20"/>
        </w:rPr>
        <w:t>Estimates show that full implementation of the existing legislation could create more than 8,800 jobs in Czech Republic and increase the annual turnover of the waste sector by EUR 930 million. Moving towards the targets of the roadmap on resource effi</w:t>
      </w:r>
      <w:r>
        <w:rPr>
          <w:rFonts w:eastAsia="Calibri" w:cs="Times New Roman"/>
          <w:noProof/>
          <w:sz w:val="20"/>
          <w:szCs w:val="20"/>
        </w:rPr>
        <w:t>ciency could create additional 10,788 jobs and increase the annual turnover of the waste sector over EUR 1.1 billion.</w:t>
      </w:r>
      <w:r>
        <w:rPr>
          <w:rFonts w:eastAsia="Calibri" w:cs="Times New Roman"/>
          <w:noProof/>
          <w:sz w:val="20"/>
          <w:szCs w:val="20"/>
          <w:vertAlign w:val="superscript"/>
        </w:rPr>
        <w:footnoteReference w:id="24"/>
      </w:r>
    </w:p>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E58C2" w:rsidRDefault="005B3E0F">
      <w:pPr>
        <w:pStyle w:val="NoSpacing"/>
        <w:rPr>
          <w:noProof/>
        </w:rPr>
      </w:pPr>
      <w:r>
        <w:rPr>
          <w:noProof/>
        </w:rPr>
        <w:t>Increase progressively the existing landfill tax</w:t>
      </w:r>
      <w:r>
        <w:rPr>
          <w:noProof/>
          <w:vertAlign w:val="superscript"/>
        </w:rPr>
        <w:footnoteReference w:id="25"/>
      </w:r>
      <w:r>
        <w:rPr>
          <w:noProof/>
        </w:rPr>
        <w:t xml:space="preserve"> to divert waste from landfill. Use the revenues to support the separat</w:t>
      </w:r>
      <w:r>
        <w:rPr>
          <w:noProof/>
        </w:rPr>
        <w:t xml:space="preserve">e collection and alternative infrastructure in conjunction with a better allocation of the cohesion policy funds to the first steps of waste hierarchy. </w:t>
      </w:r>
    </w:p>
    <w:p w:rsidR="006E58C2" w:rsidRDefault="005B3E0F">
      <w:pPr>
        <w:pStyle w:val="NoSpacing"/>
        <w:rPr>
          <w:noProof/>
        </w:rPr>
      </w:pPr>
      <w:r>
        <w:rPr>
          <w:noProof/>
        </w:rPr>
        <w:t>Focus on improving the effectiveness of separate collection to increase recycling rates.</w:t>
      </w:r>
    </w:p>
    <w:p w:rsidR="006E58C2" w:rsidRDefault="005B3E0F">
      <w:pPr>
        <w:pStyle w:val="NoSpacing"/>
        <w:rPr>
          <w:noProof/>
        </w:rPr>
      </w:pPr>
      <w:r>
        <w:rPr>
          <w:noProof/>
        </w:rPr>
        <w:t>Shift reusable</w:t>
      </w:r>
      <w:r>
        <w:rPr>
          <w:noProof/>
        </w:rPr>
        <w:t xml:space="preserve"> and recyclable waste away from incineration by introducing incineration taxes. Avoid building overcapacities for residual waste treatment.</w:t>
      </w:r>
    </w:p>
    <w:p w:rsidR="006E58C2" w:rsidRDefault="005B3E0F">
      <w:pPr>
        <w:pStyle w:val="NoSpacing"/>
        <w:rPr>
          <w:noProof/>
        </w:rPr>
        <w:sectPr w:rsidR="006E58C2">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40" w:right="1080" w:bottom="1440" w:left="1080" w:header="708" w:footer="708" w:gutter="0"/>
          <w:cols w:num="2" w:space="360"/>
          <w:docGrid w:linePitch="360"/>
        </w:sectPr>
      </w:pPr>
      <w:r>
        <w:rPr>
          <w:noProof/>
        </w:rPr>
        <w:t>It is imperative that the Czech Republic uses waste statistics that are compatible with the Eurostat Guidelines.</w:t>
      </w:r>
    </w:p>
    <w:p w:rsidR="006E58C2" w:rsidRDefault="005B3E0F">
      <w:pPr>
        <w:keepNext/>
        <w:widowControl w:val="0"/>
        <w:numPr>
          <w:ilvl w:val="0"/>
          <w:numId w:val="27"/>
        </w:numPr>
        <w:spacing w:line="240" w:lineRule="auto"/>
        <w:jc w:val="center"/>
        <w:outlineLvl w:val="0"/>
        <w:rPr>
          <w:rFonts w:cstheme="majorBidi"/>
          <w:b/>
          <w:bCs/>
          <w:noProof/>
          <w:color w:val="1F497D" w:themeColor="text2"/>
          <w:sz w:val="32"/>
          <w:szCs w:val="28"/>
        </w:rPr>
      </w:pPr>
      <w:bookmarkStart w:id="21" w:name="_Toc433296159"/>
      <w:bookmarkStart w:id="22" w:name="_Toc456012023"/>
      <w:bookmarkStart w:id="23" w:name="_Toc469413343"/>
      <w:r>
        <w:rPr>
          <w:rFonts w:cstheme="majorBidi"/>
          <w:b/>
          <w:bCs/>
          <w:noProof/>
          <w:color w:val="1F497D" w:themeColor="text2"/>
          <w:sz w:val="32"/>
          <w:szCs w:val="28"/>
        </w:rPr>
        <w:t>Protecting, conserving and enhancing natural capital</w:t>
      </w:r>
      <w:bookmarkStart w:id="24" w:name="_Toc432413878"/>
      <w:bookmarkEnd w:id="21"/>
      <w:bookmarkEnd w:id="22"/>
      <w:bookmarkEnd w:id="24"/>
      <w:bookmarkEnd w:id="23"/>
    </w:p>
    <w:p w:rsidR="006E58C2" w:rsidRDefault="006E58C2">
      <w:pPr>
        <w:widowControl w:val="0"/>
        <w:spacing w:after="120" w:line="240" w:lineRule="auto"/>
        <w:jc w:val="both"/>
        <w:rPr>
          <w:rFonts w:cs="Times New Roman"/>
          <w:noProof/>
          <w:sz w:val="20"/>
        </w:rPr>
        <w:sectPr w:rsidR="006E58C2">
          <w:headerReference w:type="even" r:id="rId64"/>
          <w:headerReference w:type="default" r:id="rId65"/>
          <w:footerReference w:type="even" r:id="rId66"/>
          <w:footerReference w:type="default" r:id="rId67"/>
          <w:headerReference w:type="first" r:id="rId68"/>
          <w:footerReference w:type="first" r:id="rId69"/>
          <w:type w:val="continuous"/>
          <w:pgSz w:w="11906" w:h="16838"/>
          <w:pgMar w:top="1440" w:right="1080" w:bottom="1440" w:left="1080" w:header="708" w:footer="708" w:gutter="0"/>
          <w:cols w:space="566"/>
          <w:docGrid w:linePitch="360"/>
        </w:sectPr>
      </w:pPr>
    </w:p>
    <w:p w:rsidR="006E58C2" w:rsidRDefault="005B3E0F">
      <w:pPr>
        <w:widowControl w:val="0"/>
        <w:spacing w:after="120" w:line="240" w:lineRule="auto"/>
        <w:outlineLvl w:val="1"/>
        <w:rPr>
          <w:rFonts w:cs="Times New Roman"/>
          <w:b/>
          <w:noProof/>
          <w:color w:val="1F497D" w:themeColor="text2"/>
          <w:sz w:val="24"/>
        </w:rPr>
      </w:pPr>
      <w:bookmarkStart w:id="25" w:name="_Toc433296160"/>
      <w:bookmarkStart w:id="26" w:name="_Toc456012024"/>
      <w:bookmarkStart w:id="27" w:name="_Toc469413344"/>
      <w:r>
        <w:rPr>
          <w:rFonts w:cs="Times New Roman"/>
          <w:b/>
          <w:noProof/>
          <w:color w:val="1F497D" w:themeColor="text2"/>
          <w:sz w:val="24"/>
        </w:rPr>
        <w:t>Nature and Biodiversity</w:t>
      </w:r>
      <w:bookmarkEnd w:id="25"/>
      <w:bookmarkEnd w:id="26"/>
      <w:bookmarkEnd w:id="27"/>
      <w:r>
        <w:rPr>
          <w:rFonts w:cs="Times New Roman"/>
          <w:b/>
          <w:noProof/>
          <w:color w:val="1F497D" w:themeColor="text2"/>
          <w:sz w:val="24"/>
        </w:rPr>
        <w:t xml:space="preserve"> </w:t>
      </w:r>
    </w:p>
    <w:p w:rsidR="006E58C2" w:rsidRDefault="005B3E0F">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6E58C2" w:rsidRDefault="005B3E0F">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6E58C2" w:rsidRDefault="005B3E0F">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w:t>
      </w:r>
      <w:r>
        <w:rPr>
          <w:rFonts w:cs="Times New Roman"/>
          <w:bCs/>
          <w:noProof/>
          <w:sz w:val="20"/>
          <w:lang w:val="en"/>
        </w:rPr>
        <w:t>rope's most valuable and threatened species and habitats</w:t>
      </w:r>
      <w:r>
        <w:rPr>
          <w:rFonts w:cs="Times New Roman"/>
          <w:bCs/>
          <w:noProof/>
          <w:sz w:val="20"/>
          <w:szCs w:val="20"/>
          <w:lang w:val="en"/>
        </w:rPr>
        <w:t xml:space="preserve"> and the ecosystems they underpin.</w:t>
      </w:r>
    </w:p>
    <w:p w:rsidR="006E58C2" w:rsidRDefault="005B3E0F">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2A78E7B3" wp14:editId="7B5D7BEA">
            <wp:extent cx="2914650" cy="194195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 Cesky rai iStock_32611890_SMALL.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18522" cy="1944534"/>
                    </a:xfrm>
                    <a:prstGeom prst="rect">
                      <a:avLst/>
                    </a:prstGeom>
                  </pic:spPr>
                </pic:pic>
              </a:graphicData>
            </a:graphic>
          </wp:inline>
        </w:drawing>
      </w:r>
      <w:r>
        <w:rPr>
          <w:rFonts w:cs="Times New Roman"/>
          <w:noProof/>
          <w:sz w:val="20"/>
          <w:lang w:val="en"/>
        </w:rPr>
        <w:t>The adequate designation of protected sites as Special Ares of Conservation (SAC) under the Habitats Directive and as Special Protection Areas (SPA) under the Birds</w:t>
      </w:r>
      <w:r>
        <w:rPr>
          <w:rFonts w:cs="Times New Roman"/>
          <w:noProof/>
          <w:sz w:val="20"/>
          <w:lang w:val="en"/>
        </w:rPr>
        <w:t xml:space="preserve"> 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w:t>
      </w:r>
      <w:r>
        <w:rPr>
          <w:rFonts w:cs="Times New Roman"/>
          <w:noProof/>
          <w:sz w:val="20"/>
        </w:rPr>
        <w:t>n</w:t>
      </w:r>
      <w:r>
        <w:rPr>
          <w:rFonts w:cs="Times New Roman"/>
          <w:noProof/>
          <w:sz w:val="20"/>
          <w:vertAlign w:val="superscript"/>
        </w:rPr>
        <w:footnoteReference w:id="26"/>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6E58C2" w:rsidRDefault="005B3E0F">
      <w:pPr>
        <w:widowControl w:val="0"/>
        <w:spacing w:after="120" w:line="240" w:lineRule="auto"/>
        <w:jc w:val="both"/>
        <w:rPr>
          <w:rFonts w:cs="Times New Roman"/>
          <w:noProof/>
          <w:sz w:val="20"/>
        </w:rPr>
      </w:pPr>
      <w:r>
        <w:rPr>
          <w:rFonts w:cs="Times New Roman"/>
          <w:noProof/>
          <w:sz w:val="20"/>
        </w:rPr>
        <w:t>By early 2016, 14% of the national area of Czech Republic is covered by Natura 2000 (EU average 18.1%), with Birds Directive SPAs covering 8.9% (EU average 12.</w:t>
      </w:r>
      <w:r>
        <w:rPr>
          <w:rFonts w:cs="Times New Roman"/>
          <w:noProof/>
          <w:sz w:val="20"/>
        </w:rPr>
        <w:t>3%) and Habitats Directive SCIs covering 9.9% (EU average 13.8%). There are 1116 Natura 2000 sites, including 41 SPAs and 1075 SCIs</w:t>
      </w:r>
      <w:r>
        <w:rPr>
          <w:rFonts w:cs="Times New Roman"/>
          <w:noProof/>
          <w:sz w:val="20"/>
          <w:vertAlign w:val="superscript"/>
        </w:rPr>
        <w:footnoteReference w:id="27"/>
      </w:r>
      <w:r>
        <w:rPr>
          <w:rFonts w:cs="Times New Roman"/>
          <w:noProof/>
          <w:sz w:val="20"/>
        </w:rPr>
        <w:t xml:space="preserve">. </w:t>
      </w:r>
    </w:p>
    <w:p w:rsidR="006E58C2" w:rsidRDefault="005B3E0F">
      <w:pPr>
        <w:widowControl w:val="0"/>
        <w:spacing w:after="120" w:line="240" w:lineRule="auto"/>
        <w:jc w:val="both"/>
        <w:rPr>
          <w:rFonts w:cs="Times New Roman"/>
          <w:noProof/>
          <w:sz w:val="20"/>
        </w:rPr>
      </w:pPr>
      <w:r>
        <w:rPr>
          <w:rFonts w:cs="Times New Roman"/>
          <w:noProof/>
          <w:sz w:val="20"/>
        </w:rPr>
        <w:t xml:space="preserve">While the designation of the SPAs is considered sufficient, the assessment of the SCIs conducted in previous years shows </w:t>
      </w:r>
      <w:r>
        <w:rPr>
          <w:rFonts w:cs="Times New Roman"/>
          <w:noProof/>
          <w:sz w:val="20"/>
        </w:rPr>
        <w:t>insufficiencies</w:t>
      </w:r>
      <w:r>
        <w:rPr>
          <w:rFonts w:cs="Times New Roman"/>
          <w:noProof/>
          <w:sz w:val="20"/>
          <w:szCs w:val="20"/>
          <w:vertAlign w:val="superscript"/>
          <w:lang w:val="en"/>
        </w:rPr>
        <w:footnoteReference w:id="28"/>
      </w:r>
      <w:r>
        <w:rPr>
          <w:rFonts w:cs="Times New Roman"/>
          <w:noProof/>
          <w:sz w:val="20"/>
        </w:rPr>
        <w:t xml:space="preserve"> (see Figure 5</w:t>
      </w:r>
      <w:r>
        <w:rPr>
          <w:rStyle w:val="FootnoteReference"/>
          <w:rFonts w:cs="Times New Roman"/>
          <w:noProof/>
          <w:sz w:val="20"/>
        </w:rPr>
        <w:footnoteReference w:id="29"/>
      </w:r>
      <w:r>
        <w:rPr>
          <w:rFonts w:cs="Times New Roman"/>
          <w:noProof/>
          <w:sz w:val="20"/>
        </w:rPr>
        <w:t>)</w:t>
      </w:r>
      <w:r>
        <w:rPr>
          <w:rFonts w:eastAsia="Calibri" w:cs="Times New Roman"/>
          <w:noProof/>
          <w:sz w:val="20"/>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4909" w:type="dxa"/>
          </w:tcPr>
          <w:p w:rsidR="006E58C2" w:rsidRDefault="005B3E0F">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Czech Republic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30"/>
            </w:r>
            <w:r>
              <w:rPr>
                <w:rFonts w:cs="Times New Roman"/>
                <w:b/>
                <w:bCs/>
                <w:noProof/>
                <w:color w:val="1F497D" w:themeColor="text2"/>
                <w:sz w:val="20"/>
              </w:rPr>
              <w:t xml:space="preserve"> </w:t>
            </w:r>
          </w:p>
        </w:tc>
      </w:tr>
      <w:tr w:rsidR="006E58C2">
        <w:tc>
          <w:tcPr>
            <w:tcW w:w="4909" w:type="dxa"/>
          </w:tcPr>
          <w:p w:rsidR="006E58C2" w:rsidRDefault="005B3E0F">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4C67C18F" wp14:editId="43796709">
                  <wp:simplePos x="3891280" y="3582670"/>
                  <wp:positionH relativeFrom="margin">
                    <wp:align>center</wp:align>
                  </wp:positionH>
                  <wp:positionV relativeFrom="margin">
                    <wp:align>center</wp:align>
                  </wp:positionV>
                  <wp:extent cx="2721610" cy="282829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1610" cy="2828290"/>
                          </a:xfrm>
                          <a:prstGeom prst="rect">
                            <a:avLst/>
                          </a:prstGeom>
                          <a:noFill/>
                        </pic:spPr>
                      </pic:pic>
                    </a:graphicData>
                  </a:graphic>
                </wp:anchor>
              </w:drawing>
            </w:r>
          </w:p>
        </w:tc>
      </w:tr>
    </w:tbl>
    <w:p w:rsidR="006E58C2" w:rsidRDefault="005B3E0F">
      <w:pPr>
        <w:widowControl w:val="0"/>
        <w:spacing w:after="120" w:line="240" w:lineRule="auto"/>
        <w:jc w:val="both"/>
        <w:rPr>
          <w:rFonts w:cs="Times New Roman"/>
          <w:noProof/>
          <w:sz w:val="20"/>
        </w:rPr>
      </w:pPr>
      <w:r>
        <w:rPr>
          <w:rFonts w:cs="Times New Roman"/>
          <w:noProof/>
          <w:sz w:val="20"/>
        </w:rPr>
        <w:t>New sites were officially proposed</w:t>
      </w:r>
      <w:r>
        <w:rPr>
          <w:rFonts w:cs="Times New Roman"/>
          <w:noProof/>
          <w:sz w:val="20"/>
          <w:vertAlign w:val="superscript"/>
        </w:rPr>
        <w:footnoteReference w:id="31"/>
      </w:r>
      <w:r>
        <w:rPr>
          <w:rFonts w:cs="Times New Roman"/>
          <w:noProof/>
          <w:sz w:val="20"/>
        </w:rPr>
        <w:t xml:space="preserve"> by the Czech Republic in February and June 2016; with spatial data submitted in September 2016. The issue of sufficiency of the SCIs in the Czech Republic is currently being addressed by the European Commission in the infringement procedure initiated in F</w:t>
      </w:r>
      <w:r>
        <w:rPr>
          <w:rFonts w:cs="Times New Roman"/>
          <w:noProof/>
          <w:sz w:val="20"/>
        </w:rPr>
        <w:t>ebruary 2016.</w:t>
      </w:r>
    </w:p>
    <w:p w:rsidR="006E58C2" w:rsidRDefault="005B3E0F">
      <w:pPr>
        <w:widowControl w:val="0"/>
        <w:spacing w:after="120" w:line="240" w:lineRule="auto"/>
        <w:jc w:val="both"/>
        <w:rPr>
          <w:rFonts w:cs="Times New Roman"/>
          <w:noProof/>
          <w:sz w:val="20"/>
        </w:rPr>
      </w:pPr>
      <w:r>
        <w:rPr>
          <w:rFonts w:cs="Times New Roman"/>
          <w:noProof/>
          <w:sz w:val="20"/>
        </w:rPr>
        <w:t xml:space="preserve">SAC designation is still in process. A compliance check with provisions of the Habitats Directive will be done in 2016/2017.   </w:t>
      </w:r>
    </w:p>
    <w:p w:rsidR="006E58C2" w:rsidRDefault="005B3E0F">
      <w:pPr>
        <w:widowControl w:val="0"/>
        <w:spacing w:after="120" w:line="240" w:lineRule="auto"/>
        <w:jc w:val="both"/>
        <w:rPr>
          <w:rFonts w:cs="Times New Roman"/>
          <w:noProof/>
          <w:sz w:val="20"/>
        </w:rPr>
      </w:pPr>
      <w:r>
        <w:rPr>
          <w:rFonts w:cs="Times New Roman"/>
          <w:noProof/>
          <w:sz w:val="20"/>
        </w:rPr>
        <w:t>The Natura 2000 sites are managed by professional state administration bodies including National Parks as independ</w:t>
      </w:r>
      <w:r>
        <w:rPr>
          <w:rFonts w:cs="Times New Roman"/>
          <w:noProof/>
          <w:sz w:val="20"/>
        </w:rPr>
        <w:t xml:space="preserve">ent entities devoted to nature conservation, Regional Offices of Nature Conservation Agency of the Czech Republic and Environmental Units of Regional Administrative Authorities (a few sites are also managed by Military area offices). Scientific support is </w:t>
      </w:r>
      <w:r>
        <w:rPr>
          <w:rFonts w:cs="Times New Roman"/>
          <w:noProof/>
          <w:sz w:val="20"/>
        </w:rPr>
        <w:t xml:space="preserve">provided by the Nature Conservation Agency of the Czech Republic.  The Ministry of the Environment of the Czech Republic bears the overall responsibility for Natura 2000 (including methodological guidance for authorised AA experts). The </w:t>
      </w:r>
      <w:r>
        <w:rPr>
          <w:rFonts w:cs="Times New Roman"/>
          <w:noProof/>
          <w:sz w:val="20"/>
          <w:lang w:eastAsia="ja-JP"/>
        </w:rPr>
        <w:t>monitoring of habit</w:t>
      </w:r>
      <w:r>
        <w:rPr>
          <w:rFonts w:cs="Times New Roman"/>
          <w:noProof/>
          <w:sz w:val="20"/>
          <w:lang w:eastAsia="ja-JP"/>
        </w:rPr>
        <w:t xml:space="preserve">ats and species is based on long-term experience of extensive expert base which provides variety of quality data on occurrence, conservation status, future perspective and threats for habitats and species building on traditional approach of </w:t>
      </w:r>
      <w:r>
        <w:rPr>
          <w:rFonts w:cs="Times New Roman"/>
          <w:noProof/>
          <w:sz w:val="20"/>
        </w:rPr>
        <w:t>landscape and n</w:t>
      </w:r>
      <w:r>
        <w:rPr>
          <w:rFonts w:cs="Times New Roman"/>
          <w:noProof/>
          <w:sz w:val="20"/>
        </w:rPr>
        <w:t>ature protection</w:t>
      </w:r>
      <w:r>
        <w:rPr>
          <w:rFonts w:cs="Times New Roman"/>
          <w:noProof/>
          <w:sz w:val="20"/>
          <w:lang w:eastAsia="ja-JP"/>
        </w:rPr>
        <w:t>.</w:t>
      </w:r>
      <w:r>
        <w:rPr>
          <w:rFonts w:cs="Times New Roman"/>
          <w:noProof/>
          <w:sz w:val="20"/>
          <w:vertAlign w:val="superscript"/>
          <w:lang w:eastAsia="ja-JP"/>
        </w:rPr>
        <w:footnoteReference w:id="32"/>
      </w:r>
    </w:p>
    <w:p w:rsidR="006E58C2" w:rsidRDefault="005B3E0F">
      <w:pPr>
        <w:widowControl w:val="0"/>
        <w:spacing w:after="120" w:line="240" w:lineRule="auto"/>
        <w:jc w:val="both"/>
        <w:rPr>
          <w:rFonts w:ascii="Times New Roman" w:hAnsi="Times New Roman" w:cs="Times New Roman"/>
          <w:noProof/>
          <w:sz w:val="20"/>
        </w:rPr>
      </w:pPr>
      <w:r>
        <w:rPr>
          <w:rFonts w:cs="Times New Roman"/>
          <w:noProof/>
          <w:sz w:val="20"/>
        </w:rPr>
        <w:t>Natura 2000 is regarded as complementary to the national nature protection system in the Czech Republic. This principle establishes a protection regime of majority Natura 2000 sites that is derived from a parallel regime of the Czech nationally protected a</w:t>
      </w:r>
      <w:r>
        <w:rPr>
          <w:rFonts w:cs="Times New Roman"/>
          <w:noProof/>
          <w:sz w:val="20"/>
        </w:rPr>
        <w:t xml:space="preserve">reas. </w:t>
      </w:r>
    </w:p>
    <w:p w:rsidR="006E58C2" w:rsidRDefault="005B3E0F">
      <w:pPr>
        <w:widowControl w:val="0"/>
        <w:spacing w:after="120" w:line="240" w:lineRule="auto"/>
        <w:jc w:val="both"/>
        <w:rPr>
          <w:rFonts w:cs="Times New Roman"/>
          <w:noProof/>
          <w:sz w:val="20"/>
          <w:szCs w:val="20"/>
        </w:rPr>
      </w:pPr>
      <w:r>
        <w:rPr>
          <w:rFonts w:cs="Times New Roman"/>
          <w:noProof/>
          <w:sz w:val="20"/>
          <w:lang w:eastAsia="en-GB"/>
        </w:rPr>
        <w:drawing>
          <wp:inline distT="0" distB="0" distL="0" distR="0" wp14:anchorId="2372A72D" wp14:editId="00843A33">
            <wp:extent cx="2980055" cy="2236746"/>
            <wp:effectExtent l="0" t="0" r="0" b="0"/>
            <wp:docPr id="27" name="Picture 27" descr="P:\ENV-E2\1. ENV IMPLEMENTATION REVIEW\EIR Data management\Pictures\LIFE pictures\Pictures_by_Country1\Czech republic\LIFE04_NAT_CZ_000015_Imag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1\Czech republic\LIFE04_NAT_CZ_000015_Image 01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80055" cy="2236746"/>
                    </a:xfrm>
                    <a:prstGeom prst="rect">
                      <a:avLst/>
                    </a:prstGeom>
                    <a:noFill/>
                    <a:ln>
                      <a:noFill/>
                    </a:ln>
                  </pic:spPr>
                </pic:pic>
              </a:graphicData>
            </a:graphic>
          </wp:inline>
        </w:drawing>
      </w:r>
      <w:r>
        <w:rPr>
          <w:rFonts w:eastAsia="Calibri" w:cs="Times New Roman"/>
          <w:noProof/>
          <w:sz w:val="20"/>
        </w:rPr>
        <w:t>According to the latest report on the conservation status of habitats and species covered by the Habitats Directive</w:t>
      </w:r>
      <w:r>
        <w:rPr>
          <w:rFonts w:eastAsia="Calibri" w:cs="Times New Roman"/>
          <w:noProof/>
          <w:sz w:val="20"/>
          <w:szCs w:val="20"/>
          <w:vertAlign w:val="superscript"/>
        </w:rPr>
        <w:footnoteReference w:id="33"/>
      </w:r>
      <w:r>
        <w:rPr>
          <w:rFonts w:eastAsia="Calibri" w:cs="Times New Roman"/>
          <w:noProof/>
          <w:sz w:val="20"/>
        </w:rPr>
        <w:t xml:space="preserve">, </w:t>
      </w:r>
      <w:r>
        <w:rPr>
          <w:rFonts w:cs="Times New Roman"/>
          <w:noProof/>
          <w:sz w:val="20"/>
          <w:szCs w:val="20"/>
        </w:rPr>
        <w:t xml:space="preserve">16% of the habitats' biogeographic assessments were favourable in 2013 </w:t>
      </w:r>
      <w:r>
        <w:rPr>
          <w:rFonts w:cs="Times New Roman"/>
          <w:noProof/>
          <w:sz w:val="20"/>
        </w:rPr>
        <w:t>(EU27: 16%).</w:t>
      </w:r>
      <w:r>
        <w:rPr>
          <w:rFonts w:cs="Times New Roman"/>
          <w:noProof/>
          <w:sz w:val="20"/>
          <w:szCs w:val="20"/>
        </w:rPr>
        <w:t xml:space="preserve"> </w:t>
      </w:r>
      <w:r>
        <w:rPr>
          <w:rFonts w:cs="Times New Roman"/>
          <w:noProof/>
          <w:sz w:val="20"/>
        </w:rPr>
        <w:t xml:space="preserve">Furthermore, 56% are considered to be </w:t>
      </w:r>
      <w:r>
        <w:rPr>
          <w:rFonts w:cs="Times New Roman"/>
          <w:noProof/>
          <w:sz w:val="20"/>
        </w:rPr>
        <w:t>unfavourable–inadequate</w:t>
      </w:r>
      <w:r>
        <w:rPr>
          <w:rFonts w:cs="Times New Roman"/>
          <w:noProof/>
          <w:sz w:val="20"/>
          <w:szCs w:val="20"/>
          <w:vertAlign w:val="superscript"/>
        </w:rPr>
        <w:footnoteReference w:id="34"/>
      </w:r>
      <w:r>
        <w:rPr>
          <w:rFonts w:cs="Times New Roman"/>
          <w:noProof/>
          <w:sz w:val="20"/>
        </w:rPr>
        <w:t xml:space="preserve"> (EU27: 47%) and 27% are unfavourable – bad (EU27: 30%). </w:t>
      </w:r>
      <w:r>
        <w:rPr>
          <w:rFonts w:cs="Times New Roman"/>
          <w:noProof/>
          <w:sz w:val="20"/>
          <w:szCs w:val="20"/>
        </w:rPr>
        <w:t xml:space="preserve">As for the species, 27% of the assessments were favourable in 2013 (EU27: 23%) </w:t>
      </w:r>
      <w:r>
        <w:rPr>
          <w:rFonts w:cs="Times New Roman"/>
          <w:noProof/>
          <w:sz w:val="20"/>
        </w:rPr>
        <w:t xml:space="preserve">39% at unfavourable-inadequate (EU27: 42%) and 30% unfavourable-bad status (EU27: 18%). This is </w:t>
      </w:r>
      <w:r>
        <w:rPr>
          <w:rFonts w:cs="Times New Roman"/>
          <w:noProof/>
          <w:sz w:val="20"/>
        </w:rPr>
        <w:t>depicted in Figure 6</w:t>
      </w:r>
      <w:r>
        <w:rPr>
          <w:rFonts w:cs="Times New Roman"/>
          <w:noProof/>
          <w:sz w:val="20"/>
          <w:vertAlign w:val="superscript"/>
        </w:rPr>
        <w:footnoteReference w:id="35"/>
      </w:r>
      <w:r>
        <w:rPr>
          <w:rFonts w:cs="Times New Roman"/>
          <w:noProof/>
          <w:sz w:val="20"/>
        </w:rPr>
        <w:t xml:space="preserve">. </w:t>
      </w:r>
      <w:r>
        <w:rPr>
          <w:rFonts w:cs="Times New Roman"/>
          <w:noProof/>
          <w:sz w:val="20"/>
          <w:szCs w:val="20"/>
        </w:rPr>
        <w:t>5% and 22% of the unfavourable assessments respectively for species and habitats were showing a positive trend in 2013.</w:t>
      </w:r>
    </w:p>
    <w:p w:rsidR="006E58C2" w:rsidRDefault="005B3E0F">
      <w:pPr>
        <w:widowControl w:val="0"/>
        <w:spacing w:after="120" w:line="240" w:lineRule="auto"/>
        <w:jc w:val="both"/>
        <w:rPr>
          <w:rFonts w:cs="Times New Roman"/>
          <w:noProof/>
          <w:sz w:val="20"/>
        </w:rPr>
      </w:pPr>
      <w:r>
        <w:rPr>
          <w:rFonts w:cs="Times New Roman"/>
          <w:noProof/>
          <w:sz w:val="20"/>
        </w:rPr>
        <w:t>A comparison of the results of Article 17 reports enables to claim an overall improvement as concerns conservatio</w:t>
      </w:r>
      <w:r>
        <w:rPr>
          <w:rFonts w:cs="Times New Roman"/>
          <w:noProof/>
          <w:sz w:val="20"/>
        </w:rPr>
        <w:t>n status of habitats and species of EU importance. While in the period of 2007-2012 25.3 % was found favourable only 18.9 % was found favourable in the preceding reporting period.</w:t>
      </w:r>
      <w:r>
        <w:rPr>
          <w:rFonts w:cs="Times New Roman"/>
          <w:noProof/>
          <w:sz w:val="20"/>
          <w:vertAlign w:val="superscript"/>
        </w:rPr>
        <w:footnoteReference w:id="36"/>
      </w:r>
      <w:r>
        <w:rPr>
          <w:rFonts w:cs="Times New Roman"/>
          <w:noProof/>
          <w:sz w:val="20"/>
        </w:rPr>
        <w:t xml:space="preserve"> </w:t>
      </w:r>
    </w:p>
    <w:tbl>
      <w:tblPr>
        <w:tblStyle w:val="TableGrid2"/>
        <w:tblW w:w="4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tblGrid>
      <w:tr w:rsidR="006E58C2">
        <w:trPr>
          <w:trHeight w:val="580"/>
        </w:trPr>
        <w:tc>
          <w:tcPr>
            <w:tcW w:w="4969" w:type="dxa"/>
          </w:tcPr>
          <w:p w:rsidR="006E58C2" w:rsidRDefault="005B3E0F">
            <w:pPr>
              <w:widowControl w:val="0"/>
              <w:spacing w:after="120"/>
              <w:jc w:val="both"/>
              <w:rPr>
                <w:rFonts w:cs="Times New Roman"/>
                <w:noProof/>
                <w:sz w:val="20"/>
              </w:rPr>
            </w:pPr>
            <w:r>
              <w:rPr>
                <w:rFonts w:cs="Times New Roman"/>
                <w:b/>
                <w:bCs/>
                <w:noProof/>
                <w:color w:val="1F497D" w:themeColor="text2"/>
                <w:sz w:val="20"/>
              </w:rPr>
              <w:t>Figure 6: Conservation status of habitats and species in Czech Republic in</w:t>
            </w:r>
            <w:r>
              <w:rPr>
                <w:rFonts w:cs="Times New Roman"/>
                <w:b/>
                <w:bCs/>
                <w:noProof/>
                <w:color w:val="1F497D" w:themeColor="text2"/>
                <w:sz w:val="20"/>
              </w:rPr>
              <w:t xml:space="preserve"> 2007/2013 (%)</w:t>
            </w:r>
            <w:r>
              <w:rPr>
                <w:rFonts w:cs="Times New Roman"/>
                <w:b/>
                <w:bCs/>
                <w:noProof/>
                <w:color w:val="1F497D" w:themeColor="text2"/>
                <w:sz w:val="20"/>
                <w:vertAlign w:val="superscript"/>
              </w:rPr>
              <w:footnoteReference w:id="37"/>
            </w:r>
          </w:p>
        </w:tc>
      </w:tr>
      <w:tr w:rsidR="006E58C2">
        <w:trPr>
          <w:trHeight w:val="4835"/>
        </w:trPr>
        <w:tc>
          <w:tcPr>
            <w:tcW w:w="4969" w:type="dxa"/>
          </w:tcPr>
          <w:p w:rsidR="006E58C2" w:rsidRDefault="005B3E0F">
            <w:pPr>
              <w:widowControl w:val="0"/>
              <w:spacing w:after="120"/>
              <w:jc w:val="both"/>
              <w:rPr>
                <w:rFonts w:cs="Times New Roman"/>
                <w:noProof/>
                <w:sz w:val="20"/>
              </w:rPr>
            </w:pPr>
            <w:r>
              <w:rPr>
                <w:rFonts w:cs="Times New Roman"/>
                <w:noProof/>
                <w:sz w:val="20"/>
                <w:lang w:eastAsia="en-GB"/>
              </w:rPr>
              <w:drawing>
                <wp:anchor distT="0" distB="0" distL="114300" distR="114300" simplePos="0" relativeHeight="251660288" behindDoc="0" locked="0" layoutInCell="1" allowOverlap="1" wp14:anchorId="6BB969A0" wp14:editId="43161AAF">
                  <wp:simplePos x="685800" y="923925"/>
                  <wp:positionH relativeFrom="margin">
                    <wp:align>center</wp:align>
                  </wp:positionH>
                  <wp:positionV relativeFrom="margin">
                    <wp:align>top</wp:align>
                  </wp:positionV>
                  <wp:extent cx="2714625" cy="3028315"/>
                  <wp:effectExtent l="0" t="0" r="952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4625" cy="3028315"/>
                          </a:xfrm>
                          <a:prstGeom prst="rect">
                            <a:avLst/>
                          </a:prstGeom>
                          <a:noFill/>
                        </pic:spPr>
                      </pic:pic>
                    </a:graphicData>
                  </a:graphic>
                </wp:anchor>
              </w:drawing>
            </w:r>
          </w:p>
        </w:tc>
      </w:tr>
    </w:tbl>
    <w:p w:rsidR="006E58C2" w:rsidRDefault="005B3E0F">
      <w:pPr>
        <w:widowControl w:val="0"/>
        <w:spacing w:after="120" w:line="240" w:lineRule="auto"/>
        <w:jc w:val="both"/>
        <w:rPr>
          <w:rFonts w:cs="Times New Roman"/>
          <w:noProof/>
          <w:sz w:val="20"/>
        </w:rPr>
      </w:pPr>
      <w:r>
        <w:rPr>
          <w:rFonts w:cs="Times New Roman"/>
          <w:noProof/>
          <w:sz w:val="20"/>
        </w:rPr>
        <w:t>According to the official report submitted under Art. 12 of the Birds Directive</w:t>
      </w:r>
      <w:r>
        <w:rPr>
          <w:rFonts w:cs="Times New Roman"/>
          <w:noProof/>
          <w:sz w:val="20"/>
          <w:vertAlign w:val="superscript"/>
        </w:rPr>
        <w:footnoteReference w:id="38"/>
      </w:r>
      <w:r>
        <w:rPr>
          <w:rFonts w:cs="Times New Roman"/>
          <w:noProof/>
          <w:sz w:val="20"/>
        </w:rPr>
        <w:t>,</w:t>
      </w:r>
      <w:r>
        <w:rPr>
          <w:rFonts w:cs="Times New Roman"/>
          <w:b/>
          <w:noProof/>
          <w:sz w:val="20"/>
        </w:rPr>
        <w:t xml:space="preserve"> </w:t>
      </w:r>
      <w:r>
        <w:rPr>
          <w:rFonts w:cs="Times New Roman"/>
          <w:noProof/>
          <w:sz w:val="20"/>
        </w:rPr>
        <w:t>82% of the breeding species showed short-term increasing or stable population trends (for wintering species this figure was 20%).</w:t>
      </w:r>
    </w:p>
    <w:p w:rsidR="006E58C2" w:rsidRDefault="006E58C2">
      <w:pPr>
        <w:widowControl w:val="0"/>
        <w:spacing w:after="120" w:line="240" w:lineRule="auto"/>
        <w:jc w:val="both"/>
        <w:rPr>
          <w:rFonts w:cs="Times New Roman"/>
          <w:noProof/>
          <w:sz w:val="20"/>
        </w:rPr>
      </w:pPr>
    </w:p>
    <w:tbl>
      <w:tblPr>
        <w:tblStyle w:val="TableGrid2"/>
        <w:tblW w:w="0" w:type="auto"/>
        <w:tblLook w:val="04A0" w:firstRow="1" w:lastRow="0" w:firstColumn="1" w:lastColumn="0" w:noHBand="0" w:noVBand="1"/>
      </w:tblPr>
      <w:tblGrid>
        <w:gridCol w:w="4909"/>
      </w:tblGrid>
      <w:tr w:rsidR="006E58C2">
        <w:tc>
          <w:tcPr>
            <w:tcW w:w="4909" w:type="dxa"/>
            <w:tcBorders>
              <w:top w:val="nil"/>
              <w:left w:val="nil"/>
              <w:bottom w:val="nil"/>
              <w:right w:val="nil"/>
            </w:tcBorders>
          </w:tcPr>
          <w:p w:rsidR="006E58C2" w:rsidRDefault="005B3E0F">
            <w:pPr>
              <w:widowControl w:val="0"/>
              <w:spacing w:after="120"/>
              <w:jc w:val="both"/>
              <w:rPr>
                <w:rFonts w:cs="Times New Roman"/>
                <w:noProof/>
                <w:color w:val="1F497D" w:themeColor="text2"/>
                <w:sz w:val="20"/>
              </w:rPr>
            </w:pPr>
            <w:r>
              <w:rPr>
                <w:rFonts w:cs="Times New Roman"/>
                <w:b/>
                <w:bCs/>
                <w:noProof/>
                <w:color w:val="1F497D" w:themeColor="text2"/>
                <w:sz w:val="20"/>
              </w:rPr>
              <w:t>Figure 7: Short-term po</w:t>
            </w:r>
            <w:r>
              <w:rPr>
                <w:rFonts w:cs="Times New Roman"/>
                <w:b/>
                <w:bCs/>
                <w:noProof/>
                <w:color w:val="1F497D" w:themeColor="text2"/>
                <w:sz w:val="20"/>
              </w:rPr>
              <w:t>pulation trend of breeding and wintering bird species in Czech Republic in 2012 (%)</w:t>
            </w:r>
            <w:r>
              <w:rPr>
                <w:rFonts w:cs="Times New Roman"/>
                <w:b/>
                <w:bCs/>
                <w:noProof/>
                <w:color w:val="1F497D" w:themeColor="text2"/>
                <w:sz w:val="20"/>
                <w:vertAlign w:val="superscript"/>
              </w:rPr>
              <w:footnoteReference w:id="39"/>
            </w:r>
          </w:p>
        </w:tc>
      </w:tr>
      <w:tr w:rsidR="006E58C2">
        <w:tc>
          <w:tcPr>
            <w:tcW w:w="4909" w:type="dxa"/>
            <w:tcBorders>
              <w:top w:val="nil"/>
              <w:left w:val="nil"/>
              <w:bottom w:val="nil"/>
              <w:right w:val="nil"/>
            </w:tcBorders>
          </w:tcPr>
          <w:p w:rsidR="006E58C2" w:rsidRDefault="005B3E0F">
            <w:pPr>
              <w:widowControl w:val="0"/>
              <w:spacing w:after="120"/>
              <w:jc w:val="both"/>
              <w:rPr>
                <w:rFonts w:cs="Times New Roman"/>
                <w:noProof/>
                <w:sz w:val="20"/>
              </w:rPr>
            </w:pPr>
            <w:r>
              <w:rPr>
                <w:rFonts w:cs="Times New Roman"/>
                <w:noProof/>
                <w:sz w:val="20"/>
                <w:lang w:eastAsia="en-GB"/>
              </w:rPr>
              <w:drawing>
                <wp:inline distT="0" distB="0" distL="0" distR="0" wp14:anchorId="420A7EAB" wp14:editId="27AA50D2">
                  <wp:extent cx="2876550" cy="20284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6991" cy="2035784"/>
                          </a:xfrm>
                          <a:prstGeom prst="rect">
                            <a:avLst/>
                          </a:prstGeom>
                          <a:noFill/>
                        </pic:spPr>
                      </pic:pic>
                    </a:graphicData>
                  </a:graphic>
                </wp:inline>
              </w:drawing>
            </w:r>
          </w:p>
        </w:tc>
      </w:tr>
    </w:tbl>
    <w:p w:rsidR="006E58C2" w:rsidRDefault="005B3E0F">
      <w:pPr>
        <w:widowControl w:val="0"/>
        <w:spacing w:after="120" w:line="240" w:lineRule="auto"/>
        <w:jc w:val="both"/>
        <w:rPr>
          <w:rFonts w:cs="Times New Roman"/>
          <w:noProof/>
          <w:sz w:val="20"/>
        </w:rPr>
      </w:pPr>
      <w:r>
        <w:rPr>
          <w:rFonts w:cs="Times New Roman"/>
          <w:noProof/>
          <w:sz w:val="20"/>
        </w:rPr>
        <w:t>Most natural and near-natural habitats occur in areas with limited or less intensive agricultural production.</w:t>
      </w:r>
    </w:p>
    <w:p w:rsidR="006E58C2" w:rsidRDefault="005B3E0F">
      <w:pPr>
        <w:widowControl w:val="0"/>
        <w:spacing w:after="120" w:line="240" w:lineRule="auto"/>
        <w:jc w:val="both"/>
        <w:rPr>
          <w:rFonts w:cs="Times New Roman"/>
          <w:noProof/>
          <w:sz w:val="20"/>
          <w:highlight w:val="yellow"/>
        </w:rPr>
      </w:pPr>
      <w:r>
        <w:rPr>
          <w:rFonts w:cs="Times New Roman"/>
          <w:noProof/>
          <w:sz w:val="20"/>
        </w:rPr>
        <w:t>Problematic aspects of implementation of the national and EU legislation are usually connected with general nature protection issues. These are conflicts between nature conservation and other socioeconomic interests such as river navigation or forest manag</w:t>
      </w:r>
      <w:r>
        <w:rPr>
          <w:rFonts w:cs="Times New Roman"/>
          <w:noProof/>
          <w:sz w:val="20"/>
        </w:rPr>
        <w:t xml:space="preserve">ement in the national parks and Natura 2000.  </w:t>
      </w:r>
    </w:p>
    <w:p w:rsidR="006E58C2" w:rsidRDefault="005B3E0F">
      <w:pPr>
        <w:widowControl w:val="0"/>
        <w:spacing w:after="120" w:line="240" w:lineRule="auto"/>
        <w:jc w:val="both"/>
        <w:rPr>
          <w:rFonts w:cs="Times New Roman"/>
          <w:noProof/>
          <w:sz w:val="20"/>
        </w:rPr>
      </w:pPr>
      <w:r>
        <w:rPr>
          <w:rFonts w:cs="Times New Roman"/>
          <w:noProof/>
          <w:sz w:val="20"/>
        </w:rPr>
        <w:t>Forest areas account for around 34% of the total area of the Czech Republic which is below the EU average (42%). Afforested area is steadily growing. 15% of the forest benefits from a protection regime. Almost</w:t>
      </w:r>
      <w:r>
        <w:rPr>
          <w:rFonts w:cs="Times New Roman"/>
          <w:noProof/>
          <w:sz w:val="20"/>
        </w:rPr>
        <w:t xml:space="preserve"> 60% of the forest belongs to the state. The management of the forest is done by the forest authorities, in accordance with the Forest Management Plans focusing on the production function of the forest (representing 75% of the total forest area). As regard</w:t>
      </w:r>
      <w:r>
        <w:rPr>
          <w:rFonts w:cs="Times New Roman"/>
          <w:noProof/>
          <w:sz w:val="20"/>
        </w:rPr>
        <w:t>s the health of forest, though the trend has stabilised over last years, the forest ecosystems suffer from a high level of defoliation compared to other European countries.</w:t>
      </w:r>
      <w:r>
        <w:rPr>
          <w:rFonts w:cs="Times New Roman"/>
          <w:noProof/>
          <w:sz w:val="20"/>
          <w:vertAlign w:val="superscript"/>
        </w:rPr>
        <w:footnoteReference w:id="40"/>
      </w:r>
      <w:r>
        <w:rPr>
          <w:rFonts w:cs="Times New Roman"/>
          <w:noProof/>
          <w:sz w:val="20"/>
        </w:rPr>
        <w:t xml:space="preserve"> </w:t>
      </w:r>
    </w:p>
    <w:p w:rsidR="006E58C2" w:rsidRDefault="005B3E0F">
      <w:pPr>
        <w:widowControl w:val="0"/>
        <w:spacing w:after="120" w:line="240" w:lineRule="auto"/>
        <w:jc w:val="both"/>
        <w:rPr>
          <w:rFonts w:cstheme="minorHAnsi"/>
          <w:noProof/>
          <w:color w:val="1F497D" w:themeColor="text2"/>
          <w:szCs w:val="26"/>
        </w:rPr>
      </w:pPr>
      <w:bookmarkStart w:id="28" w:name="_Toc433296161"/>
      <w:r>
        <w:rPr>
          <w:rFonts w:cstheme="minorHAnsi"/>
          <w:noProof/>
          <w:color w:val="1F497D" w:themeColor="text2"/>
          <w:szCs w:val="26"/>
        </w:rPr>
        <w:t>Suggested action</w:t>
      </w:r>
    </w:p>
    <w:p w:rsidR="006E58C2" w:rsidRDefault="005B3E0F">
      <w:pPr>
        <w:pStyle w:val="NoSpacing"/>
        <w:rPr>
          <w:i/>
          <w:noProof/>
        </w:rPr>
      </w:pPr>
      <w:r>
        <w:rPr>
          <w:noProof/>
        </w:rPr>
        <w:t>Complete the Natura 2000 designation process and put in place cl</w:t>
      </w:r>
      <w:r>
        <w:rPr>
          <w:noProof/>
        </w:rPr>
        <w:t xml:space="preserve">early defined conservation objectives and the necessary conservation measures for the sites and provide adequate resources for their implementation in order to maintain/restore species and habitats of community interest to a favourable conservation status </w:t>
      </w:r>
      <w:r>
        <w:rPr>
          <w:noProof/>
        </w:rPr>
        <w:t>across their natural range.</w:t>
      </w:r>
      <w:r>
        <w:rPr>
          <w:i/>
          <w:noProof/>
        </w:rPr>
        <w:t xml:space="preserve"> </w:t>
      </w:r>
    </w:p>
    <w:p w:rsidR="006E58C2" w:rsidRDefault="005B3E0F">
      <w:pPr>
        <w:pStyle w:val="NoSpacing"/>
        <w:rPr>
          <w:noProof/>
        </w:rPr>
      </w:pPr>
      <w:r>
        <w:rPr>
          <w:noProof/>
        </w:rPr>
        <w:t>Develop and promote smart and streamlined implementation approaches, in particular as regards site and species permitting procedures (i.e. beyond EIA procedures) and strengthen communication with stakeholders.</w:t>
      </w:r>
    </w:p>
    <w:p w:rsidR="006E58C2" w:rsidRDefault="006E58C2">
      <w:pPr>
        <w:widowControl w:val="0"/>
        <w:spacing w:after="120" w:line="240" w:lineRule="auto"/>
        <w:jc w:val="both"/>
        <w:rPr>
          <w:rFonts w:cs="Times New Roman"/>
          <w:noProof/>
          <w:sz w:val="20"/>
        </w:rPr>
      </w:pPr>
    </w:p>
    <w:p w:rsidR="006E58C2" w:rsidRDefault="005B3E0F">
      <w:pPr>
        <w:widowControl w:val="0"/>
        <w:spacing w:before="360" w:after="120" w:line="240" w:lineRule="auto"/>
        <w:outlineLvl w:val="1"/>
        <w:rPr>
          <w:rFonts w:cs="Times New Roman"/>
          <w:b/>
          <w:noProof/>
          <w:color w:val="1F497D" w:themeColor="text2"/>
        </w:rPr>
      </w:pPr>
      <w:bookmarkStart w:id="29" w:name="_Toc456012025"/>
      <w:bookmarkStart w:id="30" w:name="_Toc469413345"/>
      <w:r>
        <w:rPr>
          <w:rFonts w:cs="Times New Roman"/>
          <w:b/>
          <w:noProof/>
          <w:color w:val="1F497D" w:themeColor="text2"/>
        </w:rPr>
        <w:t>Estimating Natur</w:t>
      </w:r>
      <w:r>
        <w:rPr>
          <w:rFonts w:cs="Times New Roman"/>
          <w:b/>
          <w:noProof/>
          <w:color w:val="1F497D" w:themeColor="text2"/>
        </w:rPr>
        <w:t>al Capital</w:t>
      </w:r>
      <w:bookmarkEnd w:id="29"/>
      <w:bookmarkEnd w:id="30"/>
      <w:r>
        <w:rPr>
          <w:rFonts w:cs="Times New Roman"/>
          <w:b/>
          <w:noProof/>
          <w:color w:val="1F497D" w:themeColor="text2"/>
        </w:rPr>
        <w:t xml:space="preserve"> </w:t>
      </w:r>
    </w:p>
    <w:p w:rsidR="006E58C2" w:rsidRDefault="005B3E0F">
      <w:pPr>
        <w:widowControl w:val="0"/>
        <w:spacing w:after="120" w:line="240" w:lineRule="auto"/>
        <w:jc w:val="both"/>
        <w:rPr>
          <w:rFonts w:cs="Arial"/>
          <w:noProof/>
          <w:sz w:val="20"/>
        </w:rPr>
      </w:pPr>
      <w:r>
        <w:rPr>
          <w:rFonts w:cs="Arial"/>
          <w:noProof/>
          <w:sz w:val="20"/>
        </w:rPr>
        <w:t>The EU Biodiversity Strategy to 2020 calls on the Member States to map and asses the state of ecosystems and their services in their national territory by 2014, assess the economic value of such services, and promote the integration of these va</w:t>
      </w:r>
      <w:r>
        <w:rPr>
          <w:rFonts w:cs="Arial"/>
          <w:noProof/>
          <w:sz w:val="20"/>
        </w:rPr>
        <w:t>lues into accounting and reporting systems at EU and national level by 2020.</w:t>
      </w:r>
    </w:p>
    <w:p w:rsidR="006E58C2" w:rsidRDefault="005B3E0F">
      <w:pPr>
        <w:widowControl w:val="0"/>
        <w:spacing w:after="120" w:line="240" w:lineRule="auto"/>
        <w:jc w:val="both"/>
        <w:rPr>
          <w:rFonts w:cs="Times New Roman"/>
          <w:noProof/>
          <w:sz w:val="20"/>
        </w:rPr>
      </w:pPr>
      <w:r>
        <w:rPr>
          <w:rFonts w:cs="Times New Roman"/>
          <w:noProof/>
          <w:sz w:val="20"/>
        </w:rPr>
        <w:t>As part of knowledge development efforts, the Czech Republic has completed ecosystem</w:t>
      </w:r>
      <w:r>
        <w:rPr>
          <w:rFonts w:cs="Times New Roman"/>
          <w:noProof/>
          <w:sz w:val="20"/>
          <w:vertAlign w:val="superscript"/>
        </w:rPr>
        <w:footnoteReference w:id="41"/>
      </w:r>
      <w:r>
        <w:rPr>
          <w:rFonts w:cs="Times New Roman"/>
          <w:noProof/>
          <w:sz w:val="20"/>
        </w:rPr>
        <w:t xml:space="preserve"> mapping by field survey complemented with remote sensing data. Information on structure and f</w:t>
      </w:r>
      <w:r>
        <w:rPr>
          <w:rFonts w:cs="Times New Roman"/>
          <w:noProof/>
          <w:sz w:val="20"/>
        </w:rPr>
        <w:t xml:space="preserve">unctions of semi-natural habitats together with other data sources (agro-environmental schemes, WFD etc.) can be utilised in order to estimate the condition of ecosystems. A scientific study on ecosystem services was completed in 2013 but its results have </w:t>
      </w:r>
      <w:r>
        <w:rPr>
          <w:rFonts w:cs="Times New Roman"/>
          <w:noProof/>
          <w:sz w:val="20"/>
        </w:rPr>
        <w:t xml:space="preserve">not been integrated into policy-making. Policy support is also needed to get data from other sectors. </w:t>
      </w:r>
    </w:p>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E58C2" w:rsidRDefault="005B3E0F">
      <w:pPr>
        <w:pStyle w:val="NoSpacing"/>
        <w:rPr>
          <w:noProof/>
        </w:rPr>
      </w:pPr>
      <w:r>
        <w:rPr>
          <w:noProof/>
        </w:rPr>
        <w:t xml:space="preserve">Provide government support to the mapping and assessment of ecosystems and their services, valuation and development of natural capital </w:t>
      </w:r>
      <w:r>
        <w:rPr>
          <w:noProof/>
        </w:rPr>
        <w:t>accounting systems, and use it for policy and decision-making.</w:t>
      </w:r>
    </w:p>
    <w:p w:rsidR="006E58C2" w:rsidRDefault="005B3E0F">
      <w:pPr>
        <w:widowControl w:val="0"/>
        <w:spacing w:before="360" w:after="120" w:line="240" w:lineRule="auto"/>
        <w:outlineLvl w:val="1"/>
        <w:rPr>
          <w:rFonts w:cs="Times New Roman"/>
          <w:b/>
          <w:noProof/>
          <w:color w:val="1F497D" w:themeColor="text2"/>
          <w:sz w:val="24"/>
        </w:rPr>
      </w:pPr>
      <w:bookmarkStart w:id="31" w:name="_Toc456012026"/>
      <w:bookmarkStart w:id="32" w:name="_Toc469413346"/>
      <w:r>
        <w:rPr>
          <w:rFonts w:cs="Times New Roman"/>
          <w:b/>
          <w:noProof/>
          <w:color w:val="1F497D" w:themeColor="text2"/>
          <w:sz w:val="24"/>
        </w:rPr>
        <w:t>Green Infrastructure</w:t>
      </w:r>
      <w:bookmarkEnd w:id="31"/>
      <w:bookmarkEnd w:id="32"/>
      <w:r>
        <w:rPr>
          <w:rFonts w:cs="Times New Roman"/>
          <w:b/>
          <w:noProof/>
          <w:color w:val="1F497D" w:themeColor="text2"/>
          <w:sz w:val="24"/>
        </w:rPr>
        <w:t xml:space="preserve"> </w:t>
      </w:r>
    </w:p>
    <w:p w:rsidR="006E58C2" w:rsidRDefault="005B3E0F">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42"/>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green infrastructure into related plans and programmes to help overcome fragmentation of habitats </w:t>
      </w:r>
      <w:r>
        <w:rPr>
          <w:rFonts w:ascii="Calibri" w:eastAsia="Calibri" w:hAnsi="Calibri" w:cs="Times New Roman"/>
          <w:noProof/>
          <w:color w:val="FFFFFF" w:themeColor="background1"/>
          <w:sz w:val="20"/>
          <w:lang w:eastAsia="ar-SA"/>
        </w:rPr>
        <w:t>and preserve or restore ecological connectivity, enhance ecosystem resilience and thereby ensure the continued provision of ecosystem services.</w:t>
      </w:r>
    </w:p>
    <w:p w:rsidR="006E58C2" w:rsidRDefault="005B3E0F">
      <w:pPr>
        <w:widowControl w:val="0"/>
        <w:spacing w:after="120" w:line="240" w:lineRule="auto"/>
        <w:jc w:val="both"/>
        <w:rPr>
          <w:rFonts w:cs="Times New Roman"/>
          <w:noProof/>
          <w:sz w:val="20"/>
        </w:rPr>
      </w:pPr>
      <w:r>
        <w:rPr>
          <w:rFonts w:cs="Times New Roman"/>
          <w:noProof/>
          <w:sz w:val="20"/>
        </w:rPr>
        <w:t xml:space="preserve">Green Infrastructure provides ecological, economic and social benefits through natural solutions. It helps to </w:t>
      </w:r>
      <w:r>
        <w:rPr>
          <w:rFonts w:cs="Times New Roman"/>
          <w:noProof/>
          <w:sz w:val="20"/>
        </w:rPr>
        <w:t>understand the value of the benefits that nature provides to human society and to mobilise investments to sustain and enhance them.</w:t>
      </w:r>
    </w:p>
    <w:p w:rsidR="006E58C2" w:rsidRDefault="005B3E0F">
      <w:pPr>
        <w:widowControl w:val="0"/>
        <w:spacing w:after="120" w:line="240" w:lineRule="auto"/>
        <w:jc w:val="both"/>
        <w:rPr>
          <w:rFonts w:cs="Times New Roman"/>
          <w:noProof/>
          <w:sz w:val="20"/>
        </w:rPr>
      </w:pPr>
      <w:r>
        <w:rPr>
          <w:rFonts w:cs="Times New Roman"/>
          <w:noProof/>
          <w:sz w:val="20"/>
        </w:rPr>
        <w:t>The restoration and safeguarding of ecosystems has a long background in the academic world in the Czech Republic and is inco</w:t>
      </w:r>
      <w:r>
        <w:rPr>
          <w:rFonts w:cs="Times New Roman"/>
          <w:noProof/>
          <w:sz w:val="20"/>
        </w:rPr>
        <w:t xml:space="preserve">rporated in the planning system. However, the results of this work are not well implemented. </w:t>
      </w:r>
    </w:p>
    <w:p w:rsidR="006E58C2" w:rsidRDefault="005B3E0F">
      <w:pPr>
        <w:widowControl w:val="0"/>
        <w:spacing w:after="120" w:line="240" w:lineRule="auto"/>
        <w:jc w:val="both"/>
        <w:rPr>
          <w:rFonts w:cs="Times New Roman"/>
          <w:noProof/>
          <w:sz w:val="20"/>
        </w:rPr>
      </w:pPr>
      <w:r>
        <w:rPr>
          <w:rFonts w:cs="Times New Roman"/>
          <w:noProof/>
          <w:sz w:val="20"/>
        </w:rPr>
        <w:t xml:space="preserve">In order to monitor landscape fragmentation, work is underway to set indicators for the extent and rate of fragmentation/connectivity of natural and semi-natural </w:t>
      </w:r>
      <w:r>
        <w:rPr>
          <w:rFonts w:cs="Times New Roman"/>
          <w:noProof/>
          <w:sz w:val="20"/>
        </w:rPr>
        <w:t>ecosystems, allowing more efficient monitoring of trend changes and comparison of larger territorial units.</w:t>
      </w:r>
    </w:p>
    <w:p w:rsidR="006E58C2" w:rsidRDefault="005B3E0F">
      <w:pPr>
        <w:widowControl w:val="0"/>
        <w:spacing w:after="120" w:line="240" w:lineRule="auto"/>
        <w:jc w:val="both"/>
        <w:rPr>
          <w:rFonts w:cs="Times New Roman"/>
          <w:noProof/>
          <w:sz w:val="20"/>
        </w:rPr>
      </w:pPr>
      <w:r>
        <w:rPr>
          <w:rFonts w:cs="Times New Roman"/>
          <w:noProof/>
          <w:sz w:val="20"/>
        </w:rPr>
        <w:t>Landscape connectivity is tackled by the national multi-level ecological network called the Territorial System of Ecological Stability of the Landsc</w:t>
      </w:r>
      <w:r>
        <w:rPr>
          <w:rFonts w:cs="Times New Roman"/>
          <w:noProof/>
          <w:sz w:val="20"/>
        </w:rPr>
        <w:t xml:space="preserve">ape. TSES is included in the Nature and Landscape Protection Act, which cites TSES as one of the main tools for landscape and nature protection. </w:t>
      </w:r>
    </w:p>
    <w:p w:rsidR="006E58C2" w:rsidRDefault="005B3E0F">
      <w:pPr>
        <w:widowControl w:val="0"/>
        <w:spacing w:after="120" w:line="240" w:lineRule="auto"/>
        <w:jc w:val="both"/>
        <w:rPr>
          <w:rFonts w:cs="Times New Roman"/>
          <w:noProof/>
          <w:sz w:val="20"/>
        </w:rPr>
      </w:pPr>
      <w:r>
        <w:rPr>
          <w:rFonts w:cs="Times New Roman"/>
          <w:noProof/>
          <w:sz w:val="20"/>
        </w:rPr>
        <w:t>However, the mechanisms for practical protection and restoration of its elements (core areas, ecological corri</w:t>
      </w:r>
      <w:r>
        <w:rPr>
          <w:rFonts w:cs="Times New Roman"/>
          <w:noProof/>
          <w:sz w:val="20"/>
        </w:rPr>
        <w:t>dors and stepping stones which overlap with Natura 2000 areas)</w:t>
      </w:r>
      <w:bookmarkStart w:id="33" w:name="_Toc433296162"/>
      <w:bookmarkEnd w:id="28"/>
      <w:r>
        <w:rPr>
          <w:rFonts w:cs="Times New Roman"/>
          <w:noProof/>
          <w:sz w:val="20"/>
        </w:rPr>
        <w:t xml:space="preserve"> are not always sufficient. </w:t>
      </w:r>
    </w:p>
    <w:p w:rsidR="006E58C2" w:rsidRDefault="005B3E0F">
      <w:pPr>
        <w:widowControl w:val="0"/>
        <w:spacing w:before="360" w:after="120" w:line="240" w:lineRule="auto"/>
        <w:outlineLvl w:val="1"/>
        <w:rPr>
          <w:rFonts w:cs="Times New Roman"/>
          <w:b/>
          <w:noProof/>
          <w:color w:val="1F497D" w:themeColor="text2"/>
          <w:sz w:val="24"/>
        </w:rPr>
      </w:pPr>
      <w:bookmarkStart w:id="34" w:name="_Toc456012027"/>
      <w:bookmarkStart w:id="35" w:name="_Toc469413347"/>
      <w:r>
        <w:rPr>
          <w:rFonts w:cs="Times New Roman"/>
          <w:b/>
          <w:noProof/>
          <w:color w:val="1F497D" w:themeColor="text2"/>
          <w:sz w:val="24"/>
        </w:rPr>
        <w:t>Soil protection</w:t>
      </w:r>
      <w:bookmarkEnd w:id="33"/>
      <w:bookmarkEnd w:id="34"/>
      <w:bookmarkEnd w:id="35"/>
      <w:r>
        <w:rPr>
          <w:rFonts w:cs="Times New Roman"/>
          <w:b/>
          <w:noProof/>
          <w:color w:val="1F497D" w:themeColor="text2"/>
          <w:sz w:val="24"/>
        </w:rPr>
        <w:t xml:space="preserve"> </w:t>
      </w:r>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prevention of further soil degradation and</w:t>
      </w:r>
      <w:r>
        <w:rPr>
          <w:rFonts w:cs="Times New Roman"/>
          <w:noProof/>
          <w:color w:val="FFFFFF" w:themeColor="background1"/>
          <w:sz w:val="20"/>
        </w:rPr>
        <w:t xml:space="preserve"> the preservation of its functions, as well as the restoration of degraded soils. The 2011 Road Map for Resource-Efficient Europe, part of Europe 2020 Strategy provides that by 2020, EU policies take into account their direct and indirect impact on land us</w:t>
      </w:r>
      <w:r>
        <w:rPr>
          <w:rFonts w:cs="Times New Roman"/>
          <w:noProof/>
          <w:color w:val="FFFFFF" w:themeColor="background1"/>
          <w:sz w:val="20"/>
        </w:rPr>
        <w:t>e in the EU and globally, and the rate of land take is on track with an aim to achieve no net land take by 2050.</w:t>
      </w:r>
    </w:p>
    <w:p w:rsidR="006E58C2" w:rsidRDefault="005B3E0F">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 fl</w:t>
      </w:r>
      <w:r>
        <w:rPr>
          <w:rFonts w:ascii="Calibri" w:eastAsia="Calibri" w:hAnsi="Calibri" w:cs="Times New Roman"/>
          <w:noProof/>
          <w:color w:val="FFFFFF"/>
          <w:sz w:val="20"/>
          <w:lang w:eastAsia="ar-SA"/>
        </w:rPr>
        <w:t>oods, and strive to achieve a land-degradation-neutral world by 2030.</w:t>
      </w:r>
    </w:p>
    <w:p w:rsidR="006E58C2" w:rsidRDefault="005B3E0F">
      <w:pPr>
        <w:widowControl w:val="0"/>
        <w:spacing w:before="120" w:after="120" w:line="240" w:lineRule="auto"/>
        <w:jc w:val="both"/>
        <w:rPr>
          <w:noProof/>
          <w:sz w:val="20"/>
          <w:lang w:eastAsia="en-GB"/>
        </w:rPr>
      </w:pPr>
      <w:r>
        <w:rPr>
          <w:noProof/>
          <w:sz w:val="20"/>
          <w:lang w:eastAsia="en-GB"/>
        </w:rPr>
        <w:t xml:space="preserve">Soil is an important resource for life and the economy. It provides key ecosystem services including the provision of food, fibre and biomass for renewable energy, carbon sequestration, </w:t>
      </w:r>
      <w:r>
        <w:rPr>
          <w:noProof/>
          <w:sz w:val="20"/>
          <w:lang w:eastAsia="en-GB"/>
        </w:rPr>
        <w:t xml:space="preserve">water purification and flood regulation, the provision of raw and building material. Soil is a finite and extremely fragile resource and increasingly degrading in the EU. Land taken by urban development and infrastructure is highly unlikely to be reverted </w:t>
      </w:r>
      <w:r>
        <w:rPr>
          <w:noProof/>
          <w:sz w:val="20"/>
          <w:lang w:eastAsia="en-GB"/>
        </w:rPr>
        <w:t>to its natural state; it consumes mostly agricultural land and increases fragmentation of habitats. Soil protection is indirectly addressed in existing EU policies in areas such as agriculture, water, waste, chemicals, and prevention of industrial pollutio</w:t>
      </w:r>
      <w:r>
        <w:rPr>
          <w:noProof/>
          <w:sz w:val="20"/>
          <w:lang w:eastAsia="en-GB"/>
        </w:rPr>
        <w:t>n.</w:t>
      </w:r>
    </w:p>
    <w:p w:rsidR="006E58C2" w:rsidRDefault="005B3E0F">
      <w:pPr>
        <w:widowControl w:val="0"/>
        <w:spacing w:after="120" w:line="240" w:lineRule="auto"/>
        <w:jc w:val="both"/>
        <w:rPr>
          <w:rFonts w:cs="Times New Roman"/>
          <w:noProof/>
          <w:sz w:val="20"/>
        </w:rPr>
      </w:pPr>
      <w:r>
        <w:rPr>
          <w:rFonts w:cs="Times New Roman"/>
          <w:noProof/>
          <w:sz w:val="20"/>
        </w:rPr>
        <w:t>Artificial land cover is used for settlements, production systems and infrastructure. It may itself be split between built-up areas (buildings) and non-built-up areas (such as linear transport networks and associated areas).</w:t>
      </w:r>
    </w:p>
    <w:p w:rsidR="006E58C2" w:rsidRDefault="005B3E0F">
      <w:pPr>
        <w:widowControl w:val="0"/>
        <w:spacing w:after="120" w:line="240" w:lineRule="auto"/>
        <w:jc w:val="both"/>
        <w:rPr>
          <w:rFonts w:cs="Times New Roman"/>
          <w:noProof/>
          <w:sz w:val="20"/>
          <w:szCs w:val="20"/>
        </w:rPr>
      </w:pPr>
      <w:r>
        <w:rPr>
          <w:rFonts w:cs="Times New Roman"/>
          <w:noProof/>
          <w:sz w:val="20"/>
          <w:szCs w:val="20"/>
        </w:rPr>
        <w:t xml:space="preserve">The annual land take rate </w:t>
      </w:r>
      <w:r>
        <w:rPr>
          <w:rFonts w:cs="Times New Roman"/>
          <w:noProof/>
          <w:sz w:val="20"/>
          <w:szCs w:val="20"/>
        </w:rPr>
        <w:t>(growth of artificial areas) as provided by CORINE Land Cover was 0.43% in the Czech Republic over the period 2006-12, around the EU average (0.41%). It represented 2159 hectares per year</w:t>
      </w:r>
      <w:r>
        <w:rPr>
          <w:rFonts w:cs="Times New Roman"/>
          <w:noProof/>
          <w:sz w:val="20"/>
          <w:szCs w:val="20"/>
          <w:vertAlign w:val="superscript"/>
        </w:rPr>
        <w:footnoteReference w:id="43"/>
      </w:r>
      <w:r>
        <w:rPr>
          <w:rFonts w:cs="Times New Roman"/>
          <w:noProof/>
          <w:sz w:val="20"/>
          <w:szCs w:val="20"/>
        </w:rPr>
        <w:t xml:space="preserve"> (in the previous period 2000-2006 it was 1944 hectares) and was mai</w:t>
      </w:r>
      <w:r>
        <w:rPr>
          <w:rFonts w:cs="Times New Roman"/>
          <w:noProof/>
          <w:sz w:val="20"/>
          <w:szCs w:val="20"/>
        </w:rPr>
        <w:t>nly driven by housing, services and recreation as well as industrial and commercial sites.</w:t>
      </w:r>
    </w:p>
    <w:p w:rsidR="006E58C2" w:rsidRDefault="005B3E0F">
      <w:pPr>
        <w:widowControl w:val="0"/>
        <w:spacing w:after="120" w:line="240" w:lineRule="auto"/>
        <w:jc w:val="both"/>
        <w:rPr>
          <w:rFonts w:cs="Times New Roman"/>
          <w:noProof/>
          <w:sz w:val="20"/>
        </w:rPr>
      </w:pPr>
      <w:r>
        <w:rPr>
          <w:rFonts w:cs="Times New Roman"/>
          <w:noProof/>
          <w:sz w:val="20"/>
          <w:szCs w:val="20"/>
        </w:rPr>
        <w:t xml:space="preserve">The percentage of built up land in 2009 was </w:t>
      </w:r>
      <w:r>
        <w:rPr>
          <w:rFonts w:cs="Times New Roman"/>
          <w:noProof/>
          <w:sz w:val="20"/>
        </w:rPr>
        <w:t>3.28</w:t>
      </w:r>
      <w:r>
        <w:rPr>
          <w:rFonts w:cs="Times New Roman"/>
          <w:noProof/>
          <w:sz w:val="20"/>
          <w:szCs w:val="20"/>
        </w:rPr>
        <w:t xml:space="preserve">%, </w:t>
      </w:r>
      <w:r>
        <w:rPr>
          <w:rFonts w:cs="Times New Roman"/>
          <w:noProof/>
          <w:sz w:val="20"/>
        </w:rPr>
        <w:t>close to</w:t>
      </w:r>
      <w:r>
        <w:rPr>
          <w:rFonts w:cs="Times New Roman"/>
          <w:noProof/>
          <w:sz w:val="20"/>
          <w:szCs w:val="20"/>
        </w:rPr>
        <w:t xml:space="preserve"> the EU average (3.23%)</w:t>
      </w:r>
      <w:r>
        <w:rPr>
          <w:rFonts w:cs="Times New Roman"/>
          <w:noProof/>
          <w:sz w:val="20"/>
          <w:szCs w:val="20"/>
          <w:vertAlign w:val="superscript"/>
        </w:rPr>
        <w:footnoteReference w:id="44"/>
      </w:r>
      <w:r>
        <w:rPr>
          <w:rFonts w:cs="Times New Roman"/>
          <w:noProof/>
          <w:sz w:val="20"/>
          <w:szCs w:val="20"/>
        </w:rPr>
        <w:t xml:space="preserve">. The soil water erosion rate in 2010 was </w:t>
      </w:r>
      <w:r>
        <w:rPr>
          <w:rFonts w:cs="Times New Roman"/>
          <w:noProof/>
          <w:sz w:val="20"/>
        </w:rPr>
        <w:t>1.65</w:t>
      </w:r>
      <w:r>
        <w:rPr>
          <w:rFonts w:cs="Times New Roman"/>
          <w:noProof/>
          <w:sz w:val="20"/>
          <w:szCs w:val="20"/>
        </w:rPr>
        <w:t xml:space="preserve"> tonnes per ha per year, </w:t>
      </w:r>
      <w:r>
        <w:rPr>
          <w:rFonts w:cs="Times New Roman"/>
          <w:noProof/>
          <w:sz w:val="20"/>
        </w:rPr>
        <w:t>below</w:t>
      </w:r>
      <w:r>
        <w:rPr>
          <w:rFonts w:cs="Times New Roman"/>
          <w:noProof/>
          <w:sz w:val="20"/>
          <w:szCs w:val="20"/>
        </w:rPr>
        <w:t xml:space="preserve"> EU28 </w:t>
      </w:r>
      <w:r>
        <w:rPr>
          <w:rFonts w:cs="Times New Roman"/>
          <w:noProof/>
          <w:sz w:val="20"/>
          <w:szCs w:val="20"/>
        </w:rPr>
        <w:t>average (2.46 tonnes)</w:t>
      </w:r>
      <w:r>
        <w:rPr>
          <w:rFonts w:cs="Times New Roman"/>
          <w:noProof/>
          <w:sz w:val="20"/>
          <w:szCs w:val="20"/>
          <w:vertAlign w:val="superscript"/>
        </w:rPr>
        <w:footnoteReference w:id="45"/>
      </w:r>
      <w:r>
        <w:rPr>
          <w:rFonts w:cs="Times New Roman"/>
          <w:noProof/>
          <w:sz w:val="20"/>
          <w:szCs w:val="20"/>
        </w:rPr>
        <w:t xml:space="preserve">. </w:t>
      </w:r>
      <w:r>
        <w:rPr>
          <w:rFonts w:cs="Times New Roman"/>
          <w:noProof/>
          <w:sz w:val="20"/>
        </w:rPr>
        <w:t>Figure 8 shows the different land cover types in Czech Republic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4909" w:type="dxa"/>
          </w:tcPr>
          <w:p w:rsidR="006E58C2" w:rsidRDefault="005B3E0F">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Czech Republic in 2012</w:t>
            </w:r>
            <w:r>
              <w:rPr>
                <w:rFonts w:cs="Times New Roman"/>
                <w:b/>
                <w:bCs/>
                <w:noProof/>
                <w:color w:val="1F497D" w:themeColor="text2"/>
                <w:sz w:val="20"/>
                <w:vertAlign w:val="superscript"/>
              </w:rPr>
              <w:footnoteReference w:id="46"/>
            </w:r>
          </w:p>
        </w:tc>
      </w:tr>
      <w:tr w:rsidR="006E58C2">
        <w:tc>
          <w:tcPr>
            <w:tcW w:w="4909" w:type="dxa"/>
          </w:tcPr>
          <w:p w:rsidR="006E58C2" w:rsidRDefault="005B3E0F">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4BEB54F1" wp14:editId="1E26746D">
                  <wp:extent cx="3061335" cy="3649345"/>
                  <wp:effectExtent l="0" t="0" r="5715" b="8255"/>
                  <wp:docPr id="28" name="Picture 28" descr="CZ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_CS_CLC_typ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1335" cy="3649345"/>
                          </a:xfrm>
                          <a:prstGeom prst="rect">
                            <a:avLst/>
                          </a:prstGeom>
                          <a:noFill/>
                          <a:ln>
                            <a:noFill/>
                          </a:ln>
                        </pic:spPr>
                      </pic:pic>
                    </a:graphicData>
                  </a:graphic>
                </wp:inline>
              </w:drawing>
            </w:r>
          </w:p>
        </w:tc>
      </w:tr>
    </w:tbl>
    <w:p w:rsidR="006E58C2" w:rsidRDefault="005B3E0F">
      <w:pPr>
        <w:spacing w:after="120" w:line="240" w:lineRule="auto"/>
        <w:jc w:val="both"/>
        <w:rPr>
          <w:rFonts w:cs="Times New Roman"/>
          <w:noProof/>
          <w:sz w:val="20"/>
          <w:lang w:eastAsia="en-GB"/>
        </w:rPr>
      </w:pPr>
      <w:bookmarkStart w:id="36" w:name="_Toc432428181"/>
      <w:bookmarkStart w:id="37" w:name="_Toc433296163"/>
      <w:r>
        <w:rPr>
          <w:rFonts w:cs="Times New Roman"/>
          <w:noProof/>
          <w:sz w:val="20"/>
          <w:lang w:eastAsia="en-GB"/>
        </w:rPr>
        <w:t xml:space="preserve">There are still not EU-wide datasets enabling the provision of benchmark indicators for soil organic </w:t>
      </w:r>
      <w:r>
        <w:rPr>
          <w:rFonts w:cs="Times New Roman"/>
          <w:noProof/>
          <w:sz w:val="20"/>
          <w:lang w:eastAsia="en-GB"/>
        </w:rPr>
        <w:t>matter decline, contaminated sites, pressures on soil biology and diffuse pollution.</w:t>
      </w:r>
    </w:p>
    <w:p w:rsidR="006E58C2" w:rsidRDefault="005B3E0F">
      <w:pPr>
        <w:widowControl w:val="0"/>
        <w:spacing w:after="120" w:line="240" w:lineRule="auto"/>
        <w:jc w:val="both"/>
        <w:rPr>
          <w:rFonts w:cs="Times New Roman"/>
          <w:i/>
          <w:noProof/>
          <w:sz w:val="20"/>
        </w:rPr>
      </w:pPr>
      <w:r>
        <w:rPr>
          <w:rFonts w:cs="Times New Roman"/>
          <w:noProof/>
          <w:sz w:val="20"/>
        </w:rPr>
        <w:t xml:space="preserve">An updated inventory and assessment of soil protection policy instruments in Czech Republic and other EU Member States is being performed by the EU Expert Group on Soil </w:t>
      </w:r>
      <w:r>
        <w:rPr>
          <w:rFonts w:cs="Times New Roman"/>
          <w:noProof/>
          <w:sz w:val="20"/>
        </w:rPr>
        <w:t>Protection.</w:t>
      </w:r>
    </w:p>
    <w:p w:rsidR="006E58C2" w:rsidRDefault="005B3E0F">
      <w:pPr>
        <w:widowControl w:val="0"/>
        <w:spacing w:after="120" w:line="240" w:lineRule="auto"/>
        <w:jc w:val="both"/>
        <w:rPr>
          <w:rFonts w:cs="Times New Roman"/>
          <w:noProof/>
          <w:sz w:val="20"/>
          <w:szCs w:val="20"/>
        </w:rPr>
      </w:pPr>
      <w:bookmarkStart w:id="38" w:name="_Toc456012028"/>
      <w:r>
        <w:rPr>
          <w:rFonts w:cs="Times New Roman"/>
          <w:noProof/>
          <w:sz w:val="20"/>
          <w:szCs w:val="20"/>
        </w:rPr>
        <w:t>In 2015 the Czech Republic adopted an amendment to the Nature and Landscape Conservation Act which can strengthens the protection of agricultural soil.</w:t>
      </w:r>
      <w:r>
        <w:rPr>
          <w:rFonts w:cs="Times New Roman"/>
          <w:noProof/>
          <w:sz w:val="20"/>
          <w:szCs w:val="20"/>
          <w:vertAlign w:val="superscript"/>
        </w:rPr>
        <w:t xml:space="preserve"> </w:t>
      </w:r>
      <w:r>
        <w:rPr>
          <w:rFonts w:cs="Times New Roman"/>
          <w:noProof/>
          <w:sz w:val="20"/>
          <w:szCs w:val="20"/>
          <w:vertAlign w:val="superscript"/>
        </w:rPr>
        <w:footnoteReference w:id="47"/>
      </w:r>
      <w:r>
        <w:rPr>
          <w:rFonts w:cs="Times New Roman"/>
          <w:noProof/>
          <w:sz w:val="20"/>
          <w:szCs w:val="20"/>
        </w:rPr>
        <w:t xml:space="preserve"> </w:t>
      </w:r>
    </w:p>
    <w:bookmarkEnd w:id="36"/>
    <w:bookmarkEnd w:id="37"/>
    <w:bookmarkEnd w:id="38"/>
    <w:p w:rsidR="006E58C2" w:rsidRDefault="006E58C2">
      <w:pPr>
        <w:widowControl w:val="0"/>
        <w:spacing w:after="120" w:line="240" w:lineRule="auto"/>
        <w:jc w:val="both"/>
        <w:rPr>
          <w:rFonts w:cs="Times New Roman"/>
          <w:noProof/>
          <w:sz w:val="20"/>
        </w:rPr>
        <w:sectPr w:rsidR="006E58C2">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40" w:right="1080" w:bottom="1440" w:left="1080" w:header="708" w:footer="708" w:gutter="0"/>
          <w:cols w:num="2" w:space="360"/>
          <w:docGrid w:linePitch="360"/>
        </w:sectPr>
      </w:pPr>
    </w:p>
    <w:p w:rsidR="006E58C2" w:rsidRDefault="005B3E0F">
      <w:pPr>
        <w:keepNext/>
        <w:keepLines/>
        <w:widowControl w:val="0"/>
        <w:numPr>
          <w:ilvl w:val="0"/>
          <w:numId w:val="27"/>
        </w:numPr>
        <w:spacing w:after="240" w:line="240" w:lineRule="auto"/>
        <w:ind w:left="357" w:hanging="357"/>
        <w:jc w:val="center"/>
        <w:outlineLvl w:val="0"/>
        <w:rPr>
          <w:rFonts w:eastAsiaTheme="majorEastAsia" w:cstheme="majorBidi"/>
          <w:b/>
          <w:bCs/>
          <w:noProof/>
          <w:color w:val="1F497D" w:themeColor="text2"/>
          <w:sz w:val="32"/>
          <w:szCs w:val="28"/>
        </w:rPr>
      </w:pPr>
      <w:bookmarkStart w:id="39" w:name="_Toc454813114"/>
      <w:bookmarkStart w:id="40" w:name="_Toc456012029"/>
      <w:bookmarkStart w:id="41" w:name="_Toc469413348"/>
      <w:r>
        <w:rPr>
          <w:rFonts w:eastAsiaTheme="majorEastAsia" w:cstheme="majorBidi"/>
          <w:b/>
          <w:bCs/>
          <w:noProof/>
          <w:color w:val="1F497D" w:themeColor="text2"/>
          <w:sz w:val="32"/>
          <w:szCs w:val="28"/>
        </w:rPr>
        <w:t>Ensuring citizens' health and quality of life</w:t>
      </w:r>
      <w:bookmarkEnd w:id="39"/>
      <w:bookmarkEnd w:id="40"/>
      <w:bookmarkEnd w:id="41"/>
    </w:p>
    <w:p w:rsidR="006E58C2" w:rsidRDefault="006E58C2">
      <w:pPr>
        <w:widowControl w:val="0"/>
        <w:spacing w:after="120" w:line="240" w:lineRule="auto"/>
        <w:jc w:val="both"/>
        <w:rPr>
          <w:rFonts w:cs="Times New Roman"/>
          <w:noProof/>
          <w:sz w:val="20"/>
        </w:rPr>
        <w:sectPr w:rsidR="006E58C2">
          <w:headerReference w:type="even" r:id="rId82"/>
          <w:headerReference w:type="default" r:id="rId83"/>
          <w:footerReference w:type="even" r:id="rId84"/>
          <w:footerReference w:type="default" r:id="rId85"/>
          <w:headerReference w:type="first" r:id="rId86"/>
          <w:footerReference w:type="first" r:id="rId87"/>
          <w:type w:val="continuous"/>
          <w:pgSz w:w="11906" w:h="16838"/>
          <w:pgMar w:top="1440" w:right="1080" w:bottom="1440" w:left="1080" w:header="708" w:footer="708" w:gutter="0"/>
          <w:cols w:space="566"/>
          <w:docGrid w:linePitch="360"/>
        </w:sectPr>
      </w:pPr>
    </w:p>
    <w:p w:rsidR="006E58C2" w:rsidRDefault="005B3E0F">
      <w:pPr>
        <w:widowControl w:val="0"/>
        <w:spacing w:after="120" w:line="240" w:lineRule="auto"/>
        <w:outlineLvl w:val="1"/>
        <w:rPr>
          <w:rFonts w:cs="Times New Roman"/>
          <w:b/>
          <w:noProof/>
          <w:color w:val="1F497D" w:themeColor="text2"/>
          <w:sz w:val="24"/>
        </w:rPr>
      </w:pPr>
      <w:bookmarkStart w:id="42" w:name="_Toc456012030"/>
      <w:bookmarkStart w:id="43" w:name="_Toc469413349"/>
      <w:r>
        <w:rPr>
          <w:rFonts w:cs="Times New Roman"/>
          <w:b/>
          <w:noProof/>
          <w:color w:val="1F497D" w:themeColor="text2"/>
          <w:sz w:val="24"/>
        </w:rPr>
        <w:t>Air quality</w:t>
      </w:r>
      <w:bookmarkEnd w:id="42"/>
      <w:bookmarkEnd w:id="43"/>
    </w:p>
    <w:tbl>
      <w:tblPr>
        <w:tblStyle w:val="TableGrid2"/>
        <w:tblpPr w:leftFromText="180" w:rightFromText="180" w:vertAnchor="text" w:horzAnchor="margin" w:tblpY="2892"/>
        <w:tblW w:w="101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1"/>
      </w:tblGrid>
      <w:tr w:rsidR="006E58C2">
        <w:trPr>
          <w:trHeight w:val="328"/>
        </w:trPr>
        <w:tc>
          <w:tcPr>
            <w:tcW w:w="10101" w:type="dxa"/>
          </w:tcPr>
          <w:p w:rsidR="006E58C2" w:rsidRDefault="005B3E0F">
            <w:pPr>
              <w:spacing w:after="120"/>
              <w:jc w:val="both"/>
              <w:rPr>
                <w:rFonts w:cs="Times New Roman"/>
                <w:b/>
                <w:bCs/>
                <w:noProof/>
                <w:color w:val="1F497D" w:themeColor="text2"/>
                <w:sz w:val="20"/>
              </w:rPr>
            </w:pPr>
            <w:r>
              <w:rPr>
                <w:rFonts w:cs="Times New Roman"/>
                <w:b/>
                <w:bCs/>
                <w:noProof/>
                <w:color w:val="1F497D" w:themeColor="text2"/>
                <w:sz w:val="20"/>
              </w:rPr>
              <w:t xml:space="preserve">Figure 9: Attainment </w:t>
            </w:r>
            <w:r>
              <w:rPr>
                <w:rFonts w:cs="Times New Roman"/>
                <w:b/>
                <w:bCs/>
                <w:noProof/>
                <w:color w:val="1F497D" w:themeColor="text2"/>
                <w:sz w:val="20"/>
              </w:rPr>
              <w:t>situation for PM10, NO2 and O3 in 2014</w:t>
            </w:r>
          </w:p>
        </w:tc>
      </w:tr>
      <w:tr w:rsidR="006E58C2">
        <w:trPr>
          <w:trHeight w:val="4030"/>
        </w:trPr>
        <w:tc>
          <w:tcPr>
            <w:tcW w:w="10101" w:type="dxa"/>
          </w:tcPr>
          <w:p w:rsidR="006E58C2" w:rsidRDefault="005B3E0F">
            <w:pPr>
              <w:spacing w:after="120"/>
              <w:jc w:val="both"/>
              <w:rPr>
                <w:rFonts w:cs="Times New Roman"/>
                <w:noProof/>
                <w:sz w:val="20"/>
              </w:rPr>
            </w:pPr>
            <w:r>
              <w:rPr>
                <w:rFonts w:cs="Times New Roman"/>
                <w:noProof/>
                <w:sz w:val="20"/>
                <w:lang w:eastAsia="en-GB"/>
              </w:rPr>
              <w:drawing>
                <wp:inline distT="0" distB="0" distL="0" distR="0" wp14:anchorId="444D2907" wp14:editId="5F2BCA8E">
                  <wp:extent cx="6276975" cy="310214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053" cy="3106629"/>
                          </a:xfrm>
                          <a:prstGeom prst="rect">
                            <a:avLst/>
                          </a:prstGeom>
                          <a:noFill/>
                        </pic:spPr>
                      </pic:pic>
                    </a:graphicData>
                  </a:graphic>
                </wp:inline>
              </w:drawing>
            </w:r>
          </w:p>
        </w:tc>
      </w:tr>
    </w:tbl>
    <w:p w:rsidR="006E58C2" w:rsidRDefault="005B3E0F">
      <w:pPr>
        <w:widowControl w:val="0"/>
        <w:shd w:val="clear" w:color="auto" w:fill="4F81BD" w:themeFill="accent1"/>
        <w:spacing w:after="120" w:line="240" w:lineRule="auto"/>
        <w:jc w:val="both"/>
        <w:rPr>
          <w:rFonts w:cs="Times New Roman"/>
          <w:noProof/>
          <w:color w:val="FFFFFF" w:themeColor="background1"/>
          <w:sz w:val="20"/>
          <w:szCs w:val="20"/>
        </w:rPr>
      </w:pPr>
      <w:bookmarkStart w:id="44" w:name="_Toc456012031"/>
      <w:r>
        <w:rPr>
          <w:rFonts w:cs="Times New Roman"/>
          <w:noProof/>
          <w:color w:val="FFFFFF" w:themeColor="background1"/>
          <w:sz w:val="20"/>
          <w:szCs w:val="20"/>
        </w:rPr>
        <w:t xml:space="preserve">The EU Clean Air Policy and legislation require that air quality in the Union is significantly improved, moving closer to the WHO recommended levels. Air pollution and its impacts on ecosystems and biodiversity </w:t>
      </w:r>
      <w:r>
        <w:rPr>
          <w:rFonts w:cs="Times New Roman"/>
          <w:noProof/>
          <w:color w:val="FFFFFF" w:themeColor="background1"/>
          <w:sz w:val="20"/>
          <w:szCs w:val="20"/>
        </w:rPr>
        <w:t>should be further reduced with the long-term aim of not exceeding critical loads and levels. This requires strengthening efforts to reach full compliance with Union air quality legislation and defining strategic targets and actions beyond 2020.</w:t>
      </w:r>
    </w:p>
    <w:p w:rsidR="006E58C2" w:rsidRDefault="005B3E0F">
      <w:pPr>
        <w:widowControl w:val="0"/>
        <w:spacing w:after="120" w:line="240" w:lineRule="auto"/>
        <w:jc w:val="both"/>
        <w:rPr>
          <w:rFonts w:cs="Times New Roman"/>
          <w:noProof/>
          <w:sz w:val="20"/>
          <w:szCs w:val="20"/>
        </w:rPr>
      </w:pPr>
      <w:r>
        <w:rPr>
          <w:rFonts w:cs="Times New Roman"/>
          <w:noProof/>
          <w:sz w:val="20"/>
          <w:szCs w:val="20"/>
        </w:rPr>
        <w:t xml:space="preserve">The EU has </w:t>
      </w:r>
      <w:r>
        <w:rPr>
          <w:rFonts w:cs="Times New Roman"/>
          <w:noProof/>
          <w:sz w:val="20"/>
          <w:szCs w:val="20"/>
        </w:rPr>
        <w:t>developed a comprehensive suite of air quality legislation</w:t>
      </w:r>
      <w:r>
        <w:rPr>
          <w:rFonts w:cs="Times New Roman"/>
          <w:noProof/>
          <w:sz w:val="20"/>
          <w:szCs w:val="20"/>
          <w:vertAlign w:val="superscript"/>
        </w:rPr>
        <w:footnoteReference w:id="48"/>
      </w:r>
      <w:r>
        <w:rPr>
          <w:rFonts w:cs="Times New Roman"/>
          <w:noProof/>
          <w:sz w:val="20"/>
          <w:szCs w:val="20"/>
        </w:rPr>
        <w:t>, which establishes health-based standards and objectives for a number of air pollutants. As part of this, Member States are also required to ensure that up-to-date information on ambient concentra</w:t>
      </w:r>
      <w:r>
        <w:rPr>
          <w:rFonts w:cs="Times New Roman"/>
          <w:noProof/>
          <w:sz w:val="20"/>
          <w:szCs w:val="20"/>
        </w:rPr>
        <w:t>tions of different air pollutants is routinely made available to the public. In addition, the National Emission Ceilings Directive provides for emission reductions at national level that should be achieved for main pollutants.</w:t>
      </w:r>
    </w:p>
    <w:p w:rsidR="006E58C2" w:rsidRDefault="005B3E0F">
      <w:pPr>
        <w:widowControl w:val="0"/>
        <w:spacing w:after="120" w:line="240" w:lineRule="auto"/>
        <w:jc w:val="both"/>
        <w:rPr>
          <w:rFonts w:cs="Times New Roman"/>
          <w:noProof/>
          <w:sz w:val="20"/>
          <w:szCs w:val="20"/>
          <w:lang w:eastAsia="en-GB"/>
        </w:rPr>
      </w:pPr>
      <w:r>
        <w:rPr>
          <w:rFonts w:cs="Times New Roman"/>
          <w:noProof/>
          <w:sz w:val="20"/>
          <w:szCs w:val="20"/>
          <w:lang w:eastAsia="en-GB"/>
        </w:rPr>
        <w:t>The emission of several air p</w:t>
      </w:r>
      <w:r>
        <w:rPr>
          <w:rFonts w:cs="Times New Roman"/>
          <w:noProof/>
          <w:sz w:val="20"/>
          <w:szCs w:val="20"/>
          <w:lang w:eastAsia="en-GB"/>
        </w:rPr>
        <w:t xml:space="preserve">ollutants has decreased significantly in the </w:t>
      </w:r>
      <w:r>
        <w:rPr>
          <w:rFonts w:cs="Times New Roman"/>
          <w:noProof/>
          <w:sz w:val="20"/>
        </w:rPr>
        <w:t xml:space="preserve">Czech Republic </w:t>
      </w:r>
      <w:r>
        <w:rPr>
          <w:rFonts w:cs="Times New Roman"/>
          <w:noProof/>
          <w:sz w:val="20"/>
          <w:szCs w:val="20"/>
          <w:vertAlign w:val="superscript"/>
          <w:lang w:eastAsia="en-GB"/>
        </w:rPr>
        <w:footnoteReference w:id="49"/>
      </w:r>
      <w:r>
        <w:rPr>
          <w:rFonts w:cs="Times New Roman"/>
          <w:noProof/>
          <w:sz w:val="20"/>
          <w:szCs w:val="20"/>
          <w:lang w:eastAsia="en-GB"/>
        </w:rPr>
        <w:t>. Reductions between 1990 and 2014 for sulphur oxides (</w:t>
      </w:r>
      <w:r>
        <w:rPr>
          <w:rFonts w:cs="Times New Roman"/>
          <w:noProof/>
          <w:sz w:val="20"/>
          <w:szCs w:val="20"/>
          <w:lang w:eastAsia="en-GB"/>
        </w:rPr>
        <w:noBreakHyphen/>
        <w:t>93%), nitrogen oxides (-77%), ammonia (-56%) as well as volatile organic compounds (-54%) ensure air emissions for these pollutants are wit</w:t>
      </w:r>
      <w:r>
        <w:rPr>
          <w:rFonts w:cs="Times New Roman"/>
          <w:noProof/>
          <w:sz w:val="20"/>
          <w:szCs w:val="20"/>
          <w:lang w:eastAsia="en-GB"/>
        </w:rPr>
        <w:t>hin the currently applicable national emission ceilings</w:t>
      </w:r>
      <w:r>
        <w:rPr>
          <w:rFonts w:cs="Times New Roman"/>
          <w:noProof/>
          <w:sz w:val="20"/>
          <w:szCs w:val="20"/>
          <w:vertAlign w:val="superscript"/>
          <w:lang w:eastAsia="en-GB"/>
        </w:rPr>
        <w:footnoteReference w:id="50"/>
      </w:r>
      <w:r>
        <w:rPr>
          <w:rFonts w:cs="Times New Roman"/>
          <w:noProof/>
          <w:sz w:val="20"/>
          <w:szCs w:val="20"/>
          <w:lang w:eastAsia="en-GB"/>
        </w:rPr>
        <w:t>.</w:t>
      </w:r>
    </w:p>
    <w:p w:rsidR="006E58C2" w:rsidRDefault="005B3E0F">
      <w:pPr>
        <w:widowControl w:val="0"/>
        <w:spacing w:after="120" w:line="240" w:lineRule="auto"/>
        <w:jc w:val="both"/>
        <w:rPr>
          <w:rFonts w:cs="Times New Roman"/>
          <w:noProof/>
          <w:sz w:val="20"/>
          <w:szCs w:val="20"/>
          <w:lang w:eastAsia="en-GB"/>
        </w:rPr>
      </w:pPr>
      <w:r>
        <w:rPr>
          <w:rFonts w:cs="Times New Roman"/>
          <w:noProof/>
          <w:sz w:val="20"/>
          <w:szCs w:val="20"/>
          <w:lang w:eastAsia="en-GB"/>
        </w:rPr>
        <w:t>At the same time, air quality in Czech Republic continues to give cause for concern. For the year 2013, the European Environment Agency estimated that about 12,030 premature deaths were attributable</w:t>
      </w:r>
      <w:r>
        <w:rPr>
          <w:rFonts w:cs="Times New Roman"/>
          <w:noProof/>
          <w:sz w:val="20"/>
          <w:szCs w:val="20"/>
          <w:lang w:eastAsia="en-GB"/>
        </w:rPr>
        <w:t xml:space="preserve"> to fine particulate matter</w:t>
      </w:r>
      <w:r>
        <w:rPr>
          <w:rFonts w:cs="Times New Roman"/>
          <w:noProof/>
          <w:sz w:val="20"/>
          <w:szCs w:val="20"/>
          <w:vertAlign w:val="superscript"/>
          <w:lang w:eastAsia="en-GB"/>
        </w:rPr>
        <w:footnoteReference w:id="51"/>
      </w:r>
      <w:r>
        <w:rPr>
          <w:rFonts w:cs="Times New Roman"/>
          <w:noProof/>
          <w:sz w:val="20"/>
          <w:szCs w:val="20"/>
          <w:lang w:eastAsia="en-GB"/>
        </w:rPr>
        <w:t xml:space="preserve"> concentrations, 370 to ozone</w:t>
      </w:r>
      <w:r>
        <w:rPr>
          <w:rFonts w:cs="Times New Roman"/>
          <w:noProof/>
          <w:sz w:val="20"/>
          <w:szCs w:val="20"/>
          <w:vertAlign w:val="superscript"/>
          <w:lang w:eastAsia="en-GB"/>
        </w:rPr>
        <w:footnoteReference w:id="52"/>
      </w:r>
      <w:r>
        <w:rPr>
          <w:rFonts w:cs="Times New Roman"/>
          <w:noProof/>
          <w:sz w:val="20"/>
          <w:szCs w:val="20"/>
          <w:lang w:eastAsia="en-GB"/>
        </w:rPr>
        <w:t xml:space="preserve"> concentration and 330 to nitrogen dioxide</w:t>
      </w:r>
      <w:r>
        <w:rPr>
          <w:rFonts w:cs="Times New Roman"/>
          <w:noProof/>
          <w:sz w:val="20"/>
          <w:szCs w:val="20"/>
          <w:vertAlign w:val="superscript"/>
          <w:lang w:eastAsia="en-GB"/>
        </w:rPr>
        <w:footnoteReference w:id="53"/>
      </w:r>
      <w:r>
        <w:rPr>
          <w:rFonts w:cs="Times New Roman"/>
          <w:noProof/>
          <w:sz w:val="20"/>
          <w:szCs w:val="20"/>
          <w:lang w:eastAsia="en-GB"/>
        </w:rPr>
        <w:t xml:space="preserve"> concentrations.</w:t>
      </w:r>
      <w:r>
        <w:rPr>
          <w:rFonts w:cs="Times New Roman"/>
          <w:noProof/>
          <w:sz w:val="20"/>
          <w:szCs w:val="20"/>
          <w:vertAlign w:val="superscript"/>
          <w:lang w:eastAsia="en-GB"/>
        </w:rPr>
        <w:footnoteReference w:id="54"/>
      </w:r>
      <w:r>
        <w:rPr>
          <w:rFonts w:cs="Times New Roman"/>
          <w:noProof/>
          <w:sz w:val="20"/>
          <w:szCs w:val="20"/>
          <w:lang w:eastAsia="en-GB"/>
        </w:rPr>
        <w:t xml:space="preserve"> This is due also to exceedances above the EU air quality standards such as shown in Figure 9</w:t>
      </w:r>
      <w:r>
        <w:rPr>
          <w:rFonts w:cs="Times New Roman"/>
          <w:noProof/>
          <w:sz w:val="20"/>
          <w:szCs w:val="20"/>
          <w:vertAlign w:val="superscript"/>
          <w:lang w:eastAsia="en-GB"/>
        </w:rPr>
        <w:footnoteReference w:id="55"/>
      </w:r>
      <w:r>
        <w:rPr>
          <w:rFonts w:cs="Times New Roman"/>
          <w:noProof/>
          <w:sz w:val="20"/>
          <w:szCs w:val="20"/>
          <w:lang w:eastAsia="en-GB"/>
        </w:rPr>
        <w:t xml:space="preserve">.  </w:t>
      </w:r>
    </w:p>
    <w:p w:rsidR="006E58C2" w:rsidRDefault="005B3E0F">
      <w:pPr>
        <w:widowControl w:val="0"/>
        <w:spacing w:after="120" w:line="240" w:lineRule="auto"/>
        <w:jc w:val="both"/>
        <w:rPr>
          <w:rFonts w:cs="Times New Roman"/>
          <w:noProof/>
          <w:sz w:val="20"/>
          <w:szCs w:val="20"/>
          <w:lang w:eastAsia="en-GB"/>
        </w:rPr>
      </w:pPr>
      <w:r>
        <w:rPr>
          <w:rFonts w:cs="Times New Roman"/>
          <w:noProof/>
          <w:sz w:val="20"/>
          <w:szCs w:val="20"/>
          <w:lang w:eastAsia="en-GB"/>
        </w:rPr>
        <w:t>For 2014, exceedances above the EU air q</w:t>
      </w:r>
      <w:r>
        <w:rPr>
          <w:rFonts w:cs="Times New Roman"/>
          <w:noProof/>
          <w:sz w:val="20"/>
          <w:szCs w:val="20"/>
          <w:lang w:eastAsia="en-GB"/>
        </w:rPr>
        <w:t>uality standards have been registered related to particulate matter (</w:t>
      </w:r>
      <w:r>
        <w:rPr>
          <w:rFonts w:cs="Times New Roman"/>
          <w:noProof/>
          <w:sz w:val="20"/>
          <w:szCs w:val="20"/>
        </w:rPr>
        <w:t>PM</w:t>
      </w:r>
      <w:r>
        <w:rPr>
          <w:rFonts w:cs="Times New Roman"/>
          <w:noProof/>
          <w:sz w:val="20"/>
          <w:szCs w:val="20"/>
          <w:vertAlign w:val="subscript"/>
        </w:rPr>
        <w:t>10</w:t>
      </w:r>
      <w:r>
        <w:rPr>
          <w:rFonts w:cs="Times New Roman"/>
          <w:noProof/>
          <w:sz w:val="20"/>
          <w:szCs w:val="20"/>
        </w:rPr>
        <w:t>)</w:t>
      </w:r>
      <w:r>
        <w:rPr>
          <w:rFonts w:cs="Times New Roman"/>
          <w:noProof/>
          <w:sz w:val="20"/>
          <w:szCs w:val="20"/>
          <w:lang w:eastAsia="en-GB"/>
        </w:rPr>
        <w:t xml:space="preserve"> in ten air quality zones, and annual mean concentration of nitrogen dioxide (NO</w:t>
      </w:r>
      <w:r>
        <w:rPr>
          <w:rFonts w:cs="Times New Roman"/>
          <w:noProof/>
          <w:sz w:val="20"/>
          <w:szCs w:val="20"/>
          <w:vertAlign w:val="subscript"/>
          <w:lang w:eastAsia="en-GB"/>
        </w:rPr>
        <w:t>2</w:t>
      </w:r>
      <w:r>
        <w:rPr>
          <w:rFonts w:cs="Times New Roman"/>
          <w:noProof/>
          <w:sz w:val="20"/>
          <w:szCs w:val="20"/>
          <w:lang w:eastAsia="en-GB"/>
        </w:rPr>
        <w:t>) in one air quality zone (Prague). Furthermore, four air quality zones have indicated exceedances re</w:t>
      </w:r>
      <w:r>
        <w:rPr>
          <w:rFonts w:cs="Times New Roman"/>
          <w:noProof/>
          <w:sz w:val="20"/>
          <w:szCs w:val="20"/>
          <w:lang w:eastAsia="en-GB"/>
        </w:rPr>
        <w:t>garding fine particulate matter (</w:t>
      </w:r>
      <w:r>
        <w:rPr>
          <w:rFonts w:cs="Times New Roman"/>
          <w:noProof/>
          <w:sz w:val="20"/>
          <w:szCs w:val="20"/>
        </w:rPr>
        <w:t>PM</w:t>
      </w:r>
      <w:r>
        <w:rPr>
          <w:rFonts w:cs="Times New Roman"/>
          <w:noProof/>
          <w:sz w:val="20"/>
          <w:szCs w:val="20"/>
          <w:vertAlign w:val="subscript"/>
        </w:rPr>
        <w:t>2.5</w:t>
      </w:r>
      <w:r>
        <w:rPr>
          <w:rFonts w:cs="Times New Roman"/>
          <w:noProof/>
          <w:sz w:val="20"/>
          <w:szCs w:val="20"/>
        </w:rPr>
        <w:t>), for which the limit value has become binding only in 2015. T</w:t>
      </w:r>
      <w:r>
        <w:rPr>
          <w:rFonts w:cs="Times New Roman"/>
          <w:noProof/>
          <w:sz w:val="20"/>
          <w:szCs w:val="20"/>
          <w:lang w:eastAsia="en-GB"/>
        </w:rPr>
        <w:t>arget values for annual mean concentrations have been exceeded in at least one air quality zone for cadmium, benzo(a)pyrene, nitrogen oxides, sulphur dioxi</w:t>
      </w:r>
      <w:r>
        <w:rPr>
          <w:rFonts w:cs="Times New Roman"/>
          <w:noProof/>
          <w:sz w:val="20"/>
          <w:szCs w:val="20"/>
          <w:lang w:eastAsia="en-GB"/>
        </w:rPr>
        <w:t>de as well as ozone.</w:t>
      </w:r>
      <w:r>
        <w:rPr>
          <w:rStyle w:val="FootnoteReference"/>
          <w:rFonts w:cs="Times New Roman"/>
          <w:noProof/>
          <w:sz w:val="20"/>
          <w:szCs w:val="20"/>
          <w:lang w:eastAsia="en-GB"/>
        </w:rPr>
        <w:footnoteReference w:id="56"/>
      </w:r>
    </w:p>
    <w:p w:rsidR="006E58C2" w:rsidRDefault="005B3E0F">
      <w:pPr>
        <w:widowControl w:val="0"/>
        <w:spacing w:after="120" w:line="240" w:lineRule="auto"/>
        <w:jc w:val="both"/>
        <w:rPr>
          <w:rFonts w:cs="Times New Roman"/>
          <w:noProof/>
          <w:sz w:val="20"/>
          <w:szCs w:val="20"/>
          <w:lang w:eastAsia="en-GB"/>
        </w:rPr>
      </w:pPr>
      <w:r>
        <w:rPr>
          <w:rFonts w:cs="Times New Roman"/>
          <w:noProof/>
          <w:sz w:val="20"/>
          <w:szCs w:val="20"/>
          <w:lang w:eastAsia="en-GB"/>
        </w:rPr>
        <w:t>The persistent breaches of air quality requirements (for PM</w:t>
      </w:r>
      <w:r>
        <w:rPr>
          <w:rFonts w:cs="Times New Roman"/>
          <w:noProof/>
          <w:sz w:val="20"/>
          <w:szCs w:val="20"/>
          <w:vertAlign w:val="subscript"/>
          <w:lang w:eastAsia="en-GB"/>
        </w:rPr>
        <w:t>10</w:t>
      </w:r>
      <w:r>
        <w:rPr>
          <w:rFonts w:cs="Times New Roman"/>
          <w:noProof/>
          <w:sz w:val="20"/>
          <w:szCs w:val="20"/>
          <w:lang w:eastAsia="en-GB"/>
        </w:rPr>
        <w:t xml:space="preserve"> and NO</w:t>
      </w:r>
      <w:r>
        <w:rPr>
          <w:rFonts w:cs="Times New Roman"/>
          <w:noProof/>
          <w:sz w:val="20"/>
          <w:szCs w:val="20"/>
          <w:vertAlign w:val="subscript"/>
          <w:lang w:eastAsia="en-GB"/>
        </w:rPr>
        <w:t>2</w:t>
      </w:r>
      <w:r>
        <w:rPr>
          <w:rFonts w:cs="Times New Roman"/>
          <w:noProof/>
          <w:sz w:val="20"/>
          <w:szCs w:val="20"/>
          <w:lang w:eastAsia="en-GB"/>
        </w:rPr>
        <w:t xml:space="preserve">), which have severe negative effects on health and environment, are being followed up by the European Commission through infringement procedures covering all the </w:t>
      </w:r>
      <w:r>
        <w:rPr>
          <w:rFonts w:cs="Times New Roman"/>
          <w:noProof/>
          <w:sz w:val="20"/>
          <w:szCs w:val="20"/>
          <w:lang w:eastAsia="en-GB"/>
        </w:rPr>
        <w:t>Member States concerned, including Czech Republic. The aim is that adequate measures are put in place to bring all zones into compliance.</w:t>
      </w:r>
    </w:p>
    <w:p w:rsidR="006E58C2" w:rsidRDefault="005B3E0F">
      <w:pPr>
        <w:widowControl w:val="0"/>
        <w:spacing w:after="120" w:line="240" w:lineRule="auto"/>
        <w:jc w:val="both"/>
        <w:rPr>
          <w:rFonts w:cs="Times New Roman"/>
          <w:noProof/>
          <w:sz w:val="20"/>
          <w:szCs w:val="20"/>
          <w:lang w:eastAsia="en-GB"/>
        </w:rPr>
      </w:pPr>
      <w:r>
        <w:rPr>
          <w:rFonts w:cs="Times New Roman"/>
          <w:noProof/>
          <w:sz w:val="20"/>
          <w:szCs w:val="20"/>
          <w:lang w:eastAsia="en-GB"/>
        </w:rPr>
        <w:t>It has been estimated that the health-related external costs from air pollution in Czech Republic are above EUR 6 bill</w:t>
      </w:r>
      <w:r>
        <w:rPr>
          <w:rFonts w:cs="Times New Roman"/>
          <w:noProof/>
          <w:sz w:val="20"/>
          <w:szCs w:val="20"/>
          <w:lang w:eastAsia="en-GB"/>
        </w:rPr>
        <w:t>ion/year (income adjusted, 2010), which include not only the intrinsic value of living a full health life but also direct costs to the economy. These direct economic costs relate to 4 million workdays lost each year due to sickness related to air pollution</w:t>
      </w:r>
      <w:r>
        <w:rPr>
          <w:rFonts w:cs="Times New Roman"/>
          <w:noProof/>
          <w:sz w:val="20"/>
          <w:szCs w:val="20"/>
          <w:lang w:eastAsia="en-GB"/>
        </w:rPr>
        <w:t>, with associated costs for employers of EUR 388 million/year (income adjusted, 2010), for healthcare of above EUR 21 million/year (income adjusted, 2010), and for agriculture (crop losses) of EUR 102 million/year (2010).</w:t>
      </w:r>
      <w:r>
        <w:rPr>
          <w:rFonts w:cs="Times New Roman"/>
          <w:noProof/>
          <w:sz w:val="20"/>
          <w:szCs w:val="20"/>
          <w:vertAlign w:val="superscript"/>
          <w:lang w:eastAsia="en-GB"/>
        </w:rPr>
        <w:t xml:space="preserve"> </w:t>
      </w:r>
      <w:r>
        <w:rPr>
          <w:rFonts w:cs="Times New Roman"/>
          <w:noProof/>
          <w:sz w:val="20"/>
          <w:szCs w:val="20"/>
          <w:vertAlign w:val="superscript"/>
          <w:lang w:eastAsia="en-GB"/>
        </w:rPr>
        <w:footnoteReference w:id="57"/>
      </w:r>
    </w:p>
    <w:p w:rsidR="006E58C2" w:rsidRDefault="005B3E0F">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6E58C2" w:rsidRDefault="005B3E0F">
      <w:pPr>
        <w:widowControl w:val="0"/>
        <w:spacing w:after="120" w:line="240" w:lineRule="auto"/>
        <w:jc w:val="both"/>
        <w:rPr>
          <w:rFonts w:cs="Times New Roman"/>
          <w:noProof/>
          <w:sz w:val="20"/>
          <w:szCs w:val="20"/>
          <w:lang w:eastAsia="en-GB"/>
        </w:rPr>
      </w:pPr>
      <w:r>
        <w:rPr>
          <w:rFonts w:cs="Times New Roman"/>
          <w:noProof/>
          <w:sz w:val="20"/>
          <w:szCs w:val="20"/>
          <w:lang w:eastAsia="en-GB"/>
        </w:rPr>
        <w:t>Maintain downwa</w:t>
      </w:r>
      <w:r>
        <w:rPr>
          <w:rFonts w:cs="Times New Roman"/>
          <w:noProof/>
          <w:sz w:val="20"/>
          <w:szCs w:val="20"/>
          <w:lang w:eastAsia="en-GB"/>
        </w:rPr>
        <w:t xml:space="preserve">rd emissions trends of air pollutants in order to achieve full compliance with air quality limit values </w:t>
      </w:r>
      <w:r>
        <w:rPr>
          <w:noProof/>
          <w:sz w:val="20"/>
          <w:szCs w:val="20"/>
        </w:rPr>
        <w:t>- and reduce adverse air pollution impacts on health, environment and economy.</w:t>
      </w:r>
    </w:p>
    <w:p w:rsidR="006E58C2" w:rsidRDefault="005B3E0F">
      <w:pPr>
        <w:widowControl w:val="0"/>
        <w:spacing w:after="120" w:line="240" w:lineRule="auto"/>
        <w:jc w:val="both"/>
        <w:rPr>
          <w:rFonts w:cs="Times New Roman"/>
          <w:noProof/>
          <w:sz w:val="20"/>
          <w:szCs w:val="20"/>
          <w:lang w:eastAsia="en-GB"/>
        </w:rPr>
      </w:pPr>
      <w:r>
        <w:rPr>
          <w:rFonts w:cs="Times New Roman"/>
          <w:noProof/>
          <w:sz w:val="20"/>
          <w:szCs w:val="20"/>
          <w:lang w:eastAsia="en-GB"/>
        </w:rPr>
        <w:t>Reduce nitrogen oxide (NO</w:t>
      </w:r>
      <w:r>
        <w:rPr>
          <w:rFonts w:cs="Times New Roman"/>
          <w:noProof/>
          <w:sz w:val="20"/>
          <w:szCs w:val="20"/>
          <w:vertAlign w:val="subscript"/>
          <w:lang w:eastAsia="en-GB"/>
        </w:rPr>
        <w:t>x</w:t>
      </w:r>
      <w:r>
        <w:rPr>
          <w:rFonts w:cs="Times New Roman"/>
          <w:noProof/>
          <w:sz w:val="20"/>
          <w:szCs w:val="20"/>
          <w:lang w:eastAsia="en-GB"/>
        </w:rPr>
        <w:t>) emissions to comply with currently applicable</w:t>
      </w:r>
      <w:r>
        <w:rPr>
          <w:rFonts w:cs="Times New Roman"/>
          <w:noProof/>
          <w:sz w:val="20"/>
          <w:szCs w:val="20"/>
          <w:lang w:eastAsia="en-GB"/>
        </w:rPr>
        <w:t xml:space="preserve"> national emission ceilings</w:t>
      </w:r>
      <w:r>
        <w:rPr>
          <w:rStyle w:val="FootnoteReference"/>
          <w:noProof/>
          <w:sz w:val="20"/>
          <w:szCs w:val="20"/>
        </w:rPr>
        <w:footnoteReference w:id="58"/>
      </w:r>
      <w:r>
        <w:rPr>
          <w:noProof/>
          <w:sz w:val="20"/>
          <w:szCs w:val="20"/>
        </w:rPr>
        <w:t xml:space="preserve"> </w:t>
      </w:r>
      <w:r>
        <w:rPr>
          <w:rFonts w:cs="Times New Roman"/>
          <w:noProof/>
          <w:sz w:val="20"/>
          <w:szCs w:val="20"/>
          <w:lang w:eastAsia="en-GB"/>
        </w:rPr>
        <w:t xml:space="preserve"> and/or to reduce nitrogen dioxide (NO</w:t>
      </w:r>
      <w:r>
        <w:rPr>
          <w:rFonts w:cs="Times New Roman"/>
          <w:noProof/>
          <w:sz w:val="20"/>
          <w:szCs w:val="20"/>
          <w:vertAlign w:val="subscript"/>
          <w:lang w:eastAsia="en-GB"/>
        </w:rPr>
        <w:t>2</w:t>
      </w:r>
      <w:r>
        <w:rPr>
          <w:rFonts w:cs="Times New Roman"/>
          <w:noProof/>
          <w:sz w:val="20"/>
          <w:szCs w:val="20"/>
          <w:lang w:eastAsia="en-GB"/>
        </w:rPr>
        <w:t>) (and ozone concentrations), inter alia, by reducing transport related emissions - in particular in urban areas.</w:t>
      </w:r>
    </w:p>
    <w:p w:rsidR="006E58C2" w:rsidRDefault="005B3E0F">
      <w:pPr>
        <w:widowControl w:val="0"/>
        <w:spacing w:after="120" w:line="240" w:lineRule="auto"/>
        <w:jc w:val="both"/>
        <w:rPr>
          <w:rFonts w:cs="Times New Roman"/>
          <w:noProof/>
          <w:sz w:val="20"/>
          <w:szCs w:val="20"/>
          <w:lang w:eastAsia="en-GB"/>
        </w:rPr>
      </w:pPr>
      <w:r>
        <w:rPr>
          <w:noProof/>
          <w:sz w:val="20"/>
          <w:szCs w:val="20"/>
        </w:rPr>
        <w:t>Reduce PM</w:t>
      </w:r>
      <w:r>
        <w:rPr>
          <w:noProof/>
          <w:sz w:val="20"/>
          <w:szCs w:val="20"/>
          <w:vertAlign w:val="subscript"/>
        </w:rPr>
        <w:t>10</w:t>
      </w:r>
      <w:r>
        <w:rPr>
          <w:noProof/>
          <w:sz w:val="20"/>
          <w:szCs w:val="20"/>
        </w:rPr>
        <w:t xml:space="preserve"> emission and concentration, inter alia, by reducing emissions </w:t>
      </w:r>
      <w:r>
        <w:rPr>
          <w:noProof/>
          <w:sz w:val="20"/>
          <w:szCs w:val="20"/>
        </w:rPr>
        <w:t>related to energy and heat generation using solid fuels, to transport and to agriculture.</w:t>
      </w:r>
    </w:p>
    <w:p w:rsidR="006E58C2" w:rsidRDefault="005B3E0F">
      <w:pPr>
        <w:widowControl w:val="0"/>
        <w:spacing w:before="360" w:after="120" w:line="240" w:lineRule="auto"/>
        <w:outlineLvl w:val="1"/>
        <w:rPr>
          <w:b/>
          <w:i/>
          <w:noProof/>
          <w:color w:val="1F497D" w:themeColor="text2"/>
          <w:sz w:val="24"/>
        </w:rPr>
      </w:pPr>
      <w:bookmarkStart w:id="45" w:name="_Toc469413350"/>
      <w:r>
        <w:rPr>
          <w:rFonts w:cs="Times New Roman"/>
          <w:b/>
          <w:noProof/>
          <w:color w:val="1F497D" w:themeColor="text2"/>
          <w:sz w:val="24"/>
        </w:rPr>
        <w:t>Noise</w:t>
      </w:r>
      <w:bookmarkEnd w:id="44"/>
      <w:bookmarkEnd w:id="45"/>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approach for the avoidance, prevention and reduction of harmful effects due to exposure to environmental</w:t>
      </w:r>
      <w:r>
        <w:rPr>
          <w:rFonts w:cs="Times New Roman"/>
          <w:noProof/>
          <w:color w:val="FFFFFF" w:themeColor="background1"/>
          <w:sz w:val="20"/>
        </w:rPr>
        <w:t xml:space="preserve"> noise.</w:t>
      </w:r>
    </w:p>
    <w:p w:rsidR="006E58C2" w:rsidRDefault="005B3E0F">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9"/>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the exposure to environmental noise through noise mapping, ensuring that information on environmental noise and its effects is made available to the public, and adopting action plans with a view to preven</w:t>
      </w:r>
      <w:r>
        <w:rPr>
          <w:rFonts w:cs="Times New Roman"/>
          <w:noProof/>
          <w:sz w:val="20"/>
        </w:rPr>
        <w:t>ting and reducing environmental noise where necessary and to preserving the acoustic environment quality where it is good.</w:t>
      </w:r>
    </w:p>
    <w:p w:rsidR="006E58C2" w:rsidRDefault="005B3E0F">
      <w:pPr>
        <w:widowControl w:val="0"/>
        <w:spacing w:after="120" w:line="240" w:lineRule="auto"/>
        <w:jc w:val="both"/>
        <w:rPr>
          <w:rFonts w:cs="Times New Roman"/>
          <w:noProof/>
          <w:sz w:val="20"/>
        </w:rPr>
      </w:pPr>
      <w:r>
        <w:rPr>
          <w:rFonts w:cs="Times New Roman"/>
          <w:noProof/>
          <w:sz w:val="20"/>
        </w:rPr>
        <w:t>The Czech Republic’s implementation of the Environmental Noise Directive</w:t>
      </w:r>
      <w:r>
        <w:rPr>
          <w:rFonts w:cs="Times New Roman"/>
          <w:noProof/>
          <w:sz w:val="20"/>
          <w:vertAlign w:val="superscript"/>
        </w:rPr>
        <w:footnoteReference w:id="60"/>
      </w:r>
      <w:r>
        <w:rPr>
          <w:rFonts w:cs="Times New Roman"/>
          <w:noProof/>
          <w:sz w:val="20"/>
        </w:rPr>
        <w:t xml:space="preserve"> is delayed. The noise mapping for the most recent reporting</w:t>
      </w:r>
      <w:r>
        <w:rPr>
          <w:rFonts w:cs="Times New Roman"/>
          <w:noProof/>
          <w:sz w:val="20"/>
        </w:rPr>
        <w:t xml:space="preserve"> round, for the reference year 2011, is complete. However, action plans for noise management in the current period have not been adopted for any of the agglomerations, major roads, major railways or major airports within the scope of the Directive. The Com</w:t>
      </w:r>
      <w:r>
        <w:rPr>
          <w:rFonts w:cs="Times New Roman"/>
          <w:noProof/>
          <w:sz w:val="20"/>
        </w:rPr>
        <w:t>mission contacted the Czech authorities with regard to the missing action plans, and continues to follow up on the situation. Complaints on infrastructure development are often related to noise issues, especially for infrastructure projects with outdated E</w:t>
      </w:r>
      <w:r>
        <w:rPr>
          <w:rFonts w:cs="Times New Roman"/>
          <w:noProof/>
          <w:sz w:val="20"/>
        </w:rPr>
        <w:t>IA assessments.</w:t>
      </w:r>
    </w:p>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E58C2" w:rsidRDefault="005B3E0F">
      <w:pPr>
        <w:pStyle w:val="NoSpacing"/>
        <w:rPr>
          <w:noProof/>
        </w:rPr>
      </w:pPr>
      <w:r>
        <w:rPr>
          <w:noProof/>
        </w:rPr>
        <w:t>Complete action plans for noise management and use them in planning.</w:t>
      </w:r>
    </w:p>
    <w:p w:rsidR="006E58C2" w:rsidRDefault="005B3E0F">
      <w:pPr>
        <w:widowControl w:val="0"/>
        <w:spacing w:before="360" w:after="120" w:line="240" w:lineRule="auto"/>
        <w:outlineLvl w:val="1"/>
        <w:rPr>
          <w:rFonts w:cs="Times New Roman"/>
          <w:b/>
          <w:noProof/>
          <w:color w:val="1F497D" w:themeColor="text2"/>
          <w:sz w:val="24"/>
          <w:lang w:eastAsia="en-GB"/>
        </w:rPr>
      </w:pPr>
      <w:bookmarkStart w:id="46" w:name="_Toc454460685"/>
      <w:bookmarkStart w:id="47" w:name="_Toc456012032"/>
      <w:bookmarkStart w:id="48" w:name="_Toc469413351"/>
      <w:r>
        <w:rPr>
          <w:rFonts w:cs="Times New Roman"/>
          <w:b/>
          <w:noProof/>
          <w:color w:val="1F497D" w:themeColor="text2"/>
          <w:sz w:val="24"/>
          <w:lang w:eastAsia="en-GB"/>
        </w:rPr>
        <w:t>Water quality and management</w:t>
      </w:r>
      <w:bookmarkEnd w:id="46"/>
      <w:bookmarkEnd w:id="47"/>
      <w:bookmarkEnd w:id="48"/>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 the impact of pressures on transitional, coastal and fresh waters (including</w:t>
      </w:r>
      <w:r>
        <w:rPr>
          <w:rFonts w:cs="Times New Roman"/>
          <w:noProof/>
          <w:color w:val="FFFFFF" w:themeColor="background1"/>
          <w:sz w:val="20"/>
        </w:rPr>
        <w:t xml:space="preserve"> surface and ground waters) is significantly reduced to achieve, maintain or enhance good status of water bodies, as defined by the Water Framework Directive; that citizens throughout the Union benefit from high standards for safe drinking and bathing wate</w:t>
      </w:r>
      <w:r>
        <w:rPr>
          <w:rFonts w:cs="Times New Roman"/>
          <w:noProof/>
          <w:color w:val="FFFFFF" w:themeColor="background1"/>
          <w:sz w:val="20"/>
        </w:rPr>
        <w:t>r; and that the nutrient cycle (nitrogen and phosphorus) is managed in a more sustainable and resource-efficient way.</w:t>
      </w:r>
    </w:p>
    <w:p w:rsidR="006E58C2" w:rsidRDefault="005B3E0F">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6E58C2" w:rsidRDefault="005B3E0F">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main overall objective o</w:t>
      </w:r>
      <w:r>
        <w:rPr>
          <w:rFonts w:eastAsia="Times New Roman" w:cs="Times New Roman"/>
          <w:noProof/>
          <w:color w:val="000000"/>
          <w:sz w:val="20"/>
          <w:szCs w:val="20"/>
        </w:rPr>
        <w:t xml:space="preserve">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1"/>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flooding.</w:t>
      </w:r>
      <w:r>
        <w:rPr>
          <w:rFonts w:eastAsia="Times New Roman" w:cs="Times New Roman"/>
          <w:noProof/>
          <w:color w:val="000000"/>
          <w:sz w:val="20"/>
          <w:szCs w:val="20"/>
        </w:rPr>
        <w:t xml:space="preserve"> </w:t>
      </w:r>
    </w:p>
    <w:p w:rsidR="006E58C2" w:rsidRDefault="005B3E0F">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and r</w:t>
      </w:r>
      <w:r>
        <w:rPr>
          <w:rFonts w:cs="Times New Roman"/>
          <w:noProof/>
          <w:sz w:val="20"/>
        </w:rPr>
        <w:t>ivers, groundwater, estuaries and coastal waters up to one nautical mile.</w:t>
      </w:r>
    </w:p>
    <w:p w:rsidR="006E58C2" w:rsidRDefault="005B3E0F">
      <w:pPr>
        <w:widowControl w:val="0"/>
        <w:autoSpaceDE w:val="0"/>
        <w:spacing w:after="120" w:line="240" w:lineRule="auto"/>
        <w:jc w:val="both"/>
        <w:rPr>
          <w:rFonts w:cs="Times New Roman"/>
          <w:noProof/>
          <w:sz w:val="20"/>
        </w:rPr>
      </w:pPr>
      <w:r>
        <w:rPr>
          <w:rFonts w:cs="Times New Roman"/>
          <w:noProof/>
          <w:sz w:val="20"/>
        </w:rPr>
        <w:t>The Czech Republic has provided information to the Commission from its second generation of RBMPs. However, as the Commission has not yet been able to validate this information for a</w:t>
      </w:r>
      <w:r>
        <w:rPr>
          <w:rFonts w:cs="Times New Roman"/>
          <w:noProof/>
          <w:sz w:val="20"/>
        </w:rPr>
        <w:t>ll Member States, it is not reported here.</w:t>
      </w:r>
    </w:p>
    <w:p w:rsidR="006E58C2" w:rsidRDefault="005B3E0F">
      <w:pPr>
        <w:widowControl w:val="0"/>
        <w:autoSpaceDE w:val="0"/>
        <w:spacing w:after="120" w:line="240" w:lineRule="auto"/>
        <w:jc w:val="both"/>
        <w:rPr>
          <w:rFonts w:cs="Times New Roman"/>
          <w:noProof/>
          <w:sz w:val="20"/>
        </w:rPr>
      </w:pPr>
      <w:r>
        <w:rPr>
          <w:rFonts w:eastAsia="Times New Roman" w:cs="Times New Roman"/>
          <w:noProof/>
          <w:color w:val="000000"/>
          <w:sz w:val="20"/>
          <w:szCs w:val="20"/>
        </w:rPr>
        <w:t>In its first generation of RBMPs under the WFD Czech Republic reported the status of 1069 rivers, 71 lakes and 173 groundwater bodies. Only 20% of natural surface water bodies achieve a good or high ecological sta</w:t>
      </w:r>
      <w:r>
        <w:rPr>
          <w:rFonts w:eastAsia="Times New Roman" w:cs="Times New Roman"/>
          <w:noProof/>
          <w:color w:val="000000"/>
          <w:sz w:val="20"/>
          <w:szCs w:val="20"/>
        </w:rPr>
        <w:t>tus</w:t>
      </w:r>
      <w:r>
        <w:rPr>
          <w:rFonts w:eastAsia="Times New Roman" w:cs="Times New Roman"/>
          <w:noProof/>
          <w:color w:val="000000"/>
          <w:sz w:val="20"/>
          <w:szCs w:val="20"/>
          <w:vertAlign w:val="superscript"/>
        </w:rPr>
        <w:footnoteReference w:id="62"/>
      </w:r>
      <w:r>
        <w:rPr>
          <w:rFonts w:eastAsia="Times New Roman" w:cs="Times New Roman"/>
          <w:noProof/>
          <w:color w:val="000000"/>
          <w:sz w:val="20"/>
          <w:szCs w:val="20"/>
        </w:rPr>
        <w:t xml:space="preserve"> and 7% of heavily modified or artificial water bodies</w:t>
      </w:r>
      <w:r>
        <w:rPr>
          <w:rFonts w:eastAsia="Times New Roman" w:cs="Times New Roman"/>
          <w:noProof/>
          <w:color w:val="000000"/>
          <w:sz w:val="20"/>
          <w:szCs w:val="20"/>
          <w:vertAlign w:val="superscript"/>
        </w:rPr>
        <w:footnoteReference w:id="63"/>
      </w:r>
      <w:r>
        <w:rPr>
          <w:rFonts w:eastAsia="Times New Roman" w:cs="Times New Roman"/>
          <w:noProof/>
          <w:color w:val="000000"/>
          <w:sz w:val="20"/>
          <w:szCs w:val="20"/>
        </w:rPr>
        <w:t xml:space="preserve"> achieve a good or high ecological potential. 72% of </w:t>
      </w:r>
      <w:r>
        <w:rPr>
          <w:rFonts w:cs="Times New Roman"/>
          <w:noProof/>
          <w:sz w:val="20"/>
        </w:rPr>
        <w:t>surface water bodies, 67% of heavily modified and artificial water bodies and only 21% of groundwater bodies achieve good chemical status</w:t>
      </w:r>
      <w:r>
        <w:rPr>
          <w:rFonts w:cs="Times New Roman"/>
          <w:noProof/>
          <w:sz w:val="20"/>
          <w:vertAlign w:val="superscript"/>
        </w:rPr>
        <w:footnoteReference w:id="64"/>
      </w:r>
      <w:r>
        <w:rPr>
          <w:rFonts w:cs="Times New Roman"/>
          <w:noProof/>
          <w:sz w:val="20"/>
        </w:rPr>
        <w:t xml:space="preserve">. 65% </w:t>
      </w:r>
      <w:r>
        <w:rPr>
          <w:rFonts w:cs="Times New Roman"/>
          <w:noProof/>
          <w:sz w:val="20"/>
        </w:rPr>
        <w:t>of groundwater bodies are in good quantitative status</w:t>
      </w:r>
      <w:r>
        <w:rPr>
          <w:rFonts w:cs="Times New Roman"/>
          <w:noProof/>
          <w:sz w:val="20"/>
          <w:vertAlign w:val="superscript"/>
        </w:rPr>
        <w:footnoteReference w:id="65"/>
      </w:r>
      <w:r>
        <w:rPr>
          <w:rFonts w:cs="Times New Roman"/>
          <w:noProof/>
          <w:sz w:val="20"/>
        </w:rPr>
        <w:t>.</w:t>
      </w:r>
    </w:p>
    <w:p w:rsidR="006E58C2" w:rsidRDefault="005B3E0F">
      <w:pPr>
        <w:widowControl w:val="0"/>
        <w:autoSpaceDE w:val="0"/>
        <w:spacing w:after="120" w:line="240" w:lineRule="auto"/>
        <w:jc w:val="both"/>
        <w:rPr>
          <w:rFonts w:cs="Times New Roman"/>
          <w:noProof/>
          <w:sz w:val="20"/>
          <w:szCs w:val="20"/>
        </w:rPr>
      </w:pPr>
      <w:r>
        <w:rPr>
          <w:rFonts w:cs="Times New Roman"/>
          <w:noProof/>
          <w:sz w:val="20"/>
        </w:rPr>
        <w:t>The main pressure on Czech waters is flow regulation and hydromorphological alteration that affect 67% of surface water bodies</w:t>
      </w:r>
      <w:r>
        <w:rPr>
          <w:rFonts w:cs="Times New Roman"/>
          <w:noProof/>
          <w:sz w:val="20"/>
          <w:szCs w:val="20"/>
        </w:rPr>
        <w:t>. 51% of water bodies are affected by diffuse sources of pollution sources</w:t>
      </w:r>
      <w:r>
        <w:rPr>
          <w:rFonts w:cs="Times New Roman"/>
          <w:noProof/>
          <w:sz w:val="20"/>
          <w:szCs w:val="20"/>
          <w:vertAlign w:val="superscript"/>
        </w:rPr>
        <w:footnoteReference w:id="66"/>
      </w:r>
      <w:r>
        <w:rPr>
          <w:rFonts w:cs="Times New Roman"/>
          <w:noProof/>
          <w:sz w:val="20"/>
          <w:szCs w:val="20"/>
        </w:rPr>
        <w:t xml:space="preserve">, 44% by point sources. There are not large differences in pressures between river basin districts. Abstraction is not identified as a pressure to water status. </w:t>
      </w:r>
    </w:p>
    <w:p w:rsidR="006E58C2" w:rsidRDefault="005B3E0F">
      <w:pPr>
        <w:widowControl w:val="0"/>
        <w:spacing w:after="120" w:line="240" w:lineRule="auto"/>
        <w:jc w:val="both"/>
        <w:rPr>
          <w:rFonts w:cs="Times New Roman"/>
          <w:noProof/>
          <w:sz w:val="20"/>
          <w:szCs w:val="20"/>
        </w:rPr>
      </w:pPr>
      <w:r>
        <w:rPr>
          <w:rFonts w:cs="Times New Roman"/>
          <w:noProof/>
          <w:sz w:val="20"/>
          <w:szCs w:val="20"/>
        </w:rPr>
        <w:t>There were significant deficiencies identified in the 1</w:t>
      </w:r>
      <w:r>
        <w:rPr>
          <w:rFonts w:cs="Times New Roman"/>
          <w:noProof/>
          <w:sz w:val="20"/>
          <w:szCs w:val="20"/>
          <w:vertAlign w:val="superscript"/>
        </w:rPr>
        <w:t>st</w:t>
      </w:r>
      <w:r>
        <w:rPr>
          <w:rFonts w:cs="Times New Roman"/>
          <w:noProof/>
          <w:sz w:val="20"/>
          <w:szCs w:val="20"/>
        </w:rPr>
        <w:t xml:space="preserve"> River Basin Management Plans that p</w:t>
      </w:r>
      <w:r>
        <w:rPr>
          <w:rFonts w:cs="Times New Roman"/>
          <w:noProof/>
          <w:sz w:val="20"/>
          <w:szCs w:val="20"/>
        </w:rPr>
        <w:t>resent gaps in the monitoring system, assessment of pressures, methodologies for classification of status of water bodies. This results in high level of uncertainties concerning the pressures, status of water bodies and effectiveness of Programmes of Measu</w:t>
      </w:r>
      <w:r>
        <w:rPr>
          <w:rFonts w:cs="Times New Roman"/>
          <w:noProof/>
          <w:sz w:val="20"/>
          <w:szCs w:val="20"/>
        </w:rPr>
        <w:t>res. Planning of new physical modifications and application of exemptions is not transparent</w:t>
      </w:r>
      <w:r>
        <w:rPr>
          <w:rFonts w:cs="Times New Roman"/>
          <w:noProof/>
          <w:sz w:val="20"/>
          <w:szCs w:val="20"/>
          <w:vertAlign w:val="superscript"/>
        </w:rPr>
        <w:footnoteReference w:id="67"/>
      </w:r>
      <w:r>
        <w:rPr>
          <w:rFonts w:cs="Times New Roman"/>
          <w:noProof/>
          <w:sz w:val="20"/>
          <w:szCs w:val="20"/>
        </w:rPr>
        <w:t>. Programmes of measures are expected to result only in a slight improvement of the status, with the highest improvement is expected in chemical status of groundwa</w:t>
      </w:r>
      <w:r>
        <w:rPr>
          <w:rFonts w:cs="Times New Roman"/>
          <w:noProof/>
          <w:sz w:val="20"/>
          <w:szCs w:val="20"/>
        </w:rPr>
        <w:t xml:space="preserve">ter (8%). </w:t>
      </w:r>
    </w:p>
    <w:p w:rsidR="006E58C2" w:rsidRDefault="005B3E0F">
      <w:pPr>
        <w:widowControl w:val="0"/>
        <w:spacing w:after="120" w:line="240" w:lineRule="auto"/>
        <w:jc w:val="both"/>
        <w:rPr>
          <w:rFonts w:cs="Times New Roman"/>
          <w:noProof/>
          <w:sz w:val="20"/>
        </w:rPr>
      </w:pPr>
      <w:r>
        <w:rPr>
          <w:rFonts w:cs="Times New Roman"/>
          <w:noProof/>
          <w:sz w:val="20"/>
        </w:rPr>
        <w:t xml:space="preserve">Nitrate levels in a number of monitoring points, as well as eutrophication, remain an issue. A recent Court of Auditors report "Danube river basin II: Quality of water" stated there is a lack of ambition in the Member States concerned including </w:t>
      </w:r>
      <w:r>
        <w:rPr>
          <w:rFonts w:cs="Times New Roman"/>
          <w:noProof/>
          <w:sz w:val="20"/>
        </w:rPr>
        <w:t>the Czech Republic to address causes of pollution. It stated that Member States are not using all the possibilities offered by the Nitrates Directive. The Czech Nitrates Action Programme is being reviewed in 2016 and it is an opportunity to adjust its meas</w:t>
      </w:r>
      <w:r>
        <w:rPr>
          <w:rFonts w:cs="Times New Roman"/>
          <w:noProof/>
          <w:sz w:val="20"/>
        </w:rPr>
        <w:t>ures taking into account the developments of agricultural pressures and water quality, as well as the recommendations of the Court of Auditors report.</w:t>
      </w:r>
    </w:p>
    <w:p w:rsidR="006E58C2" w:rsidRDefault="005B3E0F">
      <w:pPr>
        <w:widowControl w:val="0"/>
        <w:spacing w:after="120" w:line="240" w:lineRule="auto"/>
        <w:jc w:val="both"/>
        <w:rPr>
          <w:rFonts w:cs="Times New Roman"/>
          <w:noProof/>
          <w:sz w:val="20"/>
        </w:rPr>
      </w:pPr>
      <w:r>
        <w:rPr>
          <w:rFonts w:cs="Times New Roman"/>
          <w:noProof/>
          <w:sz w:val="20"/>
          <w:szCs w:val="20"/>
          <w:lang w:val="en-US"/>
        </w:rPr>
        <w:t>As regards drinking water, Czech Republic reaches very high compliance rates of 99.91 % for microbiologic</w:t>
      </w:r>
      <w:r>
        <w:rPr>
          <w:rFonts w:cs="Times New Roman"/>
          <w:noProof/>
          <w:sz w:val="20"/>
          <w:szCs w:val="20"/>
          <w:lang w:val="en-US"/>
        </w:rPr>
        <w:t>al, 99.9 % for chemical and 99.2% for indicator parameters laid down in the Drinking Water Directive.</w:t>
      </w:r>
      <w:r>
        <w:rPr>
          <w:rFonts w:cs="Times New Roman"/>
          <w:noProof/>
          <w:sz w:val="20"/>
          <w:szCs w:val="20"/>
          <w:vertAlign w:val="superscript"/>
          <w:lang w:val="en-US"/>
        </w:rPr>
        <w:footnoteReference w:id="68"/>
      </w:r>
      <w:r>
        <w:rPr>
          <w:rFonts w:cs="Times New Roman"/>
          <w:noProof/>
          <w:sz w:val="20"/>
        </w:rPr>
        <w:t xml:space="preserve"> </w:t>
      </w:r>
    </w:p>
    <w:p w:rsidR="006E58C2" w:rsidRDefault="005B3E0F">
      <w:pPr>
        <w:widowControl w:val="0"/>
        <w:spacing w:after="120" w:line="240" w:lineRule="auto"/>
        <w:jc w:val="both"/>
        <w:rPr>
          <w:rFonts w:cs="Times New Roman"/>
          <w:noProof/>
          <w:color w:val="000000" w:themeColor="text1"/>
          <w:sz w:val="20"/>
        </w:rPr>
      </w:pPr>
      <w:r>
        <w:rPr>
          <w:rFonts w:cs="Times New Roman"/>
          <w:noProof/>
          <w:sz w:val="20"/>
        </w:rPr>
        <w:t xml:space="preserve">Figure 10 shows that in 2015, in Czech Republic, out of 153 bathing waters, 79.1 </w:t>
      </w:r>
      <w:r>
        <w:rPr>
          <w:rFonts w:cs="Times New Roman"/>
          <w:noProof/>
          <w:sz w:val="20"/>
          <w:lang w:val="en-US"/>
        </w:rPr>
        <w:t xml:space="preserve">% were of excellent quality, 12.4 % of good quality, 1.3 % of </w:t>
      </w:r>
      <w:r>
        <w:rPr>
          <w:rFonts w:cs="Times New Roman"/>
          <w:noProof/>
          <w:sz w:val="20"/>
          <w:lang w:val="en-US"/>
        </w:rPr>
        <w:t>sufficient quality. 3 bathing waters were of poor quality or non-compliant while it was not possible to assess the remaining 8 bathing waters.</w:t>
      </w:r>
      <w:r>
        <w:rPr>
          <w:rFonts w:cs="Times New Roman"/>
          <w:noProof/>
          <w:sz w:val="20"/>
          <w:vertAlign w:val="superscript"/>
          <w:lang w:val="en-US"/>
        </w:rPr>
        <w:footnoteReference w:id="69"/>
      </w:r>
      <w:r>
        <w:rPr>
          <w:rFonts w:cs="Times New Roman"/>
          <w:noProof/>
          <w:sz w:val="20"/>
        </w:rPr>
        <w:t xml:space="preserve"> The</w:t>
      </w:r>
      <w:r>
        <w:rPr>
          <w:rFonts w:cs="Times New Roman"/>
          <w:noProof/>
          <w:color w:val="000000" w:themeColor="text1"/>
          <w:sz w:val="20"/>
        </w:rPr>
        <w:t xml:space="preserve"> Czech Republic has a modest but constant increase in excellent bathing water quality in the past years.</w:t>
      </w:r>
    </w:p>
    <w:p w:rsidR="006E58C2" w:rsidRDefault="005B3E0F">
      <w:pPr>
        <w:widowControl w:val="0"/>
        <w:spacing w:after="120" w:line="240" w:lineRule="auto"/>
        <w:jc w:val="both"/>
        <w:rPr>
          <w:rFonts w:cs="Times New Roman"/>
          <w:noProof/>
          <w:sz w:val="20"/>
        </w:rPr>
      </w:pPr>
      <w:r>
        <w:rPr>
          <w:rFonts w:cs="Times New Roman"/>
          <w:noProof/>
          <w:sz w:val="20"/>
        </w:rPr>
        <w:t xml:space="preserve">The </w:t>
      </w:r>
      <w:r>
        <w:rPr>
          <w:rFonts w:cs="Times New Roman"/>
          <w:noProof/>
          <w:sz w:val="20"/>
        </w:rPr>
        <w:t>Czech Republic is subject to full compliance obligations with the Urban Waste Water Treatment Directive since 2010. However, in Czech Republic, according to the 2012 data, only 87.4% of the load collected was subject to secondary treatment (in accordance w</w:t>
      </w:r>
      <w:r>
        <w:rPr>
          <w:rFonts w:cs="Times New Roman"/>
          <w:noProof/>
          <w:sz w:val="20"/>
        </w:rPr>
        <w:t>ith Article 4 of the Urban Waste Water Treatment Directive) and 53.7% of the waste water load collected is subject to more stringent treatment in accordance with Article 5 of the Urban Waste Water Treatment Directive (target: 75.4%).</w:t>
      </w:r>
      <w:r>
        <w:rPr>
          <w:rFonts w:cs="Times New Roman"/>
          <w:noProof/>
          <w:sz w:val="20"/>
          <w:vertAlign w:val="superscript"/>
        </w:rPr>
        <w:footnoteReference w:id="70"/>
      </w:r>
      <w:r>
        <w:rPr>
          <w:rFonts w:cs="Times New Roman"/>
          <w:noProof/>
          <w:sz w:val="20"/>
        </w:rPr>
        <w:t xml:space="preserve"> The use of EU funds o</w:t>
      </w:r>
      <w:r>
        <w:rPr>
          <w:rFonts w:cs="Times New Roman"/>
          <w:noProof/>
          <w:sz w:val="20"/>
        </w:rPr>
        <w:t>ver last two programming periods 2004-2006 and 2007-2013 helped significantly to build or modernise the waste water treatment infrastructure. The 2015 special ECA report showed that some of the investments were, however, oversized or inappropriate</w:t>
      </w:r>
      <w:r>
        <w:rPr>
          <w:rFonts w:cs="Times New Roman"/>
          <w:noProof/>
          <w:sz w:val="20"/>
          <w:vertAlign w:val="superscript"/>
        </w:rPr>
        <w:footnoteReference w:id="71"/>
      </w:r>
      <w:r>
        <w:rPr>
          <w:rFonts w:cs="Times New Roman"/>
          <w:noProof/>
          <w:sz w:val="20"/>
        </w:rPr>
        <w:t>. Despit</w:t>
      </w:r>
      <w:r>
        <w:rPr>
          <w:rFonts w:cs="Times New Roman"/>
          <w:noProof/>
          <w:sz w:val="20"/>
        </w:rPr>
        <w:t>e the availability of the EU funds, the Prague agglomeration with the biggest waste water treatment plant in the Czech Republic has not met the 2010 compliance deadline in one parameter. The reconstruction of the Prague Waste Water Treatment Plant has fina</w:t>
      </w:r>
      <w:r>
        <w:rPr>
          <w:rFonts w:cs="Times New Roman"/>
          <w:noProof/>
          <w:sz w:val="20"/>
        </w:rPr>
        <w:t>lly started in 2015 from national funds.</w:t>
      </w:r>
    </w:p>
    <w:p w:rsidR="006E58C2" w:rsidRDefault="005B3E0F">
      <w:pPr>
        <w:widowControl w:val="0"/>
        <w:spacing w:after="120" w:line="240" w:lineRule="auto"/>
        <w:jc w:val="both"/>
        <w:rPr>
          <w:rFonts w:cs="Times New Roman"/>
          <w:noProof/>
          <w:sz w:val="20"/>
        </w:rPr>
      </w:pPr>
      <w:r>
        <w:rPr>
          <w:rFonts w:cs="Times New Roman"/>
          <w:noProof/>
          <w:sz w:val="20"/>
        </w:rPr>
        <w:t>The whole territory of the Czech Republic is delimited as a sensitive area.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4909" w:type="dxa"/>
          </w:tcPr>
          <w:p w:rsidR="006E58C2" w:rsidRDefault="005B3E0F">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72"/>
            </w:r>
          </w:p>
        </w:tc>
      </w:tr>
      <w:tr w:rsidR="006E58C2">
        <w:tc>
          <w:tcPr>
            <w:tcW w:w="4909" w:type="dxa"/>
          </w:tcPr>
          <w:p w:rsidR="006E58C2" w:rsidRDefault="005B3E0F">
            <w:pPr>
              <w:widowControl w:val="0"/>
              <w:spacing w:after="120"/>
              <w:jc w:val="both"/>
              <w:rPr>
                <w:rFonts w:cs="Times New Roman"/>
                <w:noProof/>
                <w:sz w:val="20"/>
              </w:rPr>
            </w:pPr>
            <w:r>
              <w:rPr>
                <w:rFonts w:cs="Times New Roman"/>
                <w:noProof/>
                <w:sz w:val="20"/>
                <w:lang w:eastAsia="en-GB"/>
              </w:rPr>
              <w:drawing>
                <wp:inline distT="0" distB="0" distL="0" distR="0" wp14:anchorId="2E06A1B3" wp14:editId="4F760A05">
                  <wp:extent cx="2962275" cy="25395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62275" cy="2539572"/>
                          </a:xfrm>
                          <a:prstGeom prst="rect">
                            <a:avLst/>
                          </a:prstGeom>
                          <a:noFill/>
                        </pic:spPr>
                      </pic:pic>
                    </a:graphicData>
                  </a:graphic>
                </wp:inline>
              </w:drawing>
            </w:r>
          </w:p>
        </w:tc>
      </w:tr>
    </w:tbl>
    <w:p w:rsidR="006E58C2" w:rsidRDefault="005B3E0F">
      <w:pPr>
        <w:widowControl w:val="0"/>
        <w:spacing w:after="120" w:line="240" w:lineRule="auto"/>
        <w:jc w:val="both"/>
        <w:rPr>
          <w:rFonts w:cs="Times New Roman"/>
          <w:noProof/>
          <w:sz w:val="20"/>
        </w:rPr>
      </w:pPr>
      <w:r>
        <w:rPr>
          <w:rFonts w:cs="Times New Roman"/>
          <w:noProof/>
          <w:sz w:val="20"/>
        </w:rPr>
        <w:t xml:space="preserve">The estimated investment needs (reported by Czech Republic under Article 17 of the Urban </w:t>
      </w:r>
      <w:r>
        <w:rPr>
          <w:rFonts w:cs="Times New Roman"/>
          <w:noProof/>
          <w:sz w:val="20"/>
        </w:rPr>
        <w:t>Waste Water Treatment Directive) to reach full compliance with the Directive are of EUR 95 million</w:t>
      </w:r>
      <w:r>
        <w:rPr>
          <w:rFonts w:cs="Times New Roman"/>
          <w:noProof/>
          <w:sz w:val="20"/>
          <w:vertAlign w:val="superscript"/>
        </w:rPr>
        <w:footnoteReference w:id="73"/>
      </w:r>
      <w:r>
        <w:rPr>
          <w:rFonts w:cs="Times New Roman"/>
          <w:noProof/>
          <w:sz w:val="20"/>
        </w:rPr>
        <w:t>.</w:t>
      </w:r>
    </w:p>
    <w:p w:rsidR="006E58C2" w:rsidRDefault="005B3E0F">
      <w:pPr>
        <w:widowControl w:val="0"/>
        <w:spacing w:after="120" w:line="240" w:lineRule="auto"/>
        <w:jc w:val="both"/>
        <w:rPr>
          <w:rFonts w:cs="Times New Roman"/>
          <w:noProof/>
          <w:sz w:val="20"/>
        </w:rPr>
      </w:pPr>
      <w:r>
        <w:rPr>
          <w:rFonts w:cs="Times New Roman"/>
          <w:noProof/>
          <w:sz w:val="20"/>
        </w:rPr>
        <w:t>According to the Czech 2014 Report on the Environment the following information on water management and water quality is available:</w:t>
      </w:r>
    </w:p>
    <w:p w:rsidR="006E58C2" w:rsidRDefault="005B3E0F">
      <w:pPr>
        <w:widowControl w:val="0"/>
        <w:numPr>
          <w:ilvl w:val="0"/>
          <w:numId w:val="26"/>
        </w:numPr>
        <w:spacing w:after="120" w:line="240" w:lineRule="auto"/>
        <w:contextualSpacing/>
        <w:jc w:val="both"/>
        <w:rPr>
          <w:rFonts w:cs="Times New Roman"/>
          <w:noProof/>
          <w:sz w:val="20"/>
        </w:rPr>
      </w:pPr>
      <w:r>
        <w:rPr>
          <w:rFonts w:cs="Times New Roman"/>
          <w:noProof/>
          <w:sz w:val="20"/>
        </w:rPr>
        <w:t>Total water abstraction</w:t>
      </w:r>
      <w:r>
        <w:rPr>
          <w:rFonts w:cs="Times New Roman"/>
          <w:noProof/>
          <w:sz w:val="20"/>
        </w:rPr>
        <w:t xml:space="preserve"> as well as water consumption in households is stable. </w:t>
      </w:r>
    </w:p>
    <w:p w:rsidR="006E58C2" w:rsidRDefault="005B3E0F">
      <w:pPr>
        <w:widowControl w:val="0"/>
        <w:numPr>
          <w:ilvl w:val="0"/>
          <w:numId w:val="26"/>
        </w:numPr>
        <w:spacing w:after="120" w:line="240" w:lineRule="auto"/>
        <w:contextualSpacing/>
        <w:jc w:val="both"/>
        <w:rPr>
          <w:rFonts w:cs="Times New Roman"/>
          <w:noProof/>
          <w:sz w:val="20"/>
        </w:rPr>
      </w:pPr>
      <w:r>
        <w:rPr>
          <w:rFonts w:cs="Times New Roman"/>
          <w:noProof/>
          <w:sz w:val="20"/>
        </w:rPr>
        <w:t>The water abstraction for public water supply systems is decreasing due to the reduction of water loss in the pipe network (16.6% in 2014 compared to 17.9% in 2013)</w:t>
      </w:r>
    </w:p>
    <w:p w:rsidR="006E58C2" w:rsidRDefault="005B3E0F">
      <w:pPr>
        <w:widowControl w:val="0"/>
        <w:numPr>
          <w:ilvl w:val="0"/>
          <w:numId w:val="26"/>
        </w:numPr>
        <w:spacing w:after="120" w:line="240" w:lineRule="auto"/>
        <w:contextualSpacing/>
        <w:jc w:val="both"/>
        <w:rPr>
          <w:rFonts w:cs="Times New Roman"/>
          <w:noProof/>
          <w:sz w:val="20"/>
        </w:rPr>
      </w:pPr>
      <w:r>
        <w:rPr>
          <w:rFonts w:cs="Times New Roman"/>
          <w:noProof/>
          <w:sz w:val="20"/>
        </w:rPr>
        <w:t>The proportion of the population co</w:t>
      </w:r>
      <w:r>
        <w:rPr>
          <w:rFonts w:cs="Times New Roman"/>
          <w:noProof/>
          <w:sz w:val="20"/>
        </w:rPr>
        <w:t xml:space="preserve">nnected to water supply systems and to public sewerage systems continued to increase </w:t>
      </w:r>
    </w:p>
    <w:p w:rsidR="006E58C2" w:rsidRDefault="005B3E0F">
      <w:pPr>
        <w:widowControl w:val="0"/>
        <w:numPr>
          <w:ilvl w:val="0"/>
          <w:numId w:val="26"/>
        </w:numPr>
        <w:spacing w:after="120" w:line="240" w:lineRule="auto"/>
        <w:contextualSpacing/>
        <w:jc w:val="both"/>
        <w:rPr>
          <w:rFonts w:cs="Times New Roman"/>
          <w:noProof/>
          <w:sz w:val="20"/>
        </w:rPr>
      </w:pPr>
      <w:r>
        <w:rPr>
          <w:rFonts w:cs="Times New Roman"/>
          <w:noProof/>
          <w:sz w:val="20"/>
        </w:rPr>
        <w:t>The amount of pollution discharged from point sources has decreased every year</w:t>
      </w:r>
    </w:p>
    <w:p w:rsidR="006E58C2" w:rsidRDefault="005B3E0F">
      <w:pPr>
        <w:widowControl w:val="0"/>
        <w:numPr>
          <w:ilvl w:val="0"/>
          <w:numId w:val="26"/>
        </w:numPr>
        <w:spacing w:after="120" w:line="240" w:lineRule="auto"/>
        <w:contextualSpacing/>
        <w:jc w:val="both"/>
        <w:rPr>
          <w:rFonts w:cs="Times New Roman"/>
          <w:noProof/>
          <w:sz w:val="20"/>
        </w:rPr>
      </w:pPr>
      <w:r>
        <w:rPr>
          <w:rFonts w:cs="Times New Roman"/>
          <w:noProof/>
          <w:sz w:val="20"/>
        </w:rPr>
        <w:t>Surface water quality is improving only slowly</w:t>
      </w:r>
    </w:p>
    <w:p w:rsidR="006E58C2" w:rsidRDefault="005B3E0F">
      <w:pPr>
        <w:widowControl w:val="0"/>
        <w:numPr>
          <w:ilvl w:val="0"/>
          <w:numId w:val="26"/>
        </w:numPr>
        <w:spacing w:after="120" w:line="240" w:lineRule="auto"/>
        <w:contextualSpacing/>
        <w:jc w:val="both"/>
        <w:rPr>
          <w:rFonts w:cs="Times New Roman"/>
          <w:noProof/>
          <w:sz w:val="20"/>
        </w:rPr>
      </w:pPr>
      <w:r>
        <w:rPr>
          <w:rFonts w:cs="Times New Roman"/>
          <w:noProof/>
          <w:sz w:val="20"/>
        </w:rPr>
        <w:t>As a result of agricultural activities, wate</w:t>
      </w:r>
      <w:r>
        <w:rPr>
          <w:rFonts w:cs="Times New Roman"/>
          <w:noProof/>
          <w:sz w:val="20"/>
        </w:rPr>
        <w:t>r resources are still exposed to considerable pressure</w:t>
      </w:r>
    </w:p>
    <w:p w:rsidR="006E58C2" w:rsidRDefault="006E58C2">
      <w:pPr>
        <w:widowControl w:val="0"/>
        <w:spacing w:after="120" w:line="240" w:lineRule="auto"/>
        <w:jc w:val="both"/>
        <w:rPr>
          <w:rFonts w:cs="Times New Roman"/>
          <w:noProof/>
          <w:sz w:val="20"/>
        </w:rPr>
      </w:pPr>
    </w:p>
    <w:p w:rsidR="006E58C2" w:rsidRDefault="005B3E0F">
      <w:pPr>
        <w:widowControl w:val="0"/>
        <w:spacing w:after="120" w:line="240" w:lineRule="auto"/>
        <w:jc w:val="both"/>
        <w:rPr>
          <w:rFonts w:cs="Times New Roman"/>
          <w:noProof/>
          <w:sz w:val="20"/>
        </w:rPr>
      </w:pPr>
      <w:r>
        <w:rPr>
          <w:rFonts w:cs="Times New Roman"/>
          <w:noProof/>
          <w:sz w:val="20"/>
        </w:rPr>
        <w:t>Flood risk areas have started to be identified and mapped in the Czech Republic in the context of Flood Risk Management Plans which were prepared together with 2nd RBMPs as outstanding conceptual docu</w:t>
      </w:r>
      <w:r>
        <w:rPr>
          <w:rFonts w:cs="Times New Roman"/>
          <w:noProof/>
          <w:sz w:val="20"/>
        </w:rPr>
        <w:t xml:space="preserve">ments based on FD (2007/60/EC) requirements.  The Czech Republic was hit by flooding incidents with serious economic damage in 2010 and 2013. </w:t>
      </w:r>
    </w:p>
    <w:p w:rsidR="006E58C2" w:rsidRDefault="005B3E0F">
      <w:pPr>
        <w:widowControl w:val="0"/>
        <w:spacing w:after="120" w:line="240" w:lineRule="auto"/>
        <w:jc w:val="both"/>
        <w:rPr>
          <w:rFonts w:eastAsia="Calibri" w:cs="Times New Roman"/>
          <w:noProof/>
          <w:sz w:val="20"/>
        </w:rPr>
      </w:pPr>
      <w:r>
        <w:rPr>
          <w:rFonts w:eastAsia="Calibri" w:cs="Times New Roman"/>
          <w:noProof/>
          <w:sz w:val="20"/>
        </w:rPr>
        <w:t xml:space="preserve">Management and prevention of floods is an area where potentially more economical nature-based solutions could </w:t>
      </w:r>
      <w:r>
        <w:rPr>
          <w:rFonts w:eastAsia="Calibri" w:cs="Times New Roman"/>
          <w:noProof/>
          <w:sz w:val="20"/>
        </w:rPr>
        <w:t>improve resource efficiency through reducing costs and delivering multiple benefits.  In its 2014-20 operational programmes, namely the Operational Programme Environment, the Czech Republic is planning to invest also in nature-based solutions.</w:t>
      </w:r>
    </w:p>
    <w:p w:rsidR="006E58C2" w:rsidRDefault="005B3E0F">
      <w:pPr>
        <w:widowControl w:val="0"/>
        <w:spacing w:after="120" w:line="240" w:lineRule="auto"/>
        <w:jc w:val="both"/>
        <w:rPr>
          <w:rFonts w:eastAsia="Calibri" w:cs="Times New Roman"/>
          <w:noProof/>
          <w:sz w:val="20"/>
        </w:rPr>
      </w:pPr>
      <w:r>
        <w:rPr>
          <w:noProof/>
          <w:sz w:val="20"/>
        </w:rPr>
        <w:t>Water scarci</w:t>
      </w:r>
      <w:r>
        <w:rPr>
          <w:noProof/>
          <w:sz w:val="20"/>
        </w:rPr>
        <w:t xml:space="preserve">ty is giving a rise to growing concerns over the implementation of a right mix of measures to combat it. </w:t>
      </w:r>
    </w:p>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bookmarkStart w:id="49" w:name="_Toc433296168"/>
    </w:p>
    <w:p w:rsidR="006E58C2" w:rsidRDefault="005B3E0F">
      <w:pPr>
        <w:pStyle w:val="NoSpacing"/>
        <w:rPr>
          <w:noProof/>
        </w:rPr>
      </w:pPr>
      <w:r>
        <w:rPr>
          <w:noProof/>
        </w:rPr>
        <w:t>The Czech Republic should improve its water policy in line with the intervention logic of the Water Framework Directive</w:t>
      </w:r>
      <w:r>
        <w:rPr>
          <w:noProof/>
          <w:szCs w:val="20"/>
          <w:vertAlign w:val="superscript"/>
        </w:rPr>
        <w:footnoteReference w:id="74"/>
      </w:r>
      <w:r>
        <w:rPr>
          <w:noProof/>
        </w:rPr>
        <w:t>, i.e. do a m</w:t>
      </w:r>
      <w:r>
        <w:rPr>
          <w:noProof/>
        </w:rPr>
        <w:t xml:space="preserve">ore detailed assessment of pressures to know the status of water bodies and design effective Programmes of Measures that address the main pressures identified. </w:t>
      </w:r>
    </w:p>
    <w:p w:rsidR="006E58C2" w:rsidRDefault="005B3E0F">
      <w:pPr>
        <w:pStyle w:val="NoSpacing"/>
        <w:rPr>
          <w:noProof/>
        </w:rPr>
      </w:pPr>
      <w:r>
        <w:rPr>
          <w:noProof/>
        </w:rPr>
        <w:t xml:space="preserve">In relation to diffuse pollution the Czech Republic should implement measures to comply with the Nitrate Directive taking into account agricultural developments and the recommendations of the Court of Auditors report. </w:t>
      </w:r>
    </w:p>
    <w:p w:rsidR="006E58C2" w:rsidRDefault="005B3E0F">
      <w:pPr>
        <w:pStyle w:val="NoSpacing"/>
        <w:rPr>
          <w:noProof/>
        </w:rPr>
      </w:pPr>
      <w:r>
        <w:rPr>
          <w:noProof/>
        </w:rPr>
        <w:t>New physical modifications of water b</w:t>
      </w:r>
      <w:r>
        <w:rPr>
          <w:noProof/>
        </w:rPr>
        <w:t>odies should be assessed in line with article 4(7). In these assessments alternative options and adequate mitigation measures have to be considered. This particularly applies to large scale infrastructure projects not built yet, but which were designed dec</w:t>
      </w:r>
      <w:r>
        <w:rPr>
          <w:noProof/>
        </w:rPr>
        <w:t>ades ago outside the intervention logic of Water FD, like dams or infrastructure to combat floods or drought.</w:t>
      </w:r>
    </w:p>
    <w:p w:rsidR="006E58C2" w:rsidRDefault="005B3E0F">
      <w:pPr>
        <w:pStyle w:val="NoSpacing"/>
        <w:rPr>
          <w:noProof/>
        </w:rPr>
      </w:pPr>
      <w:r>
        <w:rPr>
          <w:noProof/>
        </w:rPr>
        <w:t>The Czech Republic should improve their water pricing policy based on an analysis of environmental and resource costs and covering a broad range o</w:t>
      </w:r>
      <w:r>
        <w:rPr>
          <w:noProof/>
        </w:rPr>
        <w:t>f water services. Exemptions from water fees should be reconsidered. As the first step, 2</w:t>
      </w:r>
      <w:r>
        <w:rPr>
          <w:noProof/>
          <w:vertAlign w:val="superscript"/>
        </w:rPr>
        <w:t>nd</w:t>
      </w:r>
      <w:r>
        <w:rPr>
          <w:noProof/>
        </w:rPr>
        <w:t xml:space="preserve"> River Basin Managements plans include the Economic analysis </w:t>
      </w:r>
    </w:p>
    <w:p w:rsidR="006E58C2" w:rsidRDefault="005B3E0F">
      <w:pPr>
        <w:widowControl w:val="0"/>
        <w:spacing w:before="360" w:after="120" w:line="240" w:lineRule="auto"/>
        <w:outlineLvl w:val="1"/>
        <w:rPr>
          <w:rFonts w:cs="Times New Roman"/>
          <w:b/>
          <w:noProof/>
          <w:color w:val="1F497D" w:themeColor="text2"/>
          <w:sz w:val="24"/>
        </w:rPr>
      </w:pPr>
      <w:bookmarkStart w:id="50" w:name="_Toc436815691"/>
      <w:bookmarkStart w:id="51" w:name="_Toc456012033"/>
      <w:bookmarkStart w:id="52" w:name="_Toc469413352"/>
      <w:bookmarkEnd w:id="49"/>
      <w:r>
        <w:rPr>
          <w:rFonts w:cs="Times New Roman"/>
          <w:b/>
          <w:noProof/>
          <w:color w:val="1F497D" w:themeColor="text2"/>
          <w:sz w:val="24"/>
        </w:rPr>
        <w:t>Enhancing the sustainability of cities</w:t>
      </w:r>
      <w:bookmarkEnd w:id="50"/>
      <w:bookmarkEnd w:id="51"/>
      <w:bookmarkEnd w:id="52"/>
      <w:r>
        <w:rPr>
          <w:rFonts w:cs="Times New Roman"/>
          <w:b/>
          <w:noProof/>
          <w:color w:val="1F497D" w:themeColor="text2"/>
          <w:sz w:val="24"/>
        </w:rPr>
        <w:t xml:space="preserve"> </w:t>
      </w:r>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w:t>
      </w:r>
      <w:r>
        <w:rPr>
          <w:rFonts w:cs="Times New Roman"/>
          <w:noProof/>
          <w:color w:val="FFFFFF" w:themeColor="background1"/>
          <w:sz w:val="20"/>
        </w:rPr>
        <w:t xml:space="preserve">lement policies for sustainable urban planning and design, including innovative approaches for urban public transport and mobility, sustainable buildings, energy efficiency and urban biodiversity conservation. </w:t>
      </w:r>
    </w:p>
    <w:p w:rsidR="006E58C2" w:rsidRDefault="005B3E0F">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w:t>
      </w:r>
      <w:r>
        <w:rPr>
          <w:rFonts w:cs="Times New Roman"/>
          <w:noProof/>
          <w:color w:val="FFFFFF" w:themeColor="background1"/>
          <w:sz w:val="20"/>
        </w:rPr>
        <w:t>ents inclusive, safe, resilient and sustainable.</w:t>
      </w:r>
    </w:p>
    <w:p w:rsidR="006E58C2" w:rsidRDefault="005B3E0F">
      <w:pPr>
        <w:widowControl w:val="0"/>
        <w:spacing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75"/>
      </w:r>
      <w:r>
        <w:rPr>
          <w:rFonts w:cs="Times New Roman"/>
          <w:noProof/>
          <w:sz w:val="20"/>
        </w:rPr>
        <w:t xml:space="preserve"> The urban environment poses particular challenges for the environment and human health, whilst also providin</w:t>
      </w:r>
      <w:r>
        <w:rPr>
          <w:rFonts w:cs="Times New Roman"/>
          <w:noProof/>
          <w:sz w:val="20"/>
        </w:rPr>
        <w:t xml:space="preserve">g opportunities and efficiency gains in the use of resources. </w:t>
      </w:r>
    </w:p>
    <w:p w:rsidR="006E58C2" w:rsidRDefault="005B3E0F">
      <w:pPr>
        <w:widowControl w:val="0"/>
        <w:spacing w:after="120" w:line="240" w:lineRule="auto"/>
        <w:jc w:val="both"/>
        <w:rPr>
          <w:rFonts w:cs="Times New Roman"/>
          <w:noProof/>
          <w:sz w:val="20"/>
        </w:rPr>
      </w:pPr>
      <w:r>
        <w:rPr>
          <w:rFonts w:cs="Times New Roman"/>
          <w:noProof/>
          <w:sz w:val="20"/>
        </w:rPr>
        <w:t xml:space="preserve">The Member States, European institutions, cities and stakeholders have prepared a new Urban Agenda for the EU (incorporating the Smart Cities initiative) to tackle these issues in a </w:t>
      </w:r>
      <w:r>
        <w:rPr>
          <w:rFonts w:cs="Times New Roman"/>
          <w:noProof/>
          <w:sz w:val="20"/>
        </w:rPr>
        <w:t>comprehensive way, including their connections with social and economic challenges. At the heart of this Urban Agenda will be the development of twelve partnerships on the identified urban challenges, including air quality and housing</w:t>
      </w:r>
      <w:r>
        <w:rPr>
          <w:rFonts w:cs="Times New Roman"/>
          <w:noProof/>
          <w:sz w:val="20"/>
          <w:vertAlign w:val="superscript"/>
        </w:rPr>
        <w:footnoteReference w:id="76"/>
      </w:r>
      <w:r>
        <w:rPr>
          <w:rFonts w:cs="Times New Roman"/>
          <w:noProof/>
          <w:sz w:val="20"/>
        </w:rPr>
        <w:t xml:space="preserve">. </w:t>
      </w:r>
    </w:p>
    <w:p w:rsidR="006E58C2" w:rsidRDefault="005B3E0F">
      <w:pPr>
        <w:widowControl w:val="0"/>
        <w:spacing w:after="120" w:line="240" w:lineRule="auto"/>
        <w:jc w:val="both"/>
        <w:rPr>
          <w:rFonts w:cs="Times New Roman"/>
          <w:noProof/>
          <w:sz w:val="20"/>
        </w:rPr>
      </w:pPr>
      <w:r>
        <w:rPr>
          <w:rFonts w:cs="Times New Roman"/>
          <w:noProof/>
          <w:sz w:val="20"/>
        </w:rPr>
        <w:t>The European Commi</w:t>
      </w:r>
      <w:r>
        <w:rPr>
          <w:rFonts w:cs="Times New Roman"/>
          <w:noProof/>
          <w:sz w:val="20"/>
        </w:rPr>
        <w:t>ssion will launch a new EU benchmark system in 2017.</w:t>
      </w:r>
      <w:r>
        <w:rPr>
          <w:rFonts w:cs="Times New Roman"/>
          <w:noProof/>
          <w:sz w:val="20"/>
          <w:vertAlign w:val="superscript"/>
        </w:rPr>
        <w:footnoteReference w:id="77"/>
      </w:r>
    </w:p>
    <w:p w:rsidR="006E58C2" w:rsidRDefault="005B3E0F">
      <w:pPr>
        <w:spacing w:after="120" w:line="240" w:lineRule="auto"/>
        <w:jc w:val="both"/>
        <w:rPr>
          <w:rFonts w:cs="Times New Roman"/>
          <w:noProof/>
          <w:sz w:val="20"/>
          <w:szCs w:val="20"/>
          <w:lang w:val="en"/>
        </w:rPr>
      </w:pPr>
      <w:r>
        <w:rPr>
          <w:rFonts w:cs="Times New Roman"/>
          <w:noProof/>
          <w:sz w:val="20"/>
          <w:szCs w:val="20"/>
        </w:rPr>
        <w:t xml:space="preserve">The EU stimulates green cities through awards and funding, such as the EU Green Capital Award aimed at cities with </w:t>
      </w:r>
      <w:r>
        <w:rPr>
          <w:rFonts w:cs="Times New Roman"/>
          <w:bCs/>
          <w:iCs/>
          <w:noProof/>
          <w:sz w:val="20"/>
          <w:szCs w:val="20"/>
        </w:rPr>
        <w:t>more than 100,000 inhabitants</w:t>
      </w:r>
      <w:r>
        <w:rPr>
          <w:rFonts w:cs="Times New Roman"/>
          <w:noProof/>
          <w:sz w:val="20"/>
          <w:szCs w:val="20"/>
        </w:rPr>
        <w:t xml:space="preserve"> and the EU Green Leaf initiative </w:t>
      </w:r>
      <w:r>
        <w:rPr>
          <w:rFonts w:cs="Times New Roman"/>
          <w:noProof/>
          <w:sz w:val="20"/>
          <w:szCs w:val="20"/>
          <w:lang w:val="en"/>
        </w:rPr>
        <w:t>aimed at cities and town</w:t>
      </w:r>
      <w:r>
        <w:rPr>
          <w:rFonts w:cs="Times New Roman"/>
          <w:noProof/>
          <w:sz w:val="20"/>
          <w:szCs w:val="20"/>
          <w:lang w:val="en"/>
        </w:rPr>
        <w:t>s, with between 20,000 and 100,000 inhabitants.</w:t>
      </w:r>
    </w:p>
    <w:p w:rsidR="006E58C2" w:rsidRDefault="005B3E0F">
      <w:pPr>
        <w:spacing w:after="120" w:line="240" w:lineRule="auto"/>
        <w:jc w:val="both"/>
        <w:rPr>
          <w:rFonts w:cs="Times New Roman"/>
          <w:noProof/>
          <w:sz w:val="20"/>
          <w:szCs w:val="20"/>
          <w:lang w:val="en"/>
        </w:rPr>
      </w:pPr>
      <w:r>
        <w:rPr>
          <w:rFonts w:cs="Times New Roman"/>
          <w:i/>
          <w:noProof/>
          <w:sz w:val="20"/>
          <w:lang w:eastAsia="en-GB"/>
        </w:rPr>
        <w:drawing>
          <wp:inline distT="0" distB="0" distL="0" distR="0" wp14:anchorId="7E6B5248" wp14:editId="764086A5">
            <wp:extent cx="2980055" cy="19854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 Bridges Prague iStock_44108528_SMALL.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80055" cy="1985446"/>
                    </a:xfrm>
                    <a:prstGeom prst="rect">
                      <a:avLst/>
                    </a:prstGeom>
                  </pic:spPr>
                </pic:pic>
              </a:graphicData>
            </a:graphic>
          </wp:inline>
        </w:drawing>
      </w:r>
    </w:p>
    <w:p w:rsidR="006E58C2" w:rsidRDefault="005B3E0F">
      <w:pPr>
        <w:spacing w:after="120" w:line="240" w:lineRule="auto"/>
        <w:jc w:val="both"/>
        <w:rPr>
          <w:rFonts w:cs="Times New Roman"/>
          <w:noProof/>
          <w:sz w:val="20"/>
          <w:szCs w:val="20"/>
        </w:rPr>
      </w:pPr>
      <w:r>
        <w:rPr>
          <w:rFonts w:cs="Times New Roman"/>
          <w:noProof/>
          <w:sz w:val="20"/>
          <w:szCs w:val="20"/>
        </w:rPr>
        <w:t>Czech Republic widely promotes several initiatives. National “Strategy of support Agenda 21 2020” has been adopted in 2012 followed by Action plan in 2016. Until present, 215 Czech cities are in UN MA21 dat</w:t>
      </w:r>
      <w:r>
        <w:rPr>
          <w:rFonts w:cs="Times New Roman"/>
          <w:noProof/>
          <w:sz w:val="20"/>
          <w:szCs w:val="20"/>
        </w:rPr>
        <w:t xml:space="preserve">abase (of which 82 cities fulfil requirements for categories A-D). </w:t>
      </w:r>
      <w:r>
        <w:rPr>
          <w:rFonts w:cs="Times New Roman"/>
          <w:noProof/>
          <w:sz w:val="20"/>
          <w:szCs w:val="20"/>
        </w:rPr>
        <w:br/>
        <w:t xml:space="preserve">Czech Republic has currently also 9 signatories with commitments to mitigate and adapt to climate change under Covenant of Mayors for Climate and Energy, supported by European Commission. </w:t>
      </w:r>
      <w:r>
        <w:rPr>
          <w:rFonts w:cs="Times New Roman"/>
          <w:noProof/>
          <w:sz w:val="20"/>
          <w:szCs w:val="20"/>
        </w:rPr>
        <w:t>Ministry of Environment runs yearly dotation programme Village of the Year – Green Ribbon, awarding villages or rural towns for good practice in green area, water and urban nature management.</w:t>
      </w:r>
    </w:p>
    <w:p w:rsidR="006E58C2" w:rsidRDefault="005B3E0F">
      <w:pPr>
        <w:widowControl w:val="0"/>
        <w:spacing w:before="360" w:after="120" w:line="240" w:lineRule="auto"/>
        <w:outlineLvl w:val="1"/>
        <w:rPr>
          <w:rFonts w:cs="Times New Roman"/>
          <w:b/>
          <w:noProof/>
          <w:color w:val="1F497D" w:themeColor="text2"/>
          <w:sz w:val="24"/>
          <w:lang w:eastAsia="en-GB"/>
        </w:rPr>
      </w:pPr>
      <w:bookmarkStart w:id="53" w:name="_Toc454460687"/>
      <w:bookmarkStart w:id="54" w:name="_Toc456012034"/>
      <w:bookmarkStart w:id="55" w:name="_Toc469413353"/>
      <w:r>
        <w:rPr>
          <w:rFonts w:cs="Times New Roman"/>
          <w:b/>
          <w:noProof/>
          <w:color w:val="1F497D" w:themeColor="text2"/>
          <w:sz w:val="24"/>
          <w:lang w:eastAsia="en-GB"/>
        </w:rPr>
        <w:t>International agreements</w:t>
      </w:r>
      <w:bookmarkEnd w:id="53"/>
      <w:bookmarkEnd w:id="54"/>
      <w:bookmarkEnd w:id="55"/>
      <w:r>
        <w:rPr>
          <w:rFonts w:cs="Times New Roman"/>
          <w:b/>
          <w:noProof/>
          <w:color w:val="1F497D" w:themeColor="text2"/>
          <w:sz w:val="24"/>
          <w:lang w:eastAsia="en-GB"/>
        </w:rPr>
        <w:t xml:space="preserve"> </w:t>
      </w:r>
    </w:p>
    <w:p w:rsidR="006E58C2" w:rsidRDefault="005B3E0F">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w:t>
      </w:r>
      <w:r>
        <w:rPr>
          <w:rFonts w:cs="Times New Roman"/>
          <w:noProof/>
          <w:color w:val="FFFFFF" w:themeColor="background1"/>
          <w:sz w:val="20"/>
        </w:rPr>
        <w:t xml:space="preserve"> policy on the environment promotes measures at the international level to deal with regional or worldwide environmental problems.</w:t>
      </w:r>
    </w:p>
    <w:p w:rsidR="006E58C2" w:rsidRDefault="005B3E0F">
      <w:pPr>
        <w:spacing w:after="120" w:line="240" w:lineRule="auto"/>
        <w:jc w:val="both"/>
        <w:rPr>
          <w:noProof/>
          <w:sz w:val="20"/>
          <w:szCs w:val="20"/>
        </w:rPr>
      </w:pPr>
      <w:r>
        <w:rPr>
          <w:noProof/>
          <w:sz w:val="20"/>
          <w:szCs w:val="20"/>
        </w:rPr>
        <w:t>Most environmental problems have a transboundary nature and often a global scope and they can only be addressed effectively t</w:t>
      </w:r>
      <w:r>
        <w:rPr>
          <w:noProof/>
          <w:sz w:val="20"/>
          <w:szCs w:val="20"/>
        </w:rPr>
        <w:t>hrough international co-operation. International environmental agreements concluded by the Union are binding upon the institutions of the Union and on its Member States. This requires the EU and the Member States to sign, ratify and effectively implement a</w:t>
      </w:r>
      <w:r>
        <w:rPr>
          <w:noProof/>
          <w:sz w:val="20"/>
          <w:szCs w:val="20"/>
        </w:rPr>
        <w:t>ll relevant multilateral environmental agreements (MEAs) in a timely manner. This will also be an important contribution towards the achievement of the SDGs, which Member States committed to in 2015 and include many commitments contained already in legally</w:t>
      </w:r>
      <w:r>
        <w:rPr>
          <w:noProof/>
          <w:sz w:val="20"/>
          <w:szCs w:val="20"/>
        </w:rPr>
        <w:t xml:space="preserve"> binding agreements.</w:t>
      </w:r>
    </w:p>
    <w:p w:rsidR="006E58C2" w:rsidRDefault="005B3E0F">
      <w:pPr>
        <w:widowControl w:val="0"/>
        <w:spacing w:after="120" w:line="240" w:lineRule="auto"/>
        <w:jc w:val="both"/>
        <w:rPr>
          <w:rFonts w:cs="Times New Roman"/>
          <w:noProof/>
          <w:sz w:val="20"/>
        </w:rPr>
      </w:pPr>
      <w:r>
        <w:rPr>
          <w:noProof/>
          <w:sz w:val="20"/>
          <w:szCs w:val="20"/>
        </w:rPr>
        <w:t>The fact that some Member States did not sign and/or ratify a number of MEAs compromises environmental implementation, including within the Union, as well as the Union’s credibility in related negotiations and international meetings wh</w:t>
      </w:r>
      <w:r>
        <w:rPr>
          <w:noProof/>
          <w:sz w:val="20"/>
          <w:szCs w:val="20"/>
        </w:rPr>
        <w:t>ere supporting the participation of third countries to such agreements is an established EU policy objective. In agreements where voting takes place it has a direct impact on the number of votes to be cast by the EU.</w:t>
      </w:r>
    </w:p>
    <w:p w:rsidR="006E58C2" w:rsidRDefault="005B3E0F">
      <w:pPr>
        <w:widowControl w:val="0"/>
        <w:spacing w:after="120" w:line="240" w:lineRule="auto"/>
        <w:jc w:val="both"/>
        <w:rPr>
          <w:rFonts w:cs="Times New Roman"/>
          <w:noProof/>
          <w:sz w:val="20"/>
        </w:rPr>
      </w:pPr>
      <w:r>
        <w:rPr>
          <w:rFonts w:cs="Times New Roman"/>
          <w:noProof/>
          <w:sz w:val="20"/>
        </w:rPr>
        <w:t xml:space="preserve">The Czech Republic has signed and </w:t>
      </w:r>
      <w:r>
        <w:rPr>
          <w:rFonts w:cs="Times New Roman"/>
          <w:noProof/>
          <w:sz w:val="20"/>
        </w:rPr>
        <w:t>ratified almost all MEAs. The Czech Republic is an advanced player in the field of international cooperation in water protection based on long term experience. There are bilateral agreements signed with all 4 neighbouring countries and CZ is a party to Int</w:t>
      </w:r>
      <w:r>
        <w:rPr>
          <w:rFonts w:cs="Times New Roman"/>
          <w:noProof/>
          <w:sz w:val="20"/>
        </w:rPr>
        <w:t>ernational Commissions for protection of rivers Elbe, Danube and Oder, which cover all Czech river basins. Implementation and enforcement of Convention on International Trade in Endangered Species of Wild Fauns and Flora (CITES) and the EU Wildlife Trade R</w:t>
      </w:r>
      <w:r>
        <w:rPr>
          <w:rFonts w:cs="Times New Roman"/>
          <w:noProof/>
          <w:sz w:val="20"/>
        </w:rPr>
        <w:t>egulations could be regarded as another example.</w:t>
      </w:r>
      <w:r>
        <w:rPr>
          <w:rStyle w:val="FootnoteReference"/>
          <w:rFonts w:cs="Times New Roman"/>
          <w:noProof/>
          <w:sz w:val="20"/>
        </w:rPr>
        <w:footnoteReference w:id="78"/>
      </w:r>
    </w:p>
    <w:p w:rsidR="006E58C2" w:rsidRDefault="006E58C2">
      <w:pPr>
        <w:widowControl w:val="0"/>
        <w:spacing w:after="120" w:line="240" w:lineRule="auto"/>
        <w:jc w:val="both"/>
        <w:rPr>
          <w:rFonts w:cs="Times New Roman"/>
          <w:noProof/>
          <w:sz w:val="20"/>
        </w:rPr>
        <w:sectPr w:rsidR="006E58C2">
          <w:headerReference w:type="even" r:id="rId91"/>
          <w:headerReference w:type="default" r:id="rId92"/>
          <w:footerReference w:type="even" r:id="rId93"/>
          <w:footerReference w:type="default" r:id="rId94"/>
          <w:headerReference w:type="first" r:id="rId95"/>
          <w:footerReference w:type="first" r:id="rId96"/>
          <w:type w:val="continuous"/>
          <w:pgSz w:w="11906" w:h="16838"/>
          <w:pgMar w:top="1440" w:right="1080" w:bottom="1440" w:left="1080" w:header="708" w:footer="708" w:gutter="0"/>
          <w:cols w:num="2" w:space="360"/>
          <w:docGrid w:linePitch="360"/>
        </w:sectPr>
      </w:pPr>
    </w:p>
    <w:p w:rsidR="006E58C2" w:rsidRDefault="005B3E0F">
      <w:pPr>
        <w:keepNext/>
        <w:keepLines/>
        <w:widowControl w:val="0"/>
        <w:spacing w:after="0" w:line="240" w:lineRule="auto"/>
        <w:jc w:val="center"/>
        <w:outlineLvl w:val="0"/>
        <w:rPr>
          <w:rFonts w:eastAsiaTheme="majorEastAsia" w:cstheme="majorBidi"/>
          <w:b/>
          <w:bCs/>
          <w:noProof/>
          <w:color w:val="1F497D" w:themeColor="text2"/>
          <w:sz w:val="32"/>
          <w:szCs w:val="28"/>
        </w:rPr>
      </w:pPr>
      <w:bookmarkStart w:id="56" w:name="_Toc454813120"/>
      <w:bookmarkStart w:id="57" w:name="_Toc456012035"/>
      <w:bookmarkStart w:id="58" w:name="_Toc469413354"/>
      <w:r>
        <w:rPr>
          <w:rFonts w:eastAsiaTheme="majorEastAsia" w:cstheme="majorBidi"/>
          <w:b/>
          <w:bCs/>
          <w:noProof/>
          <w:color w:val="1F497D" w:themeColor="text2"/>
          <w:sz w:val="32"/>
          <w:szCs w:val="28"/>
        </w:rPr>
        <w:t>Part II: Enabling Framework: Implementation Tools</w:t>
      </w:r>
      <w:bookmarkEnd w:id="56"/>
      <w:bookmarkEnd w:id="57"/>
      <w:bookmarkEnd w:id="58"/>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sectPr w:rsidR="006E58C2">
          <w:headerReference w:type="even" r:id="rId97"/>
          <w:headerReference w:type="default" r:id="rId98"/>
          <w:footerReference w:type="even" r:id="rId99"/>
          <w:footerReference w:type="default" r:id="rId100"/>
          <w:headerReference w:type="first" r:id="rId101"/>
          <w:footerReference w:type="first" r:id="rId102"/>
          <w:type w:val="continuous"/>
          <w:pgSz w:w="11906" w:h="16838"/>
          <w:pgMar w:top="1440" w:right="1080" w:bottom="1440" w:left="1080" w:header="708" w:footer="708" w:gutter="0"/>
          <w:cols w:space="566"/>
          <w:docGrid w:linePitch="360"/>
        </w:sectPr>
      </w:pPr>
    </w:p>
    <w:p w:rsidR="006E58C2" w:rsidRDefault="005B3E0F">
      <w:pPr>
        <w:keepNext/>
        <w:keepLines/>
        <w:widowControl w:val="0"/>
        <w:numPr>
          <w:ilvl w:val="0"/>
          <w:numId w:val="27"/>
        </w:numPr>
        <w:spacing w:after="0" w:line="240" w:lineRule="auto"/>
        <w:jc w:val="center"/>
        <w:outlineLvl w:val="0"/>
        <w:rPr>
          <w:rFonts w:eastAsiaTheme="majorEastAsia" w:cstheme="majorBidi"/>
          <w:b/>
          <w:bCs/>
          <w:noProof/>
          <w:color w:val="1F497D" w:themeColor="text2"/>
          <w:sz w:val="32"/>
          <w:szCs w:val="28"/>
        </w:rPr>
      </w:pPr>
      <w:bookmarkStart w:id="59" w:name="_Toc454813121"/>
      <w:bookmarkStart w:id="60" w:name="_Toc456012036"/>
      <w:bookmarkStart w:id="61" w:name="_Toc469413355"/>
      <w:r>
        <w:rPr>
          <w:rFonts w:eastAsiaTheme="majorEastAsia" w:cstheme="majorBidi"/>
          <w:b/>
          <w:bCs/>
          <w:noProof/>
          <w:color w:val="1F497D" w:themeColor="text2"/>
          <w:sz w:val="32"/>
          <w:szCs w:val="28"/>
        </w:rPr>
        <w:t>Market based instruments and investment</w:t>
      </w:r>
      <w:bookmarkEnd w:id="59"/>
      <w:bookmarkEnd w:id="60"/>
      <w:bookmarkEnd w:id="61"/>
      <w:r>
        <w:rPr>
          <w:rFonts w:eastAsiaTheme="majorEastAsia" w:cstheme="majorBidi"/>
          <w:b/>
          <w:bCs/>
          <w:noProof/>
          <w:color w:val="1F497D" w:themeColor="text2"/>
          <w:sz w:val="32"/>
          <w:szCs w:val="28"/>
        </w:rPr>
        <w:t xml:space="preserve"> </w:t>
      </w:r>
    </w:p>
    <w:p w:rsidR="006E58C2" w:rsidRDefault="006E58C2">
      <w:pPr>
        <w:widowControl w:val="0"/>
        <w:spacing w:after="120"/>
        <w:rPr>
          <w:rFonts w:cs="Times New Roman"/>
          <w:noProof/>
          <w:sz w:val="20"/>
        </w:rPr>
      </w:pPr>
    </w:p>
    <w:p w:rsidR="006E58C2" w:rsidRDefault="006E58C2">
      <w:pPr>
        <w:widowControl w:val="0"/>
        <w:spacing w:after="120"/>
        <w:rPr>
          <w:rFonts w:cs="Times New Roman"/>
          <w:noProof/>
          <w:sz w:val="20"/>
        </w:rPr>
        <w:sectPr w:rsidR="006E58C2">
          <w:headerReference w:type="even" r:id="rId103"/>
          <w:headerReference w:type="default" r:id="rId104"/>
          <w:footerReference w:type="even" r:id="rId105"/>
          <w:footerReference w:type="default" r:id="rId106"/>
          <w:headerReference w:type="first" r:id="rId107"/>
          <w:footerReference w:type="first" r:id="rId108"/>
          <w:type w:val="continuous"/>
          <w:pgSz w:w="11906" w:h="16838" w:code="9"/>
          <w:pgMar w:top="1080" w:right="1440" w:bottom="1080" w:left="1440" w:header="709" w:footer="709" w:gutter="0"/>
          <w:cols w:space="566"/>
          <w:docGrid w:linePitch="360"/>
        </w:sectPr>
      </w:pPr>
    </w:p>
    <w:p w:rsidR="006E58C2" w:rsidRDefault="005B3E0F">
      <w:pPr>
        <w:widowControl w:val="0"/>
        <w:spacing w:after="120" w:line="240" w:lineRule="auto"/>
        <w:outlineLvl w:val="1"/>
        <w:rPr>
          <w:rFonts w:cs="Times New Roman"/>
          <w:b/>
          <w:noProof/>
          <w:color w:val="1F497D" w:themeColor="text2"/>
          <w:sz w:val="24"/>
        </w:rPr>
      </w:pPr>
      <w:bookmarkStart w:id="62" w:name="_Toc454813122"/>
      <w:bookmarkStart w:id="63" w:name="_Toc456012037"/>
      <w:bookmarkStart w:id="64" w:name="_Toc469413356"/>
      <w:r>
        <w:rPr>
          <w:rFonts w:cs="Times New Roman"/>
          <w:b/>
          <w:noProof/>
          <w:color w:val="1F497D" w:themeColor="text2"/>
          <w:sz w:val="24"/>
        </w:rPr>
        <w:t>Green taxation and environmentally harmful subsidies</w:t>
      </w:r>
      <w:bookmarkEnd w:id="62"/>
      <w:bookmarkEnd w:id="63"/>
      <w:bookmarkEnd w:id="64"/>
    </w:p>
    <w:p w:rsidR="006E58C2" w:rsidRDefault="005B3E0F">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The Circular Economy Action Plan encourages the use of financial incentives and economic instruments, such as taxation to ensure that product prices better reflect</w:t>
      </w:r>
      <w:r>
        <w:rPr>
          <w:rFonts w:ascii="Calibri" w:eastAsia="Calibri" w:hAnsi="Calibri" w:cs="Times New Roman"/>
          <w:noProof/>
          <w:color w:val="FFFFFF"/>
          <w:sz w:val="20"/>
          <w:lang w:eastAsia="ar-SA"/>
        </w:rPr>
        <w:t xml:space="preserve"> environmental costs. The phasing out of environmentally harmful subsidies is monitored in the context of the European Semester and in national reform programmes submitted by Member States.</w:t>
      </w:r>
    </w:p>
    <w:p w:rsidR="006E58C2" w:rsidRDefault="005B3E0F">
      <w:pPr>
        <w:widowControl w:val="0"/>
        <w:spacing w:after="120" w:line="240" w:lineRule="auto"/>
        <w:jc w:val="both"/>
        <w:rPr>
          <w:rFonts w:cs="Times New Roman"/>
          <w:noProof/>
          <w:sz w:val="20"/>
        </w:rPr>
      </w:pPr>
      <w:r>
        <w:rPr>
          <w:rFonts w:cs="Times New Roman"/>
          <w:noProof/>
          <w:sz w:val="20"/>
        </w:rPr>
        <w:t>Taxing pollution and resource use can generate increased revenue a</w:t>
      </w:r>
      <w:r>
        <w:rPr>
          <w:rFonts w:cs="Times New Roman"/>
          <w:noProof/>
          <w:sz w:val="20"/>
        </w:rPr>
        <w:t>nd brings important social and environmental benefits.</w:t>
      </w:r>
    </w:p>
    <w:p w:rsidR="006E58C2" w:rsidRDefault="005B3E0F">
      <w:pPr>
        <w:widowControl w:val="0"/>
        <w:spacing w:after="120" w:line="240" w:lineRule="auto"/>
        <w:jc w:val="both"/>
        <w:rPr>
          <w:rFonts w:cs="Times New Roman"/>
          <w:noProof/>
          <w:sz w:val="20"/>
        </w:rPr>
      </w:pPr>
      <w:r>
        <w:rPr>
          <w:rFonts w:cs="Times New Roman"/>
          <w:noProof/>
          <w:sz w:val="20"/>
        </w:rPr>
        <w:t>Czech Republic's revenues from environmentally related taxes and fees continued to decline across the last 10 years</w:t>
      </w:r>
      <w:r>
        <w:rPr>
          <w:rFonts w:cs="Times New Roman"/>
          <w:noProof/>
          <w:sz w:val="20"/>
          <w:vertAlign w:val="superscript"/>
        </w:rPr>
        <w:footnoteReference w:id="79"/>
      </w:r>
      <w:r>
        <w:rPr>
          <w:rFonts w:cs="Times New Roman"/>
          <w:noProof/>
          <w:sz w:val="20"/>
        </w:rPr>
        <w:t xml:space="preserve"> and reached 2.12% of GDP in 2014 against an EU average of 2.46%. Energy taxes consti</w:t>
      </w:r>
      <w:r>
        <w:rPr>
          <w:rFonts w:cs="Times New Roman"/>
          <w:noProof/>
          <w:sz w:val="20"/>
        </w:rPr>
        <w:t>tute 1.96% of GDP, slightly above the EU average of 1.88%. Taxes on transport (excluding fuel) in the Czech Republic are among the lowest in the EU (0.14% of GDP compared to the EU28 level of 0.49% GDP). As shown in Figure 11, in 2014 environmental tax rev</w:t>
      </w:r>
      <w:r>
        <w:rPr>
          <w:rFonts w:cs="Times New Roman"/>
          <w:noProof/>
          <w:sz w:val="20"/>
        </w:rPr>
        <w:t>enues accounted for 6.22% (up from 6.15% in 2013) of total revenues from taxes and social-security contributions (EU28 average: 6.35%)</w:t>
      </w:r>
      <w:r>
        <w:rPr>
          <w:rFonts w:cs="Times New Roman"/>
          <w:noProof/>
          <w:sz w:val="20"/>
          <w:vertAlign w:val="superscript"/>
        </w:rPr>
        <w:footnoteReference w:id="80"/>
      </w:r>
      <w:r>
        <w:rPr>
          <w:rFonts w:cs="Times New Roman"/>
          <w:noProof/>
          <w:sz w:val="20"/>
        </w:rPr>
        <w:t xml:space="preserve">. </w:t>
      </w:r>
    </w:p>
    <w:p w:rsidR="006E58C2" w:rsidRDefault="005B3E0F">
      <w:pPr>
        <w:widowControl w:val="0"/>
        <w:spacing w:after="120" w:line="240" w:lineRule="auto"/>
        <w:jc w:val="both"/>
        <w:rPr>
          <w:rFonts w:cs="Times New Roman"/>
          <w:noProof/>
          <w:sz w:val="20"/>
        </w:rPr>
      </w:pPr>
      <w:r>
        <w:rPr>
          <w:rFonts w:cs="Times New Roman"/>
          <w:noProof/>
          <w:sz w:val="20"/>
        </w:rPr>
        <w:t>A 2016 study suggests</w:t>
      </w:r>
      <w:r>
        <w:rPr>
          <w:rFonts w:cs="Times New Roman"/>
          <w:noProof/>
          <w:sz w:val="20"/>
          <w:vertAlign w:val="superscript"/>
        </w:rPr>
        <w:footnoteReference w:id="81"/>
      </w:r>
      <w:r>
        <w:rPr>
          <w:rFonts w:cs="Times New Roman"/>
          <w:noProof/>
          <w:sz w:val="20"/>
        </w:rPr>
        <w:t xml:space="preserve"> that there is considerable potential for shifting taxes from labour to environmental taxes in C</w:t>
      </w:r>
      <w:r>
        <w:rPr>
          <w:rFonts w:cs="Times New Roman"/>
          <w:noProof/>
          <w:sz w:val="20"/>
        </w:rPr>
        <w:t>zech Republic. Under a good practice scenario</w:t>
      </w:r>
      <w:r>
        <w:rPr>
          <w:rFonts w:cs="Times New Roman"/>
          <w:noProof/>
          <w:sz w:val="20"/>
          <w:vertAlign w:val="superscript"/>
        </w:rPr>
        <w:footnoteReference w:id="82"/>
      </w:r>
      <w:r>
        <w:rPr>
          <w:rFonts w:cs="Times New Roman"/>
          <w:noProof/>
          <w:sz w:val="20"/>
        </w:rPr>
        <w:t xml:space="preserve"> the amount could be as much as </w:t>
      </w:r>
      <w:r>
        <w:rPr>
          <w:rFonts w:cs="Times New Roman"/>
          <w:bCs/>
          <w:noProof/>
          <w:sz w:val="20"/>
        </w:rPr>
        <w:t xml:space="preserve">CZK 30.29 billion </w:t>
      </w:r>
      <w:r>
        <w:rPr>
          <w:rFonts w:cs="Times New Roman"/>
          <w:noProof/>
          <w:sz w:val="20"/>
        </w:rPr>
        <w:t xml:space="preserve">in 2018 (EUR 1.09 billion), rising to </w:t>
      </w:r>
      <w:r>
        <w:rPr>
          <w:rFonts w:cs="Times New Roman"/>
          <w:bCs/>
          <w:noProof/>
          <w:sz w:val="20"/>
        </w:rPr>
        <w:t xml:space="preserve">CZK 55.32 billion </w:t>
      </w:r>
      <w:r>
        <w:rPr>
          <w:rFonts w:cs="Times New Roman"/>
          <w:noProof/>
          <w:sz w:val="20"/>
        </w:rPr>
        <w:t xml:space="preserve">in 2030 (EUR 1.99 billion) (both in real 2015 terms). This is equivalent to an additional </w:t>
      </w:r>
      <w:r>
        <w:rPr>
          <w:rFonts w:cs="Times New Roman"/>
          <w:bCs/>
          <w:noProof/>
          <w:sz w:val="20"/>
        </w:rPr>
        <w:t xml:space="preserve">0.62% </w:t>
      </w:r>
      <w:r>
        <w:rPr>
          <w:rFonts w:cs="Times New Roman"/>
          <w:noProof/>
          <w:sz w:val="20"/>
        </w:rPr>
        <w:t xml:space="preserve">and </w:t>
      </w:r>
      <w:r>
        <w:rPr>
          <w:rFonts w:cs="Times New Roman"/>
          <w:bCs/>
          <w:noProof/>
          <w:sz w:val="20"/>
        </w:rPr>
        <w:t xml:space="preserve">0.83% </w:t>
      </w:r>
      <w:r>
        <w:rPr>
          <w:rFonts w:cs="Times New Roman"/>
          <w:noProof/>
          <w:sz w:val="20"/>
        </w:rPr>
        <w:t xml:space="preserve">of GDP in 2018 and 2030, respectively. Given the low level of transport taxes (excluding fuel), there is a potentially considerable scope for generating additional revenue form this source: it accounts for </w:t>
      </w:r>
      <w:r>
        <w:rPr>
          <w:rFonts w:cs="Times New Roman"/>
          <w:bCs/>
          <w:noProof/>
          <w:sz w:val="20"/>
        </w:rPr>
        <w:t xml:space="preserve">CZK 14.45 billion </w:t>
      </w:r>
      <w:r>
        <w:rPr>
          <w:rFonts w:cs="Times New Roman"/>
          <w:noProof/>
          <w:sz w:val="20"/>
        </w:rPr>
        <w:t xml:space="preserve">in 2030 (EUR 0.52 billion </w:t>
      </w:r>
      <w:r>
        <w:rPr>
          <w:rFonts w:cs="Times New Roman"/>
          <w:noProof/>
          <w:sz w:val="20"/>
        </w:rPr>
        <w:t xml:space="preserve">in real 2015 terms), equivalent to </w:t>
      </w:r>
      <w:r>
        <w:rPr>
          <w:rFonts w:cs="Times New Roman"/>
          <w:bCs/>
          <w:noProof/>
          <w:sz w:val="20"/>
        </w:rPr>
        <w:t xml:space="preserve">0.22% </w:t>
      </w:r>
      <w:r>
        <w:rPr>
          <w:rFonts w:cs="Times New Roman"/>
          <w:noProof/>
          <w:sz w:val="20"/>
        </w:rPr>
        <w:t>of GDP. An increase in the existing circulation tax, with the tax base potentially including particulate matter (as well as CO</w:t>
      </w:r>
      <w:r>
        <w:rPr>
          <w:rFonts w:cs="Times New Roman"/>
          <w:noProof/>
          <w:sz w:val="20"/>
          <w:vertAlign w:val="subscript"/>
        </w:rPr>
        <w:t>2</w:t>
      </w:r>
      <w:r>
        <w:rPr>
          <w:rFonts w:cs="Times New Roman"/>
          <w:noProof/>
          <w:sz w:val="20"/>
        </w:rPr>
        <w:t xml:space="preserve"> emissions) will help foster improvements in air quality. The next largest potential con</w:t>
      </w:r>
      <w:r>
        <w:rPr>
          <w:rFonts w:cs="Times New Roman"/>
          <w:noProof/>
          <w:sz w:val="20"/>
        </w:rPr>
        <w:t xml:space="preserve">tribution to revenue comes from the proposed amendments to taxes on transport fuels. This accounts for </w:t>
      </w:r>
      <w:r>
        <w:rPr>
          <w:rFonts w:cs="Times New Roman"/>
          <w:bCs/>
          <w:noProof/>
          <w:sz w:val="20"/>
        </w:rPr>
        <w:t xml:space="preserve">CZK 12.48 billion </w:t>
      </w:r>
      <w:r>
        <w:rPr>
          <w:rFonts w:cs="Times New Roman"/>
          <w:noProof/>
          <w:sz w:val="20"/>
        </w:rPr>
        <w:t xml:space="preserve">in 2030 (EUR 0.45 billion) (real 2015 terms), equivalent to </w:t>
      </w:r>
      <w:r>
        <w:rPr>
          <w:rFonts w:cs="Times New Roman"/>
          <w:bCs/>
          <w:noProof/>
          <w:sz w:val="20"/>
        </w:rPr>
        <w:t xml:space="preserve">0.19% </w:t>
      </w:r>
      <w:r>
        <w:rPr>
          <w:rFonts w:cs="Times New Roman"/>
          <w:noProof/>
          <w:sz w:val="20"/>
        </w:rPr>
        <w:t xml:space="preserve">of GDP (real 2015 terms), equivalent to 0.42% of GDP.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4909" w:type="dxa"/>
          </w:tcPr>
          <w:p w:rsidR="006E58C2" w:rsidRDefault="005B3E0F">
            <w:pPr>
              <w:widowControl w:val="0"/>
              <w:spacing w:after="120"/>
              <w:jc w:val="both"/>
              <w:rPr>
                <w:rFonts w:cs="Times New Roman"/>
                <w:b/>
                <w:bCs/>
                <w:noProof/>
                <w:color w:val="1F497D" w:themeColor="text2"/>
                <w:sz w:val="20"/>
              </w:rPr>
            </w:pPr>
            <w:r>
              <w:rPr>
                <w:b/>
                <w:bCs/>
                <w:noProof/>
                <w:color w:val="1F497D" w:themeColor="text2"/>
                <w:sz w:val="20"/>
              </w:rPr>
              <w:t>Figure 11: Env</w:t>
            </w:r>
            <w:r>
              <w:rPr>
                <w:b/>
                <w:bCs/>
                <w:noProof/>
                <w:color w:val="1F497D" w:themeColor="text2"/>
                <w:sz w:val="20"/>
              </w:rPr>
              <w:t>ironmental tax revenues as a share of total revenues from taxes and social contributions  (excluding imputed social contributions) in 2014</w:t>
            </w:r>
            <w:r>
              <w:rPr>
                <w:b/>
                <w:bCs/>
                <w:noProof/>
                <w:color w:val="1F497D" w:themeColor="text2"/>
                <w:sz w:val="20"/>
                <w:vertAlign w:val="superscript"/>
              </w:rPr>
              <w:footnoteReference w:id="83"/>
            </w:r>
          </w:p>
        </w:tc>
      </w:tr>
      <w:tr w:rsidR="006E58C2">
        <w:tc>
          <w:tcPr>
            <w:tcW w:w="4909" w:type="dxa"/>
          </w:tcPr>
          <w:p w:rsidR="006E58C2" w:rsidRDefault="005B3E0F">
            <w:pPr>
              <w:widowControl w:val="0"/>
              <w:spacing w:after="120"/>
              <w:jc w:val="both"/>
              <w:rPr>
                <w:rFonts w:cs="Times New Roman"/>
                <w:noProof/>
                <w:sz w:val="20"/>
              </w:rPr>
            </w:pPr>
            <w:r>
              <w:rPr>
                <w:rFonts w:cs="Times New Roman"/>
                <w:noProof/>
                <w:sz w:val="20"/>
                <w:lang w:eastAsia="en-GB"/>
              </w:rPr>
              <w:drawing>
                <wp:inline distT="0" distB="0" distL="0" distR="0" wp14:anchorId="247A56C3" wp14:editId="045F4332">
                  <wp:extent cx="3013804" cy="4286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16007" cy="4289384"/>
                          </a:xfrm>
                          <a:prstGeom prst="rect">
                            <a:avLst/>
                          </a:prstGeom>
                          <a:noFill/>
                        </pic:spPr>
                      </pic:pic>
                    </a:graphicData>
                  </a:graphic>
                </wp:inline>
              </w:drawing>
            </w:r>
          </w:p>
        </w:tc>
      </w:tr>
    </w:tbl>
    <w:p w:rsidR="006E58C2" w:rsidRDefault="006E58C2">
      <w:pPr>
        <w:widowControl w:val="0"/>
        <w:spacing w:before="360" w:after="120" w:line="240" w:lineRule="auto"/>
        <w:outlineLvl w:val="1"/>
        <w:rPr>
          <w:rFonts w:cs="Times New Roman"/>
          <w:b/>
          <w:noProof/>
          <w:color w:val="1F497D" w:themeColor="text2"/>
          <w:sz w:val="24"/>
          <w:lang w:eastAsia="en-GB"/>
        </w:rPr>
      </w:pPr>
      <w:bookmarkStart w:id="65" w:name="_Toc454460691"/>
      <w:bookmarkStart w:id="66" w:name="_Toc456012038"/>
      <w:bookmarkStart w:id="67" w:name="_Toc469413357"/>
      <w:bookmarkStart w:id="68" w:name="_Toc448925421"/>
    </w:p>
    <w:p w:rsidR="006E58C2" w:rsidRDefault="006E58C2">
      <w:pPr>
        <w:widowControl w:val="0"/>
        <w:spacing w:before="360" w:after="120" w:line="240" w:lineRule="auto"/>
        <w:outlineLvl w:val="1"/>
        <w:rPr>
          <w:rFonts w:cs="Times New Roman"/>
          <w:b/>
          <w:noProof/>
          <w:color w:val="1F497D" w:themeColor="text2"/>
          <w:sz w:val="24"/>
          <w:lang w:eastAsia="en-GB"/>
        </w:rPr>
      </w:pPr>
    </w:p>
    <w:p w:rsidR="006E58C2" w:rsidRDefault="005B3E0F">
      <w:pPr>
        <w:widowControl w:val="0"/>
        <w:spacing w:before="360" w:after="120" w:line="240" w:lineRule="auto"/>
        <w:outlineLvl w:val="1"/>
        <w:rPr>
          <w:rFonts w:cs="Times New Roman"/>
          <w:b/>
          <w:noProof/>
          <w:color w:val="1F497D" w:themeColor="text2"/>
          <w:sz w:val="24"/>
          <w:lang w:eastAsia="en-GB"/>
        </w:rPr>
      </w:pPr>
      <w:r>
        <w:rPr>
          <w:rFonts w:cs="Times New Roman"/>
          <w:b/>
          <w:noProof/>
          <w:color w:val="1F497D" w:themeColor="text2"/>
          <w:sz w:val="24"/>
          <w:lang w:eastAsia="en-GB"/>
        </w:rPr>
        <w:t>Green Public Procurement</w:t>
      </w:r>
      <w:bookmarkEnd w:id="65"/>
      <w:bookmarkEnd w:id="66"/>
      <w:bookmarkEnd w:id="67"/>
      <w:r>
        <w:rPr>
          <w:rFonts w:cs="Times New Roman"/>
          <w:b/>
          <w:noProof/>
          <w:color w:val="1F497D" w:themeColor="text2"/>
          <w:sz w:val="24"/>
          <w:lang w:eastAsia="en-GB"/>
        </w:rPr>
        <w:t xml:space="preserve"> </w:t>
      </w:r>
    </w:p>
    <w:bookmarkEnd w:id="68"/>
    <w:p w:rsidR="006E58C2" w:rsidRDefault="005B3E0F">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green public procurement policies encourage Member States to take further </w:t>
      </w:r>
      <w:r>
        <w:rPr>
          <w:rFonts w:cs="Times New Roman"/>
          <w:noProof/>
          <w:color w:val="FFFFFF" w:themeColor="background1"/>
          <w:sz w:val="20"/>
        </w:rPr>
        <w:t>steps to reach the target of applying green procurement criteria to at least 50% of public tenders.</w:t>
      </w:r>
    </w:p>
    <w:p w:rsidR="006E58C2" w:rsidRDefault="005B3E0F">
      <w:pPr>
        <w:widowControl w:val="0"/>
        <w:spacing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reduced environmental impact through</w:t>
      </w:r>
      <w:r>
        <w:rPr>
          <w:rFonts w:cs="Times New Roman"/>
          <w:noProof/>
          <w:sz w:val="20"/>
        </w:rPr>
        <w:t xml:space="preserve">out their life-cycle when compared to goods, services and works with the same primary function that would otherwise be procured. </w:t>
      </w:r>
    </w:p>
    <w:p w:rsidR="006E58C2" w:rsidRDefault="005B3E0F">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84"/>
      </w:r>
      <w:r>
        <w:rPr>
          <w:rFonts w:cs="Times New Roman"/>
          <w:noProof/>
          <w:sz w:val="20"/>
        </w:rPr>
        <w:t xml:space="preserve">. A substantial part of this money is spent on </w:t>
      </w:r>
      <w:r>
        <w:rPr>
          <w:rFonts w:cs="Times New Roman"/>
          <w:noProof/>
          <w:sz w:val="20"/>
        </w:rPr>
        <w:t>sectors with high environmental impact such as construction or transport, so GPP can help to significantly lower the impact of public spending and foster sustainable innovative businesses. The Commission has proposed EU GPP criteria</w:t>
      </w:r>
      <w:r>
        <w:rPr>
          <w:rFonts w:cs="Times New Roman"/>
          <w:noProof/>
          <w:sz w:val="20"/>
          <w:vertAlign w:val="superscript"/>
        </w:rPr>
        <w:footnoteReference w:id="85"/>
      </w:r>
      <w:r>
        <w:rPr>
          <w:rFonts w:cs="Times New Roman"/>
          <w:noProof/>
          <w:sz w:val="20"/>
        </w:rPr>
        <w:t>.</w:t>
      </w:r>
    </w:p>
    <w:p w:rsidR="006E58C2" w:rsidRDefault="005B3E0F">
      <w:pPr>
        <w:widowControl w:val="0"/>
        <w:spacing w:after="120" w:line="240" w:lineRule="auto"/>
        <w:jc w:val="both"/>
        <w:rPr>
          <w:rFonts w:cs="Times New Roman"/>
          <w:noProof/>
          <w:sz w:val="20"/>
        </w:rPr>
      </w:pPr>
      <w:r>
        <w:rPr>
          <w:rFonts w:cs="Times New Roman"/>
          <w:noProof/>
          <w:sz w:val="20"/>
        </w:rPr>
        <w:t>The Ministry of Envir</w:t>
      </w:r>
      <w:r>
        <w:rPr>
          <w:rFonts w:cs="Times New Roman"/>
          <w:noProof/>
          <w:sz w:val="20"/>
        </w:rPr>
        <w:t>onment has prepared “Rules for implementing environmental requirements in public procurement of state administration and self-administration”, which is based on European Commission’s toolkits and is developed instead of a National Action Plan (NAP) or a Na</w:t>
      </w:r>
      <w:r>
        <w:rPr>
          <w:rFonts w:cs="Times New Roman"/>
          <w:noProof/>
          <w:sz w:val="20"/>
        </w:rPr>
        <w:t>tional Strategy on GPP.</w:t>
      </w:r>
    </w:p>
    <w:p w:rsidR="006E58C2" w:rsidRDefault="005B3E0F">
      <w:pPr>
        <w:widowControl w:val="0"/>
        <w:spacing w:after="120" w:line="240" w:lineRule="auto"/>
        <w:jc w:val="both"/>
        <w:rPr>
          <w:rFonts w:cs="Times New Roman"/>
          <w:noProof/>
          <w:sz w:val="20"/>
        </w:rPr>
      </w:pPr>
      <w:r>
        <w:rPr>
          <w:rFonts w:cs="Times New Roman"/>
          <w:noProof/>
          <w:sz w:val="20"/>
        </w:rPr>
        <w:t>GPP criteria are partially developed at the national level and include the product groups for furniture and IT office equipment. Toolkits for other product groups will be introduced subsequently.</w:t>
      </w:r>
      <w:r>
        <w:rPr>
          <w:rFonts w:cs="Times New Roman"/>
          <w:noProof/>
          <w:sz w:val="20"/>
          <w:vertAlign w:val="superscript"/>
        </w:rPr>
        <w:footnoteReference w:id="86"/>
      </w:r>
    </w:p>
    <w:p w:rsidR="006E58C2" w:rsidRDefault="005B3E0F">
      <w:pPr>
        <w:widowControl w:val="0"/>
        <w:spacing w:after="120" w:line="240" w:lineRule="auto"/>
        <w:jc w:val="both"/>
        <w:rPr>
          <w:rFonts w:cs="Times New Roman"/>
          <w:noProof/>
          <w:sz w:val="20"/>
        </w:rPr>
      </w:pPr>
      <w:r>
        <w:rPr>
          <w:rFonts w:cs="Times New Roman"/>
          <w:noProof/>
          <w:sz w:val="20"/>
        </w:rPr>
        <w:t>In a 2010 study, the share of Czech</w:t>
      </w:r>
      <w:r>
        <w:rPr>
          <w:rFonts w:cs="Times New Roman"/>
          <w:noProof/>
          <w:sz w:val="20"/>
        </w:rPr>
        <w:t xml:space="preserve"> authorities that included GPP requirements in between 50% and 100% of their contracts was estimated between 10 and 20%</w:t>
      </w:r>
      <w:r>
        <w:rPr>
          <w:rFonts w:cs="Times New Roman"/>
          <w:noProof/>
          <w:sz w:val="20"/>
          <w:vertAlign w:val="superscript"/>
        </w:rPr>
        <w:footnoteReference w:id="87"/>
      </w:r>
      <w:r>
        <w:rPr>
          <w:rFonts w:cs="Times New Roman"/>
          <w:noProof/>
          <w:sz w:val="20"/>
        </w:rPr>
        <w:t>.</w:t>
      </w:r>
    </w:p>
    <w:p w:rsidR="006E58C2" w:rsidRDefault="005B3E0F">
      <w:pPr>
        <w:widowControl w:val="0"/>
        <w:spacing w:before="360" w:after="120" w:line="240" w:lineRule="auto"/>
        <w:outlineLvl w:val="1"/>
        <w:rPr>
          <w:rFonts w:cs="Times New Roman"/>
          <w:b/>
          <w:noProof/>
          <w:color w:val="1F497D" w:themeColor="text2"/>
          <w:sz w:val="24"/>
        </w:rPr>
      </w:pPr>
      <w:bookmarkStart w:id="69" w:name="_Toc469413358"/>
      <w:bookmarkStart w:id="70" w:name="_Toc456012039"/>
      <w:r>
        <w:rPr>
          <w:rFonts w:cs="Times New Roman"/>
          <w:b/>
          <w:noProof/>
          <w:color w:val="1F497D" w:themeColor="text2"/>
          <w:sz w:val="24"/>
        </w:rPr>
        <w:t>Investments: the contribution of EU funds</w:t>
      </w:r>
      <w:bookmarkEnd w:id="69"/>
      <w:r>
        <w:rPr>
          <w:rFonts w:cs="Times New Roman"/>
          <w:b/>
          <w:noProof/>
          <w:color w:val="1F497D" w:themeColor="text2"/>
          <w:sz w:val="24"/>
        </w:rPr>
        <w:t xml:space="preserve"> </w:t>
      </w:r>
      <w:bookmarkEnd w:id="70"/>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Regulations provide that Member States promote env</w:t>
      </w:r>
      <w:r>
        <w:rPr>
          <w:rFonts w:cs="Times New Roman"/>
          <w:noProof/>
          <w:color w:val="FFFFFF" w:themeColor="background1"/>
          <w:sz w:val="20"/>
        </w:rPr>
        <w:t>ironment and climate objectives in their funding strategies and programmes for economic, social and territorial cohesion, rural development and maritime policy, and reinforce the capacity of implementing bodies to deliver cost-effective and sustainable inv</w:t>
      </w:r>
      <w:r>
        <w:rPr>
          <w:rFonts w:cs="Times New Roman"/>
          <w:noProof/>
          <w:color w:val="FFFFFF" w:themeColor="background1"/>
          <w:sz w:val="20"/>
        </w:rPr>
        <w:t>estments in these areas.</w:t>
      </w:r>
    </w:p>
    <w:p w:rsidR="006E58C2" w:rsidRDefault="005B3E0F">
      <w:pPr>
        <w:widowControl w:val="0"/>
        <w:spacing w:after="120" w:line="240" w:lineRule="auto"/>
        <w:jc w:val="both"/>
        <w:rPr>
          <w:rFonts w:cs="Times New Roman"/>
          <w:noProof/>
          <w:sz w:val="20"/>
          <w:highlight w:val="yellow"/>
        </w:rPr>
      </w:pPr>
      <w:r>
        <w:rPr>
          <w:rFonts w:cs="Times New Roman"/>
          <w:noProof/>
          <w:sz w:val="20"/>
        </w:rPr>
        <w:t>Making good use of the European Structural and Investments Funds (ESIF)</w:t>
      </w:r>
      <w:r>
        <w:rPr>
          <w:rFonts w:cs="Times New Roman"/>
          <w:noProof/>
          <w:sz w:val="20"/>
          <w:vertAlign w:val="superscript"/>
        </w:rPr>
        <w:footnoteReference w:id="88"/>
      </w:r>
      <w:r>
        <w:rPr>
          <w:rFonts w:cs="Times New Roman"/>
          <w:noProof/>
          <w:sz w:val="20"/>
        </w:rPr>
        <w:t xml:space="preserve"> is essential to achieve the environmental goals and integrate these into other policy areas. Other instruments such as the Horizon 2020, the LIFE programme an</w:t>
      </w:r>
      <w:r>
        <w:rPr>
          <w:rFonts w:cs="Times New Roman"/>
          <w:noProof/>
          <w:sz w:val="20"/>
        </w:rPr>
        <w:t xml:space="preserve">d EFSI may also support implementation and spread off best practice.     </w:t>
      </w:r>
    </w:p>
    <w:p w:rsidR="006E58C2" w:rsidRDefault="005B3E0F">
      <w:pPr>
        <w:widowControl w:val="0"/>
        <w:spacing w:after="120" w:line="240" w:lineRule="auto"/>
        <w:jc w:val="both"/>
        <w:rPr>
          <w:rFonts w:cs="Times New Roman"/>
          <w:b/>
          <w:noProof/>
          <w:sz w:val="20"/>
        </w:rPr>
      </w:pPr>
      <w:r>
        <w:rPr>
          <w:rFonts w:cs="Times New Roman"/>
          <w:noProof/>
          <w:sz w:val="20"/>
        </w:rPr>
        <w:t>Global budget for the implementation of Cohesion Policy in the Czech Republic in 2014-2020 is EUR 24.2 billion</w:t>
      </w:r>
      <w:r>
        <w:rPr>
          <w:rFonts w:cs="Times New Roman"/>
          <w:noProof/>
          <w:sz w:val="20"/>
          <w:vertAlign w:val="superscript"/>
        </w:rPr>
        <w:footnoteReference w:id="89"/>
      </w:r>
      <w:r>
        <w:rPr>
          <w:rFonts w:cs="Times New Roman"/>
          <w:noProof/>
          <w:sz w:val="20"/>
        </w:rPr>
        <w:t xml:space="preserve"> (see </w:t>
      </w:r>
      <w:r>
        <w:rPr>
          <w:rFonts w:cs="Times New Roman"/>
          <w:bCs/>
          <w:noProof/>
          <w:sz w:val="20"/>
        </w:rPr>
        <w:t>Figure 12)</w:t>
      </w:r>
      <w:r>
        <w:rPr>
          <w:rFonts w:cs="Times New Roman"/>
          <w:noProof/>
          <w:sz w:val="20"/>
        </w:rPr>
        <w:t xml:space="preserve">. The Czech Republic will receive about 20% less funds </w:t>
      </w:r>
      <w:r>
        <w:rPr>
          <w:rFonts w:cs="Times New Roman"/>
          <w:noProof/>
          <w:sz w:val="20"/>
        </w:rPr>
        <w:t xml:space="preserve">in 2014-2020 period compared to 2007-13 period (EUR 22 billion, excl. CEF, in current prices). Despite this reduction, it will continue to benefit from high rate investment intensity, well above the Member States average per capita.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9242" w:type="dxa"/>
          </w:tcPr>
          <w:p w:rsidR="006E58C2" w:rsidRDefault="005B3E0F">
            <w:pPr>
              <w:spacing w:after="120"/>
              <w:jc w:val="both"/>
              <w:rPr>
                <w:rFonts w:cs="Times New Roman"/>
                <w:noProof/>
                <w:sz w:val="20"/>
              </w:rPr>
            </w:pPr>
            <w:r>
              <w:rPr>
                <w:rFonts w:cs="Times New Roman"/>
                <w:b/>
                <w:bCs/>
                <w:noProof/>
                <w:color w:val="1F497D" w:themeColor="text2"/>
                <w:sz w:val="20"/>
              </w:rPr>
              <w:t>Figure 12: European St</w:t>
            </w:r>
            <w:r>
              <w:rPr>
                <w:rFonts w:cs="Times New Roman"/>
                <w:b/>
                <w:bCs/>
                <w:noProof/>
                <w:color w:val="1F497D" w:themeColor="text2"/>
                <w:sz w:val="20"/>
              </w:rPr>
              <w:t>ructural and Investment Funds 2014-2020: Budget Czech Republic by theme, EUR billion</w:t>
            </w:r>
            <w:r>
              <w:rPr>
                <w:rFonts w:cs="Times New Roman"/>
                <w:b/>
                <w:bCs/>
                <w:noProof/>
                <w:color w:val="1F497D" w:themeColor="text2"/>
                <w:sz w:val="20"/>
                <w:vertAlign w:val="superscript"/>
              </w:rPr>
              <w:footnoteReference w:id="90"/>
            </w:r>
          </w:p>
        </w:tc>
      </w:tr>
      <w:tr w:rsidR="006E58C2">
        <w:tc>
          <w:tcPr>
            <w:tcW w:w="9242" w:type="dxa"/>
          </w:tcPr>
          <w:p w:rsidR="006E58C2" w:rsidRDefault="005B3E0F">
            <w:pPr>
              <w:spacing w:after="120"/>
              <w:jc w:val="both"/>
              <w:rPr>
                <w:rFonts w:cs="Times New Roman"/>
                <w:noProof/>
                <w:sz w:val="20"/>
              </w:rPr>
            </w:pPr>
            <w:r>
              <w:rPr>
                <w:rFonts w:cs="Times New Roman"/>
                <w:noProof/>
                <w:sz w:val="20"/>
                <w:lang w:eastAsia="en-GB"/>
              </w:rPr>
              <w:drawing>
                <wp:inline distT="0" distB="0" distL="0" distR="0" wp14:anchorId="55A18C29" wp14:editId="318AE72C">
                  <wp:extent cx="3058726" cy="364807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059522" cy="3649024"/>
                          </a:xfrm>
                          <a:prstGeom prst="rect">
                            <a:avLst/>
                          </a:prstGeom>
                        </pic:spPr>
                      </pic:pic>
                    </a:graphicData>
                  </a:graphic>
                </wp:inline>
              </w:drawing>
            </w:r>
          </w:p>
        </w:tc>
      </w:tr>
    </w:tbl>
    <w:p w:rsidR="006E58C2" w:rsidRDefault="005B3E0F">
      <w:pPr>
        <w:widowControl w:val="0"/>
        <w:spacing w:after="120" w:line="240" w:lineRule="auto"/>
        <w:jc w:val="both"/>
        <w:rPr>
          <w:rFonts w:cs="Times New Roman"/>
          <w:noProof/>
          <w:sz w:val="20"/>
        </w:rPr>
      </w:pPr>
      <w:r>
        <w:rPr>
          <w:rFonts w:cs="Times New Roman"/>
          <w:noProof/>
          <w:sz w:val="20"/>
        </w:rPr>
        <w:t xml:space="preserve">As regards the planned investments per environmental sector, these target water, waste, air, floods protection and nature. It is too early to draw conclusions as </w:t>
      </w:r>
      <w:r>
        <w:rPr>
          <w:rFonts w:cs="Times New Roman"/>
          <w:noProof/>
          <w:sz w:val="20"/>
        </w:rPr>
        <w:t>regards the use and results of ESIF for the period 2014-2020, as the relevant programmes are still in an early stage of their implementation.</w:t>
      </w:r>
    </w:p>
    <w:p w:rsidR="006E58C2" w:rsidRDefault="005B3E0F">
      <w:pPr>
        <w:widowControl w:val="0"/>
        <w:spacing w:after="120" w:line="240" w:lineRule="auto"/>
        <w:jc w:val="both"/>
        <w:rPr>
          <w:rFonts w:cs="Times New Roman"/>
          <w:noProof/>
          <w:sz w:val="20"/>
        </w:rPr>
      </w:pPr>
      <w:r>
        <w:rPr>
          <w:rFonts w:cs="Times New Roman"/>
          <w:noProof/>
          <w:sz w:val="20"/>
        </w:rPr>
        <w:t>There are 9 programmes for ESIF in 2014-2020. The main programme for implementation of environmental policies is O</w:t>
      </w:r>
      <w:r>
        <w:rPr>
          <w:rFonts w:cs="Times New Roman"/>
          <w:noProof/>
          <w:sz w:val="20"/>
        </w:rPr>
        <w:t>perational Programme Environment.</w:t>
      </w:r>
    </w:p>
    <w:p w:rsidR="006E58C2" w:rsidRDefault="005B3E0F">
      <w:pPr>
        <w:widowControl w:val="0"/>
        <w:spacing w:after="120" w:line="240" w:lineRule="auto"/>
        <w:jc w:val="both"/>
        <w:rPr>
          <w:rFonts w:cs="Times New Roman"/>
          <w:noProof/>
          <w:sz w:val="20"/>
        </w:rPr>
      </w:pPr>
      <w:r>
        <w:rPr>
          <w:rFonts w:cs="Times New Roman"/>
          <w:noProof/>
          <w:sz w:val="20"/>
        </w:rPr>
        <w:t>The environmental expenditure</w:t>
      </w:r>
      <w:r>
        <w:rPr>
          <w:rFonts w:cs="Times New Roman"/>
          <w:noProof/>
          <w:sz w:val="20"/>
          <w:shd w:val="clear" w:color="auto" w:fill="FFFFFF" w:themeFill="background1"/>
        </w:rPr>
        <w:t xml:space="preserve"> (ERDF +CF) estimates to </w:t>
      </w:r>
      <w:r>
        <w:rPr>
          <w:rFonts w:cs="Times New Roman"/>
          <w:noProof/>
          <w:sz w:val="20"/>
        </w:rPr>
        <w:t xml:space="preserve">10.3% (based on specific environmental related categories of expenditure), which, in 2007-2013 period corresponded to 18.1%. </w:t>
      </w:r>
    </w:p>
    <w:p w:rsidR="006E58C2" w:rsidRDefault="005B3E0F">
      <w:pPr>
        <w:widowControl w:val="0"/>
        <w:spacing w:after="120" w:line="240" w:lineRule="auto"/>
        <w:jc w:val="both"/>
        <w:rPr>
          <w:rFonts w:cs="Times New Roman"/>
          <w:noProof/>
          <w:sz w:val="20"/>
          <w:szCs w:val="20"/>
        </w:rPr>
      </w:pPr>
      <w:r>
        <w:rPr>
          <w:rFonts w:cs="Times New Roman"/>
          <w:bCs/>
          <w:noProof/>
          <w:sz w:val="20"/>
          <w:szCs w:val="20"/>
        </w:rPr>
        <w:t xml:space="preserve">The interventions in the period 2014-2020 </w:t>
      </w:r>
      <w:r>
        <w:rPr>
          <w:rFonts w:cs="Times New Roman"/>
          <w:bCs/>
          <w:noProof/>
          <w:sz w:val="20"/>
          <w:szCs w:val="20"/>
        </w:rPr>
        <w:t>should lead to additional waste recycling capacities of 700,000 t/year or additional population of 150,000 citizens and 60,000 citizens served by improved water supply and wastewater treatment, respectively.</w:t>
      </w:r>
      <w:r>
        <w:rPr>
          <w:rFonts w:asciiTheme="majorHAnsi" w:hAnsiTheme="majorHAnsi" w:cs="Times New Roman"/>
          <w:noProof/>
          <w:sz w:val="20"/>
          <w:szCs w:val="20"/>
        </w:rPr>
        <w:t xml:space="preserve"> </w:t>
      </w:r>
    </w:p>
    <w:p w:rsidR="006E58C2" w:rsidRDefault="005B3E0F">
      <w:pPr>
        <w:widowControl w:val="0"/>
        <w:spacing w:after="120" w:line="240" w:lineRule="auto"/>
        <w:jc w:val="both"/>
        <w:rPr>
          <w:rFonts w:cs="Times New Roman"/>
          <w:noProof/>
          <w:sz w:val="20"/>
          <w:szCs w:val="20"/>
        </w:rPr>
      </w:pPr>
      <w:r>
        <w:rPr>
          <w:rFonts w:cs="Times New Roman"/>
          <w:noProof/>
          <w:sz w:val="20"/>
          <w:szCs w:val="20"/>
        </w:rPr>
        <w:t xml:space="preserve">For the period 2007-2013, the total funds used </w:t>
      </w:r>
      <w:r>
        <w:rPr>
          <w:rFonts w:cs="Times New Roman"/>
          <w:noProof/>
          <w:sz w:val="20"/>
          <w:szCs w:val="20"/>
        </w:rPr>
        <w:t>as of April 2016 for the Czech Republic are 95% for all investment categories; for OP Environment the total funds used amount to 94%.</w:t>
      </w:r>
      <w:r>
        <w:rPr>
          <w:rFonts w:cs="Times New Roman"/>
          <w:noProof/>
          <w:sz w:val="20"/>
          <w:vertAlign w:val="superscript"/>
        </w:rPr>
        <w:footnoteReference w:id="91"/>
      </w:r>
      <w:r>
        <w:rPr>
          <w:rFonts w:cs="Times New Roman"/>
          <w:noProof/>
          <w:sz w:val="20"/>
          <w:szCs w:val="20"/>
        </w:rPr>
        <w:t xml:space="preserve"> The challenge for Czech Republic in programming period 2014-20 is to make good use of EU funds for targeted investments a</w:t>
      </w:r>
      <w:r>
        <w:rPr>
          <w:rFonts w:cs="Times New Roman"/>
          <w:noProof/>
          <w:sz w:val="20"/>
          <w:szCs w:val="20"/>
        </w:rPr>
        <w:t>nd to enhance the environmental integration as well as to use the potential of the green economy for competitiveness and job creation.</w:t>
      </w:r>
    </w:p>
    <w:p w:rsidR="006E58C2" w:rsidRDefault="005B3E0F">
      <w:pPr>
        <w:widowControl w:val="0"/>
        <w:spacing w:after="120" w:line="240" w:lineRule="auto"/>
        <w:jc w:val="both"/>
        <w:rPr>
          <w:rFonts w:cs="Times New Roman"/>
          <w:noProof/>
          <w:sz w:val="20"/>
          <w:szCs w:val="20"/>
        </w:rPr>
      </w:pPr>
      <w:r>
        <w:rPr>
          <w:rFonts w:cs="Times New Roman"/>
          <w:noProof/>
          <w:sz w:val="20"/>
          <w:szCs w:val="20"/>
        </w:rPr>
        <w:t>The National Rural Development Program of the Czech Republic, its European Agriculture and Rural Development Fund part, a</w:t>
      </w:r>
      <w:r>
        <w:rPr>
          <w:rFonts w:cs="Times New Roman"/>
          <w:noProof/>
          <w:sz w:val="20"/>
          <w:szCs w:val="20"/>
        </w:rPr>
        <w:t xml:space="preserve">mounts to </w:t>
      </w:r>
      <w:r>
        <w:rPr>
          <w:rFonts w:cs="Times New Roman"/>
          <w:bCs/>
          <w:noProof/>
          <w:sz w:val="20"/>
          <w:szCs w:val="20"/>
        </w:rPr>
        <w:t>EUR 2,500 million.</w:t>
      </w:r>
    </w:p>
    <w:p w:rsidR="006E58C2" w:rsidRDefault="005B3E0F">
      <w:pPr>
        <w:widowControl w:val="0"/>
        <w:spacing w:after="120" w:line="240" w:lineRule="auto"/>
        <w:jc w:val="both"/>
        <w:rPr>
          <w:rFonts w:cs="Times New Roman"/>
          <w:bCs/>
          <w:noProof/>
          <w:sz w:val="20"/>
          <w:szCs w:val="20"/>
        </w:rPr>
      </w:pPr>
      <w:r>
        <w:rPr>
          <w:rFonts w:cs="Times New Roman"/>
          <w:bCs/>
          <w:noProof/>
          <w:sz w:val="20"/>
          <w:szCs w:val="20"/>
        </w:rPr>
        <w:t>Budget for agri-environmental-climate measures represents 29,4% of the total EAFRD budget. Measure on compensation for legal restrictions emanating from implementation of Natura 2000 in the RDP takes up 0,1% of the budget, whil</w:t>
      </w:r>
      <w:r>
        <w:rPr>
          <w:rFonts w:cs="Times New Roman"/>
          <w:bCs/>
          <w:noProof/>
          <w:sz w:val="20"/>
          <w:szCs w:val="20"/>
        </w:rPr>
        <w:t>e the implementation area is very limited (the only limitation in agricultural areas in first zone of National Parks is ban on fertilisation). Measure on natural constraints represents 22% of the whole budget accounted under environmental objectives (but i</w:t>
      </w:r>
      <w:r>
        <w:rPr>
          <w:rFonts w:cs="Times New Roman"/>
          <w:bCs/>
          <w:noProof/>
          <w:sz w:val="20"/>
          <w:szCs w:val="20"/>
        </w:rPr>
        <w:t>s, like for other countries, without any environmental condition).</w:t>
      </w:r>
    </w:p>
    <w:p w:rsidR="006E58C2" w:rsidRDefault="005B3E0F">
      <w:pPr>
        <w:widowControl w:val="0"/>
        <w:spacing w:after="120" w:line="240" w:lineRule="auto"/>
        <w:jc w:val="both"/>
        <w:rPr>
          <w:rFonts w:cs="Times New Roman"/>
          <w:bCs/>
          <w:noProof/>
          <w:sz w:val="20"/>
          <w:szCs w:val="20"/>
        </w:rPr>
      </w:pPr>
      <w:r>
        <w:rPr>
          <w:rFonts w:cs="Times New Roman"/>
          <w:bCs/>
          <w:noProof/>
          <w:sz w:val="20"/>
          <w:szCs w:val="20"/>
        </w:rPr>
        <w:t xml:space="preserve">The Czech Republic proposes targeted sub-measures for natural values in agricultural areas, and very limited, but as well targeted approach for forestry measures - replacement of stands of </w:t>
      </w:r>
      <w:r>
        <w:rPr>
          <w:rFonts w:cs="Times New Roman"/>
          <w:bCs/>
          <w:noProof/>
          <w:sz w:val="20"/>
          <w:szCs w:val="20"/>
        </w:rPr>
        <w:t>site inappropriate species of trees in zones with high depositions, other on restoration by planting exclusively pioneering species of trees, of non-productive investments in forests etc. Anti-flood measures in forests are also foreseen. There is a high po</w:t>
      </w:r>
      <w:r>
        <w:rPr>
          <w:rFonts w:cs="Times New Roman"/>
          <w:bCs/>
          <w:noProof/>
          <w:sz w:val="20"/>
          <w:szCs w:val="20"/>
        </w:rPr>
        <w:t xml:space="preserve">tential of RDP to address environmental pressures and to finance also investments with higher added value (e.g. forest machinery eligible only in case of them having soil conservation attributes). </w:t>
      </w:r>
    </w:p>
    <w:p w:rsidR="006E58C2" w:rsidRDefault="005B3E0F">
      <w:pPr>
        <w:widowControl w:val="0"/>
        <w:spacing w:after="120" w:line="240" w:lineRule="auto"/>
        <w:jc w:val="both"/>
        <w:rPr>
          <w:rFonts w:ascii="Calibri" w:eastAsia="Times New Roman" w:hAnsi="Calibri" w:cs="Times New Roman"/>
          <w:noProof/>
          <w:color w:val="000000"/>
          <w:lang w:eastAsia="en-GB"/>
        </w:rPr>
      </w:pPr>
      <w:r>
        <w:rPr>
          <w:rFonts w:cs="Times New Roman"/>
          <w:noProof/>
          <w:sz w:val="20"/>
          <w:szCs w:val="20"/>
        </w:rPr>
        <w:t>With regard to the integration of environmental concerns i</w:t>
      </w:r>
      <w:r>
        <w:rPr>
          <w:rFonts w:cs="Times New Roman"/>
          <w:noProof/>
          <w:sz w:val="20"/>
          <w:szCs w:val="20"/>
        </w:rPr>
        <w:t>nto the Common Agricultural Policy (CAP), the two key areas for the Czech Republic (as for all Member States) remain as challenges: firstly, using Rural Development funds to pay for environmental land management and other environmental measures, while avoi</w:t>
      </w:r>
      <w:r>
        <w:rPr>
          <w:rFonts w:cs="Times New Roman"/>
          <w:noProof/>
          <w:sz w:val="20"/>
          <w:szCs w:val="20"/>
        </w:rPr>
        <w:t>ding financing measures which could damage the environment; secondly, ensuring an effective implementation of the first pillar of the CAP with regard to cross compliance and 'greening' of 1st pillar</w:t>
      </w:r>
      <w:r>
        <w:rPr>
          <w:rFonts w:cs="Times New Roman"/>
          <w:noProof/>
          <w:sz w:val="20"/>
          <w:szCs w:val="20"/>
          <w:vertAlign w:val="superscript"/>
        </w:rPr>
        <w:footnoteReference w:id="92"/>
      </w:r>
      <w:r>
        <w:rPr>
          <w:rFonts w:cs="Times New Roman"/>
          <w:noProof/>
          <w:sz w:val="20"/>
          <w:szCs w:val="20"/>
        </w:rPr>
        <w:t xml:space="preserve">. A more environmentally ambitious implementation of 1st </w:t>
      </w:r>
      <w:r>
        <w:rPr>
          <w:rFonts w:cs="Times New Roman"/>
          <w:noProof/>
          <w:sz w:val="20"/>
          <w:szCs w:val="20"/>
        </w:rPr>
        <w:t>pillar greening would clearly help to improve the environmental situation in areas not covered by rural development, including intensive areas, and if appropriate, the Czech Republic could review its implementation of this still during the period 2014-2020</w:t>
      </w:r>
      <w:r>
        <w:rPr>
          <w:rFonts w:cs="Times New Roman"/>
          <w:noProof/>
          <w:sz w:val="20"/>
          <w:szCs w:val="20"/>
        </w:rPr>
        <w:t>.</w:t>
      </w:r>
      <w:r>
        <w:rPr>
          <w:rFonts w:cs="Times New Roman"/>
          <w:noProof/>
          <w:sz w:val="20"/>
          <w:szCs w:val="20"/>
          <w:vertAlign w:val="superscript"/>
        </w:rPr>
        <w:footnoteReference w:id="93"/>
      </w: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pPr>
    </w:p>
    <w:p w:rsidR="006E58C2" w:rsidRDefault="006E58C2">
      <w:pPr>
        <w:widowControl w:val="0"/>
        <w:spacing w:after="120" w:line="240" w:lineRule="auto"/>
        <w:jc w:val="both"/>
        <w:rPr>
          <w:rFonts w:cs="Times New Roman"/>
          <w:noProof/>
          <w:sz w:val="20"/>
        </w:rPr>
        <w:sectPr w:rsidR="006E58C2">
          <w:headerReference w:type="even" r:id="rId111"/>
          <w:headerReference w:type="default" r:id="rId112"/>
          <w:footerReference w:type="even" r:id="rId113"/>
          <w:footerReference w:type="default" r:id="rId114"/>
          <w:headerReference w:type="first" r:id="rId115"/>
          <w:footerReference w:type="first" r:id="rId116"/>
          <w:type w:val="continuous"/>
          <w:pgSz w:w="11906" w:h="16838" w:code="9"/>
          <w:pgMar w:top="1440" w:right="1080" w:bottom="1440" w:left="1080" w:header="709" w:footer="709" w:gutter="0"/>
          <w:cols w:num="2" w:space="360"/>
          <w:docGrid w:linePitch="360"/>
        </w:sectPr>
      </w:pPr>
    </w:p>
    <w:p w:rsidR="006E58C2" w:rsidRDefault="005B3E0F">
      <w:pPr>
        <w:keepNext/>
        <w:keepLines/>
        <w:widowControl w:val="0"/>
        <w:numPr>
          <w:ilvl w:val="0"/>
          <w:numId w:val="28"/>
        </w:numPr>
        <w:spacing w:after="240" w:line="240" w:lineRule="auto"/>
        <w:ind w:left="357" w:hanging="357"/>
        <w:jc w:val="center"/>
        <w:outlineLvl w:val="0"/>
        <w:rPr>
          <w:rFonts w:eastAsiaTheme="majorEastAsia" w:cstheme="majorBidi"/>
          <w:b/>
          <w:bCs/>
          <w:noProof/>
          <w:color w:val="1F497D" w:themeColor="text2"/>
          <w:sz w:val="32"/>
          <w:szCs w:val="28"/>
        </w:rPr>
        <w:sectPr w:rsidR="006E58C2">
          <w:headerReference w:type="even" r:id="rId117"/>
          <w:headerReference w:type="default" r:id="rId118"/>
          <w:footerReference w:type="even" r:id="rId119"/>
          <w:footerReference w:type="default" r:id="rId120"/>
          <w:headerReference w:type="first" r:id="rId121"/>
          <w:footerReference w:type="first" r:id="rId122"/>
          <w:pgSz w:w="11906" w:h="16838" w:code="9"/>
          <w:pgMar w:top="1440" w:right="1080" w:bottom="1440" w:left="1080" w:header="709" w:footer="709" w:gutter="0"/>
          <w:cols w:space="357"/>
          <w:docGrid w:linePitch="360"/>
        </w:sectPr>
      </w:pPr>
      <w:bookmarkStart w:id="71" w:name="_Toc454813125"/>
      <w:bookmarkStart w:id="72" w:name="_Toc456012040"/>
      <w:bookmarkStart w:id="73" w:name="_Toc469413359"/>
      <w:r>
        <w:rPr>
          <w:rFonts w:eastAsiaTheme="majorEastAsia" w:cstheme="majorBidi"/>
          <w:b/>
          <w:bCs/>
          <w:noProof/>
          <w:color w:val="1F497D" w:themeColor="text2"/>
          <w:sz w:val="32"/>
          <w:szCs w:val="28"/>
        </w:rPr>
        <w:t>Effective governance and knowledge</w:t>
      </w:r>
      <w:bookmarkEnd w:id="71"/>
      <w:bookmarkEnd w:id="72"/>
      <w:bookmarkEnd w:id="73"/>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bookmarkStart w:id="74" w:name="_Toc433798401"/>
      <w:r>
        <w:rPr>
          <w:rFonts w:cs="Times New Roman"/>
          <w:noProof/>
          <w:color w:val="FFFFFF" w:themeColor="background1"/>
          <w:sz w:val="20"/>
        </w:rPr>
        <w:t>SDG 16 aims at providing access to justice and building effective, accountable and inclusive institutions at all levels. SDG 17 aims at better implementation, improving policy coordination and poli</w:t>
      </w:r>
      <w:r>
        <w:rPr>
          <w:rFonts w:cs="Times New Roman"/>
          <w:noProof/>
          <w:color w:val="FFFFFF" w:themeColor="background1"/>
          <w:sz w:val="20"/>
        </w:rPr>
        <w:t>cy coherence, stimulating science, technology and innovation, establishing partnerships and developing measurements of progress.</w:t>
      </w:r>
    </w:p>
    <w:p w:rsidR="006E58C2" w:rsidRDefault="005B3E0F">
      <w:pPr>
        <w:widowControl w:val="0"/>
        <w:spacing w:after="120" w:line="240" w:lineRule="auto"/>
        <w:jc w:val="both"/>
        <w:rPr>
          <w:rFonts w:cs="Times New Roman"/>
          <w:noProof/>
          <w:sz w:val="20"/>
        </w:rPr>
      </w:pPr>
      <w:r>
        <w:rPr>
          <w:rFonts w:cs="Times New Roman"/>
          <w:noProof/>
          <w:sz w:val="20"/>
        </w:rPr>
        <w:t xml:space="preserve">Effective governance of EU environmental legislation and policies requires having an appropriate institutional framework, </w:t>
      </w:r>
      <w:r>
        <w:rPr>
          <w:rFonts w:cs="Times New Roman"/>
          <w:noProof/>
          <w:sz w:val="20"/>
        </w:rPr>
        <w:t>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94"/>
      </w:r>
      <w:r>
        <w:rPr>
          <w:rFonts w:cs="Times New Roman"/>
          <w:noProof/>
          <w:sz w:val="20"/>
        </w:rPr>
        <w:t xml:space="preserve">. Successful implementation depends, to a large extent, on central, regional and </w:t>
      </w:r>
      <w:r>
        <w:rPr>
          <w:rFonts w:cs="Times New Roman"/>
          <w:noProof/>
          <w:sz w:val="20"/>
        </w:rPr>
        <w:t>local government fulfilling key legislative and administrative tasks, notably adoption of sound implementing legislation, co-ordinated action to meet environmental objectives and correct decision-making on matters such as industrial permits. Beyond fulfilm</w:t>
      </w:r>
      <w:r>
        <w:rPr>
          <w:rFonts w:cs="Times New Roman"/>
          <w:noProof/>
          <w:sz w:val="20"/>
        </w:rPr>
        <w:t>ent of these tasks, government must intervene to ensure day-to-day compliance by economic operators, utilities and individuals ("compliance assurance"). Civil society also has a role to play, including through legal action. To underpin the roles of all act</w:t>
      </w:r>
      <w:r>
        <w:rPr>
          <w:rFonts w:cs="Times New Roman"/>
          <w:noProof/>
          <w:sz w:val="20"/>
        </w:rPr>
        <w:t>ors, it is crucial to collect and share knowledge and evidence on the state of the environment and on environmental pressures, drivers and impacts.</w:t>
      </w:r>
    </w:p>
    <w:p w:rsidR="006E58C2" w:rsidRDefault="005B3E0F">
      <w:pPr>
        <w:widowControl w:val="0"/>
        <w:spacing w:after="120" w:line="240" w:lineRule="auto"/>
        <w:jc w:val="both"/>
        <w:rPr>
          <w:rFonts w:cs="Times New Roman"/>
          <w:noProof/>
          <w:sz w:val="20"/>
        </w:rPr>
      </w:pPr>
      <w:bookmarkStart w:id="75" w:name="_Toc455589321"/>
      <w:bookmarkStart w:id="76" w:name="_Toc456012041"/>
      <w:r>
        <w:rPr>
          <w:rFonts w:cs="Times New Roman"/>
          <w:noProof/>
          <w:sz w:val="20"/>
          <w:szCs w:val="20"/>
          <w:lang w:val="en-US"/>
        </w:rPr>
        <w:t>Equally, effective governance of EU environmental legislation and policies benefits from a dialogue within M</w:t>
      </w:r>
      <w:r>
        <w:rPr>
          <w:rFonts w:cs="Times New Roman"/>
          <w:noProof/>
          <w:sz w:val="20"/>
          <w:szCs w:val="20"/>
          <w:lang w:val="en-US"/>
        </w:rPr>
        <w:t>ember States and between Member States and the Commission on whether the current EU environmental legislation is fit for purpose. Legislation can only be properly implemented when it takes into account experiences at Member State level with putting EU comm</w:t>
      </w:r>
      <w:r>
        <w:rPr>
          <w:rFonts w:cs="Times New Roman"/>
          <w:noProof/>
          <w:sz w:val="20"/>
          <w:szCs w:val="20"/>
          <w:lang w:val="en-US"/>
        </w:rPr>
        <w:t>itments into effect. The Czech Republic is following the Make it Work initiative</w:t>
      </w:r>
      <w:r>
        <w:rPr>
          <w:rFonts w:cs="Times New Roman"/>
          <w:noProof/>
          <w:sz w:val="20"/>
          <w:szCs w:val="20"/>
          <w:vertAlign w:val="superscript"/>
          <w:lang w:val="en-US"/>
        </w:rPr>
        <w:footnoteReference w:id="95"/>
      </w:r>
      <w:r>
        <w:rPr>
          <w:rFonts w:cs="Times New Roman"/>
          <w:noProof/>
          <w:sz w:val="20"/>
          <w:szCs w:val="20"/>
          <w:lang w:val="en-US"/>
        </w:rPr>
        <w:t>.</w:t>
      </w:r>
    </w:p>
    <w:p w:rsidR="006E58C2" w:rsidRDefault="005B3E0F">
      <w:pPr>
        <w:widowControl w:val="0"/>
        <w:spacing w:after="120" w:line="240" w:lineRule="auto"/>
        <w:outlineLvl w:val="1"/>
        <w:rPr>
          <w:rFonts w:cs="Times New Roman"/>
          <w:b/>
          <w:noProof/>
          <w:color w:val="1F497D" w:themeColor="text2"/>
          <w:sz w:val="24"/>
        </w:rPr>
      </w:pPr>
      <w:bookmarkStart w:id="77" w:name="_Toc469413360"/>
      <w:r>
        <w:rPr>
          <w:rFonts w:cs="Times New Roman"/>
          <w:b/>
          <w:noProof/>
          <w:color w:val="1F497D" w:themeColor="text2"/>
          <w:sz w:val="24"/>
        </w:rPr>
        <w:t>Effective governance within central, regional and local government</w:t>
      </w:r>
      <w:bookmarkEnd w:id="75"/>
      <w:bookmarkEnd w:id="76"/>
      <w:bookmarkEnd w:id="77"/>
    </w:p>
    <w:bookmarkEnd w:id="74"/>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Those involved in implementing environment legislation at Union, national, regional and local levels need </w:t>
      </w:r>
      <w:r>
        <w:rPr>
          <w:rFonts w:cs="Times New Roman"/>
          <w:noProof/>
          <w:color w:val="FFFFFF" w:themeColor="background1"/>
          <w:sz w:val="20"/>
        </w:rPr>
        <w:t>to be equipped with the knowledge, tools and capacity to improve the delivery of benefits from that legislation, and the governance of the enforcement process.</w:t>
      </w:r>
    </w:p>
    <w:p w:rsidR="006E58C2" w:rsidRDefault="005B3E0F">
      <w:pPr>
        <w:keepNext/>
        <w:keepLines/>
        <w:widowControl w:val="0"/>
        <w:spacing w:before="240" w:after="120" w:line="240" w:lineRule="auto"/>
        <w:jc w:val="both"/>
        <w:outlineLvl w:val="2"/>
        <w:rPr>
          <w:rFonts w:eastAsiaTheme="majorEastAsia" w:cstheme="majorBidi"/>
          <w:b/>
          <w:bCs/>
          <w:noProof/>
          <w:color w:val="1F497D" w:themeColor="text2"/>
        </w:rPr>
      </w:pPr>
      <w:r>
        <w:rPr>
          <w:rFonts w:eastAsiaTheme="majorEastAsia" w:cstheme="majorBidi"/>
          <w:b/>
          <w:bCs/>
          <w:noProof/>
          <w:color w:val="1F497D" w:themeColor="text2"/>
        </w:rPr>
        <w:t>Capacity to implement rules</w:t>
      </w:r>
    </w:p>
    <w:p w:rsidR="006E58C2" w:rsidRDefault="005B3E0F">
      <w:pPr>
        <w:widowControl w:val="0"/>
        <w:spacing w:after="120" w:line="240" w:lineRule="auto"/>
        <w:jc w:val="both"/>
        <w:rPr>
          <w:rFonts w:cs="Times New Roman"/>
          <w:noProof/>
          <w:sz w:val="20"/>
        </w:rPr>
      </w:pPr>
      <w:r>
        <w:rPr>
          <w:rFonts w:cs="Times New Roman"/>
          <w:noProof/>
          <w:sz w:val="20"/>
        </w:rPr>
        <w:t xml:space="preserve">It is crucial that central, regional and local administrations have </w:t>
      </w:r>
      <w:r>
        <w:rPr>
          <w:rFonts w:cs="Times New Roman"/>
          <w:noProof/>
          <w:sz w:val="20"/>
        </w:rPr>
        <w:t>the necessary capacities and skills and training to carry out their own tasks and co-operate and co-ordinate effectively with each other, within a system of multi-level governance.</w:t>
      </w:r>
    </w:p>
    <w:p w:rsidR="006E58C2" w:rsidRDefault="005B3E0F">
      <w:pPr>
        <w:widowControl w:val="0"/>
        <w:spacing w:after="120" w:line="240" w:lineRule="auto"/>
        <w:jc w:val="both"/>
        <w:rPr>
          <w:rFonts w:eastAsia="Times New Roman" w:cs="Times New Roman"/>
          <w:noProof/>
          <w:sz w:val="20"/>
          <w:szCs w:val="20"/>
          <w:lang w:eastAsia="en-GB"/>
        </w:rPr>
      </w:pPr>
      <w:r>
        <w:rPr>
          <w:rFonts w:eastAsia="Times New Roman" w:cs="Times New Roman"/>
          <w:noProof/>
          <w:sz w:val="20"/>
          <w:szCs w:val="20"/>
          <w:lang w:eastAsia="en-GB"/>
        </w:rPr>
        <w:t>The administrative capacity is in general sufficient; however the high turn</w:t>
      </w:r>
      <w:r>
        <w:rPr>
          <w:rFonts w:eastAsia="Times New Roman" w:cs="Times New Roman"/>
          <w:noProof/>
          <w:sz w:val="20"/>
          <w:szCs w:val="20"/>
          <w:lang w:eastAsia="en-GB"/>
        </w:rPr>
        <w:t>over of the staff with every election has been generating a negative impact on implementation of environmental law and policies.  The Civil Service Act adopted in 2015 (precondition for the adoption of the Czech operational programmes for PP 2014-2020) sho</w:t>
      </w:r>
      <w:r>
        <w:rPr>
          <w:rFonts w:eastAsia="Times New Roman" w:cs="Times New Roman"/>
          <w:noProof/>
          <w:sz w:val="20"/>
          <w:szCs w:val="20"/>
          <w:lang w:eastAsia="en-GB"/>
        </w:rPr>
        <w:t xml:space="preserve">uld allow the necessary reform and bring the stability, however it is difficult to judge whether this is the case yet. </w:t>
      </w:r>
    </w:p>
    <w:p w:rsidR="006E58C2" w:rsidRDefault="005B3E0F">
      <w:pPr>
        <w:widowControl w:val="0"/>
        <w:spacing w:after="120" w:line="240" w:lineRule="auto"/>
        <w:jc w:val="both"/>
        <w:rPr>
          <w:rFonts w:eastAsia="Times New Roman" w:cs="Times New Roman"/>
          <w:noProof/>
          <w:sz w:val="20"/>
          <w:szCs w:val="20"/>
          <w:lang w:eastAsia="en-GB"/>
        </w:rPr>
      </w:pPr>
      <w:r>
        <w:rPr>
          <w:rFonts w:eastAsia="Times New Roman" w:cs="Times New Roman"/>
          <w:noProof/>
          <w:sz w:val="20"/>
          <w:szCs w:val="20"/>
          <w:lang w:eastAsia="en-GB"/>
        </w:rPr>
        <w:t>Although the fall of the former Soviet bloc allowed for environmental awareness and the preparation for the accession to the EU helped t</w:t>
      </w:r>
      <w:r>
        <w:rPr>
          <w:rFonts w:eastAsia="Times New Roman" w:cs="Times New Roman"/>
          <w:noProof/>
          <w:sz w:val="20"/>
          <w:szCs w:val="20"/>
          <w:lang w:eastAsia="en-GB"/>
        </w:rPr>
        <w:t>o form the environmental agenda, environmental policies lacked ownership at political and administrative levels over the last decade. This is mirrored in the difficulties not only with the adoption of environmental legislation but also in its effective app</w:t>
      </w:r>
      <w:r>
        <w:rPr>
          <w:rFonts w:eastAsia="Times New Roman" w:cs="Times New Roman"/>
          <w:noProof/>
          <w:sz w:val="20"/>
          <w:szCs w:val="20"/>
          <w:lang w:eastAsia="en-GB"/>
        </w:rPr>
        <w:t>lication. On the other hand, the Czech Republic has a wide pool of excellent environmental experts available, but often beyond the national or regional administration.</w:t>
      </w:r>
    </w:p>
    <w:p w:rsidR="006E58C2" w:rsidRDefault="005B3E0F">
      <w:pPr>
        <w:widowControl w:val="0"/>
        <w:spacing w:after="120" w:line="240" w:lineRule="auto"/>
        <w:jc w:val="both"/>
        <w:rPr>
          <w:rFonts w:eastAsia="Times New Roman" w:cs="Times New Roman"/>
          <w:noProof/>
          <w:sz w:val="20"/>
          <w:szCs w:val="20"/>
          <w:lang w:eastAsia="en-GB"/>
        </w:rPr>
      </w:pPr>
      <w:r>
        <w:rPr>
          <w:rFonts w:eastAsia="Times New Roman" w:cs="Times New Roman"/>
          <w:noProof/>
          <w:sz w:val="20"/>
          <w:szCs w:val="20"/>
          <w:lang w:eastAsia="en-GB"/>
        </w:rPr>
        <w:t>The responsibility for environmental laws and policies lies with the Ministry of Environ</w:t>
      </w:r>
      <w:r>
        <w:rPr>
          <w:rFonts w:eastAsia="Times New Roman" w:cs="Times New Roman"/>
          <w:noProof/>
          <w:sz w:val="20"/>
          <w:szCs w:val="20"/>
          <w:lang w:eastAsia="en-GB"/>
        </w:rPr>
        <w:t>ment or Regional Authorities (e.g. environmental departments of regional authorities). Local authorities are typically in charge of sectorial policies, like waste management. The Ministry has also general supervisory and controlling role. Legislative compe</w:t>
      </w:r>
      <w:r>
        <w:rPr>
          <w:rFonts w:eastAsia="Times New Roman" w:cs="Times New Roman"/>
          <w:noProof/>
          <w:sz w:val="20"/>
          <w:szCs w:val="20"/>
          <w:lang w:eastAsia="en-GB"/>
        </w:rPr>
        <w:t xml:space="preserve">tences are with the Parliament; however the central government has also a strong role submitting in general drafts laws. </w:t>
      </w:r>
    </w:p>
    <w:p w:rsidR="006E58C2" w:rsidRDefault="005B3E0F">
      <w:pPr>
        <w:widowControl w:val="0"/>
        <w:spacing w:after="120" w:line="240" w:lineRule="auto"/>
        <w:jc w:val="both"/>
        <w:rPr>
          <w:rFonts w:cs="Times New Roman"/>
          <w:noProof/>
          <w:sz w:val="20"/>
        </w:rPr>
      </w:pPr>
      <w:r>
        <w:rPr>
          <w:rFonts w:cs="Times New Roman"/>
          <w:noProof/>
          <w:sz w:val="20"/>
        </w:rPr>
        <w:t>There are approximately 120 environmental NGOs  operating at national or local level in the Czech Republic. The role of NGOs in enviro</w:t>
      </w:r>
      <w:r>
        <w:rPr>
          <w:rFonts w:cs="Times New Roman"/>
          <w:noProof/>
          <w:sz w:val="20"/>
        </w:rPr>
        <w:t xml:space="preserve">nmental education, nature conservation and support of sustainable living is traditionally very important, since 1960s. Around 30 NGOs are organised since 1989 in the platform "Green Circle". The impact of NGOs varies. </w:t>
      </w:r>
    </w:p>
    <w:p w:rsidR="006E58C2" w:rsidRDefault="005B3E0F">
      <w:pPr>
        <w:widowControl w:val="0"/>
        <w:spacing w:after="120" w:line="240" w:lineRule="auto"/>
        <w:jc w:val="both"/>
        <w:rPr>
          <w:rFonts w:cs="Times New Roman"/>
          <w:noProof/>
          <w:sz w:val="20"/>
        </w:rPr>
      </w:pPr>
      <w:r>
        <w:rPr>
          <w:rFonts w:cs="Times New Roman"/>
          <w:noProof/>
          <w:sz w:val="20"/>
        </w:rPr>
        <w:t>The Czech Republic has an average num</w:t>
      </w:r>
      <w:r>
        <w:rPr>
          <w:rFonts w:cs="Times New Roman"/>
          <w:noProof/>
          <w:sz w:val="20"/>
        </w:rPr>
        <w:t xml:space="preserve">ber of infringements concerning mainly non-conformity and bad-application of EU environmental acquis, in particular delayed transposition of the EIA Directive. The sectors with the main shares of cases were waste, water, air, impact assessment. </w:t>
      </w:r>
    </w:p>
    <w:p w:rsidR="006E58C2" w:rsidRDefault="005B3E0F">
      <w:pPr>
        <w:widowControl w:val="0"/>
        <w:spacing w:after="120" w:line="240" w:lineRule="auto"/>
        <w:jc w:val="both"/>
        <w:rPr>
          <w:rFonts w:cs="Times New Roman"/>
          <w:noProof/>
          <w:sz w:val="20"/>
          <w:highlight w:val="yellow"/>
          <w:lang w:eastAsia="en-GB"/>
        </w:rPr>
      </w:pPr>
      <w:r>
        <w:rPr>
          <w:rFonts w:eastAsia="Times New Roman" w:cs="Times New Roman"/>
          <w:noProof/>
          <w:sz w:val="20"/>
          <w:szCs w:val="20"/>
          <w:lang w:eastAsia="en-GB"/>
        </w:rPr>
        <w:drawing>
          <wp:inline distT="0" distB="0" distL="0" distR="0" wp14:anchorId="38D35A80" wp14:editId="1F43C056">
            <wp:extent cx="2980055" cy="1985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 Prague iStock_14173183_SMALL.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980055" cy="1985645"/>
                    </a:xfrm>
                    <a:prstGeom prst="rect">
                      <a:avLst/>
                    </a:prstGeom>
                  </pic:spPr>
                </pic:pic>
              </a:graphicData>
            </a:graphic>
          </wp:inline>
        </w:drawing>
      </w:r>
      <w:r>
        <w:rPr>
          <w:rFonts w:cs="Times New Roman"/>
          <w:noProof/>
          <w:sz w:val="20"/>
          <w:lang w:eastAsia="en-GB"/>
        </w:rPr>
        <w:t>The environmental agenda is narrowly linked to the planning and permitting, which is in hands of the Ministry of Regional Development and Construction authorities. The Czech development system is multistage – the EIA process is followed by the zoning decis</w:t>
      </w:r>
      <w:r>
        <w:rPr>
          <w:rFonts w:cs="Times New Roman"/>
          <w:noProof/>
          <w:sz w:val="20"/>
          <w:lang w:eastAsia="en-GB"/>
        </w:rPr>
        <w:t xml:space="preserve">ion and building permit stages. The current system is often regarded as too slow and complex; however a unified opinion on its reform does not exist.      </w:t>
      </w:r>
    </w:p>
    <w:p w:rsidR="006E58C2" w:rsidRDefault="005B3E0F">
      <w:pPr>
        <w:widowControl w:val="0"/>
        <w:spacing w:after="120" w:line="240" w:lineRule="auto"/>
        <w:jc w:val="both"/>
        <w:rPr>
          <w:rFonts w:cs="Times New Roman"/>
          <w:noProof/>
          <w:sz w:val="20"/>
          <w:lang w:eastAsia="en-GB"/>
        </w:rPr>
      </w:pPr>
      <w:r>
        <w:rPr>
          <w:rFonts w:cs="Times New Roman"/>
          <w:noProof/>
          <w:sz w:val="20"/>
          <w:lang w:eastAsia="en-GB"/>
        </w:rPr>
        <w:t>The Czech Republic's legislation has been found not to be in conformity with the Environmental Impac</w:t>
      </w:r>
      <w:r>
        <w:rPr>
          <w:rFonts w:cs="Times New Roman"/>
          <w:noProof/>
          <w:sz w:val="20"/>
          <w:lang w:eastAsia="en-GB"/>
        </w:rPr>
        <w:t>t Assessment (EIA) Directive and therefore it was twice subject to an EU infringement procedure since the accession of the Czech Republic into the EU</w:t>
      </w:r>
      <w:r>
        <w:rPr>
          <w:rFonts w:eastAsia="Times New Roman" w:cs="Times New Roman"/>
          <w:noProof/>
          <w:sz w:val="20"/>
          <w:szCs w:val="20"/>
          <w:vertAlign w:val="superscript"/>
          <w:lang w:eastAsia="en-GB"/>
        </w:rPr>
        <w:footnoteReference w:id="96"/>
      </w:r>
      <w:r>
        <w:rPr>
          <w:rFonts w:cs="Times New Roman"/>
          <w:noProof/>
          <w:sz w:val="20"/>
          <w:lang w:eastAsia="en-GB"/>
        </w:rPr>
        <w:t>. This had an impact on the legality of the projects which fall under the EIA Directive and which were sub</w:t>
      </w:r>
      <w:r>
        <w:rPr>
          <w:rFonts w:cs="Times New Roman"/>
          <w:noProof/>
          <w:sz w:val="20"/>
          <w:lang w:eastAsia="en-GB"/>
        </w:rPr>
        <w:t>ject to the development consent procedures during this period. The amendment to EIA Act (and other relevant Acts), should in principle provide for rectification of identified deficiencies</w:t>
      </w:r>
      <w:r>
        <w:rPr>
          <w:rFonts w:cs="Times New Roman"/>
          <w:noProof/>
          <w:sz w:val="20"/>
          <w:vertAlign w:val="superscript"/>
          <w:lang w:eastAsia="en-GB"/>
        </w:rPr>
        <w:footnoteReference w:id="97"/>
      </w:r>
      <w:r>
        <w:rPr>
          <w:rFonts w:cs="Times New Roman"/>
          <w:noProof/>
          <w:sz w:val="20"/>
          <w:lang w:eastAsia="en-GB"/>
        </w:rPr>
        <w:t xml:space="preserve">. However, </w:t>
      </w:r>
      <w:r>
        <w:rPr>
          <w:rFonts w:cs="Times New Roman"/>
          <w:noProof/>
          <w:sz w:val="20"/>
        </w:rPr>
        <w:t>a long pipeline of projects with old/pre-accession EIAs w</w:t>
      </w:r>
      <w:r>
        <w:rPr>
          <w:rFonts w:cs="Times New Roman"/>
          <w:noProof/>
          <w:sz w:val="20"/>
        </w:rPr>
        <w:t>hich are to be co-financed in PP 2014-2020 exist in transport sector</w:t>
      </w:r>
      <w:r>
        <w:rPr>
          <w:rFonts w:cs="Times New Roman"/>
          <w:noProof/>
          <w:sz w:val="20"/>
          <w:vertAlign w:val="superscript"/>
        </w:rPr>
        <w:footnoteReference w:id="98"/>
      </w:r>
      <w:r>
        <w:rPr>
          <w:rFonts w:cs="Times New Roman"/>
          <w:noProof/>
          <w:sz w:val="20"/>
        </w:rPr>
        <w:t>.</w:t>
      </w:r>
      <w:r>
        <w:rPr>
          <w:rFonts w:cs="Times New Roman"/>
          <w:noProof/>
          <w:color w:val="000000" w:themeColor="text1"/>
          <w:sz w:val="20"/>
        </w:rPr>
        <w:t xml:space="preserve"> This situation also led to </w:t>
      </w:r>
      <w:r>
        <w:rPr>
          <w:rFonts w:cs="Times New Roman"/>
          <w:noProof/>
          <w:sz w:val="20"/>
        </w:rPr>
        <w:t>the number of individual complaints increasing in 2016 for the issues of bad-application of the EIA Directive</w:t>
      </w:r>
      <w:r>
        <w:rPr>
          <w:rFonts w:cs="Times New Roman"/>
          <w:noProof/>
          <w:sz w:val="20"/>
          <w:lang w:eastAsia="en-GB"/>
        </w:rPr>
        <w:t>.</w:t>
      </w:r>
    </w:p>
    <w:p w:rsidR="006E58C2" w:rsidRDefault="005B3E0F">
      <w:pPr>
        <w:widowControl w:val="0"/>
        <w:spacing w:after="120" w:line="240" w:lineRule="auto"/>
        <w:jc w:val="both"/>
        <w:outlineLvl w:val="2"/>
        <w:rPr>
          <w:rFonts w:cs="Times New Roman"/>
          <w:b/>
          <w:noProof/>
          <w:color w:val="1F497D" w:themeColor="text2"/>
        </w:rPr>
      </w:pPr>
      <w:r>
        <w:rPr>
          <w:rFonts w:cs="Times New Roman"/>
          <w:b/>
          <w:noProof/>
          <w:color w:val="1F497D" w:themeColor="text2"/>
        </w:rPr>
        <w:t>Coordination and integration</w:t>
      </w:r>
    </w:p>
    <w:p w:rsidR="006E58C2" w:rsidRDefault="005B3E0F">
      <w:pPr>
        <w:widowControl w:val="0"/>
        <w:spacing w:after="120" w:line="240" w:lineRule="auto"/>
        <w:jc w:val="both"/>
        <w:rPr>
          <w:noProof/>
          <w:color w:val="000000" w:themeColor="text1"/>
          <w:sz w:val="20"/>
        </w:rPr>
      </w:pPr>
      <w:r>
        <w:rPr>
          <w:noProof/>
          <w:color w:val="000000" w:themeColor="text1"/>
          <w:sz w:val="20"/>
        </w:rPr>
        <w:t>The Czech Republic</w:t>
      </w:r>
      <w:r>
        <w:rPr>
          <w:noProof/>
          <w:color w:val="000000" w:themeColor="text1"/>
          <w:sz w:val="20"/>
        </w:rPr>
        <w:t xml:space="preserve"> has adopted its national SD Strategy already in 2004, the currently valid dates to 2010.</w:t>
      </w:r>
      <w:r>
        <w:rPr>
          <w:noProof/>
          <w:color w:val="000000" w:themeColor="text1"/>
          <w:sz w:val="20"/>
          <w:vertAlign w:val="superscript"/>
        </w:rPr>
        <w:footnoteReference w:id="99"/>
      </w:r>
      <w:r>
        <w:rPr>
          <w:noProof/>
          <w:color w:val="000000" w:themeColor="text1"/>
          <w:sz w:val="20"/>
        </w:rPr>
        <w:t xml:space="preserve"> </w:t>
      </w:r>
      <w:r>
        <w:rPr>
          <w:noProof/>
          <w:sz w:val="20"/>
        </w:rPr>
        <w:t>Though several other strategies have been developed</w:t>
      </w:r>
      <w:r>
        <w:rPr>
          <w:noProof/>
          <w:sz w:val="20"/>
          <w:vertAlign w:val="superscript"/>
        </w:rPr>
        <w:footnoteReference w:id="100"/>
      </w:r>
      <w:r>
        <w:rPr>
          <w:noProof/>
          <w:sz w:val="20"/>
        </w:rPr>
        <w:t xml:space="preserve"> the integration of environmental policies has only slightly improved over the last decade, being </w:t>
      </w:r>
      <w:r>
        <w:rPr>
          <w:noProof/>
          <w:color w:val="000000" w:themeColor="text1"/>
          <w:sz w:val="20"/>
        </w:rPr>
        <w:t>fragmented also</w:t>
      </w:r>
      <w:r>
        <w:rPr>
          <w:noProof/>
          <w:color w:val="000000" w:themeColor="text1"/>
          <w:sz w:val="20"/>
        </w:rPr>
        <w:t xml:space="preserve"> by the competences allocation. Long-term thinking is often prevailed by political decisions. </w:t>
      </w:r>
    </w:p>
    <w:p w:rsidR="006E58C2" w:rsidRDefault="005B3E0F">
      <w:pPr>
        <w:widowControl w:val="0"/>
        <w:spacing w:after="120" w:line="240" w:lineRule="auto"/>
        <w:jc w:val="both"/>
        <w:rPr>
          <w:rFonts w:cstheme="minorHAnsi"/>
          <w:noProof/>
          <w:color w:val="1F497D" w:themeColor="text2"/>
          <w:szCs w:val="26"/>
        </w:rPr>
      </w:pPr>
      <w:r>
        <w:rPr>
          <w:noProof/>
          <w:color w:val="000000" w:themeColor="text1"/>
          <w:sz w:val="20"/>
        </w:rPr>
        <w:t>The transposition of the revised EIA Directive</w:t>
      </w:r>
      <w:r>
        <w:rPr>
          <w:noProof/>
          <w:color w:val="000000" w:themeColor="text1"/>
          <w:sz w:val="20"/>
          <w:vertAlign w:val="superscript"/>
        </w:rPr>
        <w:footnoteReference w:id="101"/>
      </w:r>
      <w:r>
        <w:rPr>
          <w:noProof/>
          <w:color w:val="000000" w:themeColor="text1"/>
          <w:sz w:val="20"/>
        </w:rPr>
        <w:t xml:space="preserve"> will be an opportunity to streamline the regulatory framework on environmental assessments. The Commission encourages the streamlining of the environmental assessments because this approach reduces duplication and avoids unnecessary overlaps in environmen</w:t>
      </w:r>
      <w:r>
        <w:rPr>
          <w:noProof/>
          <w:color w:val="000000" w:themeColor="text1"/>
          <w:sz w:val="20"/>
        </w:rPr>
        <w:t>tal assessments applicable for a particular project. Moreover, streamlining helps reducing unnecessary administrative burden and accelerates decision-making, without compromising the quality of the environmental assessment procedure. The Commission has iss</w:t>
      </w:r>
      <w:r>
        <w:rPr>
          <w:noProof/>
          <w:color w:val="000000" w:themeColor="text1"/>
          <w:sz w:val="20"/>
        </w:rPr>
        <w:t>ued a guidance document in 2016</w:t>
      </w:r>
      <w:r>
        <w:rPr>
          <w:rStyle w:val="FootnoteReference"/>
          <w:noProof/>
          <w:color w:val="000000" w:themeColor="text1"/>
          <w:sz w:val="20"/>
        </w:rPr>
        <w:footnoteReference w:id="102"/>
      </w:r>
      <w:r>
        <w:rPr>
          <w:noProof/>
          <w:color w:val="000000" w:themeColor="text1"/>
          <w:sz w:val="20"/>
        </w:rPr>
        <w:t xml:space="preserve"> regarding the setting up of coordinated and/or joint procedures that are simultaneously subject to assessments under the EIA Directive, Habitats Directive, Water Framework Directive, and the Industrial Emissions Directive</w:t>
      </w:r>
      <w:r>
        <w:rPr>
          <w:noProof/>
          <w:color w:val="000000" w:themeColor="text1"/>
          <w:sz w:val="20"/>
          <w:vertAlign w:val="superscript"/>
        </w:rPr>
        <w:footnoteReference w:id="103"/>
      </w:r>
      <w:r>
        <w:rPr>
          <w:noProof/>
          <w:color w:val="000000" w:themeColor="text1"/>
          <w:sz w:val="20"/>
        </w:rPr>
        <w:t>.</w:t>
      </w:r>
    </w:p>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E58C2" w:rsidRDefault="005B3E0F">
      <w:pPr>
        <w:pStyle w:val="NoSpacing"/>
        <w:rPr>
          <w:noProof/>
          <w:color w:val="000000" w:themeColor="text1"/>
        </w:rPr>
      </w:pPr>
      <w:r>
        <w:rPr>
          <w:noProof/>
        </w:rPr>
        <w:t>Improve the application of EIA and SEA as important tools to ensure environmental integration.</w:t>
      </w:r>
    </w:p>
    <w:p w:rsidR="006E58C2" w:rsidRDefault="005B3E0F">
      <w:pPr>
        <w:widowControl w:val="0"/>
        <w:spacing w:before="360" w:after="120" w:line="240" w:lineRule="auto"/>
        <w:outlineLvl w:val="1"/>
        <w:rPr>
          <w:rFonts w:cs="Times New Roman"/>
          <w:b/>
          <w:noProof/>
          <w:color w:val="1F497D" w:themeColor="text2"/>
          <w:sz w:val="24"/>
        </w:rPr>
      </w:pPr>
      <w:bookmarkStart w:id="78" w:name="_Toc456012042"/>
      <w:bookmarkStart w:id="79" w:name="_Toc469413361"/>
      <w:r>
        <w:rPr>
          <w:rFonts w:cs="Times New Roman"/>
          <w:b/>
          <w:noProof/>
          <w:color w:val="1F497D" w:themeColor="text2"/>
          <w:sz w:val="24"/>
        </w:rPr>
        <w:t>Compliance assurance</w:t>
      </w:r>
      <w:bookmarkEnd w:id="78"/>
      <w:bookmarkEnd w:id="79"/>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 law generally and specific provisions on inspections, other checks, penalties and environmental liability help lay the </w:t>
      </w:r>
      <w:r>
        <w:rPr>
          <w:rFonts w:cs="Times New Roman"/>
          <w:noProof/>
          <w:color w:val="FFFFFF" w:themeColor="background1"/>
          <w:sz w:val="20"/>
        </w:rPr>
        <w:t>basis for the systems Member States need to have in place to secure compliance with EU environmental rules.</w:t>
      </w:r>
    </w:p>
    <w:p w:rsidR="006E58C2" w:rsidRDefault="005B3E0F">
      <w:pPr>
        <w:widowControl w:val="0"/>
        <w:spacing w:after="120" w:line="240" w:lineRule="auto"/>
        <w:jc w:val="both"/>
        <w:rPr>
          <w:rFonts w:cs="Times New Roman"/>
          <w:noProof/>
          <w:sz w:val="20"/>
        </w:rPr>
      </w:pPr>
      <w:r>
        <w:rPr>
          <w:rFonts w:cs="Times New Roman"/>
          <w:noProof/>
          <w:sz w:val="20"/>
        </w:rPr>
        <w:t>Public authorities help ensure accountability of duty-holders by monitoring and promoting compliance and by taking credible follow-up action (i.e. e</w:t>
      </w:r>
      <w:r>
        <w:rPr>
          <w:rFonts w:cs="Times New Roman"/>
          <w:noProof/>
          <w:sz w:val="20"/>
        </w:rPr>
        <w:t>nforcement) when breaches occur or liabilities arise. Compliance monitoring can be done both on the initiative of authorities themselves and in response to citizen complaints. It can involve using various kinds of checks, including inspections for permitte</w:t>
      </w:r>
      <w:r>
        <w:rPr>
          <w:rFonts w:cs="Times New Roman"/>
          <w:noProof/>
          <w:sz w:val="20"/>
        </w:rPr>
        <w:t>d activities, surveillance for possible illegal activities, investigations for crimes and audits for systemic weaknesses. Similarly, there is a range of means to promote compliance, including awareness-raising campaigns and use of guidance documents and on</w:t>
      </w:r>
      <w:r>
        <w:rPr>
          <w:rFonts w:cs="Times New Roman"/>
          <w:noProof/>
          <w:sz w:val="20"/>
        </w:rPr>
        <w:t>line information tools. Follow-up to breaches and liabilities can include administrative action (e.g. withdrawal of a permit), use of criminal law</w:t>
      </w:r>
      <w:r>
        <w:rPr>
          <w:rFonts w:cs="Times New Roman"/>
          <w:noProof/>
          <w:sz w:val="20"/>
          <w:vertAlign w:val="superscript"/>
        </w:rPr>
        <w:footnoteReference w:id="104"/>
      </w:r>
      <w:r>
        <w:rPr>
          <w:rFonts w:cs="Times New Roman"/>
          <w:noProof/>
          <w:sz w:val="20"/>
        </w:rPr>
        <w:t xml:space="preserve"> and action under liability law (e.g. required remediation after damage from an accident using liability rule</w:t>
      </w:r>
      <w:r>
        <w:rPr>
          <w:rFonts w:cs="Times New Roman"/>
          <w:noProof/>
          <w:sz w:val="20"/>
        </w:rPr>
        <w:t>s) and contractual law (e.g. measures to require compliance with nature conservation contracts). Taken together, all of these interventions represent "compliance assurance" as shown in Figure 13.</w:t>
      </w:r>
    </w:p>
    <w:p w:rsidR="006E58C2" w:rsidRDefault="005B3E0F">
      <w:pPr>
        <w:widowControl w:val="0"/>
        <w:spacing w:after="120" w:line="240" w:lineRule="auto"/>
        <w:jc w:val="both"/>
        <w:rPr>
          <w:noProof/>
          <w:sz w:val="20"/>
        </w:rPr>
      </w:pPr>
      <w:r>
        <w:rPr>
          <w:noProof/>
          <w:sz w:val="20"/>
        </w:rPr>
        <w:t>Best practice has moved towards a risk-based approach at str</w:t>
      </w:r>
      <w:r>
        <w:rPr>
          <w:noProof/>
          <w:sz w:val="20"/>
        </w:rPr>
        <w:t>ategic and operational levels in which the best mix of compliance monitoring, promotion and enforcement is directed at the most serious problems. Best practice also recognises the need for coordination and cooperation between different authorities to ensur</w:t>
      </w:r>
      <w:r>
        <w:rPr>
          <w:noProof/>
          <w:sz w:val="20"/>
        </w:rPr>
        <w:t>e consistency, avoid duplication of work and reduce administrative burden. Active participation in established pan-European networks of inspectors, police, prosecutors and judges, such as</w:t>
      </w:r>
      <w:r>
        <w:rPr>
          <w:i/>
          <w:noProof/>
          <w:sz w:val="20"/>
        </w:rPr>
        <w:t xml:space="preserve"> IMPEL</w:t>
      </w:r>
      <w:r>
        <w:rPr>
          <w:i/>
          <w:noProof/>
          <w:sz w:val="20"/>
          <w:vertAlign w:val="superscript"/>
        </w:rPr>
        <w:footnoteReference w:id="105"/>
      </w:r>
      <w:r>
        <w:rPr>
          <w:i/>
          <w:noProof/>
          <w:sz w:val="20"/>
        </w:rPr>
        <w:t>, EUFJE</w:t>
      </w:r>
      <w:r>
        <w:rPr>
          <w:i/>
          <w:noProof/>
          <w:sz w:val="20"/>
          <w:vertAlign w:val="superscript"/>
        </w:rPr>
        <w:footnoteReference w:id="106"/>
      </w:r>
      <w:r>
        <w:rPr>
          <w:i/>
          <w:noProof/>
          <w:sz w:val="20"/>
        </w:rPr>
        <w:t>, ENPE</w:t>
      </w:r>
      <w:r>
        <w:rPr>
          <w:i/>
          <w:noProof/>
          <w:sz w:val="20"/>
          <w:vertAlign w:val="superscript"/>
        </w:rPr>
        <w:footnoteReference w:id="107"/>
      </w:r>
      <w:r>
        <w:rPr>
          <w:i/>
          <w:noProof/>
          <w:sz w:val="20"/>
        </w:rPr>
        <w:t xml:space="preserve"> and EnviCrimeNet</w:t>
      </w:r>
      <w:r>
        <w:rPr>
          <w:i/>
          <w:noProof/>
          <w:sz w:val="20"/>
          <w:vertAlign w:val="superscript"/>
        </w:rPr>
        <w:footnoteReference w:id="108"/>
      </w:r>
      <w:r>
        <w:rPr>
          <w:noProof/>
          <w:sz w:val="20"/>
        </w:rPr>
        <w:t xml:space="preserve">, is a valuable tool for </w:t>
      </w:r>
      <w:r>
        <w:rPr>
          <w:noProof/>
          <w:sz w:val="20"/>
        </w:rPr>
        <w:t>sharing experience and good practices.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58C2">
        <w:tc>
          <w:tcPr>
            <w:tcW w:w="4909" w:type="dxa"/>
          </w:tcPr>
          <w:p w:rsidR="006E58C2" w:rsidRDefault="005B3E0F">
            <w:pPr>
              <w:widowControl w:val="0"/>
              <w:spacing w:after="120"/>
              <w:jc w:val="both"/>
              <w:rPr>
                <w:rFonts w:cs="Times New Roman"/>
                <w:b/>
                <w:bCs/>
                <w:noProof/>
                <w:color w:val="1F497D" w:themeColor="text2"/>
                <w:sz w:val="20"/>
              </w:rPr>
            </w:pPr>
            <w:r>
              <w:rPr>
                <w:rFonts w:cs="Times New Roman"/>
                <w:b/>
                <w:bCs/>
                <w:noProof/>
                <w:color w:val="1F497D" w:themeColor="text2"/>
                <w:sz w:val="20"/>
              </w:rPr>
              <w:t>Figure 13: Environmental compliance assurance</w:t>
            </w:r>
          </w:p>
          <w:p w:rsidR="006E58C2" w:rsidRDefault="005B3E0F">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053662EF" wp14:editId="127E2D70">
                  <wp:extent cx="2980055" cy="210566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6E58C2" w:rsidRDefault="005B3E0F">
      <w:pPr>
        <w:widowControl w:val="0"/>
        <w:spacing w:after="120" w:line="240" w:lineRule="auto"/>
        <w:jc w:val="both"/>
        <w:rPr>
          <w:rFonts w:cs="Times New Roman"/>
          <w:noProof/>
          <w:sz w:val="20"/>
        </w:rPr>
      </w:pPr>
      <w:r>
        <w:rPr>
          <w:rFonts w:cs="Times New Roman"/>
          <w:noProof/>
          <w:sz w:val="20"/>
        </w:rPr>
        <w:t>Currently, there exist a number of sectoral obligations on inspections and the EU directive on environmental liability (ELD)</w:t>
      </w:r>
      <w:r>
        <w:rPr>
          <w:rFonts w:cs="Times New Roman"/>
          <w:noProof/>
          <w:sz w:val="20"/>
          <w:vertAlign w:val="superscript"/>
        </w:rPr>
        <w:footnoteReference w:id="109"/>
      </w:r>
      <w:r>
        <w:rPr>
          <w:rFonts w:cs="Times New Roman"/>
          <w:noProof/>
          <w:sz w:val="20"/>
        </w:rPr>
        <w:t xml:space="preserve"> provides a means of ensuring that the "pol</w:t>
      </w:r>
      <w:r>
        <w:rPr>
          <w:rFonts w:cs="Times New Roman"/>
          <w:noProof/>
          <w:sz w:val="20"/>
        </w:rPr>
        <w:t xml:space="preserve">luter-pays principle" is applied when there are accidents and incidents that harm the environment. There is also publically available information giving insights into existing strengths and weaknesses in each Member State. </w:t>
      </w:r>
    </w:p>
    <w:p w:rsidR="006E58C2" w:rsidRDefault="005B3E0F">
      <w:pPr>
        <w:widowControl w:val="0"/>
        <w:spacing w:after="120" w:line="240" w:lineRule="auto"/>
        <w:jc w:val="both"/>
        <w:rPr>
          <w:rFonts w:cs="Times New Roman"/>
          <w:noProof/>
          <w:sz w:val="20"/>
        </w:rPr>
      </w:pPr>
      <w:r>
        <w:rPr>
          <w:rFonts w:cs="Times New Roman"/>
          <w:noProof/>
          <w:sz w:val="20"/>
        </w:rPr>
        <w:t>For each Member State, the follo</w:t>
      </w:r>
      <w:r>
        <w:rPr>
          <w:rFonts w:cs="Times New Roman"/>
          <w:noProof/>
          <w:sz w:val="20"/>
        </w:rPr>
        <w:t>wing were therefore reviewed: use of risk-based compliance assurance; coordination and co-operation between authorities and participation in pan-European networks; and key aspects of implementation of the ELD based on the Commission's recently published im</w:t>
      </w:r>
      <w:r>
        <w:rPr>
          <w:rFonts w:cs="Times New Roman"/>
          <w:noProof/>
          <w:sz w:val="20"/>
        </w:rPr>
        <w:t>plementation report and REFIT evaluation</w:t>
      </w:r>
      <w:r>
        <w:rPr>
          <w:rFonts w:cs="Times New Roman"/>
          <w:noProof/>
          <w:sz w:val="20"/>
          <w:vertAlign w:val="superscript"/>
        </w:rPr>
        <w:footnoteReference w:id="110"/>
      </w:r>
      <w:r>
        <w:rPr>
          <w:rFonts w:cs="Times New Roman"/>
          <w:noProof/>
          <w:sz w:val="20"/>
        </w:rPr>
        <w:t xml:space="preserve">. </w:t>
      </w:r>
    </w:p>
    <w:p w:rsidR="006E58C2" w:rsidRDefault="005B3E0F">
      <w:pPr>
        <w:spacing w:after="0" w:line="240" w:lineRule="auto"/>
        <w:jc w:val="both"/>
        <w:rPr>
          <w:rFonts w:ascii="Times New Roman" w:hAnsi="Times New Roman" w:cs="Times New Roman"/>
          <w:noProof/>
          <w:color w:val="000000" w:themeColor="text1"/>
          <w:sz w:val="20"/>
        </w:rPr>
      </w:pPr>
      <w:r>
        <w:rPr>
          <w:rFonts w:cs="Times New Roman"/>
          <w:noProof/>
          <w:color w:val="000000" w:themeColor="text1"/>
          <w:sz w:val="20"/>
        </w:rPr>
        <w:t>The responsibilities it exercises across different environmental policy areas should put the Czech Environmental Inspectorate (CEI)</w:t>
      </w:r>
      <w:r>
        <w:rPr>
          <w:rFonts w:cs="Times New Roman"/>
          <w:noProof/>
          <w:color w:val="000000" w:themeColor="text1"/>
          <w:sz w:val="20"/>
          <w:vertAlign w:val="superscript"/>
        </w:rPr>
        <w:footnoteReference w:id="111"/>
      </w:r>
      <w:r>
        <w:rPr>
          <w:rFonts w:cs="Times New Roman"/>
          <w:noProof/>
          <w:color w:val="000000" w:themeColor="text1"/>
          <w:sz w:val="20"/>
        </w:rPr>
        <w:t xml:space="preserve"> in a good position to undertake both strategic and operational risk-based compl</w:t>
      </w:r>
      <w:r>
        <w:rPr>
          <w:rFonts w:cs="Times New Roman"/>
          <w:noProof/>
          <w:color w:val="000000" w:themeColor="text1"/>
          <w:sz w:val="20"/>
        </w:rPr>
        <w:t>iance assurance.</w:t>
      </w:r>
      <w:r>
        <w:rPr>
          <w:rFonts w:ascii="Times New Roman" w:hAnsi="Times New Roman" w:cs="Times New Roman"/>
          <w:noProof/>
          <w:color w:val="000000" w:themeColor="text1"/>
          <w:sz w:val="20"/>
        </w:rPr>
        <w:t xml:space="preserve"> </w:t>
      </w:r>
      <w:r>
        <w:rPr>
          <w:rFonts w:cs="Times New Roman"/>
          <w:noProof/>
          <w:sz w:val="20"/>
        </w:rPr>
        <w:t>The CEI operates an informative web-site on which annual activities reports are published, including statistical information</w:t>
      </w:r>
      <w:r>
        <w:rPr>
          <w:rFonts w:cs="Times New Roman"/>
          <w:noProof/>
          <w:sz w:val="20"/>
          <w:vertAlign w:val="superscript"/>
        </w:rPr>
        <w:footnoteReference w:id="112"/>
      </w:r>
      <w:r>
        <w:rPr>
          <w:rFonts w:cs="Times New Roman"/>
          <w:noProof/>
          <w:sz w:val="20"/>
        </w:rPr>
        <w:t>. Evidence was found of use of risk-based approaches to target environmental inspections for industrial installati</w:t>
      </w:r>
      <w:r>
        <w:rPr>
          <w:rFonts w:cs="Times New Roman"/>
          <w:noProof/>
          <w:sz w:val="20"/>
        </w:rPr>
        <w:t xml:space="preserve">ons, but with certain limitations. </w:t>
      </w:r>
    </w:p>
    <w:p w:rsidR="006E58C2" w:rsidRDefault="005B3E0F">
      <w:pPr>
        <w:widowControl w:val="0"/>
        <w:spacing w:after="120" w:line="240" w:lineRule="auto"/>
        <w:jc w:val="both"/>
        <w:rPr>
          <w:rFonts w:cs="Times New Roman"/>
          <w:noProof/>
          <w:sz w:val="20"/>
        </w:rPr>
      </w:pPr>
      <w:r>
        <w:rPr>
          <w:rFonts w:cs="Times New Roman"/>
          <w:noProof/>
          <w:sz w:val="20"/>
        </w:rPr>
        <w:t>The CEI has established cooperation with other authorities with relevant functions but the cooperation is not based on formal agreements</w:t>
      </w:r>
      <w:r>
        <w:rPr>
          <w:rFonts w:cs="Times New Roman"/>
          <w:noProof/>
          <w:sz w:val="20"/>
          <w:vertAlign w:val="superscript"/>
        </w:rPr>
        <w:footnoteReference w:id="113"/>
      </w:r>
      <w:r>
        <w:rPr>
          <w:rFonts w:cs="Times New Roman"/>
          <w:noProof/>
          <w:sz w:val="20"/>
        </w:rPr>
        <w:t>. The Czech Republic is active within IMPEL and EnviCrimeNet and hosted an IMPEL pe</w:t>
      </w:r>
      <w:r>
        <w:rPr>
          <w:rFonts w:cs="Times New Roman"/>
          <w:noProof/>
          <w:sz w:val="20"/>
        </w:rPr>
        <w:t>er review in 2015 and the 2016 EnviCrimeNet annual conference.</w:t>
      </w:r>
    </w:p>
    <w:p w:rsidR="006E58C2" w:rsidRDefault="005B3E0F">
      <w:pPr>
        <w:widowControl w:val="0"/>
        <w:spacing w:after="120" w:line="240" w:lineRule="auto"/>
        <w:jc w:val="both"/>
        <w:rPr>
          <w:rFonts w:cs="Times New Roman"/>
          <w:noProof/>
          <w:sz w:val="20"/>
        </w:rPr>
      </w:pPr>
      <w:r>
        <w:rPr>
          <w:rFonts w:cs="Times New Roman"/>
          <w:noProof/>
          <w:sz w:val="20"/>
        </w:rPr>
        <w:t>Up-to-date information is nevertheless lacking in relation to the following:</w:t>
      </w:r>
    </w:p>
    <w:p w:rsidR="006E58C2" w:rsidRDefault="005B3E0F">
      <w:pPr>
        <w:widowControl w:val="0"/>
        <w:numPr>
          <w:ilvl w:val="0"/>
          <w:numId w:val="29"/>
        </w:numPr>
        <w:spacing w:after="12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interventions;</w:t>
      </w:r>
    </w:p>
    <w:p w:rsidR="006E58C2" w:rsidRDefault="005B3E0F">
      <w:pPr>
        <w:numPr>
          <w:ilvl w:val="0"/>
          <w:numId w:val="29"/>
        </w:numPr>
        <w:spacing w:after="120" w:line="240" w:lineRule="auto"/>
        <w:contextualSpacing/>
        <w:jc w:val="both"/>
        <w:rPr>
          <w:rFonts w:cs="Times New Roman"/>
          <w:noProof/>
          <w:sz w:val="20"/>
        </w:rPr>
      </w:pPr>
      <w:r>
        <w:rPr>
          <w:rFonts w:cs="Times New Roman"/>
          <w:noProof/>
          <w:sz w:val="20"/>
        </w:rPr>
        <w:t>the</w:t>
      </w:r>
      <w:r>
        <w:rPr>
          <w:rFonts w:cs="Times New Roman"/>
          <w:noProof/>
          <w:sz w:val="20"/>
        </w:rPr>
        <w:t xml:space="preserve"> extent to which risk-based methods are used to direct compliance assurance at the strategic level and in relation to critical activities outside of industrial installations, in particular in specific problem-areas highlighted elsewhere in this Country Rep</w:t>
      </w:r>
      <w:r>
        <w:rPr>
          <w:rFonts w:cs="Times New Roman"/>
          <w:noProof/>
          <w:sz w:val="20"/>
        </w:rPr>
        <w:t>ort, i.e. the threats to protected habitat types and species, air quality breaches and the pressures on water quality from diffuse water pollution;</w:t>
      </w:r>
    </w:p>
    <w:p w:rsidR="006E58C2" w:rsidRDefault="005B3E0F">
      <w:pPr>
        <w:widowControl w:val="0"/>
        <w:numPr>
          <w:ilvl w:val="0"/>
          <w:numId w:val="29"/>
        </w:numPr>
        <w:spacing w:after="120" w:line="240" w:lineRule="auto"/>
        <w:contextualSpacing/>
        <w:jc w:val="both"/>
        <w:rPr>
          <w:rFonts w:cs="Times New Roman"/>
          <w:noProof/>
          <w:sz w:val="20"/>
        </w:rPr>
      </w:pPr>
      <w:r>
        <w:rPr>
          <w:rFonts w:cs="Times New Roman"/>
          <w:noProof/>
          <w:sz w:val="20"/>
        </w:rPr>
        <w:t>how the Czech authorities ensure a targeted and proportionate response to different types of non-compliant b</w:t>
      </w:r>
      <w:r>
        <w:rPr>
          <w:rFonts w:cs="Times New Roman"/>
          <w:noProof/>
          <w:sz w:val="20"/>
        </w:rPr>
        <w:t>ehaviour, given that environmental inspectors have a limited set of enforcement tools</w:t>
      </w:r>
      <w:r>
        <w:rPr>
          <w:rFonts w:cs="Times New Roman"/>
          <w:noProof/>
          <w:sz w:val="20"/>
          <w:vertAlign w:val="superscript"/>
        </w:rPr>
        <w:footnoteReference w:id="114"/>
      </w:r>
      <w:r>
        <w:rPr>
          <w:rFonts w:cs="Times New Roman"/>
          <w:noProof/>
          <w:sz w:val="20"/>
        </w:rPr>
        <w:t xml:space="preserve">. </w:t>
      </w:r>
    </w:p>
    <w:p w:rsidR="006E58C2" w:rsidRDefault="005B3E0F">
      <w:pPr>
        <w:widowControl w:val="0"/>
        <w:spacing w:after="120" w:line="240" w:lineRule="auto"/>
        <w:jc w:val="both"/>
        <w:rPr>
          <w:rFonts w:cs="Times New Roman"/>
          <w:noProof/>
          <w:sz w:val="20"/>
        </w:rPr>
      </w:pPr>
      <w:r>
        <w:rPr>
          <w:rFonts w:cs="Times New Roman"/>
          <w:noProof/>
          <w:sz w:val="20"/>
        </w:rPr>
        <w:t>The Czech Republic has established mandatory financial security for liabilities under the Environmental Liability Directive (ELD) from 2013 on. There have been no case</w:t>
      </w:r>
      <w:r>
        <w:rPr>
          <w:rFonts w:cs="Times New Roman"/>
          <w:noProof/>
          <w:sz w:val="20"/>
        </w:rPr>
        <w:t>s of confirmed environmental damage under the Directive, but 15 cases were reported as dismissed in the period between 2007 and 2013, and a few cases were initiated upon public requests.</w:t>
      </w:r>
    </w:p>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E58C2" w:rsidRDefault="005B3E0F">
      <w:pPr>
        <w:pStyle w:val="NoSpacing"/>
        <w:rPr>
          <w:noProof/>
        </w:rPr>
      </w:pPr>
      <w:r>
        <w:rPr>
          <w:noProof/>
        </w:rPr>
        <w:t>Improve transparency on the organisation and functio</w:t>
      </w:r>
      <w:r>
        <w:rPr>
          <w:noProof/>
        </w:rPr>
        <w:t xml:space="preserve">ning of compliance assurance and on how significant risks are addressed, as outlined above. </w:t>
      </w:r>
    </w:p>
    <w:p w:rsidR="006E58C2" w:rsidRDefault="005B3E0F">
      <w:pPr>
        <w:pStyle w:val="NoSpacing"/>
        <w:rPr>
          <w:noProof/>
        </w:rPr>
      </w:pPr>
      <w:r>
        <w:rPr>
          <w:noProof/>
        </w:rPr>
        <w:t>Encourage greater participation of competent authorities in the activities of ENPE, EUFJE and EnviCrimeNet.</w:t>
      </w:r>
    </w:p>
    <w:p w:rsidR="006E58C2" w:rsidRDefault="005B3E0F">
      <w:pPr>
        <w:pStyle w:val="NoSpacing"/>
        <w:rPr>
          <w:noProof/>
        </w:rPr>
      </w:pPr>
      <w:r>
        <w:rPr>
          <w:noProof/>
        </w:rPr>
        <w:t>Step up efforts in the implementation of the Environmen</w:t>
      </w:r>
      <w:r>
        <w:rPr>
          <w:noProof/>
        </w:rPr>
        <w:t>tal Liability Directive (ELD) with proactive initiatives, in particular by drafting national guidance.</w:t>
      </w:r>
      <w:bookmarkStart w:id="80" w:name="_Toc439678163"/>
      <w:r>
        <w:rPr>
          <w:noProof/>
        </w:rPr>
        <w:t xml:space="preserve"> </w:t>
      </w:r>
    </w:p>
    <w:p w:rsidR="006E58C2" w:rsidRDefault="005B3E0F">
      <w:pPr>
        <w:widowControl w:val="0"/>
        <w:spacing w:before="360" w:after="120" w:line="240" w:lineRule="auto"/>
        <w:outlineLvl w:val="1"/>
        <w:rPr>
          <w:rFonts w:cs="Times New Roman"/>
          <w:b/>
          <w:noProof/>
          <w:color w:val="1F497D" w:themeColor="text2"/>
          <w:sz w:val="24"/>
        </w:rPr>
      </w:pPr>
      <w:bookmarkStart w:id="81" w:name="_Toc454457667"/>
      <w:bookmarkStart w:id="82" w:name="_Toc456012043"/>
      <w:bookmarkStart w:id="83" w:name="_Toc469413362"/>
      <w:bookmarkEnd w:id="80"/>
      <w:r>
        <w:rPr>
          <w:rFonts w:cs="Times New Roman"/>
          <w:b/>
          <w:noProof/>
          <w:color w:val="1F497D" w:themeColor="text2"/>
          <w:sz w:val="24"/>
        </w:rPr>
        <w:t>Public participation and access to justice</w:t>
      </w:r>
      <w:bookmarkEnd w:id="81"/>
      <w:bookmarkEnd w:id="82"/>
      <w:bookmarkEnd w:id="83"/>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w:t>
      </w:r>
      <w:r>
        <w:rPr>
          <w:rFonts w:cs="Times New Roman"/>
          <w:noProof/>
          <w:color w:val="FFFFFF" w:themeColor="background1"/>
          <w:sz w:val="20"/>
        </w:rPr>
        <w:t>d the case-law of the Court of Justice require that citizens and their associations should be able to participate in decision-making on projects and plans and should enjoy effective environmental access to justice.</w:t>
      </w:r>
    </w:p>
    <w:p w:rsidR="006E58C2" w:rsidRDefault="005B3E0F">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w:t>
      </w:r>
      <w:r>
        <w:rPr>
          <w:rFonts w:cs="Times New Roman"/>
          <w:noProof/>
          <w:color w:val="000000" w:themeColor="text1"/>
          <w:sz w:val="20"/>
        </w:rPr>
        <w:t xml:space="preserve"> environment if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w:t>
      </w:r>
      <w:r>
        <w:rPr>
          <w:rFonts w:cs="Times New Roman"/>
          <w:noProof/>
          <w:sz w:val="20"/>
        </w:rPr>
        <w:t>cision making process is an important element to ensure that the authority takes its decision on the best possible basis. The Commission intends to examine compliance with mandatory public participation requirements more systematically at a later stage.</w:t>
      </w:r>
    </w:p>
    <w:p w:rsidR="006E58C2" w:rsidRDefault="005B3E0F">
      <w:pPr>
        <w:widowControl w:val="0"/>
        <w:spacing w:after="120" w:line="240" w:lineRule="auto"/>
        <w:jc w:val="both"/>
        <w:rPr>
          <w:rFonts w:cs="Times New Roman"/>
          <w:noProof/>
          <w:sz w:val="20"/>
        </w:rPr>
      </w:pPr>
      <w:r>
        <w:rPr>
          <w:rFonts w:cs="Times New Roman"/>
          <w:noProof/>
          <w:sz w:val="20"/>
        </w:rPr>
        <w:t>Ac</w:t>
      </w:r>
      <w:r>
        <w:rPr>
          <w:rFonts w:cs="Times New Roman"/>
          <w:noProof/>
          <w:sz w:val="20"/>
        </w:rPr>
        <w:t>cess to justice in environmental matters is a set of guarantees that allows citizens and their associations to challenge acts or omissions of the public administration before a court. It is a tool for decentralised implementation of EU environmental law.</w:t>
      </w:r>
    </w:p>
    <w:p w:rsidR="006E58C2" w:rsidRDefault="005B3E0F">
      <w:pPr>
        <w:widowControl w:val="0"/>
        <w:spacing w:after="120" w:line="240" w:lineRule="auto"/>
        <w:jc w:val="both"/>
        <w:rPr>
          <w:rFonts w:cs="Times New Roman"/>
          <w:noProof/>
          <w:sz w:val="20"/>
        </w:rPr>
      </w:pPr>
      <w:r>
        <w:rPr>
          <w:rFonts w:cs="Times New Roman"/>
          <w:noProof/>
          <w:sz w:val="20"/>
        </w:rPr>
        <w:t>F</w:t>
      </w:r>
      <w:r>
        <w:rPr>
          <w:rFonts w:cs="Times New Roman"/>
          <w:noProof/>
          <w:sz w:val="20"/>
        </w:rPr>
        <w:t>or each Member State, two crucial elements for effective access to justice have been systematically reviewed: the legal standing for the public, including NGOs and the extent to which prohibitive costs represent a barrier.</w:t>
      </w:r>
    </w:p>
    <w:p w:rsidR="006E58C2" w:rsidRDefault="005B3E0F">
      <w:pPr>
        <w:widowControl w:val="0"/>
        <w:spacing w:after="120" w:line="240" w:lineRule="auto"/>
        <w:jc w:val="both"/>
        <w:rPr>
          <w:rFonts w:cs="Times New Roman"/>
          <w:noProof/>
          <w:sz w:val="20"/>
        </w:rPr>
      </w:pPr>
      <w:r>
        <w:rPr>
          <w:rFonts w:cs="Times New Roman"/>
          <w:noProof/>
          <w:sz w:val="20"/>
        </w:rPr>
        <w:t>In the Czech Republic the costs t</w:t>
      </w:r>
      <w:r>
        <w:rPr>
          <w:rFonts w:cs="Times New Roman"/>
          <w:noProof/>
          <w:sz w:val="20"/>
        </w:rPr>
        <w:t>o bring an environmental case to the national courts are not considered as being prohibitively high. However, the Czech Republic had for long period shortcomings in providing the public, notably individuals and NGOs, with legal standing which would allow t</w:t>
      </w:r>
      <w:r>
        <w:rPr>
          <w:rFonts w:cs="Times New Roman"/>
          <w:noProof/>
          <w:sz w:val="20"/>
        </w:rPr>
        <w:t>hem to initiate court actions in environmental matters</w:t>
      </w:r>
      <w:r>
        <w:rPr>
          <w:rFonts w:cs="Times New Roman"/>
          <w:noProof/>
          <w:sz w:val="20"/>
          <w:vertAlign w:val="superscript"/>
        </w:rPr>
        <w:footnoteReference w:id="115"/>
      </w:r>
      <w:r>
        <w:rPr>
          <w:rFonts w:cs="Times New Roman"/>
          <w:noProof/>
          <w:sz w:val="20"/>
        </w:rPr>
        <w:t xml:space="preserve"> and to challenge the substantial breaches of their rights.  For the EIA, the situation was in principle addressed with the amendment of the EIA Act, which came into force in April 2015, while access t</w:t>
      </w:r>
      <w:r>
        <w:rPr>
          <w:rFonts w:cs="Times New Roman"/>
          <w:noProof/>
          <w:sz w:val="20"/>
        </w:rPr>
        <w:t xml:space="preserve">o justice is applicable also outside the EIA context and has to be ensured in multi-stage system. </w:t>
      </w:r>
    </w:p>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w:t>
      </w:r>
      <w:bookmarkStart w:id="84" w:name="_Toc439678165"/>
      <w:r>
        <w:rPr>
          <w:rFonts w:cstheme="minorHAnsi"/>
          <w:noProof/>
          <w:color w:val="1F497D" w:themeColor="text2"/>
          <w:szCs w:val="26"/>
        </w:rPr>
        <w:t>ion</w:t>
      </w:r>
    </w:p>
    <w:p w:rsidR="006E58C2" w:rsidRDefault="005B3E0F">
      <w:pPr>
        <w:pStyle w:val="NoSpacing"/>
        <w:rPr>
          <w:noProof/>
        </w:rPr>
      </w:pPr>
      <w:r>
        <w:rPr>
          <w:noProof/>
        </w:rPr>
        <w:t>Take the necessary measures to ensure standing of environmental NGOs to challenge acts or omissions of a public authority in all sectoral EU</w:t>
      </w:r>
      <w:r>
        <w:rPr>
          <w:noProof/>
        </w:rPr>
        <w:t xml:space="preserve"> environmental laws, in full compliance with EU law as well as the Convention on Access to Information, Public Participation in Decision-making and Access to Justice in environmental matters (Aarhus Convention). </w:t>
      </w:r>
    </w:p>
    <w:p w:rsidR="006E58C2" w:rsidRDefault="005B3E0F">
      <w:pPr>
        <w:widowControl w:val="0"/>
        <w:spacing w:before="360" w:after="120" w:line="240" w:lineRule="auto"/>
        <w:outlineLvl w:val="1"/>
        <w:rPr>
          <w:rFonts w:cs="Times New Roman"/>
          <w:b/>
          <w:noProof/>
          <w:color w:val="1F497D" w:themeColor="text2"/>
          <w:sz w:val="24"/>
        </w:rPr>
      </w:pPr>
      <w:bookmarkStart w:id="85" w:name="_Toc454457668"/>
      <w:bookmarkStart w:id="86" w:name="_Toc456012044"/>
      <w:bookmarkStart w:id="87" w:name="_Toc469413363"/>
      <w:bookmarkEnd w:id="84"/>
      <w:r>
        <w:rPr>
          <w:rFonts w:cs="Times New Roman"/>
          <w:b/>
          <w:noProof/>
          <w:color w:val="1F497D" w:themeColor="text2"/>
          <w:sz w:val="24"/>
        </w:rPr>
        <w:t>Access to information, knowledge and eviden</w:t>
      </w:r>
      <w:r>
        <w:rPr>
          <w:rFonts w:cs="Times New Roman"/>
          <w:b/>
          <w:noProof/>
          <w:color w:val="1F497D" w:themeColor="text2"/>
          <w:sz w:val="24"/>
        </w:rPr>
        <w:t>ce</w:t>
      </w:r>
      <w:bookmarkEnd w:id="85"/>
      <w:bookmarkEnd w:id="86"/>
      <w:bookmarkEnd w:id="87"/>
    </w:p>
    <w:p w:rsidR="006E58C2" w:rsidRDefault="005B3E0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public has access to clear information on the environment, including on how Union environmental law is being implemented.</w:t>
      </w:r>
    </w:p>
    <w:p w:rsidR="006E58C2" w:rsidRDefault="005B3E0F">
      <w:pPr>
        <w:widowControl w:val="0"/>
        <w:spacing w:after="120" w:line="240" w:lineRule="auto"/>
        <w:jc w:val="both"/>
        <w:rPr>
          <w:rFonts w:cs="Times New Roman"/>
          <w:noProof/>
          <w:sz w:val="20"/>
        </w:rPr>
      </w:pPr>
      <w:r>
        <w:rPr>
          <w:rFonts w:cs="Times New Roman"/>
          <w:noProof/>
          <w:sz w:val="20"/>
        </w:rPr>
        <w:t>It is of</w:t>
      </w:r>
      <w:r>
        <w:rPr>
          <w:rFonts w:cs="Times New Roman"/>
          <w:noProof/>
          <w:sz w:val="20"/>
        </w:rPr>
        <w:t xml:space="preserve"> crucial importance to public authorities, the public and business that environmental information is shared in an efficient and effective way. This covers reporting by businesses and public authorities and active dissemination to the public, increasingly t</w:t>
      </w:r>
      <w:r>
        <w:rPr>
          <w:rFonts w:cs="Times New Roman"/>
          <w:noProof/>
          <w:sz w:val="20"/>
        </w:rPr>
        <w:t>hrough electronic means.</w:t>
      </w:r>
    </w:p>
    <w:p w:rsidR="006E58C2" w:rsidRDefault="005B3E0F">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116"/>
      </w:r>
      <w:r>
        <w:rPr>
          <w:rFonts w:cs="Times New Roman"/>
          <w:noProof/>
          <w:sz w:val="20"/>
        </w:rPr>
        <w:t>, the Access to Environmental Information Directive</w:t>
      </w:r>
      <w:r>
        <w:rPr>
          <w:rFonts w:cs="Times New Roman"/>
          <w:noProof/>
          <w:sz w:val="20"/>
          <w:vertAlign w:val="superscript"/>
        </w:rPr>
        <w:footnoteReference w:id="117"/>
      </w:r>
      <w:r>
        <w:rPr>
          <w:rFonts w:cs="Times New Roman"/>
          <w:noProof/>
          <w:sz w:val="20"/>
        </w:rPr>
        <w:t xml:space="preserve"> and the INSPIRE Directive</w:t>
      </w:r>
      <w:r>
        <w:rPr>
          <w:rFonts w:cs="Times New Roman"/>
          <w:noProof/>
          <w:sz w:val="20"/>
          <w:vertAlign w:val="superscript"/>
        </w:rPr>
        <w:footnoteReference w:id="118"/>
      </w:r>
      <w:r>
        <w:rPr>
          <w:rFonts w:cs="Times New Roman"/>
          <w:noProof/>
          <w:sz w:val="20"/>
        </w:rPr>
        <w:t xml:space="preserve"> together create a legal foundation for the sharing of environmental information between public authorities and with the public. T</w:t>
      </w:r>
      <w:r>
        <w:rPr>
          <w:rFonts w:cs="Times New Roman"/>
          <w:noProof/>
          <w:sz w:val="20"/>
        </w:rPr>
        <w:t>hey also represent the green part of the ongoing EU e-Government Action Plan</w:t>
      </w:r>
      <w:r>
        <w:rPr>
          <w:rFonts w:cs="Times New Roman"/>
          <w:noProof/>
          <w:sz w:val="20"/>
          <w:vertAlign w:val="superscript"/>
        </w:rPr>
        <w:footnoteReference w:id="119"/>
      </w:r>
      <w:r>
        <w:rPr>
          <w:rFonts w:cs="Times New Roman"/>
          <w:noProof/>
          <w:sz w:val="20"/>
        </w:rPr>
        <w:t xml:space="preserve">. The first two instruments create obligations to provide information to the public, both on request and actively. The INSPIRE Directive is a pioneering instrument for electronic </w:t>
      </w:r>
      <w:r>
        <w:rPr>
          <w:rFonts w:cs="Times New Roman"/>
          <w:noProof/>
          <w:sz w:val="20"/>
        </w:rPr>
        <w:t>data-sharing between public authorities who can vary in their data-sharing policies, e.g. on whether access to data is for free. The INSPIRE Directive sets up a geoportal which indicates the level of shared spatial data in each Member State – i.e. data rel</w:t>
      </w:r>
      <w:r>
        <w:rPr>
          <w:rFonts w:cs="Times New Roman"/>
          <w:noProof/>
          <w:sz w:val="20"/>
        </w:rPr>
        <w:t xml:space="preserve">ated to specific locations, such as air quality monitoring data. Amongst other benefits it facilitates the public authorities' reporting obligations. </w:t>
      </w:r>
    </w:p>
    <w:p w:rsidR="006E58C2" w:rsidRDefault="005B3E0F">
      <w:pPr>
        <w:widowControl w:val="0"/>
        <w:spacing w:after="120" w:line="240" w:lineRule="auto"/>
        <w:jc w:val="both"/>
        <w:rPr>
          <w:rFonts w:cs="Times New Roman"/>
          <w:noProof/>
          <w:sz w:val="20"/>
        </w:rPr>
      </w:pPr>
      <w:r>
        <w:rPr>
          <w:rFonts w:cs="Times New Roman"/>
          <w:noProof/>
          <w:sz w:val="20"/>
        </w:rPr>
        <w:t>For each Member State, the accessibility of environmental data (based on what the INSPIRE Directive envis</w:t>
      </w:r>
      <w:r>
        <w:rPr>
          <w:rFonts w:cs="Times New Roman"/>
          <w:noProof/>
          <w:sz w:val="20"/>
        </w:rPr>
        <w:t>ages) as well as data-sharing policies ('open data') have been systematically reviewed</w:t>
      </w:r>
      <w:r>
        <w:rPr>
          <w:rFonts w:cs="Times New Roman"/>
          <w:noProof/>
          <w:sz w:val="20"/>
          <w:vertAlign w:val="superscript"/>
        </w:rPr>
        <w:footnoteReference w:id="120"/>
      </w:r>
      <w:r>
        <w:rPr>
          <w:rFonts w:cs="Times New Roman"/>
          <w:noProof/>
          <w:sz w:val="20"/>
        </w:rPr>
        <w:t xml:space="preserve">. </w:t>
      </w:r>
    </w:p>
    <w:p w:rsidR="006E58C2" w:rsidRDefault="005B3E0F">
      <w:pPr>
        <w:widowControl w:val="0"/>
        <w:spacing w:after="120" w:line="240" w:lineRule="auto"/>
        <w:jc w:val="both"/>
        <w:rPr>
          <w:rFonts w:cs="Times New Roman"/>
          <w:noProof/>
          <w:sz w:val="20"/>
        </w:rPr>
      </w:pPr>
      <w:r>
        <w:rPr>
          <w:rFonts w:cs="Times New Roman"/>
          <w:noProof/>
          <w:sz w:val="20"/>
        </w:rPr>
        <w:t xml:space="preserve">Czech Republic's performance on the implementation of the INSPIRE Directive as enabling framework to actively disseminate environmental information to the public is good, but leaves room for further improvement. </w:t>
      </w:r>
    </w:p>
    <w:p w:rsidR="006E58C2" w:rsidRDefault="005B3E0F">
      <w:pPr>
        <w:widowControl w:val="0"/>
        <w:spacing w:after="120" w:line="240" w:lineRule="auto"/>
        <w:jc w:val="both"/>
        <w:rPr>
          <w:rFonts w:cs="Times New Roman"/>
          <w:noProof/>
          <w:sz w:val="20"/>
        </w:rPr>
      </w:pPr>
      <w:r>
        <w:rPr>
          <w:rFonts w:cs="Times New Roman"/>
          <w:noProof/>
          <w:sz w:val="20"/>
        </w:rPr>
        <w:t>Czech Republic has indicated in the 3-yearl</w:t>
      </w:r>
      <w:r>
        <w:rPr>
          <w:rFonts w:cs="Times New Roman"/>
          <w:noProof/>
          <w:sz w:val="20"/>
        </w:rPr>
        <w:t>y INSPIRE implementation report</w:t>
      </w:r>
      <w:r>
        <w:rPr>
          <w:rFonts w:cs="Times New Roman"/>
          <w:noProof/>
          <w:sz w:val="20"/>
          <w:vertAlign w:val="superscript"/>
        </w:rPr>
        <w:footnoteReference w:id="121"/>
      </w:r>
      <w:r>
        <w:rPr>
          <w:rFonts w:cs="Times New Roman"/>
          <w:noProof/>
          <w:sz w:val="20"/>
        </w:rPr>
        <w:t xml:space="preserve"> that the necessary data-sharing policies allowing access and use of spatial data by national administrations, other Member States' administrations and EU institutions without procedural obstacles are not yet fully available</w:t>
      </w:r>
      <w:r>
        <w:rPr>
          <w:rFonts w:cs="Times New Roman"/>
          <w:noProof/>
          <w:sz w:val="20"/>
        </w:rPr>
        <w:t xml:space="preserve"> and implemented. T</w:t>
      </w:r>
      <w:r>
        <w:rPr>
          <w:rFonts w:cs="EUAlbertina"/>
          <w:noProof/>
          <w:color w:val="000000"/>
          <w:sz w:val="20"/>
        </w:rPr>
        <w:t>he use and sharing of data has improved, but different licensing approaches still pose a major barrier. The Czech Republic aims at solving existing licensing issues for spatial information by 2020. In this respect, INSPIRE Coordination C</w:t>
      </w:r>
      <w:r>
        <w:rPr>
          <w:rFonts w:cs="EUAlbertina"/>
          <w:noProof/>
          <w:color w:val="000000"/>
          <w:sz w:val="20"/>
        </w:rPr>
        <w:t>ommittee of the Czech Republic has approved a set of actions aiming at unique licence approach applied on INSPIRE data</w:t>
      </w:r>
      <w:r>
        <w:rPr>
          <w:rFonts w:cs="Times New Roman"/>
          <w:noProof/>
          <w:color w:val="000000"/>
          <w:sz w:val="20"/>
        </w:rPr>
        <w:t>.</w:t>
      </w:r>
    </w:p>
    <w:p w:rsidR="006E58C2" w:rsidRDefault="005B3E0F">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22"/>
      </w:r>
      <w:r>
        <w:rPr>
          <w:rFonts w:cs="Times New Roman"/>
          <w:noProof/>
          <w:sz w:val="20"/>
        </w:rPr>
        <w:t xml:space="preserve"> issued by Czech Republic and the spatial information that Czech Republic has published on the INSPIRE</w:t>
      </w:r>
      <w:r>
        <w:rPr>
          <w:rFonts w:cs="Times New Roman"/>
          <w:noProof/>
          <w:sz w:val="20"/>
        </w:rPr>
        <w:t xml:space="preserve"> geoportal</w:t>
      </w:r>
      <w:r>
        <w:rPr>
          <w:rFonts w:cs="Times New Roman"/>
          <w:noProof/>
          <w:sz w:val="20"/>
          <w:vertAlign w:val="superscript"/>
        </w:rPr>
        <w:footnoteReference w:id="123"/>
      </w:r>
      <w:r>
        <w:rPr>
          <w:rFonts w:cs="Times New Roman"/>
          <w:noProof/>
          <w:sz w:val="20"/>
        </w:rPr>
        <w:t xml:space="preserve"> indicate that not all spatial information needed for the evaluation and implementation of EU environmental law has been made available or is accessible. So far</w:t>
      </w:r>
      <w:r>
        <w:rPr>
          <w:rFonts w:cs="Times New Roman"/>
          <w:noProof/>
          <w:sz w:val="20"/>
          <w:vertAlign w:val="superscript"/>
        </w:rPr>
        <w:footnoteReference w:id="124"/>
      </w:r>
      <w:r>
        <w:rPr>
          <w:rFonts w:cs="Times New Roman"/>
          <w:noProof/>
          <w:sz w:val="20"/>
        </w:rPr>
        <w:t>, 84 % (27 out of 32 themes relevant for the Czech Republic) of information has been</w:t>
      </w:r>
      <w:r>
        <w:rPr>
          <w:rFonts w:cs="Times New Roman"/>
          <w:noProof/>
          <w:sz w:val="20"/>
        </w:rPr>
        <w:t xml:space="preserve"> published and the Czech Republic has been constantly working on its commitment to make all necessary data themes available before the end of 2016.</w:t>
      </w:r>
    </w:p>
    <w:p w:rsidR="006E58C2" w:rsidRDefault="005B3E0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6E58C2" w:rsidRDefault="005B3E0F">
      <w:pPr>
        <w:pStyle w:val="NoSpacing"/>
        <w:rPr>
          <w:noProof/>
        </w:rPr>
      </w:pPr>
      <w:r>
        <w:rPr>
          <w:noProof/>
        </w:rPr>
        <w:t>Critically review the effectiveness of its data policies and amend them, taking 'best pract</w:t>
      </w:r>
      <w:r>
        <w:rPr>
          <w:noProof/>
        </w:rPr>
        <w:t xml:space="preserve">ices' into consideration. </w:t>
      </w:r>
    </w:p>
    <w:p w:rsidR="006E58C2" w:rsidRDefault="005B3E0F">
      <w:pPr>
        <w:pStyle w:val="NoSpacing"/>
        <w:rPr>
          <w:noProof/>
        </w:rPr>
      </w:pPr>
      <w:r>
        <w:rPr>
          <w:noProof/>
        </w:rPr>
        <w:t>Identify and document all spatial data sets required for the implementation of environmental law, and make the data and documentation at least accessible 'as is' to other public authorities and the public through the digital serv</w:t>
      </w:r>
      <w:r>
        <w:rPr>
          <w:noProof/>
        </w:rPr>
        <w:t>ices foreseen in the INSPIRE Directive.</w:t>
      </w:r>
    </w:p>
    <w:p w:rsidR="006E58C2" w:rsidRDefault="006E58C2">
      <w:pPr>
        <w:widowControl w:val="0"/>
        <w:suppressLineNumbers/>
        <w:jc w:val="center"/>
        <w:rPr>
          <w:noProof/>
        </w:rPr>
      </w:pPr>
    </w:p>
    <w:sectPr w:rsidR="006E58C2">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8C2" w:rsidRDefault="005B3E0F">
      <w:pPr>
        <w:spacing w:after="0" w:line="240" w:lineRule="auto"/>
      </w:pPr>
      <w:r>
        <w:separator/>
      </w:r>
    </w:p>
  </w:endnote>
  <w:endnote w:type="continuationSeparator" w:id="0">
    <w:p w:rsidR="006E58C2" w:rsidRDefault="005B3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0F" w:rsidRPr="005B3E0F" w:rsidRDefault="005B3E0F" w:rsidP="005B3E0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w:t>
    </w:r>
    <w:r>
      <w:t>rt 2016 – Czech Republic</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2016 – Czech Republic</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0F" w:rsidRPr="005B3E0F" w:rsidRDefault="005B3E0F" w:rsidP="005B3E0F">
    <w:pPr>
      <w:pStyle w:val="FooterCoverPage"/>
      <w:rPr>
        <w:rFonts w:ascii="Arial" w:hAnsi="Arial" w:cs="Arial"/>
        <w:b/>
        <w:sz w:val="48"/>
      </w:rPr>
    </w:pPr>
    <w:r w:rsidRPr="005B3E0F">
      <w:rPr>
        <w:rFonts w:ascii="Arial" w:hAnsi="Arial" w:cs="Arial"/>
        <w:b/>
        <w:sz w:val="48"/>
      </w:rPr>
      <w:t>EN</w:t>
    </w:r>
    <w:r w:rsidRPr="005B3E0F">
      <w:rPr>
        <w:rFonts w:ascii="Arial" w:hAnsi="Arial" w:cs="Arial"/>
        <w:b/>
        <w:sz w:val="48"/>
      </w:rPr>
      <w:tab/>
    </w:r>
    <w:r w:rsidRPr="005B3E0F">
      <w:rPr>
        <w:rFonts w:ascii="Arial" w:hAnsi="Arial" w:cs="Arial"/>
        <w:b/>
        <w:sz w:val="48"/>
      </w:rPr>
      <w:tab/>
    </w:r>
    <w:fldSimple w:instr=" DOCVARIABLE &quot;LW_Confidence&quot; \* MERGEFORMAT ">
      <w:r>
        <w:t xml:space="preserve"> </w:t>
      </w:r>
    </w:fldSimple>
    <w:r w:rsidRPr="005B3E0F">
      <w:tab/>
    </w:r>
    <w:proofErr w:type="spellStart"/>
    <w:r w:rsidRPr="005B3E0F">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 xml:space="preserve">Environmental </w:t>
    </w:r>
    <w:r>
      <w:t>Implementation Report – Czech Republic</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 xml:space="preserve">Environmental Implementation Report – </w:t>
    </w:r>
    <w:r>
      <w:t>Czech Republic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0F" w:rsidRPr="005B3E0F" w:rsidRDefault="005B3E0F" w:rsidP="005B3E0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 xml:space="preserve">Environmental Implementation Report 2016 – Czech </w:t>
    </w:r>
    <w:r>
      <w:t>Republic</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Report6 – Czech Republic</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5B3E0F">
    <w:pPr>
      <w:pStyle w:val="Footer"/>
      <w:jc w:val="center"/>
    </w:pPr>
    <w:r>
      <w:t>Environmental Implementation Report – Czech Republic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8C2" w:rsidRDefault="005B3E0F">
      <w:pPr>
        <w:spacing w:after="0" w:line="240" w:lineRule="auto"/>
      </w:pPr>
      <w:r>
        <w:separator/>
      </w:r>
    </w:p>
  </w:footnote>
  <w:footnote w:type="continuationSeparator" w:id="0">
    <w:p w:rsidR="006E58C2" w:rsidRDefault="005B3E0F">
      <w:pPr>
        <w:spacing w:after="0" w:line="240" w:lineRule="auto"/>
      </w:pPr>
      <w:r>
        <w:continuationSeparator/>
      </w:r>
    </w:p>
  </w:footnote>
  <w:footnote w:id="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roofErr w:type="gramEnd"/>
    </w:p>
  </w:footnote>
  <w:footnote w:id="2">
    <w:p w:rsidR="006E58C2" w:rsidRDefault="005B3E0F">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Decision No. 1386</w:t>
      </w:r>
      <w:r>
        <w:rPr>
          <w:rFonts w:asciiTheme="minorHAnsi" w:hAnsiTheme="minorHAnsi"/>
          <w:sz w:val="16"/>
          <w:szCs w:val="16"/>
        </w:rPr>
        <w:t>/2013/EU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6E58C2" w:rsidRDefault="005B3E0F">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6E58C2" w:rsidRDefault="005B3E0F">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4" w:history="1">
        <w:proofErr w:type="gramStart"/>
        <w:r>
          <w:rPr>
            <w:rStyle w:val="Hyperlink"/>
            <w:rFonts w:asciiTheme="minorHAnsi" w:hAnsiTheme="minorHAnsi"/>
            <w:color w:val="auto"/>
            <w:sz w:val="16"/>
            <w:szCs w:val="16"/>
          </w:rPr>
          <w:t>Proposed Circular Economy Package</w:t>
        </w:r>
      </w:hyperlink>
      <w:r>
        <w:rPr>
          <w:rFonts w:asciiTheme="minorHAnsi" w:hAnsiTheme="minorHAnsi"/>
          <w:sz w:val="16"/>
          <w:szCs w:val="16"/>
        </w:rPr>
        <w:t>.</w:t>
      </w:r>
      <w:proofErr w:type="gramEnd"/>
      <w:r>
        <w:rPr>
          <w:rFonts w:asciiTheme="minorHAnsi" w:hAnsiTheme="minorHAnsi"/>
          <w:sz w:val="16"/>
          <w:szCs w:val="16"/>
        </w:rPr>
        <w:t xml:space="preserve"> </w:t>
      </w:r>
    </w:p>
  </w:footnote>
  <w:footnote w:id="6">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5"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2016</w:t>
      </w:r>
    </w:p>
  </w:footnote>
  <w:footnote w:id="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proofErr w:type="gramStart"/>
      <w:r>
        <w:rPr>
          <w:rFonts w:asciiTheme="minorHAnsi" w:hAnsiTheme="minorHAnsi"/>
          <w:i/>
          <w:sz w:val="16"/>
          <w:szCs w:val="16"/>
        </w:rPr>
        <w:t>More from less – material resource efficiency in Europe</w:t>
      </w:r>
      <w:r>
        <w:rPr>
          <w:rFonts w:asciiTheme="minorHAnsi" w:hAnsiTheme="minorHAnsi"/>
          <w:sz w:val="16"/>
          <w:szCs w:val="16"/>
        </w:rPr>
        <w:t>.</w:t>
      </w:r>
      <w:proofErr w:type="gramEnd"/>
      <w:r>
        <w:rPr>
          <w:rStyle w:val="Hyperlink"/>
          <w:rFonts w:asciiTheme="minorHAnsi" w:hAnsiTheme="minorHAnsi" w:cstheme="minorHAnsi"/>
          <w:sz w:val="16"/>
          <w:szCs w:val="16"/>
        </w:rPr>
        <w:t xml:space="preserve"> </w:t>
      </w:r>
      <w:hyperlink r:id="rId6" w:history="1">
        <w:r>
          <w:rPr>
            <w:rStyle w:val="Hyperlink"/>
            <w:rFonts w:asciiTheme="minorHAnsi" w:hAnsiTheme="minorHAnsi" w:cstheme="minorHAnsi"/>
            <w:sz w:val="16"/>
            <w:szCs w:val="16"/>
          </w:rPr>
          <w:t>Czech Republic Report</w:t>
        </w:r>
      </w:hyperlink>
    </w:p>
  </w:footnote>
  <w:footnote w:id="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example, the Epsilon programme managed by the Technology Agency of the Czech Republic (TACR), supports projects that develop industrial applications using new technolo</w:t>
      </w:r>
      <w:r>
        <w:rPr>
          <w:rFonts w:asciiTheme="minorHAnsi" w:hAnsiTheme="minorHAnsi"/>
          <w:sz w:val="16"/>
          <w:szCs w:val="16"/>
        </w:rPr>
        <w:t xml:space="preserve">gies and new materials in the energy, environment and transport sectors, like project </w:t>
      </w:r>
      <w:r>
        <w:rPr>
          <w:rStyle w:val="Emphasis"/>
          <w:rFonts w:asciiTheme="minorHAnsi" w:hAnsiTheme="minorHAnsi"/>
          <w:color w:val="auto"/>
          <w:sz w:val="16"/>
          <w:szCs w:val="16"/>
        </w:rPr>
        <w:t>NANOBIOWAT</w:t>
      </w:r>
      <w:r>
        <w:rPr>
          <w:rFonts w:asciiTheme="minorHAnsi" w:hAnsiTheme="minorHAnsi"/>
          <w:sz w:val="16"/>
          <w:szCs w:val="16"/>
        </w:rPr>
        <w:t xml:space="preserve"> as a good practise, ; in September 2014, the Action Plan for secondary raw materials strategy was adopted by the </w:t>
      </w:r>
      <w:r>
        <w:rPr>
          <w:rFonts w:asciiTheme="minorHAnsi" w:hAnsiTheme="minorHAnsi"/>
          <w:iCs/>
          <w:sz w:val="16"/>
          <w:szCs w:val="16"/>
        </w:rPr>
        <w:t>Decision</w:t>
      </w:r>
      <w:r>
        <w:rPr>
          <w:rFonts w:asciiTheme="minorHAnsi" w:hAnsiTheme="minorHAnsi"/>
          <w:sz w:val="16"/>
          <w:szCs w:val="16"/>
        </w:rPr>
        <w:t xml:space="preserve"> of the </w:t>
      </w:r>
      <w:r>
        <w:rPr>
          <w:rFonts w:asciiTheme="minorHAnsi" w:hAnsiTheme="minorHAnsi"/>
          <w:iCs/>
          <w:sz w:val="16"/>
          <w:szCs w:val="16"/>
        </w:rPr>
        <w:t>Government</w:t>
      </w:r>
      <w:r>
        <w:rPr>
          <w:rFonts w:asciiTheme="minorHAnsi" w:hAnsiTheme="minorHAnsi"/>
          <w:sz w:val="16"/>
          <w:szCs w:val="16"/>
        </w:rPr>
        <w:t xml:space="preserve"> of the </w:t>
      </w:r>
      <w:r>
        <w:rPr>
          <w:rFonts w:asciiTheme="minorHAnsi" w:hAnsiTheme="minorHAnsi"/>
          <w:iCs/>
          <w:sz w:val="16"/>
          <w:szCs w:val="16"/>
        </w:rPr>
        <w:t>Czech Republ</w:t>
      </w:r>
      <w:r>
        <w:rPr>
          <w:rFonts w:asciiTheme="minorHAnsi" w:hAnsiTheme="minorHAnsi"/>
          <w:iCs/>
          <w:sz w:val="16"/>
          <w:szCs w:val="16"/>
        </w:rPr>
        <w:t>ic</w:t>
      </w:r>
      <w:r>
        <w:rPr>
          <w:rFonts w:asciiTheme="minorHAnsi" w:hAnsiTheme="minorHAnsi"/>
          <w:sz w:val="16"/>
          <w:szCs w:val="16"/>
        </w:rPr>
        <w:t>; the goal of the mentioned document is the effective extraction and utilization of secondary raw materials for the purpose of saving non-renewable resources (energy and non-energy raw materials).</w:t>
      </w:r>
    </w:p>
  </w:footnote>
  <w:footnote w:id="10">
    <w:p w:rsidR="006E58C2" w:rsidRDefault="005B3E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7"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2016</w:t>
      </w:r>
    </w:p>
  </w:footnote>
  <w:footnote w:id="1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Flash 426 </w:t>
      </w:r>
      <w:proofErr w:type="spellStart"/>
      <w:r>
        <w:rPr>
          <w:rFonts w:asciiTheme="minorHAnsi" w:hAnsiTheme="minorHAnsi"/>
          <w:sz w:val="16"/>
          <w:szCs w:val="16"/>
        </w:rPr>
        <w:t>Eurobarometer</w:t>
      </w:r>
      <w:proofErr w:type="spellEnd"/>
      <w:r>
        <w:rPr>
          <w:rFonts w:asciiTheme="minorHAnsi" w:hAnsiTheme="minorHAnsi"/>
          <w:sz w:val="16"/>
          <w:szCs w:val="16"/>
        </w:rPr>
        <w:t xml:space="preserve"> "SMEs, resource efficiency and green markets" defines "green job" as a job that directly deals with information, te</w:t>
      </w:r>
      <w:r>
        <w:rPr>
          <w:rFonts w:asciiTheme="minorHAnsi" w:hAnsiTheme="minorHAnsi"/>
          <w:sz w:val="16"/>
          <w:szCs w:val="16"/>
        </w:rPr>
        <w:t>chnologies, or materials that preserves or restores environmental quality. This requires specialised skills, knowledge, training, or experience (e.g. verifying compliance with environmental legislation, monitoring resource efficiency within the company, pr</w:t>
      </w:r>
      <w:r>
        <w:rPr>
          <w:rFonts w:asciiTheme="minorHAnsi" w:hAnsiTheme="minorHAnsi"/>
          <w:sz w:val="16"/>
          <w:szCs w:val="16"/>
        </w:rPr>
        <w:t>omoting and selling green products and services).</w:t>
      </w:r>
    </w:p>
  </w:footnote>
  <w:footnote w:id="1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(SWD(2016) 73 final)</w:t>
      </w:r>
    </w:p>
  </w:footnote>
  <w:footnote w:id="13">
    <w:p w:rsidR="006E58C2" w:rsidRDefault="005B3E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 w:history="1">
        <w:r>
          <w:rPr>
            <w:rStyle w:val="Hyperlink"/>
            <w:rFonts w:asciiTheme="minorHAnsi" w:hAnsiTheme="minorHAnsi" w:cstheme="minorHAnsi"/>
            <w:sz w:val="16"/>
            <w:szCs w:val="16"/>
          </w:rPr>
          <w:t>Eco-innovation Observatory</w:t>
        </w:r>
      </w:hyperlink>
      <w:r>
        <w:rPr>
          <w:rStyle w:val="Hyperlink"/>
          <w:rFonts w:asciiTheme="minorHAnsi" w:hAnsiTheme="minorHAnsi" w:cstheme="minorHAnsi"/>
          <w:sz w:val="16"/>
          <w:szCs w:val="16"/>
        </w:rPr>
        <w:t>:</w:t>
      </w:r>
      <w:r>
        <w:rPr>
          <w:rFonts w:asciiTheme="minorHAnsi" w:hAnsiTheme="minorHAnsi"/>
          <w:sz w:val="16"/>
          <w:szCs w:val="16"/>
        </w:rPr>
        <w:t xml:space="preserve"> Eco-Innovation scoreboard 2015</w:t>
      </w:r>
    </w:p>
  </w:footnote>
  <w:footnote w:id="14">
    <w:p w:rsidR="006E58C2" w:rsidRDefault="005B3E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15">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9" w:history="1">
        <w:r>
          <w:rPr>
            <w:rStyle w:val="Hyperlink"/>
            <w:rFonts w:asciiTheme="minorHAnsi" w:hAnsiTheme="minorHAnsi"/>
            <w:sz w:val="16"/>
            <w:szCs w:val="16"/>
          </w:rPr>
          <w:t>Municipal waste and treatment, by type of treatment method</w:t>
        </w:r>
      </w:hyperlink>
      <w:r>
        <w:rPr>
          <w:rFonts w:asciiTheme="minorHAnsi" w:hAnsiTheme="minorHAnsi"/>
          <w:sz w:val="16"/>
          <w:szCs w:val="16"/>
        </w:rPr>
        <w:t>, accessed October 2016</w:t>
      </w:r>
    </w:p>
  </w:footnote>
  <w:footnote w:id="16">
    <w:p w:rsidR="006E58C2" w:rsidRDefault="005B3E0F">
      <w:pPr>
        <w:spacing w:after="0" w:line="240" w:lineRule="auto"/>
        <w:ind w:left="170" w:hanging="170"/>
        <w:rPr>
          <w:sz w:val="16"/>
          <w:szCs w:val="16"/>
        </w:rPr>
      </w:pPr>
      <w:r>
        <w:rPr>
          <w:rStyle w:val="FootnoteReference"/>
          <w:sz w:val="16"/>
          <w:szCs w:val="16"/>
        </w:rPr>
        <w:footnoteRef/>
      </w:r>
      <w:r>
        <w:rPr>
          <w:sz w:val="16"/>
          <w:szCs w:val="16"/>
        </w:rPr>
        <w:t xml:space="preserve"> Municipal waste consists of waste collected by or on behalf of municipal authorities, or directly by the private sector (business or private non-profit institutions) not on behalf of municipalities. </w:t>
      </w:r>
    </w:p>
  </w:footnote>
  <w:footnote w:id="1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Czech Ministry of Environment uses data collect</w:t>
      </w:r>
      <w:r>
        <w:rPr>
          <w:rFonts w:asciiTheme="minorHAnsi" w:hAnsiTheme="minorHAnsi"/>
          <w:sz w:val="16"/>
          <w:szCs w:val="16"/>
        </w:rPr>
        <w:t>ed by the Czech Environment Agency CENIA which diverge significantly from the data reported to ESTAT by the Czech Statistical (i.e. the waste generation is around 40% higher, recycling rates are 10% higher and incineration rates lower). This data is used i</w:t>
      </w:r>
      <w:r>
        <w:rPr>
          <w:rFonts w:asciiTheme="minorHAnsi" w:hAnsiTheme="minorHAnsi"/>
          <w:sz w:val="16"/>
          <w:szCs w:val="16"/>
        </w:rPr>
        <w:t>n the national and regional Waste Management Plans as well as ESIF Operational programmes.</w:t>
      </w:r>
    </w:p>
  </w:footnote>
  <w:footnote w:id="1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w:t>
      </w:r>
      <w:r>
        <w:rPr>
          <w:rFonts w:asciiTheme="minorHAnsi" w:hAnsiTheme="minorHAnsi"/>
          <w:sz w:val="16"/>
          <w:szCs w:val="16"/>
        </w:rPr>
        <w:t>h the 2020 target of 50% recycling of municipal waste.</w:t>
      </w:r>
    </w:p>
  </w:footnote>
  <w:footnote w:id="1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10" w:history="1">
        <w:r>
          <w:rPr>
            <w:rStyle w:val="Hyperlink"/>
            <w:rFonts w:asciiTheme="minorHAnsi" w:hAnsiTheme="minorHAnsi"/>
            <w:sz w:val="16"/>
            <w:szCs w:val="16"/>
          </w:rPr>
          <w:t>Recycling rate of municipal waste</w:t>
        </w:r>
      </w:hyperlink>
      <w:r>
        <w:rPr>
          <w:rStyle w:val="Hyperlink"/>
        </w:rPr>
        <w:t>,</w:t>
      </w:r>
      <w:r>
        <w:rPr>
          <w:rFonts w:asciiTheme="minorHAnsi" w:hAnsiTheme="minorHAnsi"/>
          <w:sz w:val="16"/>
          <w:szCs w:val="16"/>
        </w:rPr>
        <w:t xml:space="preserve"> accessed </w:t>
      </w:r>
      <w:r>
        <w:rPr>
          <w:rStyle w:val="Hyperlink"/>
          <w:rFonts w:asciiTheme="minorHAnsi" w:hAnsiTheme="minorHAnsi" w:cstheme="minorHAnsi"/>
          <w:color w:val="auto"/>
          <w:sz w:val="16"/>
          <w:szCs w:val="16"/>
          <w:u w:val="none"/>
        </w:rPr>
        <w:t>October 2016</w:t>
      </w:r>
    </w:p>
  </w:footnote>
  <w:footnote w:id="2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w:t>
      </w:r>
      <w:r>
        <w:rPr>
          <w:rFonts w:asciiTheme="minorHAnsi" w:hAnsiTheme="minorHAnsi"/>
          <w:sz w:val="16"/>
          <w:szCs w:val="16"/>
        </w:rPr>
        <w:t xml:space="preserve">ion, </w:t>
      </w:r>
      <w:hyperlink r:id="rId11" w:history="1">
        <w:r>
          <w:rPr>
            <w:rStyle w:val="Hyperlink"/>
            <w:rFonts w:asciiTheme="minorHAnsi" w:hAnsiTheme="minorHAnsi"/>
            <w:color w:val="auto"/>
            <w:sz w:val="16"/>
            <w:szCs w:val="16"/>
          </w:rPr>
          <w:t>Roadmap Czech Republic</w:t>
        </w:r>
      </w:hyperlink>
      <w:r>
        <w:rPr>
          <w:rFonts w:asciiTheme="minorHAnsi" w:hAnsiTheme="minorHAnsi"/>
          <w:sz w:val="16"/>
          <w:szCs w:val="16"/>
        </w:rPr>
        <w:t xml:space="preserve"> </w:t>
      </w:r>
    </w:p>
  </w:footnote>
  <w:footnote w:id="2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Act No. 229/2014 Coll., in force as of 01/01/2015 as amending the Waste Act No. 185/2001 Coll.   </w:t>
      </w:r>
    </w:p>
  </w:footnote>
  <w:footnote w:id="2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difference is in the reported generation of municipal waste to Eurostat by Czech Statistical Office (3.228 mil. t, 2013 and 3.260 mil. t, 2014) while generation on municipal waste by </w:t>
      </w:r>
      <w:proofErr w:type="spellStart"/>
      <w:r>
        <w:rPr>
          <w:rFonts w:asciiTheme="minorHAnsi" w:hAnsiTheme="minorHAnsi"/>
          <w:sz w:val="16"/>
          <w:szCs w:val="16"/>
        </w:rPr>
        <w:t>MoE</w:t>
      </w:r>
      <w:proofErr w:type="spellEnd"/>
      <w:r>
        <w:rPr>
          <w:rFonts w:asciiTheme="minorHAnsi" w:hAnsiTheme="minorHAnsi"/>
          <w:sz w:val="16"/>
          <w:szCs w:val="16"/>
        </w:rPr>
        <w:t xml:space="preserve"> is much higher (5.168 mil. t, 2013 and 5.324 mil. t, 2014).</w:t>
      </w:r>
    </w:p>
  </w:footnote>
  <w:footnote w:id="23">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eastAsia="ja-JP"/>
        </w:rPr>
        <w:t>Ac</w:t>
      </w:r>
      <w:r>
        <w:rPr>
          <w:rFonts w:asciiTheme="minorHAnsi" w:hAnsiTheme="minorHAnsi"/>
          <w:sz w:val="16"/>
          <w:szCs w:val="16"/>
          <w:lang w:eastAsia="ja-JP"/>
        </w:rPr>
        <w:t xml:space="preserve">cording to data for 2015 provided by the national authorities, more than 270 000 containers for separate streams of municipal waste (plastics, glass, paper, </w:t>
      </w:r>
      <w:proofErr w:type="gramStart"/>
      <w:r>
        <w:rPr>
          <w:rFonts w:asciiTheme="minorHAnsi" w:hAnsiTheme="minorHAnsi"/>
          <w:sz w:val="16"/>
          <w:szCs w:val="16"/>
          <w:lang w:eastAsia="ja-JP"/>
        </w:rPr>
        <w:t>metal</w:t>
      </w:r>
      <w:proofErr w:type="gramEnd"/>
      <w:r>
        <w:rPr>
          <w:rFonts w:asciiTheme="minorHAnsi" w:hAnsiTheme="minorHAnsi"/>
          <w:sz w:val="16"/>
          <w:szCs w:val="16"/>
          <w:lang w:eastAsia="ja-JP"/>
        </w:rPr>
        <w:t>, cardboard) are available for citizens.</w:t>
      </w:r>
    </w:p>
  </w:footnote>
  <w:footnote w:id="24">
    <w:p w:rsidR="006E58C2" w:rsidRDefault="005B3E0F">
      <w:pPr>
        <w:autoSpaceDE w:val="0"/>
        <w:autoSpaceDN w:val="0"/>
        <w:adjustRightInd w:val="0"/>
        <w:spacing w:after="0" w:line="240" w:lineRule="auto"/>
        <w:ind w:left="170" w:hanging="170"/>
        <w:rPr>
          <w:sz w:val="16"/>
          <w:szCs w:val="16"/>
        </w:rPr>
      </w:pPr>
      <w:r>
        <w:rPr>
          <w:rStyle w:val="FootnoteReference"/>
          <w:sz w:val="16"/>
          <w:szCs w:val="16"/>
        </w:rPr>
        <w:footnoteRef/>
      </w:r>
      <w:r>
        <w:rPr>
          <w:sz w:val="16"/>
          <w:szCs w:val="16"/>
        </w:rPr>
        <w:t xml:space="preserve"> Bio Intelligence service, 2011. </w:t>
      </w:r>
      <w:hyperlink r:id="rId12" w:history="1">
        <w:r>
          <w:rPr>
            <w:rStyle w:val="Hyperlink"/>
            <w:color w:val="auto"/>
            <w:sz w:val="16"/>
            <w:szCs w:val="16"/>
          </w:rPr>
          <w:t>Implementing EU Waste legislation for Green Growth</w:t>
        </w:r>
      </w:hyperlink>
      <w:r>
        <w:rPr>
          <w:sz w:val="16"/>
          <w:szCs w:val="16"/>
        </w:rPr>
        <w:t xml:space="preserve">, study for European Commission. The breakdown per country on job creation was made by the consultant on Commission demand but </w:t>
      </w:r>
      <w:r>
        <w:rPr>
          <w:sz w:val="16"/>
          <w:szCs w:val="16"/>
        </w:rPr>
        <w:t>was not included in the published document.</w:t>
      </w:r>
      <w:r>
        <w:rPr>
          <w:rStyle w:val="Hyperlink"/>
          <w:color w:val="auto"/>
          <w:sz w:val="16"/>
          <w:szCs w:val="16"/>
        </w:rPr>
        <w:t xml:space="preserve">  </w:t>
      </w:r>
    </w:p>
  </w:footnote>
  <w:footnote w:id="25">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 the proposal for new Waste Act from 2015 it is suggested that landfill tax to be gradually increased as of 2018. It also contains explicit possibility for municipalities to implement PAYT system. This prop</w:t>
      </w:r>
      <w:r>
        <w:rPr>
          <w:rFonts w:asciiTheme="minorHAnsi" w:hAnsiTheme="minorHAnsi"/>
          <w:sz w:val="16"/>
          <w:szCs w:val="16"/>
        </w:rPr>
        <w:t xml:space="preserve">osal is pending the Government approval yet.  </w:t>
      </w:r>
    </w:p>
  </w:footnote>
  <w:footnote w:id="26">
    <w:p w:rsidR="006E58C2" w:rsidRDefault="005B3E0F">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coverage do not add up due to the fact that some SCIs and SPAs ove</w:t>
      </w:r>
      <w:r>
        <w:rPr>
          <w:rFonts w:asciiTheme="minorHAnsi" w:hAnsiTheme="minorHAnsi"/>
          <w:sz w:val="16"/>
          <w:szCs w:val="16"/>
        </w:rPr>
        <w:t xml:space="preserve">rlap. Special Areas of Conservation (SACs) </w:t>
      </w:r>
      <w:r>
        <w:rPr>
          <w:rFonts w:asciiTheme="minorHAnsi" w:hAnsiTheme="minorHAnsi"/>
          <w:sz w:val="16"/>
          <w:szCs w:val="16"/>
          <w:lang w:val="en"/>
        </w:rPr>
        <w:t>means a SCI designated by the Member States.</w:t>
      </w:r>
    </w:p>
  </w:footnote>
  <w:footnote w:id="2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2016 submission is not reflected yet in the European list of SCIs.</w:t>
      </w:r>
    </w:p>
  </w:footnote>
  <w:footnote w:id="2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w:t>
      </w:r>
      <w:r>
        <w:rPr>
          <w:rFonts w:asciiTheme="minorHAnsi" w:hAnsiTheme="minorHAnsi"/>
          <w:sz w:val="16"/>
          <w:szCs w:val="16"/>
        </w:rPr>
        <w:t xml:space="preserve"> and II of the Habitats Directive, are sufficiently represented by the sites designated to date. This is expressed as a percentage of species and habitats for which further areas need to be designated in order to complete the network in that country. </w:t>
      </w:r>
      <w:hyperlink r:id="rId13" w:history="1">
        <w:r>
          <w:rPr>
            <w:rStyle w:val="Hyperlink"/>
            <w:rFonts w:asciiTheme="minorHAnsi" w:hAnsiTheme="minorHAnsi"/>
            <w:color w:val="auto"/>
            <w:sz w:val="16"/>
            <w:szCs w:val="16"/>
          </w:rPr>
          <w:t>The current data</w:t>
        </w:r>
      </w:hyperlink>
      <w:r>
        <w:rPr>
          <w:rFonts w:asciiTheme="minorHAnsi" w:hAnsiTheme="minorHAnsi"/>
          <w:sz w:val="16"/>
          <w:szCs w:val="16"/>
        </w:rPr>
        <w:t>, which were assessed in 2014-2015, reflect the situation up until December 2013.</w:t>
      </w:r>
    </w:p>
  </w:footnote>
  <w:footnote w:id="29">
    <w:p w:rsidR="006E58C2" w:rsidRDefault="005B3E0F">
      <w:pPr>
        <w:pStyle w:val="FootnoteText"/>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rPr>
        <w:t xml:space="preserve"> The percentages in Figure 5 refer to percentages of the total num</w:t>
      </w:r>
      <w:r>
        <w:rPr>
          <w:rFonts w:asciiTheme="minorHAnsi" w:hAnsiTheme="minorHAnsi"/>
          <w:sz w:val="16"/>
          <w:szCs w:val="16"/>
        </w:rPr>
        <w:t>ber of assessments (one assessment covering 1 species or 1 habitat in a given biographical region with the Member State); if a habitat type or a species occurs in more than 1 Biogeographic region within a given Member State, there will be as many individua</w:t>
      </w:r>
      <w:r>
        <w:rPr>
          <w:rFonts w:asciiTheme="minorHAnsi" w:hAnsiTheme="minorHAnsi"/>
          <w:sz w:val="16"/>
          <w:szCs w:val="16"/>
        </w:rPr>
        <w:t>l assessments as there are Biogeographic regions with an occurrence of that species or habitat in this Member State.</w:t>
      </w:r>
    </w:p>
  </w:footnote>
  <w:footnote w:id="3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 in CZ case does not take into account the 2016 submission</w:t>
      </w:r>
    </w:p>
  </w:footnote>
  <w:footnote w:id="3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Style w:val="Emphasis"/>
          <w:rFonts w:asciiTheme="minorHAnsi" w:hAnsiTheme="minorHAnsi"/>
          <w:color w:val="auto"/>
          <w:sz w:val="16"/>
          <w:szCs w:val="16"/>
        </w:rPr>
        <w:t>(51 sites) and the target feature a</w:t>
      </w:r>
      <w:r>
        <w:rPr>
          <w:rStyle w:val="Emphasis"/>
          <w:rFonts w:asciiTheme="minorHAnsi" w:hAnsiTheme="minorHAnsi"/>
          <w:color w:val="auto"/>
          <w:sz w:val="16"/>
          <w:szCs w:val="16"/>
        </w:rPr>
        <w:t>dded into existing sites (70 sites)</w:t>
      </w:r>
    </w:p>
  </w:footnote>
  <w:footnote w:id="3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Another example is also The Territorial System of Ecological Stability of the Landscape (TSES) – good practise developed already in late 1970s, tackles the landscape connectivity by the national multi-level ecological network</w:t>
      </w:r>
    </w:p>
  </w:footnote>
  <w:footnote w:id="33">
    <w:p w:rsidR="006E58C2" w:rsidRDefault="005B3E0F">
      <w:pPr>
        <w:widowControl w:val="0"/>
        <w:spacing w:after="0" w:line="240" w:lineRule="auto"/>
        <w:ind w:left="170" w:hanging="170"/>
        <w:rPr>
          <w:sz w:val="16"/>
          <w:szCs w:val="16"/>
        </w:rPr>
      </w:pPr>
      <w:r>
        <w:rPr>
          <w:rStyle w:val="FootnoteReference"/>
          <w:sz w:val="16"/>
          <w:szCs w:val="16"/>
        </w:rPr>
        <w:footnoteRef/>
      </w:r>
      <w:r>
        <w:rPr>
          <w:sz w:val="16"/>
          <w:szCs w:val="16"/>
        </w:rPr>
        <w:t xml:space="preserve"> The core of the ‘Article 17</w:t>
      </w:r>
      <w:r>
        <w:rPr>
          <w:sz w:val="16"/>
          <w:szCs w:val="16"/>
        </w:rPr>
        <w:t>’ report is the assessment of conservation status of the habitats and species targeted by the Habitats Directive.</w:t>
      </w:r>
    </w:p>
  </w:footnote>
  <w:footnote w:id="34">
    <w:p w:rsidR="006E58C2" w:rsidRDefault="005B3E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w:t>
      </w:r>
      <w:r>
        <w:rPr>
          <w:rFonts w:asciiTheme="minorHAnsi" w:hAnsiTheme="minorHAnsi"/>
          <w:sz w:val="16"/>
          <w:szCs w:val="16"/>
        </w:rPr>
        <w:t xml:space="preserve"> based on four parameters as defined in Article 1 of the Habitats Directive.</w:t>
      </w:r>
    </w:p>
  </w:footnote>
  <w:footnote w:id="35">
    <w:p w:rsidR="006E58C2" w:rsidRDefault="005B3E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w:t>
      </w:r>
      <w:r>
        <w:rPr>
          <w:rFonts w:asciiTheme="minorHAnsi" w:hAnsiTheme="minorHAnsi"/>
          <w:sz w:val="16"/>
          <w:szCs w:val="16"/>
        </w:rPr>
        <w:t>own’ assessments have strongly diminished particularly for species, and that some reported changes are not genuine as they result from improved data / monitoring methods.</w:t>
      </w:r>
    </w:p>
  </w:footnote>
  <w:footnote w:id="36">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Arial"/>
          <w:sz w:val="16"/>
          <w:szCs w:val="16"/>
        </w:rPr>
        <w:t xml:space="preserve">According to data of Nature Conservation Agency of the Czech Republic, it was </w:t>
      </w:r>
      <w:r>
        <w:rPr>
          <w:rStyle w:val="Emphasis"/>
          <w:rFonts w:asciiTheme="minorHAnsi" w:hAnsiTheme="minorHAnsi"/>
          <w:color w:val="auto"/>
          <w:sz w:val="16"/>
          <w:szCs w:val="16"/>
        </w:rPr>
        <w:t>22.95</w:t>
      </w:r>
      <w:r>
        <w:rPr>
          <w:rStyle w:val="Emphasis"/>
          <w:rFonts w:asciiTheme="minorHAnsi" w:hAnsiTheme="minorHAnsi"/>
          <w:color w:val="auto"/>
          <w:sz w:val="16"/>
          <w:szCs w:val="16"/>
        </w:rPr>
        <w:t xml:space="preserve"> % in the period of 2007-2012 and 17.05 % was found favourable in the reporting period </w:t>
      </w:r>
      <w:r>
        <w:rPr>
          <w:rFonts w:asciiTheme="minorHAnsi" w:hAnsiTheme="minorHAnsi" w:cs="Arial"/>
          <w:sz w:val="16"/>
          <w:szCs w:val="16"/>
        </w:rPr>
        <w:t xml:space="preserve">2001(4)-2006 </w:t>
      </w:r>
      <w:r>
        <w:rPr>
          <w:rStyle w:val="CommentReference"/>
          <w:rFonts w:asciiTheme="minorHAnsi" w:hAnsiTheme="minorHAnsi"/>
        </w:rPr>
        <w:t xml:space="preserve"> </w:t>
      </w:r>
    </w:p>
  </w:footnote>
  <w:footnote w:id="3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species </w:t>
      </w:r>
      <w:r>
        <w:rPr>
          <w:sz w:val="16"/>
          <w:szCs w:val="16"/>
        </w:rPr>
        <w:t>(one assessment coveri</w:t>
      </w:r>
      <w:r>
        <w:rPr>
          <w:sz w:val="16"/>
          <w:szCs w:val="16"/>
        </w:rPr>
        <w:t>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the Habitats Directive reporting - </w:t>
      </w:r>
      <w:hyperlink r:id="rId14" w:history="1">
        <w:r>
          <w:rPr>
            <w:rStyle w:val="Hyperlink"/>
            <w:rFonts w:asciiTheme="minorHAnsi" w:hAnsiTheme="minorHAnsi"/>
            <w:color w:val="auto"/>
            <w:sz w:val="16"/>
            <w:szCs w:val="16"/>
          </w:rPr>
          <w:t>national summary of Czech Republic</w:t>
        </w:r>
      </w:hyperlink>
    </w:p>
  </w:footnote>
  <w:footnote w:id="3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requires Member States to report about the progress made with the implementation of the Birds Directive.</w:t>
      </w:r>
    </w:p>
  </w:footnote>
  <w:footnote w:id="3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15" w:history="1">
        <w:r>
          <w:rPr>
            <w:rStyle w:val="Hyperlink"/>
            <w:rFonts w:asciiTheme="minorHAnsi" w:hAnsiTheme="minorHAnsi"/>
            <w:color w:val="auto"/>
            <w:sz w:val="16"/>
            <w:szCs w:val="16"/>
          </w:rPr>
          <w:t>national summary of Czech Republic</w:t>
        </w:r>
      </w:hyperlink>
    </w:p>
  </w:footnote>
  <w:footnote w:id="4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6" w:history="1">
        <w:r>
          <w:rPr>
            <w:rStyle w:val="Hyperlink"/>
            <w:rFonts w:asciiTheme="minorHAnsi" w:hAnsiTheme="minorHAnsi"/>
            <w:color w:val="auto"/>
            <w:sz w:val="16"/>
            <w:szCs w:val="16"/>
          </w:rPr>
          <w:t>http://eagri.cz/public/web/file/426635/ZZ2014.pdf</w:t>
        </w:r>
      </w:hyperlink>
    </w:p>
  </w:footnote>
  <w:footnote w:id="4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w:t>
      </w:r>
      <w:r>
        <w:rPr>
          <w:rFonts w:asciiTheme="minorHAnsi" w:hAnsiTheme="minorHAnsi"/>
          <w:sz w:val="16"/>
          <w:szCs w:val="16"/>
        </w:rPr>
        <w:t>efits provided by nature such as food, clean water and pollination on which human society depends.</w:t>
      </w:r>
    </w:p>
  </w:footnote>
  <w:footnote w:id="42">
    <w:p w:rsidR="006E58C2" w:rsidRDefault="005B3E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Enhancing Europe’s Natural Capital, </w:t>
      </w:r>
      <w:hyperlink r:id="rId17" w:history="1">
        <w:r>
          <w:rPr>
            <w:rStyle w:val="Hyperlink"/>
            <w:rFonts w:asciiTheme="minorHAnsi" w:hAnsiTheme="minorHAnsi"/>
            <w:color w:val="auto"/>
            <w:sz w:val="16"/>
            <w:szCs w:val="16"/>
          </w:rPr>
          <w:t>COM/2013/0249</w:t>
        </w:r>
      </w:hyperlink>
    </w:p>
  </w:footnote>
  <w:footnote w:id="43">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vertAlign w:val="baseline"/>
        </w:rPr>
        <w:footnoteRef/>
      </w:r>
      <w:r>
        <w:rPr>
          <w:rFonts w:asciiTheme="minorHAnsi" w:hAnsiTheme="minorHAnsi"/>
          <w:sz w:val="16"/>
          <w:szCs w:val="16"/>
        </w:rPr>
        <w:t xml:space="preserve"> European Environment Agency </w:t>
      </w:r>
      <w:hyperlink r:id="rId18" w:history="1">
        <w:r>
          <w:rPr>
            <w:rStyle w:val="Hyperlink"/>
            <w:rFonts w:asciiTheme="minorHAnsi" w:hAnsiTheme="minorHAnsi"/>
            <w:sz w:val="16"/>
            <w:szCs w:val="16"/>
          </w:rPr>
          <w:t>Draft results of CORINE Land Cover (C</w:t>
        </w:r>
        <w:r>
          <w:rPr>
            <w:rStyle w:val="Hyperlink"/>
            <w:rFonts w:asciiTheme="minorHAnsi" w:hAnsiTheme="minorHAnsi"/>
            <w:sz w:val="16"/>
            <w:szCs w:val="16"/>
          </w:rPr>
          <w:t>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 In the period 2000-2006</w:t>
      </w:r>
    </w:p>
  </w:footnote>
  <w:footnote w:id="44">
    <w:p w:rsidR="006E58C2" w:rsidRDefault="005B3E0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19" w:history="1">
        <w:r>
          <w:rPr>
            <w:rStyle w:val="Hyperlink"/>
            <w:rFonts w:asciiTheme="minorHAnsi" w:hAnsiTheme="minorHAnsi"/>
            <w:color w:val="auto"/>
            <w:sz w:val="16"/>
            <w:szCs w:val="16"/>
          </w:rPr>
          <w:t>Imperviousness</w:t>
        </w:r>
        <w:r>
          <w:rPr>
            <w:rStyle w:val="Hyperlink"/>
            <w:rFonts w:asciiTheme="minorHAnsi" w:hAnsiTheme="minorHAnsi"/>
            <w:color w:val="auto"/>
            <w:sz w:val="16"/>
            <w:szCs w:val="16"/>
          </w:rPr>
          <w:t xml:space="preserve"> and imperviousness change</w:t>
        </w:r>
      </w:hyperlink>
    </w:p>
  </w:footnote>
  <w:footnote w:id="45">
    <w:p w:rsidR="006E58C2" w:rsidRDefault="005B3E0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20" w:history="1">
        <w:r>
          <w:rPr>
            <w:rStyle w:val="Hyperlink"/>
            <w:sz w:val="16"/>
            <w:szCs w:val="16"/>
          </w:rPr>
          <w:t xml:space="preserve"> Soil water erosion rate</w:t>
        </w:r>
      </w:hyperlink>
      <w:r>
        <w:rPr>
          <w:sz w:val="16"/>
          <w:szCs w:val="16"/>
        </w:rPr>
        <w:t>, Figure 2, accessed November 2016</w:t>
      </w:r>
    </w:p>
  </w:footnote>
  <w:footnote w:id="46">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r>
        <w:t>Land cov</w:t>
      </w:r>
      <w:r>
        <w:t>er 2012 and changes country analysis</w:t>
      </w:r>
      <w:r>
        <w:rPr>
          <w:rStyle w:val="Hyperlink"/>
          <w:rFonts w:asciiTheme="minorHAnsi" w:hAnsiTheme="minorHAnsi"/>
          <w:color w:val="auto"/>
          <w:sz w:val="16"/>
          <w:szCs w:val="16"/>
        </w:rPr>
        <w:t xml:space="preserve"> [publication forthcoming]</w:t>
      </w:r>
    </w:p>
  </w:footnote>
  <w:footnote w:id="4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Style w:val="Emphasis"/>
          <w:rFonts w:asciiTheme="minorHAnsi" w:hAnsiTheme="minorHAnsi"/>
          <w:color w:val="auto"/>
          <w:sz w:val="16"/>
          <w:szCs w:val="16"/>
        </w:rPr>
        <w:t xml:space="preserve">It makes the protection of best quality soil from sealing considerably </w:t>
      </w:r>
      <w:proofErr w:type="gramStart"/>
      <w:r>
        <w:rPr>
          <w:rStyle w:val="Emphasis"/>
          <w:rFonts w:asciiTheme="minorHAnsi" w:hAnsiTheme="minorHAnsi"/>
          <w:color w:val="auto"/>
          <w:sz w:val="16"/>
          <w:szCs w:val="16"/>
        </w:rPr>
        <w:t>stricter,</w:t>
      </w:r>
      <w:proofErr w:type="gramEnd"/>
      <w:r>
        <w:rPr>
          <w:rStyle w:val="Emphasis"/>
          <w:rFonts w:asciiTheme="minorHAnsi" w:hAnsiTheme="minorHAnsi"/>
          <w:color w:val="auto"/>
          <w:sz w:val="16"/>
          <w:szCs w:val="16"/>
        </w:rPr>
        <w:t xml:space="preserve"> it focuses on reclamation of agricultural land after temporary land claims, and regulates soil protection from</w:t>
      </w:r>
      <w:r>
        <w:rPr>
          <w:rStyle w:val="Emphasis"/>
          <w:rFonts w:asciiTheme="minorHAnsi" w:hAnsiTheme="minorHAnsi"/>
          <w:color w:val="auto"/>
          <w:sz w:val="16"/>
          <w:szCs w:val="16"/>
        </w:rPr>
        <w:t xml:space="preserve"> erosion.</w:t>
      </w:r>
    </w:p>
  </w:footnote>
  <w:footnote w:id="4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w:t>
      </w:r>
      <w:hyperlink r:id="rId21" w:history="1">
        <w:r>
          <w:rPr>
            <w:rStyle w:val="Hyperlink"/>
            <w:rFonts w:asciiTheme="minorHAnsi" w:hAnsiTheme="minorHAnsi"/>
            <w:sz w:val="16"/>
            <w:szCs w:val="16"/>
          </w:rPr>
          <w:t>Air Quality Standards</w:t>
        </w:r>
      </w:hyperlink>
    </w:p>
  </w:footnote>
  <w:footnote w:id="4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22" w:history="1">
        <w:r>
          <w:rPr>
            <w:rStyle w:val="Hyperlink"/>
            <w:rFonts w:asciiTheme="minorHAnsi" w:hAnsiTheme="minorHAnsi"/>
            <w:sz w:val="16"/>
            <w:szCs w:val="16"/>
          </w:rPr>
          <w:t>EIONET Central Data Repository</w:t>
        </w:r>
      </w:hyperlink>
      <w:r>
        <w:rPr>
          <w:rFonts w:asciiTheme="minorHAnsi" w:hAnsiTheme="minorHAnsi"/>
          <w:sz w:val="16"/>
          <w:szCs w:val="16"/>
        </w:rPr>
        <w:t xml:space="preserve"> and </w:t>
      </w:r>
      <w:hyperlink r:id="rId23" w:history="1">
        <w:r>
          <w:rPr>
            <w:rStyle w:val="Hyperlink"/>
            <w:rFonts w:asciiTheme="minorHAnsi" w:hAnsiTheme="minorHAnsi"/>
            <w:sz w:val="16"/>
            <w:szCs w:val="16"/>
          </w:rPr>
          <w:t>Air pollutant emissions data viewer (NEC Directive)</w:t>
        </w:r>
      </w:hyperlink>
    </w:p>
  </w:footnote>
  <w:footnote w:id="50">
    <w:p w:rsidR="006E58C2" w:rsidRDefault="005B3E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current national emission ceilings apply since 2010 (</w:t>
      </w:r>
      <w:hyperlink r:id="rId24"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25"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Particulate matter (PM) is a mixture of aerosol particles (so</w:t>
      </w:r>
      <w:r>
        <w:rPr>
          <w:rFonts w:asciiTheme="minorHAnsi" w:hAnsiTheme="minorHAnsi"/>
          <w:sz w:val="16"/>
          <w:szCs w:val="16"/>
        </w:rPr>
        <w:t>lid and liquid) covering a wide range of sizes and chemical compositions. PM10 (PM2.5) refers to particles with a diameter of 10 (2.5) micrometres or less. PM is emitted from many human sources, including combustion.</w:t>
      </w:r>
    </w:p>
  </w:footnote>
  <w:footnote w:id="5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Low level ozone is produced by photoc</w:t>
      </w:r>
      <w:r>
        <w:rPr>
          <w:rFonts w:asciiTheme="minorHAnsi" w:hAnsiTheme="minorHAnsi"/>
          <w:sz w:val="16"/>
          <w:szCs w:val="16"/>
        </w:rPr>
        <w:t>hemical action on pollution and it is also a greenhouse gas.</w:t>
      </w:r>
    </w:p>
  </w:footnote>
  <w:footnote w:id="53">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NOx</w:t>
      </w:r>
      <w:proofErr w:type="spellEnd"/>
      <w:r>
        <w:rPr>
          <w:rFonts w:asciiTheme="minorHAnsi" w:hAnsiTheme="minorHAnsi"/>
          <w:sz w:val="16"/>
          <w:szCs w:val="16"/>
        </w:rPr>
        <w:t xml:space="preserve"> is emitted during fuel combustion e.g. from industrial facilities and the road transport sector. </w:t>
      </w:r>
      <w:proofErr w:type="spellStart"/>
      <w:r>
        <w:rPr>
          <w:rFonts w:asciiTheme="minorHAnsi" w:hAnsiTheme="minorHAnsi"/>
          <w:sz w:val="16"/>
          <w:szCs w:val="16"/>
        </w:rPr>
        <w:t>NOx</w:t>
      </w:r>
      <w:proofErr w:type="spellEnd"/>
      <w:r>
        <w:rPr>
          <w:rFonts w:asciiTheme="minorHAnsi" w:hAnsiTheme="minorHAnsi"/>
          <w:sz w:val="16"/>
          <w:szCs w:val="16"/>
        </w:rPr>
        <w:t xml:space="preserve"> is a group of gases comprising nitrogen monoxide (NO) and nitrogen dioxide (NO2).</w:t>
      </w:r>
    </w:p>
  </w:footnote>
  <w:footnote w:id="54">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w:t>
      </w:r>
      <w:r>
        <w:rPr>
          <w:rFonts w:asciiTheme="minorHAnsi" w:hAnsiTheme="minorHAnsi"/>
          <w:sz w:val="16"/>
          <w:szCs w:val="16"/>
        </w:rPr>
        <w:t>pean Environment Agency, 2016.</w:t>
      </w:r>
      <w:proofErr w:type="gramEnd"/>
      <w:r>
        <w:rPr>
          <w:rFonts w:asciiTheme="minorHAnsi" w:hAnsiTheme="minorHAnsi"/>
          <w:sz w:val="16"/>
          <w:szCs w:val="16"/>
        </w:rPr>
        <w:t xml:space="preserve"> </w:t>
      </w:r>
      <w:hyperlink r:id="rId26"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sz w:val="16"/>
          <w:szCs w:val="16"/>
        </w:rPr>
        <w:t>.</w:t>
      </w:r>
      <w:proofErr w:type="gramEnd"/>
      <w:r>
        <w:rPr>
          <w:rFonts w:asciiTheme="minorHAnsi" w:hAnsiTheme="minorHAnsi"/>
          <w:sz w:val="16"/>
          <w:szCs w:val="16"/>
        </w:rPr>
        <w:t xml:space="preserve"> (Table </w:t>
      </w:r>
      <w:proofErr w:type="gramStart"/>
      <w:r>
        <w:rPr>
          <w:rFonts w:asciiTheme="minorHAnsi" w:hAnsiTheme="minorHAnsi"/>
          <w:sz w:val="16"/>
          <w:szCs w:val="16"/>
        </w:rPr>
        <w:t>10.2,</w:t>
      </w:r>
      <w:proofErr w:type="gramEnd"/>
      <w:r>
        <w:rPr>
          <w:rFonts w:asciiTheme="minorHAnsi" w:hAnsiTheme="minorHAnsi"/>
          <w:sz w:val="16"/>
          <w:szCs w:val="16"/>
        </w:rPr>
        <w:t xml:space="preserve"> please see details in this report as regards the underpinning   methodology).</w:t>
      </w:r>
    </w:p>
  </w:footnote>
  <w:footnote w:id="55">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Based on Europ</w:t>
      </w:r>
      <w:r>
        <w:rPr>
          <w:rFonts w:asciiTheme="minorHAnsi" w:hAnsiTheme="minorHAnsi" w:cstheme="minorHAnsi"/>
          <w:sz w:val="16"/>
          <w:szCs w:val="16"/>
        </w:rPr>
        <w:t>ean Environment Agency, 2016.</w:t>
      </w:r>
      <w:proofErr w:type="gramEnd"/>
      <w:r>
        <w:rPr>
          <w:rFonts w:asciiTheme="minorHAnsi" w:hAnsiTheme="minorHAnsi" w:cstheme="minorHAnsi"/>
          <w:sz w:val="16"/>
          <w:szCs w:val="16"/>
        </w:rPr>
        <w:t xml:space="preserve"> </w:t>
      </w:r>
      <w:hyperlink r:id="rId27" w:history="1">
        <w:proofErr w:type="gramStart"/>
        <w:r>
          <w:rPr>
            <w:rStyle w:val="Hyperlink"/>
            <w:rFonts w:asciiTheme="minorHAnsi" w:hAnsiTheme="minorHAnsi"/>
            <w:sz w:val="16"/>
            <w:szCs w:val="16"/>
            <w:lang w:eastAsia="en-GB"/>
          </w:rPr>
          <w:t>Air Quality in Europe – 2016 Report</w:t>
        </w:r>
      </w:hyperlink>
      <w:r>
        <w:rPr>
          <w:rFonts w:asciiTheme="minorHAnsi" w:hAnsiTheme="minorHAnsi" w:cstheme="minorHAnsi"/>
          <w:sz w:val="16"/>
          <w:szCs w:val="16"/>
        </w:rPr>
        <w:t>.</w:t>
      </w:r>
      <w:proofErr w:type="gramEnd"/>
      <w:r>
        <w:rPr>
          <w:rFonts w:asciiTheme="minorHAnsi" w:hAnsiTheme="minorHAnsi" w:cstheme="minorHAnsi"/>
          <w:sz w:val="16"/>
          <w:szCs w:val="16"/>
        </w:rPr>
        <w:t xml:space="preserve"> (Figures 4.1, 5.1 and 6.1)</w:t>
      </w:r>
    </w:p>
  </w:footnote>
  <w:footnote w:id="56">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28" w:history="1">
        <w:r>
          <w:rPr>
            <w:rStyle w:val="Hyperlink"/>
            <w:rFonts w:asciiTheme="minorHAnsi" w:hAnsiTheme="minorHAnsi"/>
            <w:sz w:val="16"/>
            <w:szCs w:val="16"/>
          </w:rPr>
          <w:t>The EEA/</w:t>
        </w:r>
        <w:proofErr w:type="spellStart"/>
        <w:r>
          <w:rPr>
            <w:rStyle w:val="Hyperlink"/>
            <w:rFonts w:asciiTheme="minorHAnsi" w:hAnsiTheme="minorHAnsi"/>
            <w:sz w:val="16"/>
            <w:szCs w:val="16"/>
          </w:rPr>
          <w:t>Eionet</w:t>
        </w:r>
        <w:proofErr w:type="spellEnd"/>
        <w:r>
          <w:rPr>
            <w:rStyle w:val="Hyperlink"/>
            <w:rFonts w:asciiTheme="minorHAnsi" w:hAnsiTheme="minorHAnsi"/>
            <w:sz w:val="16"/>
            <w:szCs w:val="16"/>
          </w:rPr>
          <w:t xml:space="preserve"> Air Qua</w:t>
        </w:r>
        <w:r>
          <w:rPr>
            <w:rStyle w:val="Hyperlink"/>
            <w:rFonts w:asciiTheme="minorHAnsi" w:hAnsiTheme="minorHAnsi"/>
            <w:sz w:val="16"/>
            <w:szCs w:val="16"/>
          </w:rPr>
          <w:t>lity Portal</w:t>
        </w:r>
      </w:hyperlink>
      <w:r>
        <w:rPr>
          <w:rFonts w:asciiTheme="minorHAnsi" w:hAnsiTheme="minorHAnsi"/>
          <w:sz w:val="16"/>
          <w:szCs w:val="16"/>
        </w:rPr>
        <w:t xml:space="preserve"> and the related Central Data Repository</w:t>
      </w:r>
    </w:p>
  </w:footnote>
  <w:footnote w:id="5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are based on the </w:t>
      </w:r>
      <w:hyperlink r:id="rId29" w:history="1">
        <w:r>
          <w:rPr>
            <w:rStyle w:val="Hyperlink"/>
            <w:rFonts w:asciiTheme="minorHAnsi" w:hAnsiTheme="minorHAnsi"/>
            <w:sz w:val="16"/>
            <w:szCs w:val="16"/>
          </w:rPr>
          <w:t>Impact Assessment</w:t>
        </w:r>
      </w:hyperlink>
      <w:r>
        <w:rPr>
          <w:rFonts w:asciiTheme="minorHAnsi" w:hAnsiTheme="minorHAnsi"/>
          <w:sz w:val="16"/>
          <w:szCs w:val="16"/>
        </w:rPr>
        <w:t xml:space="preserve"> for the European Commission Integrated Clean Air Package (2013)</w:t>
      </w:r>
    </w:p>
  </w:footnote>
  <w:footnote w:id="5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Under the provisions of the revised National Emission Ceilings Directive, Member States now may apply for emission inventory adjustments. Pending evaluation of any adjustment application, Member States should keep emissions under close control with a vi</w:t>
      </w:r>
      <w:r>
        <w:rPr>
          <w:rFonts w:asciiTheme="minorHAnsi" w:hAnsiTheme="minorHAnsi"/>
          <w:sz w:val="16"/>
          <w:szCs w:val="16"/>
        </w:rPr>
        <w:t>ew to further reductions.</w:t>
      </w:r>
    </w:p>
  </w:footnote>
  <w:footnote w:id="5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30"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6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Directive requires Member States to prepare and publish, every 5 years, noise maps and noise manageme</w:t>
      </w:r>
      <w:r>
        <w:rPr>
          <w:rFonts w:asciiTheme="minorHAnsi" w:hAnsiTheme="minorHAnsi"/>
          <w:sz w:val="16"/>
          <w:szCs w:val="16"/>
        </w:rPr>
        <w:t>nt action plans for agglomerations with more than 100,000 inhabitants, and for major roads, railways and airports.</w:t>
      </w:r>
    </w:p>
  </w:footnote>
  <w:footnote w:id="61">
    <w:p w:rsidR="006E58C2" w:rsidRDefault="005B3E0F">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31" w:history="1">
        <w:r>
          <w:rPr>
            <w:rStyle w:val="Hyperlink"/>
            <w:rFonts w:asciiTheme="minorHAnsi" w:hAnsiTheme="minorHAnsi"/>
            <w:sz w:val="16"/>
            <w:szCs w:val="16"/>
          </w:rPr>
          <w:t xml:space="preserve">Bathing Waters </w:t>
        </w:r>
        <w:r>
          <w:rPr>
            <w:rStyle w:val="Hyperlink"/>
            <w:rFonts w:asciiTheme="minorHAnsi" w:hAnsiTheme="minorHAnsi"/>
            <w:sz w:val="16"/>
            <w:szCs w:val="16"/>
          </w:rPr>
          <w:t>Directive (2006/7/EC);</w:t>
        </w:r>
      </w:hyperlink>
      <w:r>
        <w:rPr>
          <w:rFonts w:asciiTheme="minorHAnsi" w:hAnsiTheme="minorHAnsi"/>
          <w:sz w:val="16"/>
          <w:szCs w:val="16"/>
        </w:rPr>
        <w:t xml:space="preserve"> the </w:t>
      </w:r>
      <w:hyperlink r:id="rId32"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concerning discharges of municipal and some industrial waste waters; the </w:t>
      </w:r>
      <w:hyperlink r:id="rId33"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34" w:history="1">
        <w:r>
          <w:rPr>
            <w:rStyle w:val="Hyperlink"/>
            <w:rFonts w:asciiTheme="minorHAnsi" w:hAnsiTheme="minorHAnsi"/>
            <w:sz w:val="16"/>
            <w:szCs w:val="16"/>
          </w:rPr>
          <w:t>Water Framewo</w:t>
        </w:r>
        <w:r>
          <w:rPr>
            <w:rStyle w:val="Hyperlink"/>
            <w:rFonts w:asciiTheme="minorHAnsi" w:hAnsiTheme="minorHAnsi"/>
            <w:sz w:val="16"/>
            <w:szCs w:val="16"/>
          </w:rPr>
          <w:t>rk Directive (2000/60/EC)</w:t>
        </w:r>
      </w:hyperlink>
      <w:r>
        <w:rPr>
          <w:rFonts w:asciiTheme="minorHAnsi" w:hAnsiTheme="minorHAnsi"/>
          <w:sz w:val="16"/>
          <w:szCs w:val="16"/>
        </w:rPr>
        <w:t xml:space="preserve"> concerning water resources management; the </w:t>
      </w:r>
      <w:hyperlink r:id="rId35" w:history="1">
        <w:r>
          <w:rPr>
            <w:rStyle w:val="Hyperlink"/>
            <w:rFonts w:asciiTheme="minorHAnsi" w:hAnsiTheme="minorHAnsi"/>
            <w:sz w:val="16"/>
            <w:szCs w:val="16"/>
          </w:rPr>
          <w:t>Nitrates Directive (91/676/EEC)</w:t>
        </w:r>
      </w:hyperlink>
      <w:r>
        <w:rPr>
          <w:rFonts w:asciiTheme="minorHAnsi" w:hAnsiTheme="minorHAnsi"/>
          <w:sz w:val="16"/>
          <w:szCs w:val="16"/>
        </w:rPr>
        <w:t xml:space="preserve"> and the </w:t>
      </w:r>
      <w:hyperlink r:id="rId36" w:history="1">
        <w:r>
          <w:rPr>
            <w:rStyle w:val="Hyperlink"/>
            <w:rFonts w:asciiTheme="minorHAnsi" w:hAnsiTheme="minorHAnsi"/>
            <w:sz w:val="16"/>
            <w:szCs w:val="16"/>
          </w:rPr>
          <w:t>Floods Directive (2007/60/EC)</w:t>
        </w:r>
      </w:hyperlink>
    </w:p>
  </w:footnote>
  <w:footnote w:id="6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referring to the quality of the biological community, the hydrological characteristics and the chemical characteristics.</w:t>
      </w:r>
    </w:p>
  </w:footnote>
  <w:footnote w:id="63">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w:t>
      </w:r>
      <w:r>
        <w:rPr>
          <w:rFonts w:asciiTheme="minorHAnsi" w:hAnsiTheme="minorHAnsi"/>
          <w:sz w:val="16"/>
          <w:szCs w:val="16"/>
        </w:rPr>
        <w:t>an river basins and waters have been altered by human activities, such as land drainage, flood protection, and, building of dams to create reservoirs...</w:t>
      </w:r>
    </w:p>
  </w:footnote>
  <w:footnote w:id="64">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Good chemical status is defined</w:t>
      </w:r>
      <w:r>
        <w:rPr>
          <w:rFonts w:asciiTheme="minorHAnsi" w:hAnsiTheme="minorHAnsi"/>
          <w:sz w:val="16"/>
          <w:szCs w:val="16"/>
        </w:rPr>
        <w:t xml:space="preserve"> in the Water Framework Directive</w:t>
      </w:r>
      <w:r>
        <w:rPr>
          <w:rFonts w:asciiTheme="minorHAnsi" w:hAnsiTheme="minorHAnsi"/>
          <w:sz w:val="16"/>
          <w:szCs w:val="16"/>
          <w:lang w:val="en"/>
        </w:rPr>
        <w:t xml:space="preserve"> referring to compliance with all the</w:t>
      </w:r>
      <w:r>
        <w:rPr>
          <w:rFonts w:asciiTheme="minorHAnsi" w:hAnsiTheme="minorHAnsi"/>
          <w:sz w:val="16"/>
          <w:szCs w:val="16"/>
          <w:lang w:val="en"/>
        </w:rPr>
        <w:t xml:space="preserve"> quality standards established for chemical substances at European level.</w:t>
      </w:r>
    </w:p>
  </w:footnote>
  <w:footnote w:id="65">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 discharges to groundwater, and a requirement to monitor groundwater bodies.</w:t>
      </w:r>
    </w:p>
  </w:footnote>
  <w:footnote w:id="66">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w:t>
      </w:r>
      <w:r>
        <w:rPr>
          <w:rFonts w:asciiTheme="minorHAnsi" w:hAnsiTheme="minorHAnsi"/>
          <w:sz w:val="16"/>
          <w:szCs w:val="16"/>
        </w:rPr>
        <w:t>e pollution comes from widespread activities with no one discrete source.</w:t>
      </w:r>
    </w:p>
  </w:footnote>
  <w:footnote w:id="6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Czech Republic transposed the requirements of Directive 2000/60/EC (Water Framework Directive) into Czech national legislation in 2010 and it still necessary to amend the relev</w:t>
      </w:r>
      <w:r>
        <w:rPr>
          <w:rFonts w:asciiTheme="minorHAnsi" w:hAnsiTheme="minorHAnsi"/>
          <w:sz w:val="16"/>
          <w:szCs w:val="16"/>
        </w:rPr>
        <w:t>ant Czech legislation to ensure full compliance with Article 4(7) thereof.</w:t>
      </w:r>
    </w:p>
  </w:footnote>
  <w:footnote w:id="68">
    <w:p w:rsidR="006E58C2" w:rsidRDefault="005B3E0F">
      <w:pPr>
        <w:autoSpaceDE w:val="0"/>
        <w:autoSpaceDN w:val="0"/>
        <w:adjustRightInd w:val="0"/>
        <w:spacing w:after="0" w:line="240" w:lineRule="auto"/>
        <w:ind w:left="170" w:hanging="170"/>
        <w:rPr>
          <w:sz w:val="16"/>
          <w:szCs w:val="16"/>
        </w:rPr>
      </w:pPr>
      <w:r>
        <w:rPr>
          <w:rStyle w:val="FootnoteReference"/>
          <w:sz w:val="16"/>
          <w:szCs w:val="16"/>
        </w:rPr>
        <w:footnoteRef/>
      </w:r>
      <w:r>
        <w:rPr>
          <w:sz w:val="16"/>
          <w:szCs w:val="16"/>
        </w:rPr>
        <w:t xml:space="preserve">  Commission's </w:t>
      </w:r>
      <w:hyperlink r:id="rId37" w:history="1">
        <w:r>
          <w:rPr>
            <w:rStyle w:val="Hyperlink"/>
            <w:sz w:val="16"/>
            <w:szCs w:val="16"/>
          </w:rPr>
          <w:t>Synthesis Report on the Quality of Drinking Water in the Union examining Member S</w:t>
        </w:r>
        <w:r>
          <w:rPr>
            <w:rStyle w:val="Hyperlink"/>
            <w:sz w:val="16"/>
            <w:szCs w:val="16"/>
          </w:rPr>
          <w:t>tates' reports for the 2011-2013 period</w:t>
        </w:r>
      </w:hyperlink>
      <w:r>
        <w:rPr>
          <w:sz w:val="16"/>
          <w:szCs w:val="16"/>
        </w:rPr>
        <w:t>, foreseen under Article 13(5) of Directive 98/83/EC; COM(2016)666</w:t>
      </w:r>
    </w:p>
  </w:footnote>
  <w:footnote w:id="69">
    <w:p w:rsidR="006E58C2" w:rsidRDefault="005B3E0F">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38" w:history="1">
        <w:r>
          <w:rPr>
            <w:rStyle w:val="Hyperlink"/>
            <w:rFonts w:asciiTheme="minorHAnsi" w:hAnsiTheme="minorHAnsi"/>
            <w:color w:val="auto"/>
            <w:sz w:val="16"/>
            <w:szCs w:val="16"/>
          </w:rPr>
          <w:t xml:space="preserve">European bathing water </w:t>
        </w:r>
        <w:r>
          <w:rPr>
            <w:rStyle w:val="Hyperlink"/>
            <w:rFonts w:asciiTheme="minorHAnsi" w:hAnsiTheme="minorHAnsi"/>
            <w:color w:val="auto"/>
            <w:sz w:val="16"/>
            <w:szCs w:val="16"/>
          </w:rPr>
          <w:t>quality in 2015</w:t>
        </w:r>
      </w:hyperlink>
      <w:r>
        <w:rPr>
          <w:rFonts w:asciiTheme="minorHAnsi" w:hAnsiTheme="minorHAnsi"/>
          <w:sz w:val="16"/>
          <w:szCs w:val="16"/>
        </w:rPr>
        <w:t>, p. 26</w:t>
      </w:r>
    </w:p>
  </w:footnote>
  <w:footnote w:id="7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 xml:space="preserve">European Commission, Eighth Report on the Implementation Status and the Programmes for Implementation of the Urban Waste Water Directive </w:t>
      </w:r>
      <w:hyperlink r:id="rId39" w:history="1">
        <w:r>
          <w:rPr>
            <w:rStyle w:val="Hyperlink"/>
            <w:rFonts w:asciiTheme="minorHAnsi" w:hAnsiTheme="minorHAnsi"/>
            <w:color w:val="auto"/>
            <w:sz w:val="16"/>
            <w:szCs w:val="16"/>
          </w:rPr>
          <w:t>(COM (2</w:t>
        </w:r>
        <w:r>
          <w:rPr>
            <w:rStyle w:val="Hyperlink"/>
            <w:rFonts w:asciiTheme="minorHAnsi" w:hAnsiTheme="minorHAnsi"/>
            <w:color w:val="auto"/>
            <w:sz w:val="16"/>
            <w:szCs w:val="16"/>
          </w:rPr>
          <w:t>016)105 final)</w:t>
        </w:r>
      </w:hyperlink>
      <w:r>
        <w:rPr>
          <w:rFonts w:asciiTheme="minorHAnsi" w:hAnsiTheme="minorHAnsi"/>
          <w:sz w:val="16"/>
          <w:szCs w:val="16"/>
        </w:rPr>
        <w:t xml:space="preserve"> and Commission Staff Working Document accompanying the report </w:t>
      </w:r>
      <w:hyperlink r:id="rId40" w:history="1">
        <w:r>
          <w:rPr>
            <w:rStyle w:val="Hyperlink"/>
            <w:rFonts w:asciiTheme="minorHAnsi" w:hAnsiTheme="minorHAnsi"/>
            <w:color w:val="auto"/>
            <w:sz w:val="16"/>
            <w:szCs w:val="16"/>
          </w:rPr>
          <w:t>(SWD (2016)45 final</w:t>
        </w:r>
      </w:hyperlink>
      <w:r>
        <w:rPr>
          <w:rFonts w:asciiTheme="minorHAnsi" w:hAnsiTheme="minorHAnsi"/>
          <w:sz w:val="16"/>
          <w:szCs w:val="16"/>
        </w:rPr>
        <w:t>).</w:t>
      </w:r>
      <w:proofErr w:type="gramEnd"/>
    </w:p>
  </w:footnote>
  <w:footnote w:id="7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Special </w:t>
      </w:r>
      <w:r>
        <w:rPr>
          <w:rFonts w:asciiTheme="minorHAnsi" w:hAnsiTheme="minorHAnsi"/>
          <w:sz w:val="16"/>
          <w:szCs w:val="16"/>
          <w:lang w:val="en"/>
        </w:rPr>
        <w:t xml:space="preserve">report No 2/2015: </w:t>
      </w:r>
      <w:hyperlink r:id="rId41" w:history="1">
        <w:r>
          <w:rPr>
            <w:rStyle w:val="Hyperlink"/>
            <w:rFonts w:asciiTheme="minorHAnsi" w:hAnsiTheme="minorHAnsi"/>
            <w:sz w:val="16"/>
            <w:szCs w:val="16"/>
            <w:lang w:val="en"/>
          </w:rPr>
          <w:t>EU</w:t>
        </w:r>
        <w:r>
          <w:rPr>
            <w:rStyle w:val="Hyperlink"/>
            <w:rFonts w:asciiTheme="minorHAnsi" w:hAnsiTheme="minorHAnsi"/>
            <w:sz w:val="16"/>
            <w:szCs w:val="16"/>
            <w:lang w:val="en"/>
          </w:rPr>
          <w:noBreakHyphen/>
          <w:t>funding of Urban Waste Water</w:t>
        </w:r>
      </w:hyperlink>
      <w:r>
        <w:rPr>
          <w:rFonts w:asciiTheme="minorHAnsi" w:hAnsiTheme="minorHAnsi"/>
          <w:sz w:val="16"/>
          <w:szCs w:val="16"/>
          <w:lang w:val="en"/>
        </w:rPr>
        <w:t>. The report focus on 1 out of 3 river basins covering 27</w:t>
      </w:r>
      <w:proofErr w:type="gramStart"/>
      <w:r>
        <w:rPr>
          <w:rFonts w:asciiTheme="minorHAnsi" w:hAnsiTheme="minorHAnsi"/>
          <w:sz w:val="16"/>
          <w:szCs w:val="16"/>
          <w:lang w:val="en"/>
        </w:rPr>
        <w:t>,5</w:t>
      </w:r>
      <w:proofErr w:type="gramEnd"/>
      <w:r>
        <w:rPr>
          <w:rFonts w:asciiTheme="minorHAnsi" w:hAnsiTheme="minorHAnsi"/>
          <w:sz w:val="16"/>
          <w:szCs w:val="16"/>
          <w:lang w:val="en"/>
        </w:rPr>
        <w:t>% of the territory of the Czech Republic.  Treatment plants in the Danube river basin: further efforts needed in helping Member States t</w:t>
      </w:r>
      <w:r>
        <w:rPr>
          <w:rFonts w:asciiTheme="minorHAnsi" w:hAnsiTheme="minorHAnsi"/>
          <w:sz w:val="16"/>
          <w:szCs w:val="16"/>
          <w:lang w:val="en"/>
        </w:rPr>
        <w:t>o achieve EU waste water policy objectives</w:t>
      </w:r>
      <w:r>
        <w:rPr>
          <w:rFonts w:asciiTheme="minorHAnsi" w:hAnsiTheme="minorHAnsi"/>
          <w:sz w:val="16"/>
          <w:szCs w:val="16"/>
        </w:rPr>
        <w:t xml:space="preserve"> </w:t>
      </w:r>
    </w:p>
  </w:footnote>
  <w:footnote w:id="7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2" w:history="1">
        <w:r>
          <w:rPr>
            <w:rStyle w:val="Hyperlink"/>
            <w:rFonts w:asciiTheme="minorHAnsi" w:hAnsiTheme="minorHAnsi"/>
            <w:color w:val="auto"/>
            <w:sz w:val="16"/>
            <w:szCs w:val="16"/>
          </w:rPr>
          <w:t>State of bathing water</w:t>
        </w:r>
      </w:hyperlink>
      <w:r>
        <w:rPr>
          <w:rFonts w:asciiTheme="minorHAnsi" w:hAnsiTheme="minorHAnsi"/>
          <w:sz w:val="16"/>
          <w:szCs w:val="16"/>
        </w:rPr>
        <w:t>, 2016</w:t>
      </w:r>
    </w:p>
  </w:footnote>
  <w:footnote w:id="73">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Eighth Report on the Implement</w:t>
      </w:r>
      <w:r>
        <w:rPr>
          <w:rFonts w:asciiTheme="minorHAnsi" w:hAnsiTheme="minorHAnsi"/>
          <w:sz w:val="16"/>
          <w:szCs w:val="16"/>
        </w:rPr>
        <w:t xml:space="preserve">ation Status and the Programmes for Implementation of the Urban Waste Water Directive </w:t>
      </w:r>
      <w:hyperlink r:id="rId43" w:history="1">
        <w:r>
          <w:rPr>
            <w:rStyle w:val="Hyperlink"/>
            <w:rFonts w:asciiTheme="minorHAnsi" w:hAnsiTheme="minorHAnsi"/>
            <w:color w:val="auto"/>
            <w:sz w:val="16"/>
            <w:szCs w:val="16"/>
          </w:rPr>
          <w:t>(COM (2016)105 final)</w:t>
        </w:r>
      </w:hyperlink>
      <w:r>
        <w:rPr>
          <w:rFonts w:asciiTheme="minorHAnsi" w:hAnsiTheme="minorHAnsi"/>
          <w:sz w:val="16"/>
          <w:szCs w:val="16"/>
        </w:rPr>
        <w:t xml:space="preserve"> and Commission Staff Working Document accompanying the report</w:t>
      </w:r>
      <w:r>
        <w:rPr>
          <w:rFonts w:asciiTheme="minorHAnsi" w:hAnsiTheme="minorHAnsi"/>
          <w:sz w:val="16"/>
          <w:szCs w:val="16"/>
        </w:rPr>
        <w:t xml:space="preserve"> </w:t>
      </w:r>
      <w:hyperlink r:id="rId44" w:history="1">
        <w:r>
          <w:rPr>
            <w:rStyle w:val="Hyperlink"/>
            <w:rFonts w:asciiTheme="minorHAnsi" w:hAnsiTheme="minorHAnsi"/>
            <w:color w:val="auto"/>
            <w:sz w:val="16"/>
            <w:szCs w:val="16"/>
          </w:rPr>
          <w:t>(</w:t>
        </w:r>
        <w:proofErr w:type="gramStart"/>
        <w:r>
          <w:rPr>
            <w:rStyle w:val="Hyperlink"/>
            <w:rFonts w:asciiTheme="minorHAnsi" w:hAnsiTheme="minorHAnsi"/>
            <w:color w:val="auto"/>
            <w:sz w:val="16"/>
            <w:szCs w:val="16"/>
          </w:rPr>
          <w:t>SWD(</w:t>
        </w:r>
        <w:proofErr w:type="gramEnd"/>
        <w:r>
          <w:rPr>
            <w:rStyle w:val="Hyperlink"/>
            <w:rFonts w:asciiTheme="minorHAnsi" w:hAnsiTheme="minorHAnsi"/>
            <w:color w:val="auto"/>
            <w:sz w:val="16"/>
            <w:szCs w:val="16"/>
          </w:rPr>
          <w:t>2016)45 final</w:t>
        </w:r>
      </w:hyperlink>
      <w:r>
        <w:rPr>
          <w:rFonts w:asciiTheme="minorHAnsi" w:hAnsiTheme="minorHAnsi"/>
          <w:sz w:val="16"/>
          <w:szCs w:val="16"/>
        </w:rPr>
        <w:t>).</w:t>
      </w:r>
    </w:p>
  </w:footnote>
  <w:footnote w:id="74">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full set of recommendations relevant to the WFD is</w:t>
      </w:r>
      <w:hyperlink r:id="rId45" w:anchor="fourth" w:history="1">
        <w:r>
          <w:rPr>
            <w:rStyle w:val="Hyperlink"/>
            <w:rFonts w:asciiTheme="minorHAnsi" w:hAnsiTheme="minorHAnsi"/>
            <w:color w:val="auto"/>
            <w:sz w:val="16"/>
            <w:szCs w:val="16"/>
          </w:rPr>
          <w:t xml:space="preserve"> here</w:t>
        </w:r>
      </w:hyperlink>
    </w:p>
  </w:footnote>
  <w:footnote w:id="75">
    <w:p w:rsidR="006E58C2" w:rsidRDefault="005B3E0F">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rPr>
        <w:footnoteRef/>
      </w:r>
      <w:r>
        <w:rPr>
          <w:rFonts w:asciiTheme="minorHAnsi" w:hAnsiTheme="minorHAnsi"/>
          <w:sz w:val="16"/>
          <w:szCs w:val="16"/>
          <w:lang w:val="fr-FR"/>
        </w:rPr>
        <w:t xml:space="preserve"> </w:t>
      </w:r>
      <w:proofErr w:type="spellStart"/>
      <w:r>
        <w:rPr>
          <w:rFonts w:asciiTheme="minorHAnsi" w:hAnsiTheme="minorHAnsi"/>
          <w:sz w:val="16"/>
          <w:szCs w:val="16"/>
          <w:lang w:val="fr-FR"/>
        </w:rPr>
        <w:t>European</w:t>
      </w:r>
      <w:proofErr w:type="spellEnd"/>
      <w:r>
        <w:rPr>
          <w:rFonts w:asciiTheme="minorHAnsi" w:hAnsiTheme="minorHAnsi"/>
          <w:sz w:val="16"/>
          <w:szCs w:val="16"/>
          <w:lang w:val="fr-FR"/>
        </w:rPr>
        <w:t xml:space="preserve"> </w:t>
      </w:r>
      <w:proofErr w:type="spellStart"/>
      <w:r>
        <w:rPr>
          <w:rFonts w:asciiTheme="minorHAnsi" w:hAnsiTheme="minorHAnsi"/>
          <w:sz w:val="16"/>
          <w:szCs w:val="16"/>
          <w:lang w:val="fr-FR"/>
        </w:rPr>
        <w:t>Environment</w:t>
      </w:r>
      <w:proofErr w:type="spellEnd"/>
      <w:r>
        <w:rPr>
          <w:rFonts w:asciiTheme="minorHAnsi" w:hAnsiTheme="minorHAnsi"/>
          <w:sz w:val="16"/>
          <w:szCs w:val="16"/>
          <w:lang w:val="fr-FR"/>
        </w:rPr>
        <w:t xml:space="preserve"> Agency, </w:t>
      </w:r>
      <w:hyperlink r:id="rId46" w:history="1">
        <w:proofErr w:type="spellStart"/>
        <w:r>
          <w:rPr>
            <w:rStyle w:val="Hyperlink"/>
            <w:rFonts w:asciiTheme="minorHAnsi" w:hAnsiTheme="minorHAnsi"/>
            <w:color w:val="auto"/>
            <w:sz w:val="16"/>
            <w:szCs w:val="16"/>
            <w:lang w:val="fr-FR"/>
          </w:rPr>
          <w:t>Urban</w:t>
        </w:r>
        <w:proofErr w:type="spellEnd"/>
        <w:r>
          <w:rPr>
            <w:rStyle w:val="Hyperlink"/>
            <w:rFonts w:asciiTheme="minorHAnsi" w:hAnsiTheme="minorHAnsi"/>
            <w:color w:val="auto"/>
            <w:sz w:val="16"/>
            <w:szCs w:val="16"/>
            <w:lang w:val="fr-FR"/>
          </w:rPr>
          <w:t xml:space="preserve"> </w:t>
        </w:r>
        <w:proofErr w:type="spellStart"/>
        <w:r>
          <w:rPr>
            <w:rStyle w:val="Hyperlink"/>
            <w:rFonts w:asciiTheme="minorHAnsi" w:hAnsiTheme="minorHAnsi"/>
            <w:color w:val="auto"/>
            <w:sz w:val="16"/>
            <w:szCs w:val="16"/>
            <w:lang w:val="fr-FR"/>
          </w:rPr>
          <w:t>environment</w:t>
        </w:r>
        <w:proofErr w:type="spellEnd"/>
      </w:hyperlink>
    </w:p>
  </w:footnote>
  <w:footnote w:id="76">
    <w:p w:rsidR="006E58C2" w:rsidRDefault="005B3E0F">
      <w:pPr>
        <w:pStyle w:val="FootnoteText"/>
        <w:ind w:left="170" w:hanging="170"/>
        <w:rPr>
          <w:rFonts w:asciiTheme="minorHAnsi" w:hAnsiTheme="minorHAnsi"/>
          <w:sz w:val="16"/>
          <w:szCs w:val="16"/>
          <w:vertAlign w:val="superscript"/>
          <w:lang w:val="fr-FR"/>
        </w:rPr>
      </w:pPr>
      <w:r>
        <w:rPr>
          <w:rStyle w:val="FootnoteReference"/>
          <w:rFonts w:asciiTheme="minorHAnsi" w:hAnsiTheme="minorHAnsi"/>
          <w:sz w:val="16"/>
          <w:szCs w:val="16"/>
        </w:rPr>
        <w:footnoteRef/>
      </w:r>
      <w:r>
        <w:rPr>
          <w:rFonts w:asciiTheme="minorHAnsi" w:hAnsiTheme="minorHAnsi"/>
          <w:sz w:val="16"/>
          <w:szCs w:val="16"/>
          <w:vertAlign w:val="superscript"/>
          <w:lang w:val="fr-FR"/>
        </w:rPr>
        <w:t xml:space="preserve"> </w:t>
      </w:r>
      <w:hyperlink r:id="rId47" w:history="1">
        <w:r>
          <w:rPr>
            <w:rStyle w:val="Hyperlink"/>
            <w:rFonts w:asciiTheme="minorHAnsi" w:hAnsiTheme="minorHAnsi"/>
            <w:sz w:val="16"/>
            <w:szCs w:val="16"/>
            <w:lang w:val="fr-FR"/>
          </w:rPr>
          <w:t>http://urbanagendaforthe.eu/</w:t>
        </w:r>
      </w:hyperlink>
    </w:p>
  </w:footnote>
  <w:footnote w:id="77">
    <w:p w:rsidR="006E58C2" w:rsidRDefault="005B3E0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48" w:history="1">
        <w:r>
          <w:rPr>
            <w:rStyle w:val="Hyperlink"/>
            <w:rFonts w:asciiTheme="minorHAnsi" w:hAnsiTheme="minorHAnsi"/>
            <w:sz w:val="16"/>
            <w:szCs w:val="16"/>
          </w:rPr>
          <w:t>Urban Benchmarking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w:t>
      </w:r>
      <w:r>
        <w:rPr>
          <w:rFonts w:asciiTheme="minorHAnsi" w:hAnsiTheme="minorHAnsi"/>
          <w:sz w:val="16"/>
          <w:szCs w:val="16"/>
        </w:rPr>
        <w:t xml:space="preserv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EUROCITIES, ICLEI, CEMR, Committee of the Regions, Covenant of Mayors and others.</w:t>
      </w:r>
    </w:p>
  </w:footnote>
  <w:footnote w:id="78">
    <w:p w:rsidR="006E58C2" w:rsidRDefault="005B3E0F">
      <w:pPr>
        <w:widowControl w:val="0"/>
        <w:spacing w:after="120" w:line="240" w:lineRule="auto"/>
        <w:contextualSpacing/>
        <w:jc w:val="both"/>
        <w:rPr>
          <w:rFonts w:cs="Times New Roman"/>
          <w:sz w:val="16"/>
          <w:szCs w:val="16"/>
          <w:lang w:eastAsia="ja-JP"/>
        </w:rPr>
      </w:pPr>
      <w:r>
        <w:rPr>
          <w:rStyle w:val="FootnoteReference"/>
          <w:sz w:val="16"/>
          <w:szCs w:val="16"/>
        </w:rPr>
        <w:footnoteRef/>
      </w:r>
      <w:r>
        <w:rPr>
          <w:sz w:val="16"/>
          <w:szCs w:val="16"/>
        </w:rPr>
        <w:t xml:space="preserve"> </w:t>
      </w:r>
      <w:r>
        <w:rPr>
          <w:rFonts w:cs="Times New Roman"/>
          <w:sz w:val="16"/>
          <w:szCs w:val="16"/>
          <w:lang w:eastAsia="ja-JP"/>
        </w:rPr>
        <w:t>The Czech Republic has been awarded with the prestigious “</w:t>
      </w:r>
      <w:r>
        <w:rPr>
          <w:rFonts w:ascii="Calibri" w:hAnsi="Calibri" w:cs="Calibri"/>
          <w:bCs/>
          <w:color w:val="000000"/>
          <w:sz w:val="16"/>
          <w:szCs w:val="16"/>
        </w:rPr>
        <w:t>Certificate of Commendation</w:t>
      </w:r>
      <w:proofErr w:type="gramStart"/>
      <w:r>
        <w:rPr>
          <w:rFonts w:ascii="Calibri" w:hAnsi="Calibri" w:cs="Calibri"/>
          <w:bCs/>
          <w:color w:val="000000"/>
          <w:sz w:val="16"/>
          <w:szCs w:val="16"/>
        </w:rPr>
        <w:t>“ by</w:t>
      </w:r>
      <w:proofErr w:type="gramEnd"/>
      <w:r>
        <w:rPr>
          <w:rFonts w:ascii="Calibri" w:hAnsi="Calibri" w:cs="Calibri"/>
          <w:bCs/>
          <w:color w:val="000000"/>
          <w:sz w:val="16"/>
          <w:szCs w:val="16"/>
        </w:rPr>
        <w:t xml:space="preserve"> the General Secre</w:t>
      </w:r>
      <w:r>
        <w:rPr>
          <w:rFonts w:ascii="Calibri" w:hAnsi="Calibri" w:cs="Calibri"/>
          <w:bCs/>
          <w:color w:val="000000"/>
          <w:sz w:val="16"/>
          <w:szCs w:val="16"/>
        </w:rPr>
        <w:t>tary CITES for its exemplary efforts in the fight against illegal wildlife trade.</w:t>
      </w:r>
    </w:p>
    <w:p w:rsidR="006E58C2" w:rsidRDefault="006E58C2">
      <w:pPr>
        <w:pStyle w:val="FootnoteText"/>
      </w:pPr>
    </w:p>
  </w:footnote>
  <w:footnote w:id="7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With the exception of 2009 and 2011</w:t>
      </w:r>
    </w:p>
  </w:footnote>
  <w:footnote w:id="8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49" w:history="1">
        <w:r>
          <w:rPr>
            <w:rStyle w:val="Hyperlink"/>
            <w:rFonts w:asciiTheme="minorHAnsi" w:hAnsiTheme="minorHAnsi" w:cs="Courier"/>
            <w:color w:val="auto"/>
            <w:sz w:val="16"/>
            <w:szCs w:val="16"/>
          </w:rPr>
          <w:t>http://ec.europa.eu/eurostat/documents/3859598/5936129/KS-GQ-13-005-EN.PDF/706eda9f-93a8-44ab-900c-ba8c2557ddb0?versio</w:t>
        </w:r>
        <w:r>
          <w:rPr>
            <w:rStyle w:val="Hyperlink"/>
            <w:rFonts w:asciiTheme="minorHAnsi" w:hAnsiTheme="minorHAnsi" w:cs="Courier"/>
            <w:color w:val="auto"/>
            <w:sz w:val="16"/>
            <w:szCs w:val="16"/>
          </w:rPr>
          <w:t>n=1.0</w:t>
        </w:r>
      </w:hyperlink>
    </w:p>
  </w:footnote>
  <w:footnote w:id="8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cstheme="minorHAnsi"/>
          <w:sz w:val="16"/>
          <w:szCs w:val="16"/>
        </w:rPr>
        <w:t>Eunomia Research and Consulting, IEEP, Aarhus University, ENT, 2016.</w:t>
      </w:r>
      <w:proofErr w:type="gramEnd"/>
      <w:r>
        <w:rPr>
          <w:rFonts w:asciiTheme="minorHAnsi" w:hAnsiTheme="minorHAnsi" w:cstheme="minorHAnsi"/>
          <w:sz w:val="16"/>
          <w:szCs w:val="16"/>
        </w:rPr>
        <w:t xml:space="preserve"> </w:t>
      </w:r>
      <w:hyperlink r:id="rId50" w:history="1">
        <w:r>
          <w:rPr>
            <w:rStyle w:val="Hyperlink"/>
            <w:rFonts w:asciiTheme="minorHAnsi" w:hAnsiTheme="minorHAnsi" w:cstheme="minorHAnsi"/>
            <w:sz w:val="16"/>
            <w:szCs w:val="16"/>
          </w:rPr>
          <w:t>Study on Assessing the Environmental Fiscal Refor</w:t>
        </w:r>
        <w:r>
          <w:rPr>
            <w:rStyle w:val="Hyperlink"/>
            <w:rFonts w:asciiTheme="minorHAnsi" w:hAnsiTheme="minorHAnsi" w:cstheme="minorHAnsi"/>
            <w:sz w:val="16"/>
            <w:szCs w:val="16"/>
          </w:rPr>
          <w:t>m Potential for the EU28</w:t>
        </w:r>
      </w:hyperlink>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N.B. National governments are responsible for setting tax rates within the EU Single Market rules and this report is not suggesting concrete changes as to the level of environmental taxation. It merely presents the findings of the</w:t>
      </w:r>
      <w:r>
        <w:rPr>
          <w:rStyle w:val="Hyperlink"/>
          <w:rFonts w:asciiTheme="minorHAnsi" w:hAnsiTheme="minorHAnsi" w:cstheme="minorHAnsi"/>
          <w:color w:val="auto"/>
          <w:sz w:val="16"/>
          <w:szCs w:val="16"/>
          <w:u w:val="none"/>
        </w:rPr>
        <w:t xml:space="preserve"> 2016 study by Eunomia </w:t>
      </w:r>
      <w:r>
        <w:rPr>
          <w:rStyle w:val="Hyperlink"/>
          <w:rFonts w:asciiTheme="minorHAnsi" w:hAnsiTheme="minorHAnsi" w:cstheme="minorHAnsi"/>
          <w:i/>
          <w:color w:val="auto"/>
          <w:sz w:val="16"/>
          <w:szCs w:val="16"/>
          <w:u w:val="none"/>
        </w:rPr>
        <w:t>et al</w:t>
      </w:r>
      <w:r>
        <w:rPr>
          <w:rStyle w:val="Hyperlink"/>
          <w:rFonts w:asciiTheme="minorHAnsi" w:hAnsiTheme="minorHAnsi" w:cstheme="minorHAnsi"/>
          <w:color w:val="auto"/>
          <w:sz w:val="16"/>
          <w:szCs w:val="16"/>
          <w:u w:val="none"/>
        </w:rPr>
        <w:t xml:space="preserve"> on the potential benefits various environmental taxes could bring. It is then for the national authorities to assess this study and their concrete impacts in the national context. A first step in this respect, already done by a</w:t>
      </w:r>
      <w:r>
        <w:rPr>
          <w:rStyle w:val="Hyperlink"/>
          <w:rFonts w:asciiTheme="minorHAnsi" w:hAnsiTheme="minorHAnsi" w:cstheme="minorHAnsi"/>
          <w:color w:val="auto"/>
          <w:sz w:val="16"/>
          <w:szCs w:val="16"/>
          <w:u w:val="none"/>
        </w:rPr>
        <w:t xml:space="preserve"> number of Member States, is to set up expert groups to assess these and make specific proposals.</w:t>
      </w:r>
      <w:r>
        <w:rPr>
          <w:rFonts w:asciiTheme="minorHAnsi" w:hAnsiTheme="minorHAnsi"/>
          <w:sz w:val="16"/>
          <w:szCs w:val="16"/>
        </w:rPr>
        <w:t xml:space="preserve"> </w:t>
      </w:r>
      <w:hyperlink w:history="1"/>
    </w:p>
  </w:footnote>
  <w:footnote w:id="82">
    <w:p w:rsidR="006E58C2" w:rsidRDefault="005B3E0F">
      <w:pPr>
        <w:pStyle w:val="FootnoteText"/>
        <w:ind w:left="170" w:hanging="170"/>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 good practice scenario means benchmarking to a successful taxation practice in another Member State. </w:t>
      </w:r>
    </w:p>
    <w:p w:rsidR="006E58C2" w:rsidRDefault="006E58C2">
      <w:pPr>
        <w:pStyle w:val="FootnoteText"/>
        <w:ind w:left="170" w:hanging="170"/>
        <w:rPr>
          <w:rFonts w:asciiTheme="minorHAnsi" w:hAnsiTheme="minorHAnsi" w:cstheme="minorHAnsi"/>
          <w:sz w:val="16"/>
          <w:szCs w:val="16"/>
        </w:rPr>
      </w:pPr>
    </w:p>
  </w:footnote>
  <w:footnote w:id="83">
    <w:p w:rsidR="006E58C2" w:rsidRDefault="005B3E0F">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51" w:history="1">
        <w:proofErr w:type="spellStart"/>
        <w:r>
          <w:rPr>
            <w:rStyle w:val="Hyperlink"/>
            <w:rFonts w:asciiTheme="minorHAnsi" w:hAnsiTheme="minorHAnsi"/>
            <w:sz w:val="16"/>
            <w:szCs w:val="16"/>
            <w:lang w:val="fr-BE"/>
          </w:rPr>
          <w:t>Environmental</w:t>
        </w:r>
        <w:proofErr w:type="spellEnd"/>
        <w:r>
          <w:rPr>
            <w:rStyle w:val="Hyperlink"/>
            <w:rFonts w:asciiTheme="minorHAnsi" w:hAnsiTheme="minorHAnsi"/>
            <w:sz w:val="16"/>
            <w:szCs w:val="16"/>
            <w:lang w:val="fr-BE"/>
          </w:rPr>
          <w:t xml:space="preserve"> </w:t>
        </w:r>
        <w:proofErr w:type="spellStart"/>
        <w:r>
          <w:rPr>
            <w:rStyle w:val="Hyperlink"/>
            <w:rFonts w:asciiTheme="minorHAnsi" w:hAnsiTheme="minorHAnsi"/>
            <w:sz w:val="16"/>
            <w:szCs w:val="16"/>
            <w:lang w:val="fr-BE"/>
          </w:rPr>
          <w:t>tax</w:t>
        </w:r>
        <w:proofErr w:type="spellEnd"/>
        <w:r>
          <w:rPr>
            <w:rStyle w:val="Hyperlink"/>
            <w:rFonts w:asciiTheme="minorHAnsi" w:hAnsiTheme="minorHAnsi"/>
            <w:sz w:val="16"/>
            <w:szCs w:val="16"/>
            <w:lang w:val="fr-BE"/>
          </w:rPr>
          <w:t xml:space="preserve"> revenues</w:t>
        </w:r>
      </w:hyperlink>
      <w:r>
        <w:rPr>
          <w:rFonts w:asciiTheme="minorHAnsi" w:hAnsiTheme="minorHAnsi"/>
          <w:sz w:val="16"/>
          <w:szCs w:val="16"/>
          <w:lang w:val="fr-BE"/>
        </w:rPr>
        <w:t xml:space="preserve">, </w:t>
      </w:r>
      <w:proofErr w:type="spellStart"/>
      <w:r>
        <w:rPr>
          <w:rFonts w:asciiTheme="minorHAnsi" w:hAnsiTheme="minorHAnsi"/>
          <w:sz w:val="16"/>
          <w:szCs w:val="16"/>
          <w:lang w:val="fr-BE"/>
        </w:rPr>
        <w:t>accessed</w:t>
      </w:r>
      <w:proofErr w:type="spellEnd"/>
      <w:r>
        <w:rPr>
          <w:rFonts w:asciiTheme="minorHAnsi" w:hAnsiTheme="minorHAnsi"/>
          <w:sz w:val="16"/>
          <w:szCs w:val="16"/>
          <w:lang w:val="fr-BE"/>
        </w:rPr>
        <w:t xml:space="preserve"> </w:t>
      </w:r>
      <w:proofErr w:type="spellStart"/>
      <w:r>
        <w:rPr>
          <w:rFonts w:asciiTheme="minorHAnsi" w:hAnsiTheme="minorHAnsi"/>
          <w:sz w:val="16"/>
          <w:szCs w:val="16"/>
          <w:lang w:val="fr-BE"/>
        </w:rPr>
        <w:t>October</w:t>
      </w:r>
      <w:proofErr w:type="spellEnd"/>
      <w:r>
        <w:rPr>
          <w:rFonts w:asciiTheme="minorHAnsi" w:hAnsiTheme="minorHAnsi"/>
          <w:sz w:val="16"/>
          <w:szCs w:val="16"/>
          <w:lang w:val="fr-BE"/>
        </w:rPr>
        <w:t xml:space="preserve"> 2016</w:t>
      </w:r>
    </w:p>
  </w:footnote>
  <w:footnote w:id="84">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r>
        <w:rPr>
          <w:rFonts w:asciiTheme="minorHAnsi" w:hAnsiTheme="minorHAnsi"/>
          <w:sz w:val="16"/>
          <w:szCs w:val="16"/>
        </w:rPr>
        <w:t>.</w:t>
      </w:r>
      <w:proofErr w:type="gramEnd"/>
      <w:r>
        <w:rPr>
          <w:rFonts w:asciiTheme="minorHAnsi" w:hAnsiTheme="minorHAnsi"/>
          <w:sz w:val="16"/>
          <w:szCs w:val="16"/>
        </w:rPr>
        <w:t xml:space="preserve"> </w:t>
      </w:r>
      <w:hyperlink r:id="rId52" w:history="1">
        <w:r>
          <w:rPr>
            <w:rStyle w:val="Hyperlink"/>
            <w:rFonts w:asciiTheme="minorHAnsi" w:hAnsiTheme="minorHAnsi"/>
            <w:sz w:val="16"/>
            <w:szCs w:val="16"/>
          </w:rPr>
          <w:t>Public procurement</w:t>
        </w:r>
      </w:hyperlink>
    </w:p>
  </w:footnote>
  <w:footnote w:id="85">
    <w:p w:rsidR="006E58C2" w:rsidRDefault="005B3E0F">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lang w:val="en"/>
        </w:rPr>
        <w:t xml:space="preserve">In the Communication “Public procurement for a better environment” </w:t>
      </w:r>
      <w:hyperlink r:id="rId53" w:history="1">
        <w:r>
          <w:rPr>
            <w:rStyle w:val="Hyperlink"/>
            <w:rFonts w:asciiTheme="minorHAnsi" w:hAnsiTheme="minorHAnsi"/>
            <w:sz w:val="16"/>
            <w:szCs w:val="16"/>
            <w:lang w:val="en"/>
          </w:rPr>
          <w:t>(COM /2008/400)</w:t>
        </w:r>
      </w:hyperlink>
      <w:r>
        <w:rPr>
          <w:rFonts w:asciiTheme="minorHAnsi" w:hAnsiTheme="minorHAnsi"/>
          <w:sz w:val="16"/>
          <w:szCs w:val="16"/>
          <w:lang w:val="en"/>
        </w:rPr>
        <w:t xml:space="preserve"> the Commission recommended the creation of a process for setting common GPP criteria. The basic concept of GPP relies on having cl</w:t>
      </w:r>
      <w:r>
        <w:rPr>
          <w:rFonts w:asciiTheme="minorHAnsi" w:hAnsiTheme="minorHAnsi"/>
          <w:sz w:val="16"/>
          <w:szCs w:val="16"/>
          <w:lang w:val="en"/>
        </w:rPr>
        <w:t>ear, verifiable, justifiable and ambitious environmental criteria for products and services, based on a life-cycle approach and scientific evidence base.</w:t>
      </w:r>
    </w:p>
  </w:footnote>
  <w:footnote w:id="86">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54" w:history="1">
        <w:r>
          <w:rPr>
            <w:rStyle w:val="Hyperlink"/>
            <w:rFonts w:asciiTheme="minorHAnsi" w:hAnsiTheme="minorHAnsi"/>
            <w:color w:val="auto"/>
            <w:sz w:val="16"/>
            <w:szCs w:val="16"/>
          </w:rPr>
          <w:t>Do</w:t>
        </w:r>
        <w:r>
          <w:rPr>
            <w:rStyle w:val="Hyperlink"/>
            <w:rFonts w:asciiTheme="minorHAnsi" w:hAnsiTheme="minorHAnsi"/>
            <w:color w:val="auto"/>
            <w:sz w:val="16"/>
            <w:szCs w:val="16"/>
          </w:rPr>
          <w:t>cumentation on National GPP Action Plans</w:t>
        </w:r>
      </w:hyperlink>
    </w:p>
  </w:footnote>
  <w:footnote w:id="8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Adelphi et al. 2011.</w:t>
      </w:r>
      <w:proofErr w:type="gramEnd"/>
      <w:r>
        <w:rPr>
          <w:rFonts w:asciiTheme="minorHAnsi" w:hAnsiTheme="minorHAnsi"/>
          <w:sz w:val="16"/>
          <w:szCs w:val="16"/>
        </w:rPr>
        <w:t xml:space="preserve"> Strategic Use of Public Procurement in Europe</w:t>
      </w:r>
    </w:p>
  </w:footnote>
  <w:footnote w:id="8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ESIF comprises five funds – the European Regional Development Funds (ERDF), the Cohesion Fund (CF), the European Social Fund (ESF), the European</w:t>
      </w:r>
      <w:r>
        <w:rPr>
          <w:rFonts w:asciiTheme="minorHAnsi" w:hAnsiTheme="minorHAnsi"/>
          <w:sz w:val="16"/>
          <w:szCs w:val="16"/>
        </w:rPr>
        <w:t xml:space="preserve"> Agricultural Fund for Rural Development (EAFRD), and the European Maritime and Fisheries Fund (EMFF). The ERDF, the CF and the ESF together form the Cohesion Policy funds.</w:t>
      </w:r>
    </w:p>
  </w:footnote>
  <w:footnote w:id="8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55" w:history="1">
        <w:r>
          <w:rPr>
            <w:rStyle w:val="Hyperlink"/>
            <w:rFonts w:asciiTheme="minorHAnsi" w:hAnsiTheme="minorHAnsi"/>
            <w:color w:val="auto"/>
            <w:sz w:val="16"/>
            <w:szCs w:val="16"/>
          </w:rPr>
          <w:t>Regional policy Atlas Czech Republic</w:t>
        </w:r>
      </w:hyperlink>
      <w:r>
        <w:rPr>
          <w:rFonts w:asciiTheme="minorHAnsi" w:hAnsiTheme="minorHAnsi"/>
          <w:sz w:val="16"/>
          <w:szCs w:val="16"/>
        </w:rPr>
        <w:t xml:space="preserve"> </w:t>
      </w:r>
    </w:p>
  </w:footnote>
  <w:footnote w:id="9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56" w:history="1">
        <w:r>
          <w:rPr>
            <w:rStyle w:val="Hyperlink"/>
            <w:rFonts w:asciiTheme="minorHAnsi" w:hAnsiTheme="minorHAnsi"/>
            <w:color w:val="auto"/>
            <w:sz w:val="16"/>
            <w:szCs w:val="16"/>
          </w:rPr>
          <w:t>European Structural and Investment Funds Data By Country</w:t>
        </w:r>
      </w:hyperlink>
    </w:p>
  </w:footnote>
  <w:footnote w:id="9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Final data for the period 2007-2013 will only be available at the end of 2017.  </w:t>
      </w:r>
    </w:p>
  </w:footnote>
  <w:footnote w:id="9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30 % of direct payment envelope could be allocated to greening practices beneficial for the environment.</w:t>
      </w:r>
    </w:p>
  </w:footnote>
  <w:footnote w:id="93">
    <w:p w:rsidR="006E58C2" w:rsidRDefault="005B3E0F">
      <w:pPr>
        <w:spacing w:after="0" w:line="240" w:lineRule="auto"/>
        <w:ind w:left="170" w:hanging="170"/>
        <w:rPr>
          <w:sz w:val="16"/>
          <w:szCs w:val="16"/>
        </w:rPr>
      </w:pPr>
      <w:r>
        <w:rPr>
          <w:rStyle w:val="FootnoteReference"/>
          <w:sz w:val="16"/>
          <w:szCs w:val="16"/>
        </w:rPr>
        <w:footnoteRef/>
      </w:r>
      <w:r>
        <w:rPr>
          <w:sz w:val="16"/>
          <w:szCs w:val="16"/>
        </w:rPr>
        <w:t xml:space="preserve"> For the purpose of greening implementation in 2015 (Regulation (E</w:t>
      </w:r>
      <w:r>
        <w:rPr>
          <w:sz w:val="16"/>
          <w:szCs w:val="16"/>
        </w:rPr>
        <w:t>U) 1307/2013), the Czech Republic made it possible to use 12 elements as ecological focus areas (EFA), out of possible 19 elements. Neither fertilisers nor plant protection products are allowed on short rotation coppice as EFA. Implementation of EFA in for</w:t>
      </w:r>
      <w:r>
        <w:rPr>
          <w:sz w:val="16"/>
          <w:szCs w:val="16"/>
        </w:rPr>
        <w:t xml:space="preserve">m of nitrogen fixing crops can be done via soybean (though divergences of views exist on the biodiversity benefits of soya). 100% of </w:t>
      </w:r>
      <w:proofErr w:type="spellStart"/>
      <w:r>
        <w:rPr>
          <w:sz w:val="16"/>
          <w:szCs w:val="16"/>
        </w:rPr>
        <w:t>Natura</w:t>
      </w:r>
      <w:proofErr w:type="spellEnd"/>
      <w:r>
        <w:rPr>
          <w:sz w:val="16"/>
          <w:szCs w:val="16"/>
        </w:rPr>
        <w:t xml:space="preserve"> 2000 grasslands were designated as environmentally sensitive, in total 410,595 ha (33% of those inside </w:t>
      </w:r>
      <w:proofErr w:type="spellStart"/>
      <w:r>
        <w:rPr>
          <w:sz w:val="16"/>
          <w:szCs w:val="16"/>
        </w:rPr>
        <w:t>Natura</w:t>
      </w:r>
      <w:proofErr w:type="spellEnd"/>
      <w:r>
        <w:rPr>
          <w:sz w:val="16"/>
          <w:szCs w:val="16"/>
        </w:rPr>
        <w:t xml:space="preserve"> 2000) </w:t>
      </w:r>
      <w:r>
        <w:rPr>
          <w:sz w:val="16"/>
          <w:szCs w:val="16"/>
        </w:rPr>
        <w:t xml:space="preserve">273,211 ha were designated outside </w:t>
      </w:r>
      <w:proofErr w:type="spellStart"/>
      <w:r>
        <w:rPr>
          <w:sz w:val="16"/>
          <w:szCs w:val="16"/>
        </w:rPr>
        <w:t>Natura</w:t>
      </w:r>
      <w:proofErr w:type="spellEnd"/>
      <w:r>
        <w:rPr>
          <w:sz w:val="16"/>
          <w:szCs w:val="16"/>
        </w:rPr>
        <w:t xml:space="preserve"> 2000. At the same time it is allowed to convert these grasslands to forested areas via RDP measure.</w:t>
      </w:r>
    </w:p>
    <w:p w:rsidR="006E58C2" w:rsidRDefault="006E58C2">
      <w:pPr>
        <w:pStyle w:val="FootnoteText"/>
        <w:ind w:left="170" w:hanging="170"/>
        <w:rPr>
          <w:rFonts w:asciiTheme="minorHAnsi" w:hAnsiTheme="minorHAnsi"/>
          <w:sz w:val="16"/>
          <w:szCs w:val="16"/>
        </w:rPr>
      </w:pPr>
    </w:p>
  </w:footnote>
  <w:footnote w:id="94">
    <w:p w:rsidR="006E58C2" w:rsidRDefault="005B3E0F">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95">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 Member State driven project, established in 2014, organizes a discussion on how the clarity, cohere</w:t>
      </w:r>
      <w:r>
        <w:rPr>
          <w:rFonts w:asciiTheme="minorHAnsi" w:hAnsiTheme="minorHAnsi"/>
          <w:sz w:val="16"/>
          <w:szCs w:val="16"/>
        </w:rPr>
        <w:t>nce and structure of EU environmental legislation can be improved, without lowering existing protection standards</w:t>
      </w:r>
    </w:p>
  </w:footnote>
  <w:footnote w:id="96">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eastAsia="Times New Roman" w:hAnsiTheme="minorHAnsi"/>
          <w:sz w:val="16"/>
          <w:szCs w:val="16"/>
          <w:lang w:eastAsia="en-GB"/>
        </w:rPr>
        <w:t>The Czech Republic was the only Member State in a considerable risk of interruption of EU funds 2014-2020 for the ex-ante conditionality rel</w:t>
      </w:r>
      <w:r>
        <w:rPr>
          <w:rFonts w:asciiTheme="minorHAnsi" w:eastAsia="Times New Roman" w:hAnsiTheme="minorHAnsi"/>
          <w:sz w:val="16"/>
          <w:szCs w:val="16"/>
          <w:lang w:eastAsia="en-GB"/>
        </w:rPr>
        <w:t>ated to the Environmental Impact Assessment. The risk was eliminated by the adoption of the amendment of the EIA law in April 2015</w:t>
      </w:r>
      <w:r>
        <w:rPr>
          <w:rFonts w:asciiTheme="minorHAnsi" w:hAnsiTheme="minorHAnsi"/>
          <w:sz w:val="16"/>
          <w:szCs w:val="16"/>
        </w:rPr>
        <w:t xml:space="preserve"> </w:t>
      </w:r>
      <w:r>
        <w:rPr>
          <w:rFonts w:asciiTheme="minorHAnsi" w:eastAsia="Times New Roman" w:hAnsiTheme="minorHAnsi"/>
          <w:sz w:val="16"/>
          <w:szCs w:val="16"/>
          <w:lang w:eastAsia="en-GB"/>
        </w:rPr>
        <w:t>in response to second horizontal EIA infringement</w:t>
      </w:r>
    </w:p>
  </w:footnote>
  <w:footnote w:id="9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amended EIA Act introduces e.g. coherence check, however only project</w:t>
      </w:r>
      <w:r>
        <w:rPr>
          <w:rFonts w:asciiTheme="minorHAnsi" w:hAnsiTheme="minorHAnsi"/>
          <w:sz w:val="16"/>
          <w:szCs w:val="16"/>
        </w:rPr>
        <w:t xml:space="preserve">s with "full" EIAs are covered. Also, it requires the verification of old non-binding EIA Statements, for which new EIA process is inevitable in cases of some projects (projects with EIAs pursuant to the 1992 EIA Act)       </w:t>
      </w:r>
    </w:p>
  </w:footnote>
  <w:footnote w:id="9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 order to allow key transpo</w:t>
      </w:r>
      <w:r>
        <w:rPr>
          <w:rFonts w:asciiTheme="minorHAnsi" w:hAnsiTheme="minorHAnsi"/>
          <w:sz w:val="16"/>
          <w:szCs w:val="16"/>
        </w:rPr>
        <w:t>rt projects to be early implemented, nine infrastructure projects with EIAs pursuant to 1992 EIA Act will be subject to an accelerated procedure provided by the Government Resolution adopted in June 2016, while almost 90 would undergo an updated EIA.</w:t>
      </w:r>
    </w:p>
  </w:footnote>
  <w:footnote w:id="9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7" w:history="1">
        <w:r>
          <w:rPr>
            <w:rStyle w:val="Hyperlink"/>
            <w:rFonts w:asciiTheme="minorHAnsi" w:hAnsiTheme="minorHAnsi"/>
            <w:color w:val="auto"/>
            <w:sz w:val="16"/>
            <w:szCs w:val="16"/>
          </w:rPr>
          <w:t>http://www.mzp.cz/cz/udrzitelny_rozvoj</w:t>
        </w:r>
      </w:hyperlink>
      <w:r>
        <w:rPr>
          <w:rFonts w:asciiTheme="minorHAnsi" w:hAnsiTheme="minorHAnsi"/>
          <w:sz w:val="16"/>
          <w:szCs w:val="16"/>
        </w:rPr>
        <w:t xml:space="preserve"> </w:t>
      </w:r>
    </w:p>
  </w:footnote>
  <w:footnote w:id="10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Regional Development Strategy of the CZ (2013)</w:t>
      </w:r>
    </w:p>
    <w:p w:rsidR="006E58C2" w:rsidRDefault="005B3E0F">
      <w:pPr>
        <w:pStyle w:val="FootnoteText"/>
        <w:ind w:left="170" w:hanging="170"/>
        <w:rPr>
          <w:rFonts w:asciiTheme="minorHAnsi" w:hAnsiTheme="minorHAnsi"/>
          <w:sz w:val="16"/>
          <w:szCs w:val="16"/>
        </w:rPr>
      </w:pPr>
      <w:r>
        <w:rPr>
          <w:rFonts w:asciiTheme="minorHAnsi" w:hAnsiTheme="minorHAnsi"/>
          <w:sz w:val="16"/>
          <w:szCs w:val="16"/>
        </w:rPr>
        <w:t>Secondary Raw Materials Policy of the CZ (2014)</w:t>
      </w:r>
    </w:p>
    <w:p w:rsidR="006E58C2" w:rsidRDefault="005B3E0F">
      <w:pPr>
        <w:pStyle w:val="FootnoteText"/>
        <w:ind w:left="170" w:hanging="170"/>
        <w:rPr>
          <w:rFonts w:asciiTheme="minorHAnsi" w:hAnsiTheme="minorHAnsi"/>
          <w:sz w:val="16"/>
          <w:szCs w:val="16"/>
        </w:rPr>
      </w:pPr>
      <w:r>
        <w:rPr>
          <w:rFonts w:asciiTheme="minorHAnsi" w:hAnsiTheme="minorHAnsi"/>
          <w:sz w:val="16"/>
          <w:szCs w:val="16"/>
        </w:rPr>
        <w:t>National Action Plan for Clean Mobility (2015)</w:t>
      </w:r>
    </w:p>
    <w:p w:rsidR="006E58C2" w:rsidRDefault="005B3E0F">
      <w:pPr>
        <w:pStyle w:val="FootnoteText"/>
        <w:ind w:left="170" w:hanging="170"/>
        <w:rPr>
          <w:rFonts w:asciiTheme="minorHAnsi" w:hAnsiTheme="minorHAnsi"/>
          <w:sz w:val="16"/>
          <w:szCs w:val="16"/>
        </w:rPr>
      </w:pPr>
      <w:r>
        <w:rPr>
          <w:rFonts w:asciiTheme="minorHAnsi" w:hAnsiTheme="minorHAnsi"/>
          <w:sz w:val="16"/>
          <w:szCs w:val="16"/>
        </w:rPr>
        <w:t>Strategy of Ministry</w:t>
      </w:r>
      <w:r>
        <w:rPr>
          <w:rFonts w:asciiTheme="minorHAnsi" w:hAnsiTheme="minorHAnsi"/>
          <w:sz w:val="16"/>
          <w:szCs w:val="16"/>
        </w:rPr>
        <w:t xml:space="preserve"> of Agriculture with prospect of 2030 (2016)</w:t>
      </w:r>
    </w:p>
    <w:p w:rsidR="006E58C2" w:rsidRDefault="005B3E0F">
      <w:pPr>
        <w:pStyle w:val="FootnoteText"/>
        <w:ind w:left="170" w:hanging="170"/>
        <w:rPr>
          <w:rFonts w:asciiTheme="minorHAnsi" w:hAnsiTheme="minorHAnsi"/>
          <w:sz w:val="16"/>
          <w:szCs w:val="16"/>
        </w:rPr>
      </w:pPr>
      <w:r>
        <w:rPr>
          <w:rFonts w:asciiTheme="minorHAnsi" w:hAnsiTheme="minorHAnsi"/>
          <w:sz w:val="16"/>
          <w:szCs w:val="16"/>
        </w:rPr>
        <w:t>Strategy on Adaptation to Climate Change in the CZ (2015)</w:t>
      </w:r>
    </w:p>
  </w:footnote>
  <w:footnote w:id="10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Bidi"/>
          <w:sz w:val="16"/>
          <w:szCs w:val="16"/>
        </w:rPr>
        <w:t>The transposition of Directive 2014/52/EU is due in May 2017</w:t>
      </w:r>
    </w:p>
  </w:footnote>
  <w:footnote w:id="10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Commission notice — </w:t>
      </w:r>
      <w:hyperlink r:id="rId58"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w:t>
      </w:r>
      <w:r>
        <w:rPr>
          <w:rStyle w:val="Hyperlink"/>
          <w:rFonts w:asciiTheme="minorHAnsi" w:hAnsiTheme="minorHAnsi"/>
          <w:sz w:val="16"/>
          <w:szCs w:val="16"/>
          <w:u w:val="none"/>
        </w:rPr>
        <w:t>(D</w:t>
      </w:r>
      <w:r>
        <w:rPr>
          <w:rFonts w:asciiTheme="minorHAnsi" w:hAnsiTheme="minorHAnsi"/>
          <w:sz w:val="16"/>
          <w:szCs w:val="16"/>
        </w:rPr>
        <w:t>irective 2011/92/EU of</w:t>
      </w:r>
      <w:r>
        <w:rPr>
          <w:rFonts w:asciiTheme="minorHAnsi" w:hAnsiTheme="minorHAnsi"/>
          <w:sz w:val="16"/>
          <w:szCs w:val="16"/>
        </w:rPr>
        <w:t xml:space="preserve"> the European Parliament and of the Council, as amended by Directive 2014/52/EU).</w:t>
      </w:r>
    </w:p>
  </w:footnote>
  <w:footnote w:id="103">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[forthcoming 2016]</w:t>
      </w:r>
    </w:p>
  </w:footnote>
  <w:footnote w:id="104">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59" w:history="1">
        <w:r>
          <w:rPr>
            <w:rStyle w:val="Hyperlink"/>
            <w:rFonts w:asciiTheme="minorHAnsi" w:hAnsiTheme="minorHAnsi"/>
            <w:color w:val="auto"/>
            <w:sz w:val="16"/>
            <w:szCs w:val="16"/>
          </w:rPr>
          <w:t>Environmental Crime Directive 2008/99/EC</w:t>
        </w:r>
      </w:hyperlink>
    </w:p>
  </w:footnote>
  <w:footnote w:id="105">
    <w:p w:rsidR="006E58C2" w:rsidRDefault="005B3E0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0" w:history="1">
        <w:r>
          <w:rPr>
            <w:rStyle w:val="Hyperlink"/>
            <w:rFonts w:asciiTheme="minorHAnsi" w:hAnsiTheme="minorHAnsi"/>
            <w:color w:val="auto"/>
            <w:sz w:val="16"/>
            <w:szCs w:val="16"/>
          </w:rPr>
          <w:t>European Union Network for the Implementation and Enforcement of Environmental Law</w:t>
        </w:r>
      </w:hyperlink>
    </w:p>
  </w:footnote>
  <w:footnote w:id="106">
    <w:p w:rsidR="006E58C2" w:rsidRDefault="005B3E0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1" w:history="1">
        <w:r>
          <w:rPr>
            <w:rStyle w:val="Hyperlink"/>
            <w:rFonts w:asciiTheme="minorHAnsi" w:hAnsiTheme="minorHAnsi"/>
            <w:color w:val="auto"/>
            <w:sz w:val="16"/>
            <w:szCs w:val="16"/>
          </w:rPr>
          <w:t xml:space="preserve">European Union </w:t>
        </w:r>
        <w:r>
          <w:rPr>
            <w:rStyle w:val="Hyperlink"/>
            <w:rFonts w:asciiTheme="minorHAnsi" w:hAnsiTheme="minorHAnsi"/>
            <w:color w:val="auto"/>
            <w:sz w:val="16"/>
            <w:szCs w:val="16"/>
          </w:rPr>
          <w:t>Forum of judges for the environment</w:t>
        </w:r>
      </w:hyperlink>
      <w:r>
        <w:rPr>
          <w:rFonts w:asciiTheme="minorHAnsi" w:hAnsiTheme="minorHAnsi"/>
          <w:sz w:val="16"/>
          <w:szCs w:val="16"/>
        </w:rPr>
        <w:t xml:space="preserve"> </w:t>
      </w:r>
    </w:p>
  </w:footnote>
  <w:footnote w:id="107">
    <w:p w:rsidR="006E58C2" w:rsidRDefault="005B3E0F">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2" w:history="1">
        <w:r>
          <w:rPr>
            <w:rStyle w:val="Hyperlink"/>
            <w:rFonts w:asciiTheme="minorHAnsi" w:hAnsiTheme="minorHAnsi"/>
            <w:color w:val="auto"/>
            <w:sz w:val="16"/>
            <w:szCs w:val="16"/>
          </w:rPr>
          <w:t>The European Network of Prosecutors for the Environment</w:t>
        </w:r>
      </w:hyperlink>
      <w:r>
        <w:rPr>
          <w:rFonts w:asciiTheme="minorHAnsi" w:hAnsiTheme="minorHAnsi"/>
          <w:sz w:val="16"/>
          <w:szCs w:val="16"/>
        </w:rPr>
        <w:t xml:space="preserve"> </w:t>
      </w:r>
    </w:p>
  </w:footnote>
  <w:footnote w:id="108">
    <w:p w:rsidR="006E58C2" w:rsidRDefault="005B3E0F">
      <w:pPr>
        <w:pStyle w:val="FootnoteText"/>
        <w:widowControl w:val="0"/>
        <w:ind w:left="170" w:hanging="170"/>
        <w:outlineLvl w:val="4"/>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63" w:history="1">
        <w:proofErr w:type="spellStart"/>
        <w:r>
          <w:rPr>
            <w:rStyle w:val="Hyperlink"/>
            <w:rFonts w:asciiTheme="minorHAnsi" w:hAnsiTheme="minorHAnsi"/>
            <w:color w:val="auto"/>
            <w:sz w:val="16"/>
            <w:szCs w:val="16"/>
            <w:lang w:val="fr-BE"/>
          </w:rPr>
          <w:t>EnviCrimeNet</w:t>
        </w:r>
        <w:proofErr w:type="spellEnd"/>
      </w:hyperlink>
      <w:r>
        <w:rPr>
          <w:rFonts w:asciiTheme="minorHAnsi" w:hAnsiTheme="minorHAnsi"/>
          <w:sz w:val="16"/>
          <w:szCs w:val="16"/>
          <w:lang w:val="fr-BE"/>
        </w:rPr>
        <w:t xml:space="preserve"> </w:t>
      </w:r>
    </w:p>
  </w:footnote>
  <w:footnote w:id="109">
    <w:p w:rsidR="006E58C2" w:rsidRDefault="005B3E0F">
      <w:pPr>
        <w:pStyle w:val="FootnoteText"/>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proofErr w:type="spellStart"/>
      <w:r>
        <w:rPr>
          <w:rFonts w:asciiTheme="minorHAnsi" w:hAnsiTheme="minorHAnsi"/>
          <w:sz w:val="16"/>
          <w:szCs w:val="16"/>
          <w:lang w:val="fr-BE"/>
        </w:rPr>
        <w:t>European</w:t>
      </w:r>
      <w:proofErr w:type="spellEnd"/>
      <w:r>
        <w:rPr>
          <w:rFonts w:asciiTheme="minorHAnsi" w:hAnsiTheme="minorHAnsi"/>
          <w:sz w:val="16"/>
          <w:szCs w:val="16"/>
          <w:lang w:val="fr-BE"/>
        </w:rPr>
        <w:t xml:space="preserve"> Union, </w:t>
      </w:r>
      <w:hyperlink r:id="rId64" w:history="1">
        <w:proofErr w:type="spellStart"/>
        <w:r>
          <w:rPr>
            <w:rStyle w:val="Hyperlink"/>
            <w:rFonts w:asciiTheme="minorHAnsi" w:hAnsiTheme="minorHAnsi"/>
            <w:color w:val="auto"/>
            <w:sz w:val="16"/>
            <w:szCs w:val="16"/>
            <w:lang w:val="fr-BE"/>
          </w:rPr>
          <w:t>Environmental</w:t>
        </w:r>
        <w:proofErr w:type="spellEnd"/>
        <w:r>
          <w:rPr>
            <w:rStyle w:val="Hyperlink"/>
            <w:rFonts w:asciiTheme="minorHAnsi" w:hAnsiTheme="minorHAnsi"/>
            <w:color w:val="auto"/>
            <w:sz w:val="16"/>
            <w:szCs w:val="16"/>
            <w:lang w:val="fr-BE"/>
          </w:rPr>
          <w:t xml:space="preserve"> </w:t>
        </w:r>
        <w:proofErr w:type="spellStart"/>
        <w:r>
          <w:rPr>
            <w:rStyle w:val="Hyperlink"/>
            <w:rFonts w:asciiTheme="minorHAnsi" w:hAnsiTheme="minorHAnsi"/>
            <w:color w:val="auto"/>
            <w:sz w:val="16"/>
            <w:szCs w:val="16"/>
            <w:lang w:val="fr-BE"/>
          </w:rPr>
          <w:t>Liability</w:t>
        </w:r>
        <w:proofErr w:type="spellEnd"/>
        <w:r>
          <w:rPr>
            <w:rStyle w:val="Hyperlink"/>
            <w:rFonts w:asciiTheme="minorHAnsi" w:hAnsiTheme="minorHAnsi"/>
            <w:color w:val="auto"/>
            <w:sz w:val="16"/>
            <w:szCs w:val="16"/>
            <w:lang w:val="fr-BE"/>
          </w:rPr>
          <w:t xml:space="preserve"> Directive 2004/35/CE</w:t>
        </w:r>
      </w:hyperlink>
    </w:p>
  </w:footnote>
  <w:footnote w:id="11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5" w:history="1">
        <w:proofErr w:type="gramStart"/>
        <w:r>
          <w:rPr>
            <w:rStyle w:val="Hyperlink"/>
            <w:rFonts w:asciiTheme="minorHAnsi" w:hAnsiTheme="minorHAnsi"/>
            <w:color w:val="auto"/>
            <w:sz w:val="16"/>
            <w:szCs w:val="16"/>
          </w:rPr>
          <w:t>COM(</w:t>
        </w:r>
        <w:proofErr w:type="gramEnd"/>
        <w:r>
          <w:rPr>
            <w:rStyle w:val="Hyperlink"/>
            <w:rFonts w:asciiTheme="minorHAnsi" w:hAnsiTheme="minorHAnsi"/>
            <w:color w:val="auto"/>
            <w:sz w:val="16"/>
            <w:szCs w:val="16"/>
          </w:rPr>
          <w:t>2016)204 final</w:t>
        </w:r>
      </w:hyperlink>
      <w:r>
        <w:rPr>
          <w:rFonts w:asciiTheme="minorHAnsi" w:hAnsiTheme="minorHAnsi"/>
          <w:sz w:val="16"/>
          <w:szCs w:val="16"/>
        </w:rPr>
        <w:t xml:space="preserve"> and </w:t>
      </w:r>
      <w:hyperlink r:id="rId66" w:history="1">
        <w:r>
          <w:rPr>
            <w:rStyle w:val="Hyperlink"/>
            <w:rFonts w:asciiTheme="minorHAnsi" w:hAnsiTheme="minorHAnsi"/>
            <w:color w:val="auto"/>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guidanc</w:t>
      </w:r>
      <w:r>
        <w:rPr>
          <w:rFonts w:asciiTheme="minorHAnsi" w:hAnsiTheme="minorHAnsi"/>
          <w:sz w:val="16"/>
          <w:szCs w:val="16"/>
        </w:rPr>
        <w:t>e, training and ELD registers; and for financial security to be available in case events or incidents generate remediation costs.</w:t>
      </w:r>
    </w:p>
  </w:footnote>
  <w:footnote w:id="11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for details </w:t>
      </w:r>
      <w:hyperlink r:id="rId67" w:history="1">
        <w:r>
          <w:rPr>
            <w:rStyle w:val="Hyperlink"/>
            <w:rFonts w:asciiTheme="minorHAnsi" w:hAnsiTheme="minorHAnsi"/>
            <w:color w:val="auto"/>
            <w:sz w:val="16"/>
            <w:szCs w:val="16"/>
          </w:rPr>
          <w:t>http://www.cizp.cz/lang/l2</w:t>
        </w:r>
      </w:hyperlink>
      <w:r>
        <w:rPr>
          <w:rFonts w:asciiTheme="minorHAnsi" w:hAnsiTheme="minorHAnsi"/>
          <w:sz w:val="16"/>
          <w:szCs w:val="16"/>
        </w:rPr>
        <w:t xml:space="preserve"> </w:t>
      </w:r>
    </w:p>
  </w:footnote>
  <w:footnote w:id="11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8" w:history="1">
        <w:r>
          <w:rPr>
            <w:rFonts w:asciiTheme="minorHAnsi" w:hAnsiTheme="minorHAnsi"/>
            <w:sz w:val="16"/>
            <w:szCs w:val="16"/>
            <w:u w:val="single"/>
          </w:rPr>
          <w:t>http://www.cizp.cz/Annual-Report</w:t>
        </w:r>
      </w:hyperlink>
      <w:r>
        <w:rPr>
          <w:rFonts w:asciiTheme="minorHAnsi" w:hAnsiTheme="minorHAnsi"/>
          <w:sz w:val="16"/>
          <w:szCs w:val="16"/>
          <w:u w:val="single"/>
        </w:rPr>
        <w:t>.</w:t>
      </w:r>
      <w:r>
        <w:rPr>
          <w:rFonts w:asciiTheme="minorHAnsi" w:hAnsiTheme="minorHAnsi"/>
          <w:sz w:val="16"/>
          <w:szCs w:val="16"/>
        </w:rPr>
        <w:t xml:space="preserve"> The reports are structured per environmental policy-subject areas and include, inter alia, information on number of inspections undertaken, penalties imposed and a more detailed description of major cases wi</w:t>
      </w:r>
      <w:r>
        <w:rPr>
          <w:rFonts w:asciiTheme="minorHAnsi" w:hAnsiTheme="minorHAnsi"/>
          <w:sz w:val="16"/>
          <w:szCs w:val="16"/>
        </w:rPr>
        <w:t xml:space="preserve">th naming the non-compliant duty-holders. The data covers mostly output parameters rather than information and analysis of the outcomes of compliance assurance work. </w:t>
      </w:r>
    </w:p>
  </w:footnote>
  <w:footnote w:id="113">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9" w:history="1">
        <w:r>
          <w:rPr>
            <w:rStyle w:val="Hyperlink"/>
            <w:rFonts w:asciiTheme="minorHAnsi" w:hAnsiTheme="minorHAnsi"/>
            <w:color w:val="auto"/>
            <w:sz w:val="16"/>
            <w:szCs w:val="16"/>
          </w:rPr>
          <w:t>http:</w:t>
        </w:r>
        <w:r>
          <w:rPr>
            <w:rStyle w:val="Hyperlink"/>
            <w:rFonts w:asciiTheme="minorHAnsi" w:hAnsiTheme="minorHAnsi"/>
            <w:color w:val="auto"/>
            <w:sz w:val="16"/>
            <w:szCs w:val="16"/>
          </w:rPr>
          <w:t>//www.cizp.cz/file/Ot3/Czech-IRI-Report-Final-v-14-01-16.pdf</w:t>
        </w:r>
      </w:hyperlink>
    </w:p>
  </w:footnote>
  <w:footnote w:id="114">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IMPEL 2015 IRI report (p. 3 and 34-35) observes that fines are the most commonly used instrument which however are often low and have little deterrent effect. </w:t>
      </w:r>
    </w:p>
  </w:footnote>
  <w:footnote w:id="115">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w:t>
      </w:r>
      <w:hyperlink r:id="rId70" w:history="1">
        <w:r>
          <w:rPr>
            <w:rStyle w:val="Hyperlink"/>
            <w:rFonts w:asciiTheme="minorHAnsi" w:hAnsiTheme="minorHAnsi"/>
            <w:color w:val="auto"/>
            <w:sz w:val="16"/>
            <w:szCs w:val="16"/>
          </w:rPr>
          <w:t xml:space="preserve"> study on access to justice in environmental matters in 2012/2013</w:t>
        </w:r>
      </w:hyperlink>
    </w:p>
  </w:footnote>
  <w:footnote w:id="116">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UNECE, 1998.</w:t>
      </w:r>
      <w:proofErr w:type="gramEnd"/>
      <w:r>
        <w:rPr>
          <w:rFonts w:asciiTheme="minorHAnsi" w:hAnsiTheme="minorHAnsi"/>
          <w:sz w:val="16"/>
          <w:szCs w:val="16"/>
        </w:rPr>
        <w:t xml:space="preserve"> </w:t>
      </w:r>
      <w:hyperlink r:id="rId71" w:history="1">
        <w:r>
          <w:rPr>
            <w:rStyle w:val="Hyperlink"/>
            <w:rFonts w:asciiTheme="minorHAnsi" w:hAnsiTheme="minorHAnsi"/>
            <w:color w:val="auto"/>
            <w:sz w:val="16"/>
            <w:szCs w:val="16"/>
          </w:rPr>
          <w:t xml:space="preserve">Convention on Access to </w:t>
        </w:r>
        <w:r>
          <w:rPr>
            <w:rStyle w:val="Hyperlink"/>
            <w:rFonts w:asciiTheme="minorHAnsi" w:hAnsiTheme="minorHAnsi"/>
            <w:color w:val="auto"/>
            <w:sz w:val="16"/>
            <w:szCs w:val="16"/>
          </w:rPr>
          <w:t>Information, Public Participation in Decision-Making and Access to Justice in Environmental Matters</w:t>
        </w:r>
      </w:hyperlink>
    </w:p>
  </w:footnote>
  <w:footnote w:id="117">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2" w:history="1">
        <w:r>
          <w:rPr>
            <w:rStyle w:val="Hyperlink"/>
            <w:rFonts w:asciiTheme="minorHAnsi" w:hAnsiTheme="minorHAnsi"/>
            <w:color w:val="auto"/>
            <w:sz w:val="16"/>
            <w:szCs w:val="16"/>
          </w:rPr>
          <w:t xml:space="preserve">Directive 2003/4/EC on public access to environmental </w:t>
        </w:r>
        <w:r>
          <w:rPr>
            <w:rStyle w:val="Hyperlink"/>
            <w:rFonts w:asciiTheme="minorHAnsi" w:hAnsiTheme="minorHAnsi"/>
            <w:color w:val="auto"/>
            <w:sz w:val="16"/>
            <w:szCs w:val="16"/>
          </w:rPr>
          <w:t>information</w:t>
        </w:r>
      </w:hyperlink>
    </w:p>
  </w:footnote>
  <w:footnote w:id="118">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73" w:history="1">
        <w:r>
          <w:rPr>
            <w:rStyle w:val="Hyperlink"/>
            <w:rFonts w:asciiTheme="minorHAnsi" w:hAnsiTheme="minorHAnsi"/>
            <w:color w:val="auto"/>
            <w:sz w:val="16"/>
            <w:szCs w:val="16"/>
          </w:rPr>
          <w:t xml:space="preserve">INSPIRE </w:t>
        </w:r>
        <w:r>
          <w:rPr>
            <w:rStyle w:val="Hyperlink"/>
            <w:rFonts w:asciiTheme="minorHAnsi" w:hAnsiTheme="minorHAnsi"/>
            <w:color w:val="auto"/>
            <w:sz w:val="16"/>
            <w:szCs w:val="16"/>
            <w:lang w:val="en"/>
          </w:rPr>
          <w:t>Directive 2007/2/EC</w:t>
        </w:r>
      </w:hyperlink>
    </w:p>
  </w:footnote>
  <w:footnote w:id="119">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2016-2020 - Accelerating the digital transformation of gove</w:t>
      </w:r>
      <w:r>
        <w:rPr>
          <w:rFonts w:asciiTheme="minorHAnsi" w:hAnsiTheme="minorHAnsi"/>
          <w:sz w:val="16"/>
          <w:szCs w:val="16"/>
        </w:rPr>
        <w:t xml:space="preserve">rnment </w:t>
      </w:r>
      <w:hyperlink r:id="rId74" w:history="1">
        <w:r>
          <w:rPr>
            <w:rStyle w:val="Hyperlink"/>
            <w:rFonts w:asciiTheme="minorHAnsi" w:hAnsiTheme="minorHAnsi"/>
            <w:color w:val="auto"/>
            <w:sz w:val="16"/>
            <w:szCs w:val="16"/>
          </w:rPr>
          <w:t>COM(2016) 179</w:t>
        </w:r>
      </w:hyperlink>
      <w:r>
        <w:rPr>
          <w:rFonts w:asciiTheme="minorHAnsi" w:hAnsiTheme="minorHAnsi"/>
          <w:sz w:val="16"/>
          <w:szCs w:val="16"/>
        </w:rPr>
        <w:t xml:space="preserve"> final</w:t>
      </w:r>
    </w:p>
  </w:footnote>
  <w:footnote w:id="120">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Upon request by the Commission, most Member States provided an INSPIRE Ac</w:t>
      </w:r>
      <w:r>
        <w:rPr>
          <w:rFonts w:asciiTheme="minorHAnsi" w:hAnsiTheme="minorHAnsi"/>
          <w:sz w:val="16"/>
          <w:szCs w:val="16"/>
        </w:rPr>
        <w:t xml:space="preserve">tion Plan addressing implementation issues. These plans are currently being assessed by the Commission.  </w:t>
      </w:r>
    </w:p>
  </w:footnote>
  <w:footnote w:id="121">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75" w:history="1">
        <w:r>
          <w:rPr>
            <w:rStyle w:val="Hyperlink"/>
            <w:rFonts w:asciiTheme="minorHAnsi" w:hAnsiTheme="minorHAnsi"/>
            <w:color w:val="auto"/>
            <w:sz w:val="16"/>
            <w:szCs w:val="16"/>
          </w:rPr>
          <w:t>INSPIRE reports</w:t>
        </w:r>
      </w:hyperlink>
    </w:p>
  </w:footnote>
  <w:footnote w:id="122">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6" w:history="1">
        <w:r>
          <w:rPr>
            <w:rStyle w:val="Hyperlink"/>
            <w:rFonts w:asciiTheme="minorHAnsi" w:hAnsiTheme="minorHAnsi"/>
            <w:color w:val="auto"/>
            <w:sz w:val="16"/>
            <w:szCs w:val="16"/>
          </w:rPr>
          <w:t xml:space="preserve">Inspire indicator trends </w:t>
        </w:r>
      </w:hyperlink>
    </w:p>
  </w:footnote>
  <w:footnote w:id="123">
    <w:p w:rsidR="006E58C2" w:rsidRDefault="005B3E0F">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7" w:history="1">
        <w:r>
          <w:rPr>
            <w:rStyle w:val="Hyperlink"/>
            <w:rFonts w:asciiTheme="minorHAnsi" w:hAnsiTheme="minorHAnsi"/>
            <w:color w:val="auto"/>
            <w:sz w:val="16"/>
            <w:szCs w:val="16"/>
          </w:rPr>
          <w:t>Inspire Resources Summary Report</w:t>
        </w:r>
      </w:hyperlink>
    </w:p>
  </w:footnote>
  <w:footnote w:id="124">
    <w:p w:rsidR="006E58C2" w:rsidRDefault="005B3E0F">
      <w:pPr>
        <w:pStyle w:val="FootnoteText"/>
        <w:ind w:left="170" w:hanging="170"/>
        <w:rPr>
          <w:rFonts w:asciiTheme="minorHAnsi" w:hAnsiTheme="minorHAnsi"/>
          <w:sz w:val="16"/>
          <w:szCs w:val="16"/>
          <w:lang w:val="cs-CZ"/>
        </w:rPr>
      </w:pPr>
      <w:r>
        <w:rPr>
          <w:rStyle w:val="FootnoteReference"/>
          <w:rFonts w:asciiTheme="minorHAnsi" w:hAnsiTheme="minorHAnsi"/>
          <w:sz w:val="16"/>
          <w:szCs w:val="16"/>
        </w:rPr>
        <w:footnoteRef/>
      </w:r>
      <w:r>
        <w:rPr>
          <w:rFonts w:asciiTheme="minorHAnsi" w:hAnsiTheme="minorHAnsi"/>
          <w:sz w:val="16"/>
          <w:szCs w:val="16"/>
        </w:rPr>
        <w:t xml:space="preserve"> As of </w:t>
      </w:r>
      <w:r>
        <w:rPr>
          <w:rFonts w:asciiTheme="minorHAnsi" w:hAnsiTheme="minorHAnsi"/>
          <w:sz w:val="16"/>
          <w:szCs w:val="16"/>
          <w:lang w:val="cs-CZ"/>
        </w:rPr>
        <w:t>August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0F" w:rsidRPr="005B3E0F" w:rsidRDefault="005B3E0F" w:rsidP="005B3E0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99"/>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v</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99"/>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0F" w:rsidRPr="005B3E0F" w:rsidRDefault="005B3E0F" w:rsidP="005B3E0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8</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12</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E0F" w:rsidRPr="005B3E0F" w:rsidRDefault="005B3E0F" w:rsidP="005B3E0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13</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17</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18</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25</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6E58C2" w:rsidRDefault="006E58C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8C2" w:rsidRDefault="006E58C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6E58C2">
      <w:tc>
        <w:tcPr>
          <w:tcW w:w="0" w:type="auto"/>
          <w:tcBorders>
            <w:top w:val="nil"/>
            <w:left w:val="nil"/>
            <w:bottom w:val="nil"/>
            <w:right w:val="single" w:sz="6" w:space="0" w:color="000000" w:themeColor="text1"/>
          </w:tcBorders>
          <w:hideMark/>
        </w:tcPr>
        <w:p w:rsidR="006E58C2" w:rsidRDefault="005B3E0F">
          <w:pPr>
            <w:pStyle w:val="Header"/>
            <w:spacing w:line="276" w:lineRule="auto"/>
            <w:jc w:val="right"/>
            <w:rPr>
              <w:rFonts w:cstheme="minorHAnsi"/>
              <w:b/>
              <w:bCs/>
              <w:color w:val="1F497D" w:themeColor="text2"/>
            </w:rPr>
          </w:pPr>
          <w:r>
            <w:rPr>
              <w:rFonts w:cstheme="minorHAnsi"/>
              <w:b/>
              <w:bCs/>
              <w:color w:val="1F497D" w:themeColor="text2"/>
            </w:rPr>
            <w:t>Czech Republic</w:t>
          </w:r>
        </w:p>
      </w:tc>
      <w:tc>
        <w:tcPr>
          <w:tcW w:w="1152" w:type="dxa"/>
          <w:tcBorders>
            <w:top w:val="nil"/>
            <w:left w:val="single" w:sz="6" w:space="0" w:color="000000" w:themeColor="text1"/>
            <w:bottom w:val="nil"/>
            <w:right w:val="nil"/>
          </w:tcBorders>
          <w:hideMark/>
        </w:tcPr>
        <w:p w:rsidR="006E58C2" w:rsidRDefault="005B3E0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6E58C2" w:rsidRDefault="006E58C2">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6E58C2">
      <w:tc>
        <w:tcPr>
          <w:tcW w:w="0" w:type="auto"/>
          <w:tcBorders>
            <w:top w:val="nil"/>
            <w:left w:val="nil"/>
            <w:bottom w:val="nil"/>
            <w:right w:val="single" w:sz="6" w:space="0" w:color="000000" w:themeColor="text1"/>
          </w:tcBorders>
        </w:tcPr>
        <w:p w:rsidR="006E58C2" w:rsidRDefault="006E58C2">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6E58C2" w:rsidRDefault="006E58C2">
          <w:pPr>
            <w:pStyle w:val="Header"/>
            <w:spacing w:line="276" w:lineRule="auto"/>
            <w:rPr>
              <w:rFonts w:cstheme="minorHAnsi"/>
              <w:b/>
              <w:bCs/>
              <w:color w:val="1F497D" w:themeColor="text2"/>
            </w:rPr>
          </w:pPr>
        </w:p>
      </w:tc>
    </w:tr>
  </w:tbl>
  <w:p w:rsidR="006E58C2" w:rsidRDefault="006E58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3">
    <w:nsid w:val="16C41C64"/>
    <w:multiLevelType w:val="hybridMultilevel"/>
    <w:tmpl w:val="C054C6EC"/>
    <w:lvl w:ilvl="0" w:tplc="312CC982">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CF614C"/>
    <w:multiLevelType w:val="hybridMultilevel"/>
    <w:tmpl w:val="8D8808E2"/>
    <w:lvl w:ilvl="0" w:tplc="D4A081D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C577B33"/>
    <w:multiLevelType w:val="hybridMultilevel"/>
    <w:tmpl w:val="29446F26"/>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8">
    <w:nsid w:val="2EC61DC4"/>
    <w:multiLevelType w:val="hybridMultilevel"/>
    <w:tmpl w:val="53E4A244"/>
    <w:lvl w:ilvl="0" w:tplc="09D8F876">
      <w:start w:val="1"/>
      <w:numFmt w:val="bullet"/>
      <w:pStyle w:val="NoSpacing"/>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9">
    <w:nsid w:val="2EF51910"/>
    <w:multiLevelType w:val="hybridMultilevel"/>
    <w:tmpl w:val="3EEA15CE"/>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59944CFF"/>
    <w:multiLevelType w:val="hybridMultilevel"/>
    <w:tmpl w:val="4F9A1DCA"/>
    <w:lvl w:ilvl="0" w:tplc="99086714">
      <w:start w:val="1"/>
      <w:numFmt w:val="bullet"/>
      <w:lvlText w:val="-"/>
      <w:lvlJc w:val="left"/>
      <w:pPr>
        <w:ind w:left="360" w:hanging="360"/>
      </w:pPr>
      <w:rPr>
        <w:rFonts w:ascii="Courier New" w:hAnsi="Courier New"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
    <w:nsid w:val="68166EC2"/>
    <w:multiLevelType w:val="hybridMultilevel"/>
    <w:tmpl w:val="B69E7F94"/>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90E0F19"/>
    <w:multiLevelType w:val="hybridMultilevel"/>
    <w:tmpl w:val="AF4A2264"/>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1">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17"/>
  </w:num>
  <w:num w:numId="3">
    <w:abstractNumId w:val="28"/>
  </w:num>
  <w:num w:numId="4">
    <w:abstractNumId w:val="23"/>
  </w:num>
  <w:num w:numId="5">
    <w:abstractNumId w:val="15"/>
  </w:num>
  <w:num w:numId="6">
    <w:abstractNumId w:val="12"/>
  </w:num>
  <w:num w:numId="7">
    <w:abstractNumId w:val="32"/>
  </w:num>
  <w:num w:numId="8">
    <w:abstractNumId w:val="21"/>
  </w:num>
  <w:num w:numId="9">
    <w:abstractNumId w:val="11"/>
  </w:num>
  <w:num w:numId="10">
    <w:abstractNumId w:val="7"/>
  </w:num>
  <w:num w:numId="11">
    <w:abstractNumId w:val="2"/>
  </w:num>
  <w:num w:numId="12">
    <w:abstractNumId w:val="1"/>
  </w:num>
  <w:num w:numId="13">
    <w:abstractNumId w:val="24"/>
  </w:num>
  <w:num w:numId="14">
    <w:abstractNumId w:val="26"/>
  </w:num>
  <w:num w:numId="15">
    <w:abstractNumId w:val="25"/>
  </w:num>
  <w:num w:numId="16">
    <w:abstractNumId w:val="30"/>
  </w:num>
  <w:num w:numId="17">
    <w:abstractNumId w:val="6"/>
  </w:num>
  <w:num w:numId="18">
    <w:abstractNumId w:val="14"/>
  </w:num>
  <w:num w:numId="19">
    <w:abstractNumId w:val="18"/>
  </w:num>
  <w:num w:numId="20">
    <w:abstractNumId w:val="16"/>
  </w:num>
  <w:num w:numId="21">
    <w:abstractNumId w:val="0"/>
  </w:num>
  <w:num w:numId="22">
    <w:abstractNumId w:val="19"/>
  </w:num>
  <w:num w:numId="23">
    <w:abstractNumId w:val="20"/>
  </w:num>
  <w:num w:numId="24">
    <w:abstractNumId w:val="10"/>
  </w:num>
  <w:num w:numId="25">
    <w:abstractNumId w:val="13"/>
  </w:num>
  <w:num w:numId="26">
    <w:abstractNumId w:val="22"/>
  </w:num>
  <w:num w:numId="27">
    <w:abstractNumId w:val="4"/>
  </w:num>
  <w:num w:numId="28">
    <w:abstractNumId w:val="3"/>
  </w:num>
  <w:num w:numId="29">
    <w:abstractNumId w:val="29"/>
  </w:num>
  <w:num w:numId="30">
    <w:abstractNumId w:val="5"/>
  </w:num>
  <w:num w:numId="31">
    <w:abstractNumId w:val="27"/>
  </w:num>
  <w:num w:numId="32">
    <w:abstractNumId w:val="9"/>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D0CCBF53B50742D7ABACA70ECB8FFFA3"/>
    <w:docVar w:name="LW_CROSSREFERENCE" w:val="{COM(2017) 63 final}_x000a_{SWD(2017) 33 - 36 final}_x000a_{SWD(2017) 38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37"/>
    <w:docVar w:name="LW_REF.INTERNE" w:val="&lt;UNUSED&gt;"/>
    <w:docVar w:name="LW_SUPERTITRE" w:val="&lt;UNUSED&gt;"/>
    <w:docVar w:name="LW_TITRE.OBJ.CP" w:val="The EU Environmental Implementation Review_x000b_Country Report - CZECH REPUBLIC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6E58C2"/>
    <w:rsid w:val="005B3E0F"/>
    <w:rsid w:val="006E58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3"/>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3"/>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501000">
      <w:bodyDiv w:val="1"/>
      <w:marLeft w:val="0"/>
      <w:marRight w:val="0"/>
      <w:marTop w:val="0"/>
      <w:marBottom w:val="0"/>
      <w:divBdr>
        <w:top w:val="none" w:sz="0" w:space="0" w:color="auto"/>
        <w:left w:val="none" w:sz="0" w:space="0" w:color="auto"/>
        <w:bottom w:val="none" w:sz="0" w:space="0" w:color="auto"/>
        <w:right w:val="none" w:sz="0" w:space="0" w:color="auto"/>
      </w:divBdr>
    </w:div>
    <w:div w:id="207639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6.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footer" Target="footer31.xml"/><Relationship Id="rId89" Type="http://schemas.openxmlformats.org/officeDocument/2006/relationships/image" Target="media/image13.png"/><Relationship Id="rId112" Type="http://schemas.openxmlformats.org/officeDocument/2006/relationships/header" Target="header44.xml"/><Relationship Id="rId16" Type="http://schemas.openxmlformats.org/officeDocument/2006/relationships/hyperlink" Target="mailto:ENV-EIR@ec.europa.eu" TargetMode="External"/><Relationship Id="rId107" Type="http://schemas.openxmlformats.org/officeDocument/2006/relationships/header" Target="header42.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2.xml"/><Relationship Id="rId74" Type="http://schemas.openxmlformats.org/officeDocument/2006/relationships/image" Target="media/image10.png"/><Relationship Id="rId79" Type="http://schemas.openxmlformats.org/officeDocument/2006/relationships/footer" Target="footer29.xml"/><Relationship Id="rId102" Type="http://schemas.openxmlformats.org/officeDocument/2006/relationships/footer" Target="footer39.xml"/><Relationship Id="rId123" Type="http://schemas.openxmlformats.org/officeDocument/2006/relationships/image" Target="media/image17.jpeg"/><Relationship Id="rId128" Type="http://schemas.openxmlformats.org/officeDocument/2006/relationships/footer" Target="footer50.xml"/><Relationship Id="rId5" Type="http://schemas.openxmlformats.org/officeDocument/2006/relationships/settings" Target="settings.xml"/><Relationship Id="rId90" Type="http://schemas.openxmlformats.org/officeDocument/2006/relationships/image" Target="media/image14.jpeg"/><Relationship Id="rId95" Type="http://schemas.openxmlformats.org/officeDocument/2006/relationships/header" Target="header3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image" Target="media/image4.png"/><Relationship Id="rId64" Type="http://schemas.openxmlformats.org/officeDocument/2006/relationships/header" Target="header25.xml"/><Relationship Id="rId69" Type="http://schemas.openxmlformats.org/officeDocument/2006/relationships/footer" Target="footer27.xml"/><Relationship Id="rId77" Type="http://schemas.openxmlformats.org/officeDocument/2006/relationships/header" Target="header29.xml"/><Relationship Id="rId100" Type="http://schemas.openxmlformats.org/officeDocument/2006/relationships/footer" Target="footer38.xml"/><Relationship Id="rId105" Type="http://schemas.openxmlformats.org/officeDocument/2006/relationships/footer" Target="footer40.xml"/><Relationship Id="rId113" Type="http://schemas.openxmlformats.org/officeDocument/2006/relationships/footer" Target="footer43.xml"/><Relationship Id="rId118" Type="http://schemas.openxmlformats.org/officeDocument/2006/relationships/header" Target="header47.xml"/><Relationship Id="rId126" Type="http://schemas.openxmlformats.org/officeDocument/2006/relationships/header" Target="header50.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image" Target="media/image8.jpeg"/><Relationship Id="rId80" Type="http://schemas.openxmlformats.org/officeDocument/2006/relationships/header" Target="header30.xml"/><Relationship Id="rId85" Type="http://schemas.openxmlformats.org/officeDocument/2006/relationships/footer" Target="footer32.xml"/><Relationship Id="rId93" Type="http://schemas.openxmlformats.org/officeDocument/2006/relationships/footer" Target="footer34.xml"/><Relationship Id="rId98" Type="http://schemas.openxmlformats.org/officeDocument/2006/relationships/header" Target="header38.xml"/><Relationship Id="rId121" Type="http://schemas.openxmlformats.org/officeDocument/2006/relationships/header" Target="header4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3.xml"/><Relationship Id="rId67" Type="http://schemas.openxmlformats.org/officeDocument/2006/relationships/footer" Target="footer26.xml"/><Relationship Id="rId103" Type="http://schemas.openxmlformats.org/officeDocument/2006/relationships/header" Target="header40.xml"/><Relationship Id="rId108" Type="http://schemas.openxmlformats.org/officeDocument/2006/relationships/footer" Target="footer42.xml"/><Relationship Id="rId116" Type="http://schemas.openxmlformats.org/officeDocument/2006/relationships/footer" Target="footer45.xml"/><Relationship Id="rId124" Type="http://schemas.openxmlformats.org/officeDocument/2006/relationships/image" Target="media/image18.jpeg"/><Relationship Id="rId129" Type="http://schemas.openxmlformats.org/officeDocument/2006/relationships/header" Target="header51.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image" Target="media/image2.png"/><Relationship Id="rId62" Type="http://schemas.openxmlformats.org/officeDocument/2006/relationships/header" Target="header24.xml"/><Relationship Id="rId70" Type="http://schemas.openxmlformats.org/officeDocument/2006/relationships/image" Target="media/image6.jpeg"/><Relationship Id="rId75" Type="http://schemas.openxmlformats.org/officeDocument/2006/relationships/image" Target="media/image11.jpeg"/><Relationship Id="rId83" Type="http://schemas.openxmlformats.org/officeDocument/2006/relationships/header" Target="header32.xml"/><Relationship Id="rId88" Type="http://schemas.openxmlformats.org/officeDocument/2006/relationships/image" Target="media/image12.png"/><Relationship Id="rId91" Type="http://schemas.openxmlformats.org/officeDocument/2006/relationships/header" Target="header34.xml"/><Relationship Id="rId96" Type="http://schemas.openxmlformats.org/officeDocument/2006/relationships/footer" Target="footer36.xml"/><Relationship Id="rId111" Type="http://schemas.openxmlformats.org/officeDocument/2006/relationships/header" Target="header43.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image" Target="media/image5.png"/><Relationship Id="rId106" Type="http://schemas.openxmlformats.org/officeDocument/2006/relationships/footer" Target="footer41.xml"/><Relationship Id="rId114" Type="http://schemas.openxmlformats.org/officeDocument/2006/relationships/footer" Target="footer44.xml"/><Relationship Id="rId119" Type="http://schemas.openxmlformats.org/officeDocument/2006/relationships/footer" Target="footer46.xml"/><Relationship Id="rId127" Type="http://schemas.openxmlformats.org/officeDocument/2006/relationships/footer" Target="footer49.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footer" Target="footer22.xml"/><Relationship Id="rId65" Type="http://schemas.openxmlformats.org/officeDocument/2006/relationships/header" Target="header26.xml"/><Relationship Id="rId73" Type="http://schemas.openxmlformats.org/officeDocument/2006/relationships/image" Target="media/image9.png"/><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3.xml"/><Relationship Id="rId94" Type="http://schemas.openxmlformats.org/officeDocument/2006/relationships/footer" Target="footer35.xml"/><Relationship Id="rId99" Type="http://schemas.openxmlformats.org/officeDocument/2006/relationships/footer" Target="footer37.xml"/><Relationship Id="rId101" Type="http://schemas.openxmlformats.org/officeDocument/2006/relationships/header" Target="header39.xml"/><Relationship Id="rId122" Type="http://schemas.openxmlformats.org/officeDocument/2006/relationships/footer" Target="footer48.xml"/><Relationship Id="rId130" Type="http://schemas.openxmlformats.org/officeDocument/2006/relationships/footer" Target="footer5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image" Target="media/image15.png"/><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image" Target="media/image3.png"/><Relationship Id="rId76" Type="http://schemas.openxmlformats.org/officeDocument/2006/relationships/header" Target="header28.xml"/><Relationship Id="rId97" Type="http://schemas.openxmlformats.org/officeDocument/2006/relationships/header" Target="header37.xml"/><Relationship Id="rId104" Type="http://schemas.openxmlformats.org/officeDocument/2006/relationships/header" Target="header41.xml"/><Relationship Id="rId120" Type="http://schemas.openxmlformats.org/officeDocument/2006/relationships/footer" Target="footer47.xml"/><Relationship Id="rId125" Type="http://schemas.openxmlformats.org/officeDocument/2006/relationships/header" Target="header49.xml"/><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footer" Target="footer33.xml"/><Relationship Id="rId110" Type="http://schemas.openxmlformats.org/officeDocument/2006/relationships/image" Target="media/image16.png"/><Relationship Id="rId115" Type="http://schemas.openxmlformats.org/officeDocument/2006/relationships/header" Target="header45.xml"/><Relationship Id="rId131" Type="http://schemas.openxmlformats.org/officeDocument/2006/relationships/fontTable" Target="fontTable.xml"/><Relationship Id="rId61" Type="http://schemas.openxmlformats.org/officeDocument/2006/relationships/footer" Target="footer23.xml"/><Relationship Id="rId82" Type="http://schemas.openxmlformats.org/officeDocument/2006/relationships/header" Target="header31.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nvironment/nature/info/pubs/docs/nat2000newsl/nat37_en.pdf" TargetMode="External"/><Relationship Id="rId18" Type="http://schemas.openxmlformats.org/officeDocument/2006/relationships/hyperlink" Target="http://land.copernicus.eu/pan-european/corine-land-cover/lcc-2006-2012/view" TargetMode="External"/><Relationship Id="rId26" Type="http://schemas.openxmlformats.org/officeDocument/2006/relationships/hyperlink" Target="http://www.eea.europa.eu/publications/air-quality-in-europe-2016" TargetMode="External"/><Relationship Id="rId39" Type="http://schemas.openxmlformats.org/officeDocument/2006/relationships/hyperlink" Target="http://eur-lex.europa.eu/legal-content/EN/TXT/?uri=CELEX%3A52016DC0105" TargetMode="External"/><Relationship Id="rId21" Type="http://schemas.openxmlformats.org/officeDocument/2006/relationships/hyperlink" Target="http://ec.europa.eu/environment/air/quality/standards.htm" TargetMode="External"/><Relationship Id="rId34" Type="http://schemas.openxmlformats.org/officeDocument/2006/relationships/hyperlink" Target="http://eur-lex.europa.eu/legal-content/EN/TXT/?qid=1481624135097&amp;uri=CELEX:32000L0060" TargetMode="External"/><Relationship Id="rId42" Type="http://schemas.openxmlformats.org/officeDocument/2006/relationships/hyperlink" Target="http://www.eea.europa.eu/themes/water/status-and-monitoring/state-of-bathing-water" TargetMode="External"/><Relationship Id="rId47" Type="http://schemas.openxmlformats.org/officeDocument/2006/relationships/hyperlink" Target="http://urbanagendaforthe.eu/" TargetMode="External"/><Relationship Id="rId50" Type="http://schemas.openxmlformats.org/officeDocument/2006/relationships/hyperlink" Target="http://ec.europa.eu/environment/integration/green_semester/pdf/Eunomia%20EFR%20Final%20Report%20MAIN%20REPORT.pdf" TargetMode="External"/><Relationship Id="rId55" Type="http://schemas.openxmlformats.org/officeDocument/2006/relationships/hyperlink" Target="http://ec.europa.eu/regional_policy/en/atlas/czech-republic" TargetMode="External"/><Relationship Id="rId63" Type="http://schemas.openxmlformats.org/officeDocument/2006/relationships/hyperlink" Target="http://envicrimenet.com/" TargetMode="External"/><Relationship Id="rId68" Type="http://schemas.openxmlformats.org/officeDocument/2006/relationships/hyperlink" Target="http://www.cizp.cz/Annual-Report" TargetMode="External"/><Relationship Id="rId76" Type="http://schemas.openxmlformats.org/officeDocument/2006/relationships/hyperlink" Target="http://inspire.ec.europa.eu/portfolio/inspire-dashboard" TargetMode="External"/><Relationship Id="rId7" Type="http://schemas.openxmlformats.org/officeDocument/2006/relationships/hyperlink" Target="http://ec.europa.eu/eurostat/tgm/table.do?tab=table&amp;init=1&amp;language=en&amp;pcode=tsdpc100&amp;plugin=1" TargetMode="External"/><Relationship Id="rId71" Type="http://schemas.openxmlformats.org/officeDocument/2006/relationships/hyperlink" Target="http://www.unece.org/fileadmin/DAM/env/pp/documents/cep43e.pdf"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agri.cz/public/web/file/426635/ZZ2014.pdf" TargetMode="External"/><Relationship Id="rId29" Type="http://schemas.openxmlformats.org/officeDocument/2006/relationships/hyperlink" Target="http://ec.europa.eu/environment/archives/air/pdf/Impact_assessment_en.pdf" TargetMode="External"/><Relationship Id="rId11" Type="http://schemas.openxmlformats.org/officeDocument/2006/relationships/hyperlink" Target="http://ec.europa.eu/environment/waste/framework/pdf/CZ_Roadmap_FINAL.pdf" TargetMode="External"/><Relationship Id="rId24" Type="http://schemas.openxmlformats.org/officeDocument/2006/relationships/hyperlink" Target="http://eur-lex.europa.eu/legal-content/EN/TXT/?uri=celex:32001L0081" TargetMode="External"/><Relationship Id="rId32" Type="http://schemas.openxmlformats.org/officeDocument/2006/relationships/hyperlink" Target="http://eur-lex.europa.eu/legal-content/EN/ALL/?uri=CELEX%3A31991L0271" TargetMode="External"/><Relationship Id="rId37" Type="http://schemas.openxmlformats.org/officeDocument/2006/relationships/hyperlink" Target="http://ec.europa.eu/environment/water/water-drink/reporting_en.html" TargetMode="External"/><Relationship Id="rId40" Type="http://schemas.openxmlformats.org/officeDocument/2006/relationships/hyperlink" Target="http://eur-lex.europa.eu/legal-content/EN/TXT/?uri=CELEX:52016SC0045" TargetMode="External"/><Relationship Id="rId45" Type="http://schemas.openxmlformats.org/officeDocument/2006/relationships/hyperlink" Target="http://ec.europa.eu/environment/water/water-framework/impl_reports.htm" TargetMode="External"/><Relationship Id="rId53" Type="http://schemas.openxmlformats.org/officeDocument/2006/relationships/hyperlink" Target="http://eur-lex.europa.eu/legal-content/EN/TXT/?uri=CELEX:52008DC0400http://eur-lex.europa.eu/legal-content/EN/TXT/?uri=CELEX:52008DC0400" TargetMode="External"/><Relationship Id="rId58" Type="http://schemas.openxmlformats.org/officeDocument/2006/relationships/hyperlink" Target="http://eur-lex.europa.eu/legal-content/EN/TXT/?uri=OJ:C:2016:273:TOC" TargetMode="External"/><Relationship Id="rId66" Type="http://schemas.openxmlformats.org/officeDocument/2006/relationships/hyperlink" Target="http://eur-lex.europa.eu/legal-content/EN/TXT/?uri=CELEX%3A52016SC0121" TargetMode="External"/><Relationship Id="rId74" Type="http://schemas.openxmlformats.org/officeDocument/2006/relationships/hyperlink" Target="https://ec.europa.eu/digital-single-market/en/news/communication-eu-egovernment-action-plan-2016-2020-accelerating-digital-transformation" TargetMode="External"/><Relationship Id="rId5"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biodiversity.europa.eu/countries/eu_country_profiles/czech-republic" TargetMode="External"/><Relationship Id="rId23" Type="http://schemas.openxmlformats.org/officeDocument/2006/relationships/hyperlink" Target="http://www.eea.europa.eu/data-and-maps/data/data-viewers/emissions-nec-directive-viewer" TargetMode="External"/><Relationship Id="rId28" Type="http://schemas.openxmlformats.org/officeDocument/2006/relationships/hyperlink" Target="http://www.eionet.europa.eu/aqportal" TargetMode="External"/><Relationship Id="rId36" Type="http://schemas.openxmlformats.org/officeDocument/2006/relationships/hyperlink" Target="http://eur-lex.europa.eu/legal-content/EN/TXT/?uri=CELEX:32007L0060" TargetMode="External"/><Relationship Id="rId49" Type="http://schemas.openxmlformats.org/officeDocument/2006/relationships/hyperlink" Target="http://ec.europa.eu/eurostat/documents/3859598/5936129/KS-GQ-13-005-EN.PDF/706eda9f-93a8-44ab-900c-ba8c2557ddb0?version=1.0" TargetMode="External"/><Relationship Id="rId57" Type="http://schemas.openxmlformats.org/officeDocument/2006/relationships/hyperlink" Target="http://www.mzp.cz/cz/udrzitelny_rozvoj" TargetMode="External"/><Relationship Id="rId61" Type="http://schemas.openxmlformats.org/officeDocument/2006/relationships/hyperlink" Target="http://www.eufje.org" TargetMode="External"/><Relationship Id="rId10" Type="http://schemas.openxmlformats.org/officeDocument/2006/relationships/hyperlink" Target="http://ec.europa.eu/eurostat/tgm/table.do?tab=table&amp;init=1&amp;language=en&amp;pcode=t2020_rt120&amp;plugin=1" TargetMode="External"/><Relationship Id="rId19" Type="http://schemas.openxmlformats.org/officeDocument/2006/relationships/hyperlink" Target="http://www.eea.europa.eu/data-and-maps/indicators/imperviousness-change/assessment" TargetMode="External"/><Relationship Id="rId31" Type="http://schemas.openxmlformats.org/officeDocument/2006/relationships/hyperlink" Target="http://eur-lex.europa.eu/legal-content/EN/TXT/?qid=1481623908600&amp;uri=CELEX:32006L0007" TargetMode="External"/><Relationship Id="rId44" Type="http://schemas.openxmlformats.org/officeDocument/2006/relationships/hyperlink" Target="http://eur-lex.europa.eu/legal-content/EN/TXT/?uri=CELEX:52016SC0045" TargetMode="External"/><Relationship Id="rId52" Type="http://schemas.openxmlformats.org/officeDocument/2006/relationships/hyperlink" Target="http://ec.europa.eu/internal_market/scoreboard/performance_per_policy_area/public_procurement/index_en.htm" TargetMode="External"/><Relationship Id="rId60" Type="http://schemas.openxmlformats.org/officeDocument/2006/relationships/hyperlink" Target="http://www.impel.eu" TargetMode="External"/><Relationship Id="rId65" Type="http://schemas.openxmlformats.org/officeDocument/2006/relationships/hyperlink" Target="https://ec.europa.eu/transparency/regdoc/rep/1/2016/EN/1-2016-204-EN-F1-1.PDF" TargetMode="External"/><Relationship Id="rId73" Type="http://schemas.openxmlformats.org/officeDocument/2006/relationships/hyperlink" Target="http://eur-lex.europa.eu/LexUriServ/LexUriServ.do?uri=CELEX:32007L0002:EN:NOT"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urostat/tgm/table.do?tab=table&amp;init=1&amp;plugin=1&amp;language=en&amp;pcode=tsdpc240" TargetMode="External"/><Relationship Id="rId14" Type="http://schemas.openxmlformats.org/officeDocument/2006/relationships/hyperlink" Target="https://circabc.europa.eu/sd/a/855baa2b-6390-4a00-a45f-cecd436521d6/CZ_20140528.pdf" TargetMode="External"/><Relationship Id="rId22" Type="http://schemas.openxmlformats.org/officeDocument/2006/relationships/hyperlink" Target="http://cdr.eionet.europa.eu/" TargetMode="External"/><Relationship Id="rId27" Type="http://schemas.openxmlformats.org/officeDocument/2006/relationships/hyperlink" Target="http://www.eea.europa.eu/publications/air-quality-in-europe-2016" TargetMode="External"/><Relationship Id="rId30" Type="http://schemas.openxmlformats.org/officeDocument/2006/relationships/hyperlink" Target="http://www.euro.who.int/en/media-centre/sections/press-releases/2011/03/new-evidence-from-who-on-health-effects-of-traffic-related-noise-in-europe" TargetMode="External"/><Relationship Id="rId35" Type="http://schemas.openxmlformats.org/officeDocument/2006/relationships/hyperlink" Target="http://eur-lex.europa.eu/legal-content/EN/TXT/?uri=CELEX%3A31991L0676" TargetMode="External"/><Relationship Id="rId43" Type="http://schemas.openxmlformats.org/officeDocument/2006/relationships/hyperlink" Target="http://eur-lex.europa.eu/legal-content/EN/TXT/?uri=CELEX%3A52016DC0105" TargetMode="External"/><Relationship Id="rId48" Type="http://schemas.openxmlformats.org/officeDocument/2006/relationships/hyperlink" Target="http://ec.europa.eu/environment/urban/tool.htm" TargetMode="External"/><Relationship Id="rId56" Type="http://schemas.openxmlformats.org/officeDocument/2006/relationships/hyperlink" Target="https://cohesiondata.ec.europa.eu/countries" TargetMode="External"/><Relationship Id="rId64" Type="http://schemas.openxmlformats.org/officeDocument/2006/relationships/hyperlink" Target="http://eur-lex.europa.eu/legal-content/EN/TXT/?uri=CELEX%3A32004L0035" TargetMode="External"/><Relationship Id="rId69" Type="http://schemas.openxmlformats.org/officeDocument/2006/relationships/hyperlink" Target="http://www.cizp.cz/file/Ot3/Czech-IRI-Report-Final-v-14-01-16.pdf" TargetMode="External"/><Relationship Id="rId77" Type="http://schemas.openxmlformats.org/officeDocument/2006/relationships/hyperlink" Target="http://inspire-geoportal.ec.europa.eu/resources/INSPIREResourcesReports/resourcesReport_2016-05-09/" TargetMode="External"/><Relationship Id="rId8" Type="http://schemas.openxmlformats.org/officeDocument/2006/relationships/hyperlink" Target="https://ec.europa.eu/environment/ecoap/scoreboard_en" TargetMode="External"/><Relationship Id="rId51" Type="http://schemas.openxmlformats.org/officeDocument/2006/relationships/hyperlink" Target="http://ec.europa.eu/eurostat/tgm/table.do?tab=table&amp;init=1&amp;language=en&amp;pcode=t2020_rt320&amp;plugin=1http://ec.europa.eu/eurostat/en/web/products-datasets/-/T2020_RT320" TargetMode="External"/><Relationship Id="rId72" Type="http://schemas.openxmlformats.org/officeDocument/2006/relationships/hyperlink" Target="http://eur-lex.europa.eu/legal-content/GA/ALL/?uri=CELEX:32003L0004"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nvironment/waste/studies/pdf/study%2012%20FINAL%20REPORT.pdf" TargetMode="External"/><Relationship Id="rId17" Type="http://schemas.openxmlformats.org/officeDocument/2006/relationships/hyperlink" Target="http://eur-lex.europa.eu/legal-content/EN/TXT/?uri=CELEX:52013DC0249" TargetMode="External"/><Relationship Id="rId25" Type="http://schemas.openxmlformats.org/officeDocument/2006/relationships/hyperlink" Target="http://eur-lex.europa.eu/legal-content/EN/TXT/?uri=uriserv:OJ.L_.2016.344.01.0001.01.ENG&amp;toc=OJ:L:2016:344:TOC" TargetMode="External"/><Relationship Id="rId33" Type="http://schemas.openxmlformats.org/officeDocument/2006/relationships/hyperlink" Target="http://eur-lex.europa.eu/legal-content/EN/TXT/?uri=CELEX%3A31998L0083" TargetMode="External"/><Relationship Id="rId38" Type="http://schemas.openxmlformats.org/officeDocument/2006/relationships/hyperlink" Target="http://www.eea.europa.eu/publications/european-bathing-water-quality-2015" TargetMode="External"/><Relationship Id="rId46" Type="http://schemas.openxmlformats.org/officeDocument/2006/relationships/hyperlink" Target="http://www.eea.europa.eu/themes/urban" TargetMode="External"/><Relationship Id="rId59" Type="http://schemas.openxmlformats.org/officeDocument/2006/relationships/hyperlink" Target="http://eur-lex.europa.eu/legal-content/EN/TXT/?uri=CELEX%3A32008L0099http://eur-lex.europa.eu/legal-content/EN/TXT/?uri=CELEX%3A32008L0099" TargetMode="External"/><Relationship Id="rId67" Type="http://schemas.openxmlformats.org/officeDocument/2006/relationships/hyperlink" Target="http://www.cizp.cz/lang/l2" TargetMode="External"/><Relationship Id="rId20" Type="http://schemas.openxmlformats.org/officeDocument/2006/relationships/hyperlink" Target="http://ec.europa.eu/eurostat/statistics-explained/index.php/Agri-environmental_indicator_-_soil_erosion" TargetMode="External"/><Relationship Id="rId41" Type="http://schemas.openxmlformats.org/officeDocument/2006/relationships/hyperlink" Target="http://www.eca.europa.eu/en/Pages/DocItem.aspx?did=32196" TargetMode="External"/><Relationship Id="rId54" Type="http://schemas.openxmlformats.org/officeDocument/2006/relationships/hyperlink" Target="http://ec.europa.eu/environment/gpp/action_plan_en.htm" TargetMode="External"/><Relationship Id="rId62" Type="http://schemas.openxmlformats.org/officeDocument/2006/relationships/hyperlink" Target="http://www.environmentalprosecutors.eu" TargetMode="External"/><Relationship Id="rId70" Type="http://schemas.openxmlformats.org/officeDocument/2006/relationships/hyperlink" Target="http://ec.europa.eu/environment/aarhus/access_studies.htm" TargetMode="External"/><Relationship Id="rId75" Type="http://schemas.openxmlformats.org/officeDocument/2006/relationships/hyperlink" Target="http://inspire.ec.europa.eu/index.cfm/pageid/182"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www.eea.europa.eu/publications/more-from-l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136B3-375D-456C-8C70-D38816849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11436</Words>
  <Characters>64731</Characters>
  <Application>Microsoft Office Word</Application>
  <DocSecurity>0</DocSecurity>
  <Lines>1659</Lines>
  <Paragraphs>371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19</cp:revision>
  <cp:lastPrinted>2016-12-13T10:49:00Z</cp:lastPrinted>
  <dcterms:created xsi:type="dcterms:W3CDTF">2017-01-23T17:16:00Z</dcterms:created>
  <dcterms:modified xsi:type="dcterms:W3CDTF">2017-02-02T17:46:00Z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