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B2BF8A245C4DFD801779C2025D939C" style="width:450.4pt;height:526.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b/>
          <w:noProof/>
          <w:sz w:val="28"/>
          <w:szCs w:val="28"/>
        </w:rPr>
      </w:pPr>
      <w:bookmarkStart w:id="1" w:name="_Toc412809023"/>
      <w:bookmarkStart w:id="2" w:name="_Toc412809358"/>
      <w:bookmarkStart w:id="3" w:name="_Toc412809689"/>
      <w:bookmarkStart w:id="4" w:name="_Toc412817948"/>
      <w:bookmarkStart w:id="5" w:name="_Toc412821532"/>
      <w:bookmarkStart w:id="6" w:name="_GoBack"/>
      <w:bookmarkEnd w:id="6"/>
      <w:r>
        <w:rPr>
          <w:b/>
          <w:noProof/>
          <w:sz w:val="28"/>
        </w:rPr>
        <w:lastRenderedPageBreak/>
        <w:t>Работен документ на службите на Комисията</w:t>
      </w:r>
    </w:p>
    <w:p>
      <w:pPr>
        <w:jc w:val="center"/>
        <w:rPr>
          <w:b/>
          <w:noProof/>
        </w:rPr>
      </w:pPr>
      <w:r>
        <w:rPr>
          <w:b/>
          <w:noProof/>
        </w:rPr>
        <w:t>Оценка на Европейския консенсус за развитие от 2005 г., придружаваща инициативата „Предложение за нов Европейски консенсус за развитие“</w:t>
      </w:r>
    </w:p>
    <w:p>
      <w:pPr>
        <w:rPr>
          <w:noProof/>
        </w:rPr>
      </w:pPr>
    </w:p>
    <w:tbl>
      <w:tblPr>
        <w:tblW w:w="9214" w:type="dxa"/>
        <w:tblInd w:w="108" w:type="dxa"/>
        <w:shd w:val="clear" w:color="auto" w:fill="FFFFFF" w:themeFill="background1"/>
        <w:tblLook w:val="04A0" w:firstRow="1" w:lastRow="0" w:firstColumn="1" w:lastColumn="0" w:noHBand="0" w:noVBand="1"/>
      </w:tblPr>
      <w:tblGrid>
        <w:gridCol w:w="9214"/>
      </w:tblGrid>
      <w:tr>
        <w:tc>
          <w:tcPr>
            <w:tcW w:w="9214" w:type="dxa"/>
            <w:shd w:val="clear" w:color="auto" w:fill="FFFFFF" w:themeFill="background1"/>
          </w:tcPr>
          <w:p>
            <w:pPr>
              <w:pStyle w:val="Heading1"/>
              <w:numPr>
                <w:ilvl w:val="0"/>
                <w:numId w:val="0"/>
              </w:numPr>
              <w:ind w:left="480" w:hanging="480"/>
              <w:jc w:val="left"/>
              <w:rPr>
                <w:b w:val="0"/>
                <w:noProof/>
              </w:rPr>
            </w:pPr>
            <w:r>
              <w:rPr>
                <w:noProof/>
                <w:sz w:val="36"/>
              </w:rPr>
              <w:t>Резюме</w:t>
            </w:r>
            <w:r>
              <w:rPr>
                <w:noProof/>
              </w:rPr>
              <w:t xml:space="preserve"> </w:t>
            </w:r>
          </w:p>
        </w:tc>
      </w:tr>
    </w:tbl>
    <w:p>
      <w:pPr>
        <w:rPr>
          <w:rFonts w:eastAsia="Calibri"/>
          <w:bCs/>
          <w:noProof/>
        </w:rPr>
      </w:pPr>
      <w:r>
        <w:rPr>
          <w:noProof/>
        </w:rPr>
        <w:t>Настоящият Работен документ на службите на Комисията (SWD) придружава Съобщението до Европейския парламент и Съвета относно „Предложение за нов Европейски консенсус за развитие“. В съответствие с пътната карта</w:t>
      </w:r>
      <w:r>
        <w:rPr>
          <w:rStyle w:val="FootnoteReference"/>
          <w:noProof/>
        </w:rPr>
        <w:footnoteReference w:id="1"/>
      </w:r>
      <w:r>
        <w:rPr>
          <w:noProof/>
        </w:rPr>
        <w:t xml:space="preserve"> целта на Работния документ на службите на Комисията е да предостави преглед на резултатите от наличните оценки. По този начин в Работния документ на службите на Комисията се анализира степента, в която ЕС и неговите държави членки са привели своите политики и стратегии в съответствие с целите, ценностите и принципите на Европейския консенсус за развитие</w:t>
      </w:r>
      <w:r>
        <w:rPr>
          <w:rStyle w:val="FootnoteReference"/>
          <w:noProof/>
        </w:rPr>
        <w:footnoteReference w:id="2"/>
      </w:r>
      <w:r>
        <w:rPr>
          <w:noProof/>
        </w:rPr>
        <w:t>, а също и преглед на степента, в която Консенсусът е направлявал възложените на ЕС дейности за сътрудничество за развитие и тяхното изпълнение.</w:t>
      </w:r>
    </w:p>
    <w:p>
      <w:pPr>
        <w:rPr>
          <w:rFonts w:eastAsia="Calibri"/>
          <w:bCs/>
          <w:noProof/>
          <w:highlight w:val="yellow"/>
        </w:rPr>
      </w:pPr>
      <w:r>
        <w:rPr>
          <w:noProof/>
        </w:rPr>
        <w:t>Констатациите показват, че ЕС и държавите членки като цяло са включили в своите политики за развитие целите на Европейския консенсус за развитие, като например намаляване на бедността, устойчиво развитие и преследване на Целите на хилядолетието за развитие (ЦХР). В общи линии се наблюдава и съответствие с общите ценности на Консенсуса за зачитане на правата на човека, основните свободи, мира, демокрацията, доброто управление, равенството между половете, принципите на правовата държава, солидарността и справедливостта. Установена е значителна степен на съответствие между принципите на Консенсуса, като ангажираност и партньорство, политически диалог, участие на гражданското общество, включване на въпросите на пола и уязвимостта, и политиките на ЕС и държавите членки, въпреки че някои принципи невинаги са били последвани от ясно определени стратегии. По отношение на по-добрата съвместна работа ЕС и държавите членки проявиха висока степен на ангажираност към увеличаване на координацията и взаимното допълване, както и към подобряване на помощта и ефективността на развитието. Това се потвърждава от тяхната водеща роля на международни форуми и от конкретни стъпки за увеличаване на прозрачността, приобщаващите партньорства и координацията, която намира израз по-специално в значителен напредък в съвместното програмиране.</w:t>
      </w:r>
    </w:p>
    <w:p>
      <w:pPr>
        <w:ind w:right="-29"/>
        <w:rPr>
          <w:rFonts w:eastAsia="Calibri"/>
          <w:bCs/>
          <w:noProof/>
        </w:rPr>
      </w:pPr>
      <w:r>
        <w:rPr>
          <w:noProof/>
        </w:rPr>
        <w:t xml:space="preserve">Данните показват практическата значимост и ефективността на Консенсуса при насочването на сътрудничеството на ЕС за развитие и приноса за неговите цели, по-специално намаляване на бедността особено чрез подкрепа за продоволствената сигурност, образованието и здравеопазването, както и за растежа, а именно чрез подкрепа за макроикономическата стабилност, търговията и инфраструктурата. По същия начин Консенсусът намери израз в диференциране на разпределението на </w:t>
      </w:r>
      <w:r>
        <w:rPr>
          <w:noProof/>
        </w:rPr>
        <w:lastRenderedPageBreak/>
        <w:t>ресурсите към най-нуждаещите се държави, използването на иновативни условия за помощ и засилен ангажимент за съгласуваност на политиките за развитие.</w:t>
      </w:r>
    </w:p>
    <w:p>
      <w:pPr>
        <w:ind w:right="-29"/>
        <w:rPr>
          <w:rFonts w:eastAsia="Calibri"/>
          <w:bCs/>
          <w:noProof/>
        </w:rPr>
      </w:pPr>
      <w:r>
        <w:rPr>
          <w:noProof/>
        </w:rPr>
        <w:t>Според партньорските проверки на Комитета за подпомагане на развитието на Организацията за икономическо сътрудничество и развитие (ОИСР/КПР) Консенсусът е „важен стратегически успех“</w:t>
      </w:r>
      <w:r>
        <w:rPr>
          <w:rStyle w:val="FootnoteReference"/>
          <w:noProof/>
        </w:rPr>
        <w:footnoteReference w:id="3"/>
      </w:r>
      <w:r>
        <w:rPr>
          <w:noProof/>
        </w:rPr>
        <w:t xml:space="preserve"> и „ключов фактор“</w:t>
      </w:r>
      <w:r>
        <w:rPr>
          <w:rStyle w:val="FootnoteReference"/>
          <w:noProof/>
        </w:rPr>
        <w:footnoteReference w:id="4"/>
      </w:r>
      <w:r>
        <w:rPr>
          <w:noProof/>
        </w:rPr>
        <w:t>. Данните действително показват, че Консенсусът е имал добавена стойност за насърчаването на споделена и обща визия за сътрудничеството за развитие на ЕС и на държавите членки, а за новите държави членки той е оказал пряко влияние върху оформянето на техните политики за развитие. Консенсусът е имал важна роля и за насочването на сътрудничеството на ЕС за развитие, което все повече се адаптира към неговите приоритети и принципи. Консенсусът също така увеличава добавената стойност за ЕС, като позволява на Съюза да играе водеща роля, например при насърчаването на съвместното програмиране и при изразяването на възгледите на ЕС и на държавите членки по международни споразумения. Като цяло Консенсусът има ключова роля, като насърчава и дава нов импулс на политиката на ЕС за развитие.</w:t>
      </w:r>
    </w:p>
    <w:bookmarkEnd w:id="1"/>
    <w:bookmarkEnd w:id="2"/>
    <w:bookmarkEnd w:id="3"/>
    <w:bookmarkEnd w:id="4"/>
    <w:bookmarkEnd w:id="5"/>
    <w:p>
      <w:pPr>
        <w:pStyle w:val="ListParagraph"/>
        <w:ind w:left="0" w:right="-29"/>
        <w:contextualSpacing w:val="0"/>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ercury Text G3">
    <w:altName w:val="Mercury Text G3"/>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7217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jc w:val="left"/>
      </w:pPr>
      <w:r>
        <w:rPr>
          <w:rStyle w:val="FootnoteReference"/>
        </w:rPr>
        <w:footnoteRef/>
      </w:r>
      <w:hyperlink r:id="rId1">
        <w:r>
          <w:rPr>
            <w:rStyle w:val="Hyperlink"/>
          </w:rPr>
          <w:t>http://ec.europa.eu/smart-regulation/roadmaps/docs/2016_devco_003_european_consensus_on_development_en.pdf</w:t>
        </w:r>
      </w:hyperlink>
      <w:r>
        <w:t xml:space="preserve"> </w:t>
      </w:r>
    </w:p>
  </w:footnote>
  <w:footnote w:id="2">
    <w:p>
      <w:pPr>
        <w:pStyle w:val="FootnoteText"/>
        <w:jc w:val="left"/>
        <w:rPr>
          <w:sz w:val="18"/>
          <w:szCs w:val="18"/>
        </w:rPr>
      </w:pPr>
      <w:r>
        <w:rPr>
          <w:rStyle w:val="FootnoteReference"/>
        </w:rPr>
        <w:footnoteRef/>
      </w:r>
      <w:r>
        <w:t xml:space="preserve"> </w:t>
      </w:r>
      <w:r>
        <w:rPr>
          <w:sz w:val="18"/>
        </w:rPr>
        <w:t>Достъпно на: http://eur-lex.europa.eu/LexUriServ/LexUriServ.do?uri=OJ%3AC%3A2006%3A046%3A0001%3A0019%3AEN%3APDF.</w:t>
      </w:r>
    </w:p>
  </w:footnote>
  <w:footnote w:id="3">
    <w:p>
      <w:pPr>
        <w:pStyle w:val="FootnoteText"/>
      </w:pPr>
      <w:r>
        <w:rPr>
          <w:rStyle w:val="FootnoteReference"/>
        </w:rPr>
        <w:footnoteRef/>
      </w:r>
      <w:r>
        <w:t xml:space="preserve"> ОИСР/КПР, </w:t>
      </w:r>
      <w:r>
        <w:rPr>
          <w:i/>
        </w:rPr>
        <w:t>Peer Review of the European Community</w:t>
      </w:r>
      <w:r>
        <w:t xml:space="preserve"> [</w:t>
      </w:r>
      <w:r>
        <w:rPr>
          <w:i/>
        </w:rPr>
        <w:t>Партньорска проверка на Европейската общност</w:t>
      </w:r>
      <w:r>
        <w:t xml:space="preserve">], 2007 г., достъпно на адрес: </w:t>
      </w:r>
      <w:hyperlink r:id="rId2">
        <w:r>
          <w:rPr>
            <w:rStyle w:val="Hyperlink"/>
          </w:rPr>
          <w:t>http://www.oecd.org/dac/peer-reviews/38965119.pdf</w:t>
        </w:r>
      </w:hyperlink>
      <w:r>
        <w:t>, стр. 13.</w:t>
      </w:r>
    </w:p>
  </w:footnote>
  <w:footnote w:id="4">
    <w:p>
      <w:pPr>
        <w:pStyle w:val="FootnoteText"/>
      </w:pPr>
      <w:r>
        <w:rPr>
          <w:rStyle w:val="FootnoteReference"/>
        </w:rPr>
        <w:footnoteRef/>
      </w:r>
      <w:r>
        <w:t xml:space="preserve"> ОИСР/КПР, </w:t>
      </w:r>
      <w:r>
        <w:rPr>
          <w:i/>
        </w:rPr>
        <w:t>Peer Review of the European Union</w:t>
      </w:r>
      <w:r>
        <w:t xml:space="preserve"> [</w:t>
      </w:r>
      <w:r>
        <w:rPr>
          <w:i/>
        </w:rPr>
        <w:t>Партньорска проверка на Европейския съюз</w:t>
      </w:r>
      <w:r>
        <w:t xml:space="preserve">], 2012 г., достъпно на адрес: </w:t>
      </w:r>
      <w:hyperlink r:id="rId3">
        <w:r>
          <w:rPr>
            <w:rStyle w:val="Hyperlink"/>
          </w:rPr>
          <w:t>http://www.oecd.org/dac/peer-reviews/50155684.pdf</w:t>
        </w:r>
      </w:hyperlink>
      <w:r>
        <w:t>, стр.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BC8"/>
    <w:multiLevelType w:val="hybridMultilevel"/>
    <w:tmpl w:val="86A29C56"/>
    <w:lvl w:ilvl="0" w:tplc="0896BBD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3A345A7"/>
    <w:multiLevelType w:val="hybridMultilevel"/>
    <w:tmpl w:val="BC34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34306"/>
    <w:multiLevelType w:val="multilevel"/>
    <w:tmpl w:val="12F0040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
    <w:nsid w:val="49E35FBC"/>
    <w:multiLevelType w:val="hybridMultilevel"/>
    <w:tmpl w:val="1008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F57190"/>
    <w:multiLevelType w:val="hybridMultilevel"/>
    <w:tmpl w:val="FD043DC4"/>
    <w:lvl w:ilvl="0" w:tplc="056E9508">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53621964"/>
    <w:multiLevelType w:val="hybridMultilevel"/>
    <w:tmpl w:val="FD043DC4"/>
    <w:lvl w:ilvl="0" w:tplc="056E9508">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8">
    <w:nsid w:val="6D397A5A"/>
    <w:multiLevelType w:val="hybridMultilevel"/>
    <w:tmpl w:val="FA96FC48"/>
    <w:lvl w:ilvl="0" w:tplc="F2E278C6">
      <w:start w:val="1"/>
      <w:numFmt w:val="decimal"/>
      <w:pStyle w:val="Tablenumberinglevel1"/>
      <w:lvlText w:val="%1."/>
      <w:lvlJc w:val="left"/>
      <w:pPr>
        <w:tabs>
          <w:tab w:val="num" w:pos="284"/>
        </w:tabs>
        <w:ind w:left="28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3F31C3"/>
    <w:multiLevelType w:val="hybridMultilevel"/>
    <w:tmpl w:val="FD043DC4"/>
    <w:lvl w:ilvl="0" w:tplc="056E9508">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4"/>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6"/>
  </w:num>
  <w:num w:numId="11">
    <w:abstractNumId w:val="9"/>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61B2BF8A245C4DFD801779C2025D939C"/>
    <w:docVar w:name="LW_CROSSREFERENCE" w:val="{COM(2016) 740 final}_x000b_{SWD(2016) 387 final}_x000b_{SWD(2016) 389 final}"/>
    <w:docVar w:name="LW_DocType" w:val="NORMAL"/>
    <w:docVar w:name="LW_EMISSION" w:val="22.11.2016"/>
    <w:docVar w:name="LW_EMISSION_ISODATE" w:val="2016-11-22"/>
    <w:docVar w:name="LW_EMISSION_LOCATION" w:val="STR"/>
    <w:docVar w:name="LW_EMISSION_PREFIX" w:val="Страсбург, "/>
    <w:docVar w:name="LW_EMISSION_SUFFIX" w:val=" \u1075?."/>
    <w:docVar w:name="LW_ID_DOCTYPE_NONLW" w:val="CP-025"/>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88?\u1077?\u1076?\u1083?\u1086?\u1078?\u1077?\u1085?\u1080?\u1077? \u1079?\u1072?_x000b_\u1085?\u1086?\u1074? \u1045?\u1074?\u1088?\u1086?\u1087?\u1077?\u1081?\u1089?\u1082?\u1080? \u1082?\u1086?\u1085?\u1089?\u1077?\u1085?\u1089?\u1091?\u1089? \u1079?\u1072? \u1088?\u1072?\u1079?\u1074?\u1080?\u1090?\u1080?\u1077?_x000b_\u1053?\u1072?\u1096?\u1080?\u1103?\u1090? \u1089?\u1074?\u1103?\u1090?, \u1085?\u1072?\u1096?\u1077?\u1090?\u1086? \u1076?\u1086?\u1089?\u1090?\u1086?\u1081?\u1085?\u1086?\u1089?\u1090?\u1074?\u1086?, \u1085?\u1072?\u1096?\u1077?\u1090?\u1086? \u1073?\u1098?\u1076?\u1077?\u1097?\u1077?_x000b_"/>
    <w:docVar w:name="LW_PART_NBR" w:val="1"/>
    <w:docVar w:name="LW_PART_NBR_TOTAL" w:val="1"/>
    <w:docVar w:name="LW_REF.INST.NEW" w:val="SWD"/>
    <w:docVar w:name="LW_REF.INST.NEW_ADOPTED" w:val="final"/>
    <w:docVar w:name="LW_REF.INST.NEW_TEXT" w:val="(2016) 388"/>
    <w:docVar w:name="LW_REF.INTERNE" w:val="&lt;UNUSED&gt;"/>
    <w:docVar w:name="LW_SUPERTITRE" w:val="&lt;UNUSED&gt;"/>
    <w:docVar w:name="LW_TITRE.OBJ.CP" w:val="\u1054?\u1094?\u1077?\u1085?\u1082?\u1072? \u1085?\u1072? \u1045?\u1074?\u1088?\u1086?\u1087?\u1077?\u1081?\u1089?\u1082?\u1080?\u1103? \u1082?\u1086?\u1085?\u1089?\u1077?\u1085?\u1089?\u1091?\u1089? \u1079?\u1072? \u1088?\u1072?\u1079?\u1074?\u1080?\u1090?\u1080?\u1077? \u1086?\u1090? 2005 \u1075?., \u1087?\u1088?\u1080?\u1076?\u1088?\u1091?\u1078?\u1072?\u1074?\u1072?\u1097?\u1072? \u1080?\u1085?\u1080?\u1094?\u1080?\u1072?\u1090?\u1080?\u1074?\u1072?\u1090?\u1072? \u8222?\u1055?\u1088?\u1077?\u1076?\u1083?\u1086?\u1078?\u1077?\u1085?\u1080?\u1077? \u1079?\u1072? \u1085?\u1086?\u1074? \u1045?\u1074?\u1088?\u1086?\u1087?\u1077?\u1081?\u1089?\u1082?\u1080? \u1082?\u1086?\u1085?\u1089?\u1077?\u1085?\u1089?\u1091?\u1089? \u1079?\u1072? \u1088?\u1072?\u1079?\u1074?\u1080?\u1090?\u1080?\u1077?\u8220?_x000b__x000b_\u1056?\u1077?\u1079?\u1102?\u1084?\u1077?"/>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3"/>
      </w:numPr>
      <w:spacing w:before="240"/>
      <w:outlineLvl w:val="0"/>
    </w:pPr>
    <w:rPr>
      <w:b/>
      <w:smallCaps/>
    </w:rPr>
  </w:style>
  <w:style w:type="paragraph" w:styleId="Heading2">
    <w:name w:val="heading 2"/>
    <w:basedOn w:val="Normal"/>
    <w:next w:val="Normal"/>
    <w:link w:val="Heading2Char"/>
    <w:qFormat/>
    <w:pPr>
      <w:keepNext/>
      <w:numPr>
        <w:ilvl w:val="1"/>
        <w:numId w:val="3"/>
      </w:numPr>
      <w:outlineLvl w:val="1"/>
    </w:pPr>
    <w:rPr>
      <w:b/>
    </w:rPr>
  </w:style>
  <w:style w:type="paragraph" w:styleId="Heading3">
    <w:name w:val="heading 3"/>
    <w:basedOn w:val="Normal"/>
    <w:next w:val="Normal"/>
    <w:link w:val="Heading3Char"/>
    <w:qFormat/>
    <w:pPr>
      <w:keepNext/>
      <w:numPr>
        <w:ilvl w:val="2"/>
        <w:numId w:val="3"/>
      </w:numPr>
      <w:outlineLvl w:val="2"/>
    </w:pPr>
    <w:rPr>
      <w:i/>
    </w:rPr>
  </w:style>
  <w:style w:type="paragraph" w:styleId="Heading4">
    <w:name w:val="heading 4"/>
    <w:basedOn w:val="Normal"/>
    <w:next w:val="Normal"/>
    <w:link w:val="Heading4Char"/>
    <w:qFormat/>
    <w:pPr>
      <w:keepNext/>
      <w:numPr>
        <w:ilvl w:val="3"/>
        <w:numId w:val="3"/>
      </w:numPr>
      <w:outlineLvl w:val="3"/>
    </w:pPr>
  </w:style>
  <w:style w:type="paragraph" w:styleId="Heading6">
    <w:name w:val="heading 6"/>
    <w:basedOn w:val="Normal"/>
    <w:next w:val="Normal"/>
    <w:link w:val="Heading6Char"/>
    <w:unhideWhenUsed/>
    <w:qFormat/>
    <w:pPr>
      <w:keepNext/>
      <w:tabs>
        <w:tab w:val="num" w:pos="1152"/>
      </w:tabs>
      <w:spacing w:before="60" w:after="60"/>
      <w:ind w:left="1152" w:hanging="1152"/>
      <w:jc w:val="center"/>
      <w:outlineLvl w:val="5"/>
    </w:pPr>
    <w:rPr>
      <w:rFonts w:ascii="Arial" w:hAnsi="Arial" w:cs="Arial"/>
      <w:color w:val="000000"/>
      <w:sz w:val="16"/>
      <w:lang w:val="fr-FR" w:eastAsia="en-GB"/>
    </w:rPr>
  </w:style>
  <w:style w:type="paragraph" w:styleId="Heading7">
    <w:name w:val="heading 7"/>
    <w:basedOn w:val="Normal"/>
    <w:next w:val="Normal"/>
    <w:link w:val="Heading7Char"/>
    <w:unhideWhenUsed/>
    <w:pPr>
      <w:keepNext/>
      <w:tabs>
        <w:tab w:val="left" w:pos="1134"/>
        <w:tab w:val="num" w:pos="1296"/>
      </w:tabs>
      <w:spacing w:before="60" w:after="60" w:line="192" w:lineRule="exact"/>
      <w:ind w:left="1296" w:hanging="1296"/>
      <w:jc w:val="center"/>
      <w:outlineLvl w:val="6"/>
    </w:pPr>
    <w:rPr>
      <w:rFonts w:ascii="Arial" w:hAnsi="Arial" w:cs="Arial"/>
      <w:color w:val="000000"/>
      <w:sz w:val="16"/>
      <w:lang w:val="fr-FR" w:eastAsia="en-GB"/>
    </w:rPr>
  </w:style>
  <w:style w:type="paragraph" w:styleId="Heading8">
    <w:name w:val="heading 8"/>
    <w:basedOn w:val="Normal"/>
    <w:next w:val="Normal"/>
    <w:link w:val="Heading8Char"/>
    <w:unhideWhenUsed/>
    <w:qFormat/>
    <w:pPr>
      <w:keepNext/>
      <w:tabs>
        <w:tab w:val="num" w:pos="1440"/>
      </w:tabs>
      <w:spacing w:before="60" w:after="60"/>
      <w:ind w:left="1440" w:hanging="1440"/>
      <w:jc w:val="center"/>
      <w:outlineLvl w:val="7"/>
    </w:pPr>
    <w:rPr>
      <w:rFonts w:ascii="Arial" w:hAnsi="Arial" w:cs="Arial"/>
      <w:color w:val="000000"/>
      <w:sz w:val="16"/>
      <w:lang w:val="fr-BE" w:eastAsia="en-GB"/>
    </w:rPr>
  </w:style>
  <w:style w:type="paragraph" w:styleId="Heading9">
    <w:name w:val="heading 9"/>
    <w:basedOn w:val="Normal"/>
    <w:next w:val="Normal"/>
    <w:link w:val="Heading9Char"/>
    <w:unhideWhenUsed/>
    <w:qFormat/>
    <w:pPr>
      <w:keepNext/>
      <w:tabs>
        <w:tab w:val="num" w:pos="1584"/>
      </w:tabs>
      <w:spacing w:after="0"/>
      <w:ind w:left="1584" w:hanging="1584"/>
      <w:jc w:val="center"/>
      <w:outlineLvl w:val="8"/>
    </w:pPr>
    <w:rPr>
      <w:rFonts w:ascii="Arial" w:hAnsi="Arial" w:cs="Arial"/>
      <w:color w:val="000000"/>
      <w:sz w:val="16"/>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link w:val="ListBulletChar"/>
    <w:pPr>
      <w:numPr>
        <w:numId w:val="1"/>
      </w:numPr>
    </w:pPr>
  </w:style>
  <w:style w:type="paragraph" w:customStyle="1" w:styleId="ListDash1">
    <w:name w:val="List Dash 1"/>
    <w:basedOn w:val="Normal"/>
    <w:pPr>
      <w:numPr>
        <w:numId w:val="2"/>
      </w:numPr>
    </w:pPr>
  </w:style>
  <w:style w:type="character" w:customStyle="1" w:styleId="ListBulletChar">
    <w:name w:val="List Bullet Char"/>
    <w:link w:val="ListBullet"/>
    <w:locked/>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Testo nota a piè di pagina Carattere,Footnote Text Char Char Char Char Char,Footnote Text Char Char Char Char,Footnote Text Char Char Char,Fußnotentextf,single space,footnote text,FOOTNOTES,fn,ADB,Footnote Text Char1 Char1,f,Char Char Char"/>
    <w:basedOn w:val="Normal"/>
    <w:link w:val="FootnoteTextChar"/>
    <w:uiPriority w:val="99"/>
    <w:unhideWhenUsed/>
    <w:qFormat/>
    <w:pPr>
      <w:spacing w:after="0"/>
    </w:pPr>
    <w:rPr>
      <w:sz w:val="20"/>
    </w:rPr>
  </w:style>
  <w:style w:type="character" w:customStyle="1" w:styleId="FootnoteTextChar">
    <w:name w:val="Footnote Text Char"/>
    <w:aliases w:val="Testo nota a piè di pagina Carattere Char,Footnote Text Char Char Char Char Char Char,Footnote Text Char Char Char Char Char1,Footnote Text Char Char Char Char1,Fußnotentextf Char,single space Char,footnote text Char,FOOTNOTES Char"/>
    <w:basedOn w:val="DefaultParagraphFont"/>
    <w:link w:val="FootnoteText"/>
    <w:uiPriority w:val="99"/>
    <w:rPr>
      <w:rFonts w:ascii="Times New Roman" w:eastAsia="Times New Roman" w:hAnsi="Times New Roman" w:cs="Times New Roman"/>
      <w:sz w:val="20"/>
      <w:szCs w:val="20"/>
    </w:rPr>
  </w:style>
  <w:style w:type="character" w:customStyle="1" w:styleId="Heading6Char">
    <w:name w:val="Heading 6 Char"/>
    <w:basedOn w:val="DefaultParagraphFont"/>
    <w:link w:val="Heading6"/>
    <w:rPr>
      <w:rFonts w:ascii="Arial" w:eastAsia="Times New Roman" w:hAnsi="Arial" w:cs="Arial"/>
      <w:color w:val="000000"/>
      <w:sz w:val="16"/>
      <w:szCs w:val="20"/>
      <w:lang w:val="fr-FR" w:eastAsia="en-GB"/>
    </w:rPr>
  </w:style>
  <w:style w:type="character" w:customStyle="1" w:styleId="Heading7Char">
    <w:name w:val="Heading 7 Char"/>
    <w:basedOn w:val="DefaultParagraphFont"/>
    <w:link w:val="Heading7"/>
    <w:rPr>
      <w:rFonts w:ascii="Arial" w:eastAsia="Times New Roman" w:hAnsi="Arial" w:cs="Arial"/>
      <w:color w:val="000000"/>
      <w:sz w:val="16"/>
      <w:szCs w:val="20"/>
      <w:lang w:val="fr-FR" w:eastAsia="en-GB"/>
    </w:rPr>
  </w:style>
  <w:style w:type="character" w:customStyle="1" w:styleId="Heading8Char">
    <w:name w:val="Heading 8 Char"/>
    <w:basedOn w:val="DefaultParagraphFont"/>
    <w:link w:val="Heading8"/>
    <w:rPr>
      <w:rFonts w:ascii="Arial" w:eastAsia="Times New Roman" w:hAnsi="Arial" w:cs="Arial"/>
      <w:color w:val="000000"/>
      <w:sz w:val="16"/>
      <w:szCs w:val="20"/>
      <w:lang w:val="fr-BE" w:eastAsia="en-GB"/>
    </w:rPr>
  </w:style>
  <w:style w:type="character" w:customStyle="1" w:styleId="Heading9Char">
    <w:name w:val="Heading 9 Char"/>
    <w:basedOn w:val="DefaultParagraphFont"/>
    <w:link w:val="Heading9"/>
    <w:rPr>
      <w:rFonts w:ascii="Arial" w:eastAsia="Times New Roman" w:hAnsi="Arial" w:cs="Arial"/>
      <w:color w:val="000000"/>
      <w:sz w:val="16"/>
      <w:szCs w:val="20"/>
      <w:lang w:val="fr-FR" w:eastAsia="en-GB"/>
    </w:rPr>
  </w:style>
  <w:style w:type="character" w:styleId="FootnoteReference">
    <w:name w:val="footnote reference"/>
    <w:aliases w:val="BVI fnr,ftref,Char Char Char Char Carattere Char,Char Char Car Car Char Char Char Char Carattere Char,Char Char Char Char Char Carattere Char,Char Char Car Car Char Char Char Char Char Char Carattere Char Char, BVI fnr, Car1,Car1,Ref"/>
    <w:link w:val="BVIfnrCharCar1CarChar"/>
    <w:uiPriority w:val="99"/>
    <w:qFormat/>
    <w:rPr>
      <w:rFonts w:ascii="Arial" w:hAnsi="Arial"/>
      <w:sz w:val="18"/>
      <w:vertAlign w:val="superscript"/>
    </w:rPr>
  </w:style>
  <w:style w:type="paragraph" w:customStyle="1" w:styleId="Tablenumberinglevel1">
    <w:name w:val="Table numbering level 1"/>
    <w:basedOn w:val="Normal"/>
    <w:pPr>
      <w:keepNext/>
      <w:widowControl w:val="0"/>
      <w:numPr>
        <w:numId w:val="4"/>
      </w:numPr>
      <w:tabs>
        <w:tab w:val="clear" w:pos="284"/>
        <w:tab w:val="num" w:pos="360"/>
      </w:tabs>
      <w:suppressAutoHyphens/>
      <w:spacing w:after="0"/>
      <w:ind w:left="360"/>
      <w:jc w:val="left"/>
    </w:pPr>
    <w:rPr>
      <w:rFonts w:ascii="Arial" w:hAnsi="Arial"/>
      <w:bCs/>
      <w:snapToGrid w:val="0"/>
      <w:sz w:val="18"/>
      <w:szCs w:val="24"/>
      <w:lang w:val="fr-FR" w:eastAsia="en-GB"/>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pPr>
      <w:spacing w:before="30" w:after="160" w:line="240" w:lineRule="exact"/>
    </w:pPr>
    <w:rPr>
      <w:rFonts w:ascii="Arial" w:eastAsiaTheme="minorHAnsi" w:hAnsi="Arial" w:cstheme="minorBidi"/>
      <w:sz w:val="18"/>
      <w:szCs w:val="22"/>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aption">
    <w:name w:val="caption"/>
    <w:aliases w:val="Textbox,Légende F,Légende  F"/>
    <w:basedOn w:val="Normal"/>
    <w:next w:val="Normal"/>
    <w:link w:val="CaptionChar"/>
    <w:qFormat/>
    <w:pPr>
      <w:keepNext/>
      <w:tabs>
        <w:tab w:val="left" w:pos="1525"/>
      </w:tabs>
      <w:spacing w:before="120" w:after="60"/>
      <w:ind w:left="1525" w:hanging="1525"/>
    </w:pPr>
    <w:rPr>
      <w:rFonts w:ascii="Arial" w:hAnsi="Arial"/>
      <w:bCs/>
      <w:i/>
      <w:sz w:val="22"/>
      <w:szCs w:val="24"/>
      <w:lang w:val="fr-FR"/>
    </w:rPr>
  </w:style>
  <w:style w:type="paragraph" w:customStyle="1" w:styleId="Table">
    <w:name w:val="Table"/>
    <w:basedOn w:val="Normal"/>
    <w:link w:val="TableCharChar"/>
    <w:qFormat/>
    <w:pPr>
      <w:keepNext/>
      <w:keepLines/>
      <w:spacing w:before="60" w:after="60"/>
      <w:jc w:val="left"/>
    </w:pPr>
    <w:rPr>
      <w:rFonts w:ascii="Arial" w:hAnsi="Arial" w:cs="Arial"/>
      <w:color w:val="000000"/>
      <w:sz w:val="18"/>
      <w:szCs w:val="18"/>
      <w:lang w:val="fr-FR" w:eastAsia="en-GB"/>
    </w:rPr>
  </w:style>
  <w:style w:type="paragraph" w:customStyle="1" w:styleId="Tabletitlecell">
    <w:name w:val="Table title cell"/>
    <w:basedOn w:val="Table"/>
    <w:pPr>
      <w:jc w:val="center"/>
    </w:pPr>
    <w:rPr>
      <w:b/>
      <w:bCs/>
      <w:i/>
      <w:iCs/>
      <w:color w:val="FFFFFF" w:themeColor="background1"/>
      <w:sz w:val="20"/>
    </w:rPr>
  </w:style>
  <w:style w:type="character" w:customStyle="1" w:styleId="CaptionChar">
    <w:name w:val="Caption Char"/>
    <w:aliases w:val="Textbox Char,Légende F Char,Légende  F Char"/>
    <w:basedOn w:val="DefaultParagraphFont"/>
    <w:link w:val="Caption"/>
    <w:rPr>
      <w:rFonts w:ascii="Arial" w:eastAsia="Times New Roman" w:hAnsi="Arial" w:cs="Times New Roman"/>
      <w:bCs/>
      <w:i/>
      <w:szCs w:val="24"/>
      <w:lang w:val="fr-FR"/>
    </w:rPr>
  </w:style>
  <w:style w:type="character" w:customStyle="1" w:styleId="TableCharChar">
    <w:name w:val="Table Char Char"/>
    <w:link w:val="Table"/>
    <w:rPr>
      <w:rFonts w:ascii="Arial" w:eastAsia="Times New Roman" w:hAnsi="Arial" w:cs="Arial"/>
      <w:color w:val="000000"/>
      <w:sz w:val="18"/>
      <w:szCs w:val="18"/>
      <w:lang w:val="fr-FR" w:eastAsia="en-GB"/>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A13">
    <w:name w:val="A13"/>
    <w:uiPriority w:val="99"/>
    <w:rPr>
      <w:rFonts w:cs="Mercury Text G3"/>
      <w:color w:val="000000"/>
      <w:sz w:val="21"/>
      <w:szCs w:val="21"/>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Strong">
    <w:name w:val="Strong"/>
    <w:basedOn w:val="DefaultParagraphFont"/>
    <w:uiPriority w:val="22"/>
    <w:qFormat/>
    <w:rPr>
      <w:rFonts w:ascii="Times New Roman" w:hAnsi="Times New Roman" w:cs="Times New Roman" w:hint="default"/>
      <w:b/>
      <w:bCs/>
    </w:rPr>
  </w:style>
  <w:style w:type="paragraph" w:styleId="TOC3">
    <w:name w:val="toc 3"/>
    <w:basedOn w:val="Normal"/>
    <w:next w:val="Normal"/>
    <w:autoRedefine/>
    <w:uiPriority w:val="39"/>
    <w:unhideWhenUsed/>
    <w:pPr>
      <w:spacing w:after="100"/>
      <w:ind w:left="480"/>
    </w:p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4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48"/>
    </w:rPr>
  </w:style>
  <w:style w:type="paragraph" w:customStyle="1" w:styleId="HeaderCoverPage">
    <w:name w:val="Header Cover Page"/>
    <w:basedOn w:val="Normal"/>
    <w:link w:val="HeaderCoverPageChar"/>
    <w:pPr>
      <w:tabs>
        <w:tab w:val="center" w:pos="4535"/>
        <w:tab w:val="right" w:pos="9071"/>
      </w:tabs>
      <w:spacing w:after="120"/>
    </w:pPr>
    <w:rPr>
      <w:szCs w:val="4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4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3"/>
      </w:numPr>
      <w:spacing w:before="240"/>
      <w:outlineLvl w:val="0"/>
    </w:pPr>
    <w:rPr>
      <w:b/>
      <w:smallCaps/>
    </w:rPr>
  </w:style>
  <w:style w:type="paragraph" w:styleId="Heading2">
    <w:name w:val="heading 2"/>
    <w:basedOn w:val="Normal"/>
    <w:next w:val="Normal"/>
    <w:link w:val="Heading2Char"/>
    <w:qFormat/>
    <w:pPr>
      <w:keepNext/>
      <w:numPr>
        <w:ilvl w:val="1"/>
        <w:numId w:val="3"/>
      </w:numPr>
      <w:outlineLvl w:val="1"/>
    </w:pPr>
    <w:rPr>
      <w:b/>
    </w:rPr>
  </w:style>
  <w:style w:type="paragraph" w:styleId="Heading3">
    <w:name w:val="heading 3"/>
    <w:basedOn w:val="Normal"/>
    <w:next w:val="Normal"/>
    <w:link w:val="Heading3Char"/>
    <w:qFormat/>
    <w:pPr>
      <w:keepNext/>
      <w:numPr>
        <w:ilvl w:val="2"/>
        <w:numId w:val="3"/>
      </w:numPr>
      <w:outlineLvl w:val="2"/>
    </w:pPr>
    <w:rPr>
      <w:i/>
    </w:rPr>
  </w:style>
  <w:style w:type="paragraph" w:styleId="Heading4">
    <w:name w:val="heading 4"/>
    <w:basedOn w:val="Normal"/>
    <w:next w:val="Normal"/>
    <w:link w:val="Heading4Char"/>
    <w:qFormat/>
    <w:pPr>
      <w:keepNext/>
      <w:numPr>
        <w:ilvl w:val="3"/>
        <w:numId w:val="3"/>
      </w:numPr>
      <w:outlineLvl w:val="3"/>
    </w:pPr>
  </w:style>
  <w:style w:type="paragraph" w:styleId="Heading6">
    <w:name w:val="heading 6"/>
    <w:basedOn w:val="Normal"/>
    <w:next w:val="Normal"/>
    <w:link w:val="Heading6Char"/>
    <w:unhideWhenUsed/>
    <w:qFormat/>
    <w:pPr>
      <w:keepNext/>
      <w:tabs>
        <w:tab w:val="num" w:pos="1152"/>
      </w:tabs>
      <w:spacing w:before="60" w:after="60"/>
      <w:ind w:left="1152" w:hanging="1152"/>
      <w:jc w:val="center"/>
      <w:outlineLvl w:val="5"/>
    </w:pPr>
    <w:rPr>
      <w:rFonts w:ascii="Arial" w:hAnsi="Arial" w:cs="Arial"/>
      <w:color w:val="000000"/>
      <w:sz w:val="16"/>
      <w:lang w:val="fr-FR" w:eastAsia="en-GB"/>
    </w:rPr>
  </w:style>
  <w:style w:type="paragraph" w:styleId="Heading7">
    <w:name w:val="heading 7"/>
    <w:basedOn w:val="Normal"/>
    <w:next w:val="Normal"/>
    <w:link w:val="Heading7Char"/>
    <w:unhideWhenUsed/>
    <w:pPr>
      <w:keepNext/>
      <w:tabs>
        <w:tab w:val="left" w:pos="1134"/>
        <w:tab w:val="num" w:pos="1296"/>
      </w:tabs>
      <w:spacing w:before="60" w:after="60" w:line="192" w:lineRule="exact"/>
      <w:ind w:left="1296" w:hanging="1296"/>
      <w:jc w:val="center"/>
      <w:outlineLvl w:val="6"/>
    </w:pPr>
    <w:rPr>
      <w:rFonts w:ascii="Arial" w:hAnsi="Arial" w:cs="Arial"/>
      <w:color w:val="000000"/>
      <w:sz w:val="16"/>
      <w:lang w:val="fr-FR" w:eastAsia="en-GB"/>
    </w:rPr>
  </w:style>
  <w:style w:type="paragraph" w:styleId="Heading8">
    <w:name w:val="heading 8"/>
    <w:basedOn w:val="Normal"/>
    <w:next w:val="Normal"/>
    <w:link w:val="Heading8Char"/>
    <w:unhideWhenUsed/>
    <w:qFormat/>
    <w:pPr>
      <w:keepNext/>
      <w:tabs>
        <w:tab w:val="num" w:pos="1440"/>
      </w:tabs>
      <w:spacing w:before="60" w:after="60"/>
      <w:ind w:left="1440" w:hanging="1440"/>
      <w:jc w:val="center"/>
      <w:outlineLvl w:val="7"/>
    </w:pPr>
    <w:rPr>
      <w:rFonts w:ascii="Arial" w:hAnsi="Arial" w:cs="Arial"/>
      <w:color w:val="000000"/>
      <w:sz w:val="16"/>
      <w:lang w:val="fr-BE" w:eastAsia="en-GB"/>
    </w:rPr>
  </w:style>
  <w:style w:type="paragraph" w:styleId="Heading9">
    <w:name w:val="heading 9"/>
    <w:basedOn w:val="Normal"/>
    <w:next w:val="Normal"/>
    <w:link w:val="Heading9Char"/>
    <w:unhideWhenUsed/>
    <w:qFormat/>
    <w:pPr>
      <w:keepNext/>
      <w:tabs>
        <w:tab w:val="num" w:pos="1584"/>
      </w:tabs>
      <w:spacing w:after="0"/>
      <w:ind w:left="1584" w:hanging="1584"/>
      <w:jc w:val="center"/>
      <w:outlineLvl w:val="8"/>
    </w:pPr>
    <w:rPr>
      <w:rFonts w:ascii="Arial" w:hAnsi="Arial" w:cs="Arial"/>
      <w:color w:val="000000"/>
      <w:sz w:val="16"/>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link w:val="ListBulletChar"/>
    <w:pPr>
      <w:numPr>
        <w:numId w:val="1"/>
      </w:numPr>
    </w:pPr>
  </w:style>
  <w:style w:type="paragraph" w:customStyle="1" w:styleId="ListDash1">
    <w:name w:val="List Dash 1"/>
    <w:basedOn w:val="Normal"/>
    <w:pPr>
      <w:numPr>
        <w:numId w:val="2"/>
      </w:numPr>
    </w:pPr>
  </w:style>
  <w:style w:type="character" w:customStyle="1" w:styleId="ListBulletChar">
    <w:name w:val="List Bullet Char"/>
    <w:link w:val="ListBullet"/>
    <w:locked/>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Testo nota a piè di pagina Carattere,Footnote Text Char Char Char Char Char,Footnote Text Char Char Char Char,Footnote Text Char Char Char,Fußnotentextf,single space,footnote text,FOOTNOTES,fn,ADB,Footnote Text Char1 Char1,f,Char Char Char"/>
    <w:basedOn w:val="Normal"/>
    <w:link w:val="FootnoteTextChar"/>
    <w:uiPriority w:val="99"/>
    <w:unhideWhenUsed/>
    <w:qFormat/>
    <w:pPr>
      <w:spacing w:after="0"/>
    </w:pPr>
    <w:rPr>
      <w:sz w:val="20"/>
    </w:rPr>
  </w:style>
  <w:style w:type="character" w:customStyle="1" w:styleId="FootnoteTextChar">
    <w:name w:val="Footnote Text Char"/>
    <w:aliases w:val="Testo nota a piè di pagina Carattere Char,Footnote Text Char Char Char Char Char Char,Footnote Text Char Char Char Char Char1,Footnote Text Char Char Char Char1,Fußnotentextf Char,single space Char,footnote text Char,FOOTNOTES Char"/>
    <w:basedOn w:val="DefaultParagraphFont"/>
    <w:link w:val="FootnoteText"/>
    <w:uiPriority w:val="99"/>
    <w:rPr>
      <w:rFonts w:ascii="Times New Roman" w:eastAsia="Times New Roman" w:hAnsi="Times New Roman" w:cs="Times New Roman"/>
      <w:sz w:val="20"/>
      <w:szCs w:val="20"/>
    </w:rPr>
  </w:style>
  <w:style w:type="character" w:customStyle="1" w:styleId="Heading6Char">
    <w:name w:val="Heading 6 Char"/>
    <w:basedOn w:val="DefaultParagraphFont"/>
    <w:link w:val="Heading6"/>
    <w:rPr>
      <w:rFonts w:ascii="Arial" w:eastAsia="Times New Roman" w:hAnsi="Arial" w:cs="Arial"/>
      <w:color w:val="000000"/>
      <w:sz w:val="16"/>
      <w:szCs w:val="20"/>
      <w:lang w:val="fr-FR" w:eastAsia="en-GB"/>
    </w:rPr>
  </w:style>
  <w:style w:type="character" w:customStyle="1" w:styleId="Heading7Char">
    <w:name w:val="Heading 7 Char"/>
    <w:basedOn w:val="DefaultParagraphFont"/>
    <w:link w:val="Heading7"/>
    <w:rPr>
      <w:rFonts w:ascii="Arial" w:eastAsia="Times New Roman" w:hAnsi="Arial" w:cs="Arial"/>
      <w:color w:val="000000"/>
      <w:sz w:val="16"/>
      <w:szCs w:val="20"/>
      <w:lang w:val="fr-FR" w:eastAsia="en-GB"/>
    </w:rPr>
  </w:style>
  <w:style w:type="character" w:customStyle="1" w:styleId="Heading8Char">
    <w:name w:val="Heading 8 Char"/>
    <w:basedOn w:val="DefaultParagraphFont"/>
    <w:link w:val="Heading8"/>
    <w:rPr>
      <w:rFonts w:ascii="Arial" w:eastAsia="Times New Roman" w:hAnsi="Arial" w:cs="Arial"/>
      <w:color w:val="000000"/>
      <w:sz w:val="16"/>
      <w:szCs w:val="20"/>
      <w:lang w:val="fr-BE" w:eastAsia="en-GB"/>
    </w:rPr>
  </w:style>
  <w:style w:type="character" w:customStyle="1" w:styleId="Heading9Char">
    <w:name w:val="Heading 9 Char"/>
    <w:basedOn w:val="DefaultParagraphFont"/>
    <w:link w:val="Heading9"/>
    <w:rPr>
      <w:rFonts w:ascii="Arial" w:eastAsia="Times New Roman" w:hAnsi="Arial" w:cs="Arial"/>
      <w:color w:val="000000"/>
      <w:sz w:val="16"/>
      <w:szCs w:val="20"/>
      <w:lang w:val="fr-FR" w:eastAsia="en-GB"/>
    </w:rPr>
  </w:style>
  <w:style w:type="character" w:styleId="FootnoteReference">
    <w:name w:val="footnote reference"/>
    <w:aliases w:val="BVI fnr,ftref,Char Char Char Char Carattere Char,Char Char Car Car Char Char Char Char Carattere Char,Char Char Char Char Char Carattere Char,Char Char Car Car Char Char Char Char Char Char Carattere Char Char, BVI fnr, Car1,Car1,Ref"/>
    <w:link w:val="BVIfnrCharCar1CarChar"/>
    <w:uiPriority w:val="99"/>
    <w:qFormat/>
    <w:rPr>
      <w:rFonts w:ascii="Arial" w:hAnsi="Arial"/>
      <w:sz w:val="18"/>
      <w:vertAlign w:val="superscript"/>
    </w:rPr>
  </w:style>
  <w:style w:type="paragraph" w:customStyle="1" w:styleId="Tablenumberinglevel1">
    <w:name w:val="Table numbering level 1"/>
    <w:basedOn w:val="Normal"/>
    <w:pPr>
      <w:keepNext/>
      <w:widowControl w:val="0"/>
      <w:numPr>
        <w:numId w:val="4"/>
      </w:numPr>
      <w:tabs>
        <w:tab w:val="clear" w:pos="284"/>
        <w:tab w:val="num" w:pos="360"/>
      </w:tabs>
      <w:suppressAutoHyphens/>
      <w:spacing w:after="0"/>
      <w:ind w:left="360"/>
      <w:jc w:val="left"/>
    </w:pPr>
    <w:rPr>
      <w:rFonts w:ascii="Arial" w:hAnsi="Arial"/>
      <w:bCs/>
      <w:snapToGrid w:val="0"/>
      <w:sz w:val="18"/>
      <w:szCs w:val="24"/>
      <w:lang w:val="fr-FR" w:eastAsia="en-GB"/>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pPr>
      <w:spacing w:before="30" w:after="160" w:line="240" w:lineRule="exact"/>
    </w:pPr>
    <w:rPr>
      <w:rFonts w:ascii="Arial" w:eastAsiaTheme="minorHAnsi" w:hAnsi="Arial" w:cstheme="minorBidi"/>
      <w:sz w:val="18"/>
      <w:szCs w:val="22"/>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aption">
    <w:name w:val="caption"/>
    <w:aliases w:val="Textbox,Légende F,Légende  F"/>
    <w:basedOn w:val="Normal"/>
    <w:next w:val="Normal"/>
    <w:link w:val="CaptionChar"/>
    <w:qFormat/>
    <w:pPr>
      <w:keepNext/>
      <w:tabs>
        <w:tab w:val="left" w:pos="1525"/>
      </w:tabs>
      <w:spacing w:before="120" w:after="60"/>
      <w:ind w:left="1525" w:hanging="1525"/>
    </w:pPr>
    <w:rPr>
      <w:rFonts w:ascii="Arial" w:hAnsi="Arial"/>
      <w:bCs/>
      <w:i/>
      <w:sz w:val="22"/>
      <w:szCs w:val="24"/>
      <w:lang w:val="fr-FR"/>
    </w:rPr>
  </w:style>
  <w:style w:type="paragraph" w:customStyle="1" w:styleId="Table">
    <w:name w:val="Table"/>
    <w:basedOn w:val="Normal"/>
    <w:link w:val="TableCharChar"/>
    <w:qFormat/>
    <w:pPr>
      <w:keepNext/>
      <w:keepLines/>
      <w:spacing w:before="60" w:after="60"/>
      <w:jc w:val="left"/>
    </w:pPr>
    <w:rPr>
      <w:rFonts w:ascii="Arial" w:hAnsi="Arial" w:cs="Arial"/>
      <w:color w:val="000000"/>
      <w:sz w:val="18"/>
      <w:szCs w:val="18"/>
      <w:lang w:val="fr-FR" w:eastAsia="en-GB"/>
    </w:rPr>
  </w:style>
  <w:style w:type="paragraph" w:customStyle="1" w:styleId="Tabletitlecell">
    <w:name w:val="Table title cell"/>
    <w:basedOn w:val="Table"/>
    <w:pPr>
      <w:jc w:val="center"/>
    </w:pPr>
    <w:rPr>
      <w:b/>
      <w:bCs/>
      <w:i/>
      <w:iCs/>
      <w:color w:val="FFFFFF" w:themeColor="background1"/>
      <w:sz w:val="20"/>
    </w:rPr>
  </w:style>
  <w:style w:type="character" w:customStyle="1" w:styleId="CaptionChar">
    <w:name w:val="Caption Char"/>
    <w:aliases w:val="Textbox Char,Légende F Char,Légende  F Char"/>
    <w:basedOn w:val="DefaultParagraphFont"/>
    <w:link w:val="Caption"/>
    <w:rPr>
      <w:rFonts w:ascii="Arial" w:eastAsia="Times New Roman" w:hAnsi="Arial" w:cs="Times New Roman"/>
      <w:bCs/>
      <w:i/>
      <w:szCs w:val="24"/>
      <w:lang w:val="fr-FR"/>
    </w:rPr>
  </w:style>
  <w:style w:type="character" w:customStyle="1" w:styleId="TableCharChar">
    <w:name w:val="Table Char Char"/>
    <w:link w:val="Table"/>
    <w:rPr>
      <w:rFonts w:ascii="Arial" w:eastAsia="Times New Roman" w:hAnsi="Arial" w:cs="Arial"/>
      <w:color w:val="000000"/>
      <w:sz w:val="18"/>
      <w:szCs w:val="18"/>
      <w:lang w:val="fr-FR" w:eastAsia="en-GB"/>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A13">
    <w:name w:val="A13"/>
    <w:uiPriority w:val="99"/>
    <w:rPr>
      <w:rFonts w:cs="Mercury Text G3"/>
      <w:color w:val="000000"/>
      <w:sz w:val="21"/>
      <w:szCs w:val="21"/>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Strong">
    <w:name w:val="Strong"/>
    <w:basedOn w:val="DefaultParagraphFont"/>
    <w:uiPriority w:val="22"/>
    <w:qFormat/>
    <w:rPr>
      <w:rFonts w:ascii="Times New Roman" w:hAnsi="Times New Roman" w:cs="Times New Roman" w:hint="default"/>
      <w:b/>
      <w:bCs/>
    </w:rPr>
  </w:style>
  <w:style w:type="paragraph" w:styleId="TOC3">
    <w:name w:val="toc 3"/>
    <w:basedOn w:val="Normal"/>
    <w:next w:val="Normal"/>
    <w:autoRedefine/>
    <w:uiPriority w:val="39"/>
    <w:unhideWhenUsed/>
    <w:pPr>
      <w:spacing w:after="100"/>
      <w:ind w:left="480"/>
    </w:p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4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48"/>
    </w:rPr>
  </w:style>
  <w:style w:type="paragraph" w:customStyle="1" w:styleId="HeaderCoverPage">
    <w:name w:val="Header Cover Page"/>
    <w:basedOn w:val="Normal"/>
    <w:link w:val="HeaderCoverPageChar"/>
    <w:pPr>
      <w:tabs>
        <w:tab w:val="center" w:pos="4535"/>
        <w:tab w:val="right" w:pos="9071"/>
      </w:tabs>
      <w:spacing w:after="120"/>
    </w:pPr>
    <w:rPr>
      <w:szCs w:val="4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4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81688">
      <w:bodyDiv w:val="1"/>
      <w:marLeft w:val="0"/>
      <w:marRight w:val="0"/>
      <w:marTop w:val="0"/>
      <w:marBottom w:val="0"/>
      <w:divBdr>
        <w:top w:val="none" w:sz="0" w:space="0" w:color="auto"/>
        <w:left w:val="none" w:sz="0" w:space="0" w:color="auto"/>
        <w:bottom w:val="none" w:sz="0" w:space="0" w:color="auto"/>
        <w:right w:val="none" w:sz="0" w:space="0" w:color="auto"/>
      </w:divBdr>
    </w:div>
    <w:div w:id="710807870">
      <w:bodyDiv w:val="1"/>
      <w:marLeft w:val="0"/>
      <w:marRight w:val="0"/>
      <w:marTop w:val="0"/>
      <w:marBottom w:val="0"/>
      <w:divBdr>
        <w:top w:val="none" w:sz="0" w:space="0" w:color="auto"/>
        <w:left w:val="none" w:sz="0" w:space="0" w:color="auto"/>
        <w:bottom w:val="none" w:sz="0" w:space="0" w:color="auto"/>
        <w:right w:val="none" w:sz="0" w:space="0" w:color="auto"/>
      </w:divBdr>
    </w:div>
    <w:div w:id="796333049">
      <w:bodyDiv w:val="1"/>
      <w:marLeft w:val="0"/>
      <w:marRight w:val="0"/>
      <w:marTop w:val="0"/>
      <w:marBottom w:val="0"/>
      <w:divBdr>
        <w:top w:val="none" w:sz="0" w:space="0" w:color="auto"/>
        <w:left w:val="none" w:sz="0" w:space="0" w:color="auto"/>
        <w:bottom w:val="none" w:sz="0" w:space="0" w:color="auto"/>
        <w:right w:val="none" w:sz="0" w:space="0" w:color="auto"/>
      </w:divBdr>
    </w:div>
    <w:div w:id="894895676">
      <w:bodyDiv w:val="1"/>
      <w:marLeft w:val="0"/>
      <w:marRight w:val="0"/>
      <w:marTop w:val="0"/>
      <w:marBottom w:val="0"/>
      <w:divBdr>
        <w:top w:val="none" w:sz="0" w:space="0" w:color="auto"/>
        <w:left w:val="none" w:sz="0" w:space="0" w:color="auto"/>
        <w:bottom w:val="none" w:sz="0" w:space="0" w:color="auto"/>
        <w:right w:val="none" w:sz="0" w:space="0" w:color="auto"/>
      </w:divBdr>
    </w:div>
    <w:div w:id="966159771">
      <w:bodyDiv w:val="1"/>
      <w:marLeft w:val="0"/>
      <w:marRight w:val="0"/>
      <w:marTop w:val="0"/>
      <w:marBottom w:val="0"/>
      <w:divBdr>
        <w:top w:val="none" w:sz="0" w:space="0" w:color="auto"/>
        <w:left w:val="none" w:sz="0" w:space="0" w:color="auto"/>
        <w:bottom w:val="none" w:sz="0" w:space="0" w:color="auto"/>
        <w:right w:val="none" w:sz="0" w:space="0" w:color="auto"/>
      </w:divBdr>
    </w:div>
    <w:div w:id="1070154674">
      <w:bodyDiv w:val="1"/>
      <w:marLeft w:val="0"/>
      <w:marRight w:val="0"/>
      <w:marTop w:val="0"/>
      <w:marBottom w:val="0"/>
      <w:divBdr>
        <w:top w:val="none" w:sz="0" w:space="0" w:color="auto"/>
        <w:left w:val="none" w:sz="0" w:space="0" w:color="auto"/>
        <w:bottom w:val="none" w:sz="0" w:space="0" w:color="auto"/>
        <w:right w:val="none" w:sz="0" w:space="0" w:color="auto"/>
      </w:divBdr>
    </w:div>
    <w:div w:id="1213923571">
      <w:bodyDiv w:val="1"/>
      <w:marLeft w:val="0"/>
      <w:marRight w:val="0"/>
      <w:marTop w:val="0"/>
      <w:marBottom w:val="0"/>
      <w:divBdr>
        <w:top w:val="none" w:sz="0" w:space="0" w:color="auto"/>
        <w:left w:val="none" w:sz="0" w:space="0" w:color="auto"/>
        <w:bottom w:val="none" w:sz="0" w:space="0" w:color="auto"/>
        <w:right w:val="none" w:sz="0" w:space="0" w:color="auto"/>
      </w:divBdr>
    </w:div>
    <w:div w:id="1554390028">
      <w:bodyDiv w:val="1"/>
      <w:marLeft w:val="0"/>
      <w:marRight w:val="0"/>
      <w:marTop w:val="0"/>
      <w:marBottom w:val="0"/>
      <w:divBdr>
        <w:top w:val="none" w:sz="0" w:space="0" w:color="auto"/>
        <w:left w:val="none" w:sz="0" w:space="0" w:color="auto"/>
        <w:bottom w:val="none" w:sz="0" w:space="0" w:color="auto"/>
        <w:right w:val="none" w:sz="0" w:space="0" w:color="auto"/>
      </w:divBdr>
    </w:div>
    <w:div w:id="20876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dac/peer-reviews/50155684.pdf" TargetMode="External"/><Relationship Id="rId2" Type="http://schemas.openxmlformats.org/officeDocument/2006/relationships/hyperlink" Target="http://www.oecd.org/dac/peer-reviews/38965119.pdf" TargetMode="External"/><Relationship Id="rId1" Type="http://schemas.openxmlformats.org/officeDocument/2006/relationships/hyperlink" Target="http://ec.europa.eu/smart-regulation/roadmaps/docs/2016_devco_003_european_consensus_on_develop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3543-67DA-4D34-9EFC-AF6BBF38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3304</Characters>
  <Application>Microsoft Office Word</Application>
  <DocSecurity>0</DocSecurity>
  <Lines>56</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2016-12-15T16:38:00Z</dcterms:created>
  <dcterms:modified xsi:type="dcterms:W3CDTF">2017-01-12T09:47:00Z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