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54BAFA9518D4EA68A1A5B05D660AE91" style="width:450.75pt;height:393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26"/>
        </w:sectPr>
      </w:pPr>
    </w:p>
    <w:p>
      <w:pPr>
        <w:rPr>
          <w:b/>
          <w:i/>
          <w:noProof/>
          <w:szCs w:val="24"/>
        </w:rPr>
      </w:pPr>
      <w:bookmarkStart w:id="1" w:name="_GoBack"/>
      <w:bookmarkEnd w:id="1"/>
      <w:r>
        <w:rPr>
          <w:b/>
          <w:i/>
          <w:noProof/>
        </w:rPr>
        <w:lastRenderedPageBreak/>
        <w:t>Осъществени действия от приемането на плана за действие относно кръговата икономика до този момент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252"/>
        <w:gridCol w:w="142"/>
        <w:gridCol w:w="2693"/>
      </w:tblGrid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jc w:val="left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Производство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Работен план за екопроектирането</w:t>
            </w:r>
            <w:r>
              <w:rPr>
                <w:noProof/>
              </w:rPr>
              <w:t xml:space="preserve"> за периода 2016—2019 г.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Приет на 30 ноември 2016 г.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Искане към европейските организации по стандартизация</w:t>
            </w:r>
            <w:r>
              <w:rPr>
                <w:noProof/>
              </w:rPr>
              <w:t xml:space="preserve"> за разработване на стандарти за ефективно използване на материалите с цел определяне на бъдещи изисквания за екопроектирането по отношение на трайността, възможностите за поправка и за рециклиране на продуктите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17 декември 2015 г.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Предложение за </w:t>
            </w:r>
            <w:r>
              <w:rPr>
                <w:b/>
                <w:noProof/>
              </w:rPr>
              <w:t>регламент за прилагане на екопроектиране</w:t>
            </w:r>
            <w:r>
              <w:rPr>
                <w:noProof/>
              </w:rPr>
              <w:t xml:space="preserve"> относно телевизорите и мониторите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noProof/>
                <w:color w:val="1F497D"/>
                <w:sz w:val="22"/>
                <w:szCs w:val="22"/>
              </w:rPr>
            </w:pPr>
            <w:r>
              <w:rPr>
                <w:noProof/>
              </w:rPr>
              <w:t>Изпратено на СТО на 21 декември 2016 г.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Включване на насоки относно кръговата икономика в </w:t>
            </w:r>
            <w:r>
              <w:rPr>
                <w:b/>
                <w:noProof/>
              </w:rPr>
              <w:t>референтните документи за най-добрите налични техники (РДНДНТ)</w:t>
            </w:r>
            <w:r>
              <w:rPr>
                <w:noProof/>
              </w:rPr>
              <w:t xml:space="preserve"> за няколко промишлени отрасъла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Приети: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  <w:color w:val="000000"/>
              </w:rPr>
              <w:t>Съвместни системи за пречистване/управление на обичайни отпадъчни води и отпадъчни газове в сектора на химическата промишленост — 3 декември 2015 г.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  <w:color w:val="000000"/>
              </w:rPr>
              <w:t>Цветна металургия — 3 декември 2015 г.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  <w:color w:val="000000"/>
              </w:rPr>
              <w:t>Интензивно отглеждане на птици и свине — 3 октомври 2016 г.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Установяване на открита </w:t>
            </w:r>
            <w:r>
              <w:rPr>
                <w:b/>
                <w:noProof/>
              </w:rPr>
              <w:t>общоевропейска мрежа от технологични инфраструктури за МСП</w:t>
            </w:r>
            <w:r>
              <w:rPr>
                <w:noProof/>
              </w:rPr>
              <w:t xml:space="preserve"> с цел интегриране на модерни производствени технологии в техните производствени процеси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Покана, публикувана на 8 ноември 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Потребление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По-добро прилагане</w:t>
            </w:r>
            <w:r>
              <w:rPr>
                <w:noProof/>
              </w:rPr>
              <w:t xml:space="preserve"> на съществуващите гаранции за материалните стоки и същевременно </w:t>
            </w:r>
            <w:r>
              <w:rPr>
                <w:b/>
                <w:noProof/>
              </w:rPr>
              <w:t>обмисляне на възможни подобрения</w:t>
            </w:r>
            <w:r>
              <w:rPr>
                <w:noProof/>
              </w:rPr>
              <w:t xml:space="preserve"> (Предложение на Комисията относно онлайн продажбите на стоки и проверка на пригодността на законодателството в областта на защитата на потребителите)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Предложение, прието на 9 декември 2015 г.,</w:t>
            </w:r>
          </w:p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извършва се проверка за пригодност</w:t>
            </w:r>
          </w:p>
        </w:tc>
      </w:tr>
      <w:tr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Действия по отношение на неверните твърдения за безвредност, включително </w:t>
            </w:r>
            <w:r>
              <w:rPr>
                <w:b/>
                <w:noProof/>
              </w:rPr>
              <w:t>актуализирани насоки</w:t>
            </w:r>
            <w:r>
              <w:rPr>
                <w:noProof/>
              </w:rPr>
              <w:t xml:space="preserve"> относно нелоялните търговски практики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Документ с насоки, приет на</w:t>
            </w:r>
          </w:p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 xml:space="preserve">25 май 2016 г. 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Действия в областта на </w:t>
            </w:r>
            <w:r>
              <w:rPr>
                <w:b/>
                <w:noProof/>
              </w:rPr>
              <w:t>екологосъобразните обществени поръчки</w:t>
            </w:r>
            <w:r>
              <w:rPr>
                <w:noProof/>
              </w:rPr>
              <w:t xml:space="preserve">: по-голямо интегриране на изискванията за кръговата икономика, подкрепа за по-широко </w:t>
            </w:r>
            <w:r>
              <w:rPr>
                <w:noProof/>
              </w:rPr>
              <w:lastRenderedPageBreak/>
              <w:t>разпространение, включително чрез схеми за обучение, засилване на използването на екологосъобразните обществени поръчки от Комисията и при управлението на средства от ЕС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Приети критерии: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Сгради: 20 май 2016 г.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Пътища: 10 юни 2016 г.</w:t>
            </w:r>
          </w:p>
          <w:p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Компютри и монитори: 21 октомври 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Управление на отпадъците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Преработено законодателно предложение</w:t>
            </w:r>
            <w:r>
              <w:rPr>
                <w:noProof/>
              </w:rPr>
              <w:t xml:space="preserve"> относно отпадъците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Прието на 2 декември 2015 г.</w:t>
            </w:r>
          </w:p>
        </w:tc>
      </w:tr>
      <w:tr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Подобрено сътрудничество с държавите членки</w:t>
            </w:r>
            <w:r>
              <w:rPr>
                <w:noProof/>
              </w:rPr>
              <w:t xml:space="preserve"> за по-добро прилагане на законодателството на ЕС в областта на отпадъците и борба с незаконния превоз на излезли от употреба моторни превозни средства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През цялата 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Засилване на прилагането</w:t>
            </w:r>
            <w:r>
              <w:rPr>
                <w:noProof/>
              </w:rPr>
              <w:t xml:space="preserve"> на преработения Регламент относно превози на отпадъци: акт за изпълнение за установяване на таблица на съответствието между митническите кодове и кодовете за отпадъци.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Приет на 28 юли 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Инициатива относно производството на енергия от отпадъци</w:t>
            </w:r>
            <w:r>
              <w:rPr>
                <w:noProof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Приета на 25 януари 2017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Набелязване и разпространяване на </w:t>
            </w:r>
            <w:r>
              <w:rPr>
                <w:b/>
                <w:noProof/>
              </w:rPr>
              <w:t>добри практики по отношение на системите за събиране на отпадъци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През цялата 2016 г.</w:t>
            </w:r>
          </w:p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(Конференция на 29 януари 2016 г.)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Пазар за вторични суровини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Предложение за изменение на регламента за торовете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Прието на 17 март 2016 г.</w:t>
            </w:r>
          </w:p>
        </w:tc>
      </w:tr>
      <w:tr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Насърчаване на безопасната и икономически ефективна повторна употреба на водите, включително </w:t>
            </w:r>
            <w:r>
              <w:rPr>
                <w:b/>
                <w:noProof/>
              </w:rPr>
              <w:t>насоки</w:t>
            </w:r>
            <w:r>
              <w:rPr>
                <w:noProof/>
              </w:rPr>
              <w:t xml:space="preserve"> за интегриране на повторната употреба на водите в планирането и управлението на водите, </w:t>
            </w:r>
            <w:r>
              <w:rPr>
                <w:b/>
                <w:noProof/>
              </w:rPr>
              <w:t>включване на най-добрите практики в съответните РДНДНТ</w:t>
            </w:r>
            <w:r>
              <w:rPr>
                <w:noProof/>
              </w:rPr>
              <w:t xml:space="preserve"> и подпомагане на иновациите (чрез Европейското партньорство за иновации и програмата „Хоризонт 2020“) и инвестициите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Насоки, публикувани на 10 юни 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b/>
                <w:bCs/>
                <w:noProof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Секторни действия</w:t>
            </w:r>
          </w:p>
        </w:tc>
      </w:tr>
      <w:tr>
        <w:trPr>
          <w:trHeight w:val="300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Разхищаване на храни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Платформа на заинтересованите страни</w:t>
            </w:r>
            <w:r>
              <w:rPr>
                <w:noProof/>
              </w:rPr>
              <w:t xml:space="preserve"> за разглеждане на начините за постигане на целите за устойчиво развитие по отношение на разхищаването на храни, за обмен на най-добри практики и за оценка на напредъка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Платформа, създадена на 1 август 2016 г.; първа среща на 29 ноември 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Разработване на </w:t>
            </w:r>
            <w:r>
              <w:rPr>
                <w:b/>
                <w:noProof/>
              </w:rPr>
              <w:t>обща методология и показатели</w:t>
            </w:r>
            <w:r>
              <w:rPr>
                <w:noProof/>
              </w:rPr>
              <w:t xml:space="preserve"> за измерване на разхищаването на храни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Елементи на методологията, обсъдени с платформата на 29 ноември 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rPr>
                <w:bCs/>
                <w:noProof/>
              </w:rPr>
            </w:pPr>
            <w:r>
              <w:rPr>
                <w:b/>
                <w:noProof/>
              </w:rPr>
              <w:t>Разясняване на съответното законодателство на ЕС в областта на отпадъците, храните и фуражите</w:t>
            </w:r>
            <w:r>
              <w:rPr>
                <w:noProof/>
              </w:rPr>
              <w:t xml:space="preserve"> с цел да се улесни даряването на храни и използването на хранителни продукти, които вече не се използват като храна, за храна за животни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bCs/>
                <w:noProof/>
              </w:rPr>
            </w:pPr>
            <w:r>
              <w:rPr>
                <w:noProof/>
              </w:rPr>
              <w:t>Проекти, обсъдени с платформата на 29 ноември 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Отпадъци от строителство и разрушаване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Доброволен </w:t>
            </w:r>
            <w:r>
              <w:rPr>
                <w:b/>
                <w:noProof/>
              </w:rPr>
              <w:t>протокол за рециклиране</w:t>
            </w:r>
            <w:r>
              <w:rPr>
                <w:noProof/>
              </w:rPr>
              <w:t xml:space="preserve"> на отпадъци от строителство и разрушаване за целия отрасъл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9 ноември 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Биомаса и биоматериали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Осигуряване на съгласуваност и полезни взаимодействия с кръговата икономика при проверката на устойчивостта на биоенергията в рамките на енергийния съюз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Като част от преработената версия на Директивата за енергията от възобновяеми източници, приета на 30 ноември 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</w:p>
        </w:tc>
      </w:tr>
      <w:tr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>
            <w:pPr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Иновации и инвестиции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Инвестиции в размер на 650 милиона евро в приоритетна област „Промишленост 2020 в кръговата икономика“ по програма </w:t>
            </w:r>
            <w:r>
              <w:rPr>
                <w:b/>
                <w:noProof/>
              </w:rPr>
              <w:t>„Хоризонт 2020“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Втори кръг от покани: 20 септември и 8 ноември 2016 г.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Пилотен проект</w:t>
            </w:r>
            <w:r>
              <w:rPr>
                <w:noProof/>
              </w:rPr>
              <w:t xml:space="preserve"> за „сделки за иновации“ с цел премахване на предполагаеми регулаторни пречки пред новаторите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Покана, отворена между 26 май и 15 септември 2016 г.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Целенасочени прояви за насърчаване на подаването на заявления за финансиране</w:t>
            </w:r>
            <w:r>
              <w:rPr>
                <w:noProof/>
              </w:rPr>
              <w:t xml:space="preserve"> по линия на ЕФСИ и подкрепа за разработването на проекти и инвестиционни платформи от значение за кръговата икономика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През цялата 2016 г.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Целенасочени информационни и комуникационни дейности</w:t>
            </w:r>
            <w:r>
              <w:rPr>
                <w:noProof/>
              </w:rPr>
              <w:t xml:space="preserve"> за подпомагане на държавите членки и регионите от ЕС при усвояването на средствата за кръговата икономика по фондовете на политиката на сближаване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През цялата 2016 г.</w:t>
            </w:r>
          </w:p>
        </w:tc>
      </w:tr>
      <w:tr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noProof/>
              </w:rPr>
              <w:t>Подкрепа за държавите членки и регионите</w:t>
            </w:r>
            <w:r>
              <w:rPr>
                <w:noProof/>
              </w:rPr>
              <w:t xml:space="preserve"> с цел укрепване на иновациите за кръговата икономика чрез интелигентна специализация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През цялата 2016 г.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Оценка на възможността за създаване на </w:t>
            </w:r>
            <w:r>
              <w:rPr>
                <w:b/>
                <w:noProof/>
              </w:rPr>
              <w:t>платформа заедно с Европейската инвестиционна банка и националните банки</w:t>
            </w:r>
            <w:r>
              <w:rPr>
                <w:noProof/>
              </w:rPr>
              <w:t xml:space="preserve"> в подкрепа на финансирането на кръговата икономика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Създадена на 25 януари 2017 г.</w:t>
            </w:r>
          </w:p>
        </w:tc>
      </w:tr>
      <w:tr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Подкрепа за редица заинтересовани страни посредством действия в областта на публично-частните партньорства, платформите за сътрудничество, подкрепата за доброволни търговски подходи и обмен на най-добри практики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През цялата 2016 г.</w:t>
            </w:r>
          </w:p>
        </w:tc>
      </w:tr>
      <w:tr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Calibri" w:hAnsi="Calibri"/>
                <w:noProof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Calibri" w:hAnsi="Calibri"/>
                <w:noProof/>
              </w:rPr>
            </w:pPr>
          </w:p>
        </w:tc>
      </w:tr>
    </w:tbl>
    <w:p>
      <w:pPr>
        <w:spacing w:after="120"/>
        <w:rPr>
          <w:b/>
          <w:noProof/>
          <w:szCs w:val="24"/>
        </w:rPr>
      </w:pP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0" w:right="1701" w:bottom="1020" w:left="1587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13129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642A"/>
    <w:multiLevelType w:val="hybridMultilevel"/>
    <w:tmpl w:val="BAEEC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3B67E2"/>
    <w:multiLevelType w:val="hybridMultilevel"/>
    <w:tmpl w:val="41A23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54BAFA9518D4EA68A1A5B05D660AE91"/>
    <w:docVar w:name="LW_CROSSREFERENCE" w:val="&lt;UNUSED&gt;"/>
    <w:docVar w:name="LW_DocType" w:val="NORMAL"/>
    <w:docVar w:name="LW_EMISSION" w:val="26.1.2017"/>
    <w:docVar w:name="LW_EMISSION_ISODATE" w:val="2017-01-2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5?\u1072? \u1087?\u1083?\u1072?\u1085?\u1072? \u1079?\u1072? \u1076?\u1077?\u1081?\u1089?\u1090?\u1074?\u1080?\u1077? \u1079?\u1072? \u1082?\u1088?\u1098?\u1075?\u1086?\u1074?\u1072?\u1090?\u1072? \u1080?\u1082?\u1086?\u1085?\u1086?\u1084?\u1080?\u1082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3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  <w:rPr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5236</Characters>
  <Application>Microsoft Office Word</Application>
  <DocSecurity>0</DocSecurity>
  <Lines>218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2017-01-23T16:48:00Z</dcterms:created>
  <dcterms:modified xsi:type="dcterms:W3CDTF">2017-02-03T14:49:00Z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