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CE4741022B1413AB13555B3AA5D3BF2" style="width:450.75pt;height:422.2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tbl>
      <w:tblPr>
        <w:tblStyle w:val="TableGrid"/>
        <w:tblW w:w="9606" w:type="dxa"/>
        <w:tblLook w:val="01E0" w:firstRow="1" w:lastRow="1" w:firstColumn="1" w:lastColumn="1" w:noHBand="0" w:noVBand="0"/>
      </w:tblPr>
      <w:tblGrid>
        <w:gridCol w:w="9606"/>
      </w:tblGrid>
      <w:tr>
        <w:tc>
          <w:tcPr>
            <w:tcW w:w="9606" w:type="dxa"/>
            <w:tcBorders>
              <w:bottom w:val="single" w:sz="4" w:space="0" w:color="auto"/>
            </w:tcBorders>
            <w:shd w:val="clear" w:color="auto" w:fill="CCCCCC"/>
          </w:tcPr>
          <w:p>
            <w:pPr>
              <w:rPr>
                <w:rFonts w:eastAsiaTheme="minorHAnsi"/>
                <w:noProof/>
                <w:szCs w:val="22"/>
              </w:rPr>
            </w:pPr>
            <w:bookmarkStart w:id="1" w:name="_GoBack"/>
            <w:bookmarkEnd w:id="1"/>
            <w:r>
              <w:rPr>
                <w:rFonts w:ascii="Tahoma" w:eastAsiaTheme="minorHAnsi" w:hAnsi="Tahoma" w:cs="Tahoma"/>
                <w:b/>
                <w:noProof/>
                <w:sz w:val="22"/>
                <w:szCs w:val="22"/>
              </w:rPr>
              <w:lastRenderedPageBreak/>
              <w:t>Executive Summary Sheet</w:t>
            </w:r>
          </w:p>
        </w:tc>
      </w:tr>
      <w:tr>
        <w:tc>
          <w:tcPr>
            <w:tcW w:w="9606" w:type="dxa"/>
            <w:tcBorders>
              <w:top w:val="single" w:sz="4" w:space="0" w:color="auto"/>
              <w:left w:val="single" w:sz="4" w:space="0" w:color="auto"/>
              <w:bottom w:val="single" w:sz="4" w:space="0" w:color="auto"/>
              <w:right w:val="single" w:sz="4" w:space="0" w:color="auto"/>
            </w:tcBorders>
            <w:shd w:val="clear" w:color="auto" w:fill="4F81BD" w:themeFill="accent1"/>
          </w:tcPr>
          <w:p>
            <w:pPr>
              <w:rPr>
                <w:noProof/>
                <w:szCs w:val="24"/>
              </w:rPr>
            </w:pPr>
            <w:r>
              <w:rPr>
                <w:noProof/>
                <w:szCs w:val="24"/>
              </w:rPr>
              <w:t>Impact assessment - Generalised reverse charge mechanism (GRCM)</w:t>
            </w:r>
          </w:p>
        </w:tc>
      </w:tr>
      <w:tr>
        <w:tc>
          <w:tcPr>
            <w:tcW w:w="9606"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cs="Tahoma"/>
                <w:b/>
                <w:noProof/>
                <w:sz w:val="22"/>
                <w:szCs w:val="22"/>
              </w:rPr>
              <w:t>A. Need for action</w:t>
            </w:r>
          </w:p>
        </w:tc>
      </w:tr>
      <w:tr>
        <w:tc>
          <w:tcPr>
            <w:tcW w:w="9606" w:type="dxa"/>
            <w:tcBorders>
              <w:bottom w:val="single" w:sz="4" w:space="0" w:color="auto"/>
            </w:tcBorders>
            <w:shd w:val="clear" w:color="auto" w:fill="E0E0E0"/>
          </w:tcPr>
          <w:p>
            <w:pPr>
              <w:spacing w:before="60" w:after="60"/>
              <w:rPr>
                <w:rFonts w:ascii="Tahoma" w:hAnsi="Tahoma" w:cs="Tahoma"/>
                <w:noProof/>
              </w:rPr>
            </w:pPr>
            <w:r>
              <w:rPr>
                <w:rFonts w:ascii="Tahoma" w:hAnsi="Tahoma" w:cs="Tahoma"/>
                <w:b/>
                <w:noProof/>
              </w:rPr>
              <w:t xml:space="preserve">Why? What is the problem being addressed? </w:t>
            </w:r>
          </w:p>
        </w:tc>
      </w:tr>
      <w:tr>
        <w:tc>
          <w:tcPr>
            <w:tcW w:w="9606" w:type="dxa"/>
            <w:tcBorders>
              <w:bottom w:val="single" w:sz="4" w:space="0" w:color="auto"/>
            </w:tcBorders>
            <w:shd w:val="clear" w:color="auto" w:fill="auto"/>
          </w:tcPr>
          <w:p>
            <w:pPr>
              <w:rPr>
                <w:rFonts w:ascii="Arial" w:hAnsi="Arial" w:cs="Arial"/>
                <w:noProof/>
              </w:rPr>
            </w:pPr>
            <w:r>
              <w:rPr>
                <w:rFonts w:ascii="Arial" w:hAnsi="Arial" w:cs="Arial"/>
                <w:noProof/>
              </w:rPr>
              <w:t xml:space="preserve">Some Member States (MS) are more heavily affected by carousel fraud (€ 50 billion in the EU) which finds its roots in the endemic weakness of the current VAT system (intended to be transitional), that allows for goods being bought cross-border VAT-free. </w:t>
            </w:r>
          </w:p>
          <w:p>
            <w:pPr>
              <w:rPr>
                <w:rFonts w:ascii="Arial" w:hAnsi="Arial" w:cs="Arial"/>
                <w:noProof/>
              </w:rPr>
            </w:pPr>
          </w:p>
          <w:p>
            <w:pPr>
              <w:rPr>
                <w:rFonts w:ascii="Arial" w:hAnsi="Arial" w:cs="Arial"/>
                <w:noProof/>
              </w:rPr>
            </w:pPr>
            <w:r>
              <w:rPr>
                <w:rFonts w:ascii="Arial" w:hAnsi="Arial" w:cs="Arial"/>
                <w:noProof/>
              </w:rPr>
              <w:t xml:space="preserve">A long-term solution is foreseen for 2017 as announced in the </w:t>
            </w:r>
            <w:hyperlink r:id="rId15" w:history="1">
              <w:r>
                <w:rPr>
                  <w:rStyle w:val="Hyperlink"/>
                  <w:rFonts w:ascii="Arial" w:hAnsi="Arial" w:cs="Arial"/>
                  <w:noProof/>
                </w:rPr>
                <w:t>Action Plan on VAT</w:t>
              </w:r>
            </w:hyperlink>
            <w:hyperlink r:id="rId16" w:history="1"/>
            <w:r>
              <w:rPr>
                <w:rFonts w:ascii="Arial" w:hAnsi="Arial" w:cs="Arial"/>
                <w:noProof/>
              </w:rPr>
              <w:t xml:space="preserve">. Meanwhile, the Commission accepted to consider temporary derogating measures to the </w:t>
            </w:r>
            <w:hyperlink r:id="rId17" w:history="1">
              <w:r>
                <w:rPr>
                  <w:rFonts w:ascii="Arial" w:hAnsi="Arial" w:cs="Arial"/>
                  <w:noProof/>
                  <w:color w:val="0000FF"/>
                  <w:u w:val="single"/>
                  <w:lang w:eastAsia="ko-KR"/>
                </w:rPr>
                <w:t>VAT Directive</w:t>
              </w:r>
            </w:hyperlink>
            <w:r>
              <w:rPr>
                <w:rFonts w:ascii="Arial" w:hAnsi="Arial" w:cs="Arial"/>
                <w:noProof/>
                <w:lang w:eastAsia="ko-KR"/>
              </w:rPr>
              <w:t xml:space="preserve"> as suggested by some MS</w:t>
            </w:r>
            <w:r>
              <w:rPr>
                <w:rStyle w:val="FootnoteReference"/>
                <w:rFonts w:ascii="Arial" w:hAnsi="Arial" w:cs="Arial"/>
                <w:noProof/>
                <w:lang w:eastAsia="ko-KR"/>
              </w:rPr>
              <w:footnoteReference w:id="1"/>
            </w:r>
            <w:r>
              <w:rPr>
                <w:rFonts w:ascii="Arial" w:hAnsi="Arial" w:cs="Arial"/>
                <w:noProof/>
                <w:lang w:eastAsia="ko-KR"/>
              </w:rPr>
              <w:t xml:space="preserve">. </w:t>
            </w:r>
          </w:p>
        </w:tc>
      </w:tr>
      <w:tr>
        <w:tc>
          <w:tcPr>
            <w:tcW w:w="9606" w:type="dxa"/>
            <w:tcBorders>
              <w:bottom w:val="single" w:sz="4" w:space="0" w:color="auto"/>
            </w:tcBorders>
            <w:shd w:val="clear" w:color="auto" w:fill="E6E6E6"/>
          </w:tcPr>
          <w:p>
            <w:pPr>
              <w:spacing w:before="60" w:after="60"/>
              <w:rPr>
                <w:rFonts w:ascii="Tahoma" w:hAnsi="Tahoma" w:cs="Tahoma"/>
                <w:noProof/>
              </w:rPr>
            </w:pPr>
            <w:r>
              <w:rPr>
                <w:rFonts w:ascii="Tahoma" w:hAnsi="Tahoma" w:cs="Tahoma"/>
                <w:b/>
                <w:noProof/>
              </w:rPr>
              <w:t xml:space="preserve">What is this initiative expected to achieve? </w:t>
            </w:r>
          </w:p>
        </w:tc>
      </w:tr>
      <w:tr>
        <w:tc>
          <w:tcPr>
            <w:tcW w:w="9606" w:type="dxa"/>
            <w:tcBorders>
              <w:bottom w:val="single" w:sz="4" w:space="0" w:color="auto"/>
            </w:tcBorders>
            <w:shd w:val="clear" w:color="auto" w:fill="auto"/>
          </w:tcPr>
          <w:p>
            <w:pPr>
              <w:pStyle w:val="Text1"/>
              <w:numPr>
                <w:ilvl w:val="0"/>
                <w:numId w:val="1"/>
              </w:numPr>
              <w:spacing w:after="0"/>
              <w:ind w:left="960" w:hanging="600"/>
              <w:rPr>
                <w:rFonts w:ascii="Arial" w:hAnsi="Arial" w:cs="Arial"/>
                <w:noProof/>
                <w:sz w:val="20"/>
              </w:rPr>
            </w:pPr>
            <w:r>
              <w:rPr>
                <w:rFonts w:ascii="Arial" w:hAnsi="Arial" w:cs="Arial"/>
                <w:noProof/>
                <w:sz w:val="20"/>
              </w:rPr>
              <w:t>Reduce the VAT fraud, in particular carrousel fraud, in certain MS.</w:t>
            </w:r>
          </w:p>
          <w:p>
            <w:pPr>
              <w:pStyle w:val="Text1"/>
              <w:numPr>
                <w:ilvl w:val="0"/>
                <w:numId w:val="1"/>
              </w:numPr>
              <w:spacing w:after="0"/>
              <w:ind w:left="960" w:hanging="600"/>
              <w:rPr>
                <w:rFonts w:ascii="Arial" w:hAnsi="Arial" w:cs="Arial"/>
                <w:noProof/>
                <w:sz w:val="20"/>
              </w:rPr>
            </w:pPr>
            <w:r>
              <w:rPr>
                <w:rFonts w:ascii="Arial" w:hAnsi="Arial" w:cs="Arial"/>
                <w:noProof/>
                <w:sz w:val="20"/>
              </w:rPr>
              <w:t>Minimize the general increase in administrative burden (for businesses and tax administrations (TA)).</w:t>
            </w:r>
          </w:p>
          <w:p>
            <w:pPr>
              <w:pStyle w:val="Text1"/>
              <w:numPr>
                <w:ilvl w:val="0"/>
                <w:numId w:val="1"/>
              </w:numPr>
              <w:spacing w:after="0"/>
              <w:ind w:left="960" w:hanging="600"/>
              <w:rPr>
                <w:rFonts w:ascii="Arial" w:hAnsi="Arial" w:cs="Arial"/>
                <w:noProof/>
                <w:sz w:val="20"/>
              </w:rPr>
            </w:pPr>
            <w:r>
              <w:rPr>
                <w:rFonts w:ascii="Arial" w:hAnsi="Arial" w:cs="Arial"/>
                <w:noProof/>
                <w:sz w:val="20"/>
              </w:rPr>
              <w:t>Avoid fraud shifting by ensuring that tax fraud does not move from one sector to another or between MS.</w:t>
            </w:r>
          </w:p>
        </w:tc>
      </w:tr>
      <w:tr>
        <w:tc>
          <w:tcPr>
            <w:tcW w:w="9606" w:type="dxa"/>
            <w:tcBorders>
              <w:bottom w:val="single" w:sz="4" w:space="0" w:color="auto"/>
            </w:tcBorders>
            <w:shd w:val="clear" w:color="auto" w:fill="E6E6E6"/>
          </w:tcPr>
          <w:p>
            <w:pPr>
              <w:spacing w:before="60" w:after="60"/>
              <w:rPr>
                <w:rFonts w:ascii="Tahoma" w:hAnsi="Tahoma" w:cs="Tahoma"/>
                <w:noProof/>
              </w:rPr>
            </w:pPr>
            <w:r>
              <w:rPr>
                <w:rFonts w:ascii="Tahoma" w:hAnsi="Tahoma" w:cs="Tahoma"/>
                <w:b/>
                <w:noProof/>
              </w:rPr>
              <w:t>What is the value added of action at the EU level?</w:t>
            </w:r>
            <w:r>
              <w:rPr>
                <w:rFonts w:ascii="Tahoma" w:hAnsi="Tahoma" w:cs="Tahoma"/>
                <w:noProof/>
              </w:rPr>
              <w:t xml:space="preserve"> </w:t>
            </w:r>
          </w:p>
        </w:tc>
      </w:tr>
      <w:tr>
        <w:tc>
          <w:tcPr>
            <w:tcW w:w="9606" w:type="dxa"/>
            <w:tcBorders>
              <w:bottom w:val="single" w:sz="4" w:space="0" w:color="auto"/>
            </w:tcBorders>
            <w:shd w:val="clear" w:color="auto" w:fill="auto"/>
          </w:tcPr>
          <w:p>
            <w:pPr>
              <w:rPr>
                <w:rFonts w:ascii="Arial" w:hAnsi="Arial" w:cs="Arial"/>
                <w:noProof/>
              </w:rPr>
            </w:pPr>
            <w:r>
              <w:rPr>
                <w:rFonts w:ascii="Arial" w:hAnsi="Arial" w:cs="Arial"/>
                <w:noProof/>
              </w:rPr>
              <w:t>The application by MS of a GRCM cannot be granted under the current VAT legislation</w:t>
            </w:r>
            <w:r>
              <w:rPr>
                <w:rStyle w:val="FootnoteReference"/>
                <w:rFonts w:ascii="Arial" w:hAnsi="Arial" w:cs="Arial"/>
                <w:noProof/>
              </w:rPr>
              <w:footnoteReference w:id="2"/>
            </w:r>
            <w:r>
              <w:rPr>
                <w:rFonts w:ascii="Arial" w:hAnsi="Arial" w:cs="Arial"/>
                <w:noProof/>
              </w:rPr>
              <w:t xml:space="preserve"> and needs an amendment to the VAT Directive.</w:t>
            </w:r>
          </w:p>
        </w:tc>
      </w:tr>
      <w:tr>
        <w:tc>
          <w:tcPr>
            <w:tcW w:w="9606"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cs="Tahoma"/>
                <w:b/>
                <w:noProof/>
                <w:sz w:val="22"/>
                <w:szCs w:val="22"/>
              </w:rPr>
              <w:t>B. Solutions</w:t>
            </w:r>
          </w:p>
        </w:tc>
      </w:tr>
      <w:tr>
        <w:tc>
          <w:tcPr>
            <w:tcW w:w="9606" w:type="dxa"/>
            <w:tcBorders>
              <w:bottom w:val="single" w:sz="4" w:space="0" w:color="auto"/>
            </w:tcBorders>
            <w:shd w:val="clear" w:color="auto" w:fill="E6E6E6"/>
          </w:tcPr>
          <w:p>
            <w:pPr>
              <w:spacing w:before="60"/>
              <w:rPr>
                <w:rFonts w:ascii="Tahoma" w:hAnsi="Tahoma" w:cs="Tahoma"/>
                <w:noProof/>
              </w:rPr>
            </w:pPr>
            <w:r>
              <w:rPr>
                <w:rFonts w:ascii="Tahoma" w:hAnsi="Tahoma" w:cs="Tahoma"/>
                <w:b/>
                <w:noProof/>
              </w:rPr>
              <w:t>What legislative and non-legislative policy options have been considered?</w:t>
            </w:r>
            <w:r>
              <w:rPr>
                <w:rFonts w:ascii="Tahoma" w:hAnsi="Tahoma" w:cs="Tahoma"/>
                <w:noProof/>
              </w:rPr>
              <w:t xml:space="preserve"> </w:t>
            </w:r>
            <w:r>
              <w:rPr>
                <w:rFonts w:ascii="Tahoma" w:hAnsi="Tahoma" w:cs="Tahoma"/>
                <w:b/>
                <w:noProof/>
              </w:rPr>
              <w:t xml:space="preserve">Is there a preferred choice or not? Why? </w:t>
            </w:r>
          </w:p>
        </w:tc>
      </w:tr>
      <w:tr>
        <w:tc>
          <w:tcPr>
            <w:tcW w:w="9606" w:type="dxa"/>
            <w:tcBorders>
              <w:bottom w:val="single" w:sz="4" w:space="0" w:color="auto"/>
            </w:tcBorders>
            <w:shd w:val="clear" w:color="auto" w:fill="auto"/>
          </w:tcPr>
          <w:p>
            <w:pPr>
              <w:pStyle w:val="ListParagraph"/>
              <w:numPr>
                <w:ilvl w:val="0"/>
                <w:numId w:val="2"/>
              </w:numPr>
              <w:spacing w:after="0"/>
              <w:ind w:left="360"/>
              <w:rPr>
                <w:rFonts w:ascii="Arial" w:hAnsi="Arial" w:cs="Arial"/>
                <w:noProof/>
                <w:sz w:val="20"/>
              </w:rPr>
            </w:pPr>
            <w:r>
              <w:rPr>
                <w:rFonts w:ascii="Arial" w:hAnsi="Arial" w:cs="Arial"/>
                <w:b/>
                <w:noProof/>
                <w:sz w:val="20"/>
              </w:rPr>
              <w:t>Baseline</w:t>
            </w:r>
            <w:r>
              <w:rPr>
                <w:rFonts w:ascii="Arial" w:hAnsi="Arial" w:cs="Arial"/>
                <w:noProof/>
                <w:sz w:val="20"/>
              </w:rPr>
              <w:t>, which includes a definitive system for intra-EU trade</w:t>
            </w:r>
            <w:r>
              <w:rPr>
                <w:rFonts w:ascii="Arial" w:hAnsi="Arial" w:cs="Arial"/>
                <w:b/>
                <w:noProof/>
                <w:sz w:val="20"/>
              </w:rPr>
              <w:t>,</w:t>
            </w:r>
            <w:r>
              <w:rPr>
                <w:rFonts w:ascii="Arial" w:hAnsi="Arial" w:cs="Arial"/>
                <w:noProof/>
                <w:sz w:val="20"/>
              </w:rPr>
              <w:t xml:space="preserve"> offers a coherent and EU-wide solution to carrousel fraud but its positive effects can only be expected in the medium to long term.</w:t>
            </w:r>
          </w:p>
          <w:p>
            <w:pPr>
              <w:rPr>
                <w:rFonts w:ascii="Arial" w:hAnsi="Arial" w:cs="Arial"/>
                <w:noProof/>
              </w:rPr>
            </w:pPr>
          </w:p>
          <w:p>
            <w:pPr>
              <w:pStyle w:val="ListParagraph"/>
              <w:numPr>
                <w:ilvl w:val="0"/>
                <w:numId w:val="2"/>
              </w:numPr>
              <w:spacing w:after="0"/>
              <w:ind w:left="360"/>
              <w:rPr>
                <w:rFonts w:ascii="Arial" w:hAnsi="Arial" w:cs="Arial"/>
                <w:noProof/>
                <w:sz w:val="20"/>
              </w:rPr>
            </w:pPr>
            <w:r>
              <w:rPr>
                <w:rFonts w:ascii="Arial" w:hAnsi="Arial" w:cs="Arial"/>
                <w:b/>
                <w:noProof/>
                <w:sz w:val="20"/>
              </w:rPr>
              <w:t>Option 2b:</w:t>
            </w:r>
            <w:r>
              <w:rPr>
                <w:rFonts w:ascii="Arial" w:hAnsi="Arial" w:cs="Arial"/>
                <w:noProof/>
                <w:sz w:val="20"/>
              </w:rPr>
              <w:t xml:space="preserve"> derogation to apply the GRCM to preselected MS on a voluntary basis. </w:t>
            </w:r>
          </w:p>
          <w:p>
            <w:pPr>
              <w:rPr>
                <w:rFonts w:ascii="Arial" w:hAnsi="Arial" w:cs="Arial"/>
                <w:noProof/>
              </w:rPr>
            </w:pPr>
          </w:p>
          <w:p>
            <w:pPr>
              <w:pStyle w:val="ListParagraph"/>
              <w:numPr>
                <w:ilvl w:val="0"/>
                <w:numId w:val="2"/>
              </w:numPr>
              <w:spacing w:after="0"/>
              <w:ind w:left="360"/>
              <w:rPr>
                <w:rFonts w:ascii="Arial" w:hAnsi="Arial" w:cs="Arial"/>
                <w:noProof/>
                <w:sz w:val="20"/>
              </w:rPr>
            </w:pPr>
            <w:r>
              <w:rPr>
                <w:rFonts w:ascii="Arial" w:hAnsi="Arial" w:cs="Arial"/>
                <w:b/>
                <w:noProof/>
                <w:sz w:val="20"/>
              </w:rPr>
              <w:t>Option 3b</w:t>
            </w:r>
            <w:r>
              <w:rPr>
                <w:rFonts w:ascii="Arial" w:hAnsi="Arial" w:cs="Arial"/>
                <w:noProof/>
                <w:sz w:val="20"/>
              </w:rPr>
              <w:t xml:space="preserve">: derogation to apply the GRCM to any MS on a voluntary basis and on the basis on predefined criteria. </w:t>
            </w:r>
          </w:p>
          <w:p>
            <w:pPr>
              <w:rPr>
                <w:rFonts w:ascii="Arial" w:hAnsi="Arial" w:cs="Arial"/>
                <w:noProof/>
              </w:rPr>
            </w:pPr>
          </w:p>
          <w:p>
            <w:pPr>
              <w:rPr>
                <w:rFonts w:ascii="Arial" w:hAnsi="Arial" w:cs="Arial"/>
                <w:noProof/>
              </w:rPr>
            </w:pPr>
            <w:r>
              <w:rPr>
                <w:rFonts w:ascii="Arial" w:hAnsi="Arial" w:cs="Arial"/>
                <w:noProof/>
              </w:rPr>
              <w:t>Discarded options: a GRCM without threshold and options 2a and 3a, based on a sectorial/optional approach.</w:t>
            </w:r>
          </w:p>
          <w:p>
            <w:pPr>
              <w:rPr>
                <w:rFonts w:ascii="Arial" w:hAnsi="Arial" w:cs="Arial"/>
                <w:noProof/>
              </w:rPr>
            </w:pPr>
          </w:p>
          <w:p>
            <w:pPr>
              <w:rPr>
                <w:rFonts w:ascii="Arial" w:hAnsi="Arial" w:cs="Arial"/>
                <w:noProof/>
              </w:rPr>
            </w:pPr>
            <w:r>
              <w:rPr>
                <w:rFonts w:ascii="Arial" w:hAnsi="Arial" w:cs="Arial"/>
                <w:noProof/>
              </w:rPr>
              <w:t xml:space="preserve">3b is the preferred option as it offers a short term solution to MS particularly affected by carrousel fraud. It minimises negative impacts on the internal market (IM) by limiting fraud shifting between MS. Its safeguard clause would help if the experiment has negative impacts on the IM. </w:t>
            </w:r>
          </w:p>
        </w:tc>
      </w:tr>
      <w:tr>
        <w:tc>
          <w:tcPr>
            <w:tcW w:w="9606" w:type="dxa"/>
            <w:shd w:val="clear" w:color="auto" w:fill="CCCCCC"/>
          </w:tcPr>
          <w:p>
            <w:pPr>
              <w:spacing w:before="60"/>
              <w:rPr>
                <w:rFonts w:ascii="Tahoma" w:hAnsi="Tahoma" w:cs="Tahoma"/>
                <w:noProof/>
              </w:rPr>
            </w:pPr>
            <w:r>
              <w:rPr>
                <w:rFonts w:ascii="Tahoma" w:hAnsi="Tahoma" w:cs="Tahoma"/>
                <w:b/>
                <w:noProof/>
              </w:rPr>
              <w:t xml:space="preserve">Who supports which option? </w:t>
            </w:r>
          </w:p>
        </w:tc>
      </w:tr>
      <w:tr>
        <w:tc>
          <w:tcPr>
            <w:tcW w:w="9606" w:type="dxa"/>
            <w:shd w:val="clear" w:color="auto" w:fill="auto"/>
          </w:tcPr>
          <w:p>
            <w:pPr>
              <w:rPr>
                <w:rFonts w:ascii="Arial" w:hAnsi="Arial" w:cs="Arial"/>
                <w:noProof/>
              </w:rPr>
            </w:pPr>
            <w:r>
              <w:rPr>
                <w:rFonts w:ascii="Arial" w:hAnsi="Arial" w:cs="Arial"/>
                <w:noProof/>
              </w:rPr>
              <w:t>Most business organisations do not support the application of a GRCM in individual MS as this would significantly increase compliance costs</w:t>
            </w:r>
            <w:r>
              <w:rPr>
                <w:rStyle w:val="FootnoteReference"/>
                <w:rFonts w:ascii="Arial" w:hAnsi="Arial" w:cs="Arial"/>
                <w:noProof/>
              </w:rPr>
              <w:footnoteReference w:id="3"/>
            </w:r>
            <w:r>
              <w:rPr>
                <w:rFonts w:ascii="Arial" w:hAnsi="Arial" w:cs="Arial"/>
                <w:noProof/>
              </w:rPr>
              <w:t>. MS' views are divergent: some are favourable while others expressed doubts on its efficiency</w:t>
            </w:r>
            <w:r>
              <w:rPr>
                <w:rStyle w:val="FootnoteReference"/>
                <w:rFonts w:ascii="Arial" w:hAnsi="Arial" w:cs="Arial"/>
                <w:noProof/>
              </w:rPr>
              <w:footnoteReference w:id="4"/>
            </w:r>
            <w:r>
              <w:rPr>
                <w:rFonts w:ascii="Arial" w:hAnsi="Arial" w:cs="Arial"/>
                <w:noProof/>
              </w:rPr>
              <w:t xml:space="preserve">.  </w:t>
            </w:r>
          </w:p>
        </w:tc>
      </w:tr>
    </w:tbl>
    <w:p>
      <w:pPr>
        <w:spacing w:after="0"/>
        <w:rPr>
          <w:rFonts w:ascii="Arial" w:hAnsi="Arial" w:cs="Arial"/>
          <w:noProof/>
          <w:sz w:val="12"/>
          <w:szCs w:val="12"/>
          <w:lang w:val="en-GB" w:eastAsia="en-GB"/>
        </w:rPr>
      </w:pPr>
    </w:p>
    <w:tbl>
      <w:tblPr>
        <w:tblStyle w:val="TableGrid"/>
        <w:tblW w:w="9606" w:type="dxa"/>
        <w:tblLook w:val="01E0" w:firstRow="1" w:lastRow="1" w:firstColumn="1" w:lastColumn="1" w:noHBand="0" w:noVBand="0"/>
      </w:tblPr>
      <w:tblGrid>
        <w:gridCol w:w="9606"/>
      </w:tblGrid>
      <w:tr>
        <w:tc>
          <w:tcPr>
            <w:tcW w:w="9606" w:type="dxa"/>
            <w:tcBorders>
              <w:bottom w:val="single" w:sz="4" w:space="0" w:color="auto"/>
            </w:tcBorders>
            <w:shd w:val="clear" w:color="auto" w:fill="CCCCCC"/>
          </w:tcPr>
          <w:p>
            <w:pPr>
              <w:keepNext/>
              <w:spacing w:before="60" w:after="60"/>
              <w:jc w:val="center"/>
              <w:rPr>
                <w:rFonts w:ascii="Tahoma" w:hAnsi="Tahoma" w:cs="Tahoma"/>
                <w:b/>
                <w:noProof/>
                <w:sz w:val="22"/>
                <w:szCs w:val="22"/>
              </w:rPr>
            </w:pPr>
            <w:r>
              <w:rPr>
                <w:rFonts w:ascii="Tahoma" w:hAnsi="Tahoma" w:cs="Tahoma"/>
                <w:b/>
                <w:noProof/>
                <w:sz w:val="22"/>
                <w:szCs w:val="22"/>
              </w:rPr>
              <w:t>C. Impacts of the preferred option</w:t>
            </w:r>
          </w:p>
        </w:tc>
      </w:tr>
      <w:tr>
        <w:tc>
          <w:tcPr>
            <w:tcW w:w="9606" w:type="dxa"/>
            <w:tcBorders>
              <w:bottom w:val="single" w:sz="4" w:space="0" w:color="auto"/>
            </w:tcBorders>
            <w:shd w:val="clear" w:color="auto" w:fill="E6E6E6"/>
          </w:tcPr>
          <w:p>
            <w:pPr>
              <w:keepNext/>
              <w:spacing w:before="60" w:after="60"/>
              <w:rPr>
                <w:rFonts w:ascii="Tahoma" w:hAnsi="Tahoma" w:cs="Tahoma"/>
                <w:noProof/>
              </w:rPr>
            </w:pPr>
            <w:r>
              <w:rPr>
                <w:rFonts w:ascii="Tahoma" w:hAnsi="Tahoma" w:cs="Tahoma"/>
                <w:b/>
                <w:noProof/>
              </w:rPr>
              <w:t>What are the benefits</w:t>
            </w:r>
            <w:r>
              <w:rPr>
                <w:rFonts w:ascii="Tahoma" w:hAnsi="Tahoma" w:cs="Tahoma"/>
                <w:noProof/>
              </w:rPr>
              <w:t xml:space="preserve"> </w:t>
            </w:r>
            <w:r>
              <w:rPr>
                <w:rFonts w:ascii="Tahoma" w:hAnsi="Tahoma" w:cs="Tahoma"/>
                <w:b/>
                <w:noProof/>
              </w:rPr>
              <w:t>of the preferred option (if any, otherwise main ones)?</w:t>
            </w:r>
            <w:r>
              <w:rPr>
                <w:rFonts w:ascii="Tahoma" w:hAnsi="Tahoma" w:cs="Tahoma"/>
                <w:noProof/>
              </w:rPr>
              <w:t xml:space="preserve">                                      </w:t>
            </w:r>
          </w:p>
        </w:tc>
      </w:tr>
      <w:tr>
        <w:tc>
          <w:tcPr>
            <w:tcW w:w="9606" w:type="dxa"/>
            <w:tcBorders>
              <w:bottom w:val="single" w:sz="4" w:space="0" w:color="auto"/>
            </w:tcBorders>
            <w:shd w:val="clear" w:color="auto" w:fill="auto"/>
          </w:tcPr>
          <w:p>
            <w:pPr>
              <w:pStyle w:val="Text1"/>
              <w:spacing w:after="0"/>
              <w:ind w:left="0"/>
              <w:rPr>
                <w:rFonts w:ascii="Arial" w:hAnsi="Arial" w:cs="Arial"/>
                <w:noProof/>
                <w:sz w:val="20"/>
              </w:rPr>
            </w:pPr>
            <w:r>
              <w:rPr>
                <w:rFonts w:ascii="Arial" w:hAnsi="Arial" w:cs="Arial"/>
                <w:noProof/>
                <w:sz w:val="20"/>
              </w:rPr>
              <w:t>3b is expected to reduce carrousel fraud in the MS applying the GRCM (GRCM MS) in the short term and to limit fraud shifting to other MS. This remains, however, conditional upon the MS' ability to control the GRCM and to prevent new types of fraud.</w:t>
            </w:r>
          </w:p>
        </w:tc>
      </w:tr>
      <w:tr>
        <w:tc>
          <w:tcPr>
            <w:tcW w:w="9606" w:type="dxa"/>
            <w:tcBorders>
              <w:bottom w:val="single" w:sz="4" w:space="0" w:color="auto"/>
            </w:tcBorders>
            <w:shd w:val="clear" w:color="auto" w:fill="E6E6E6"/>
          </w:tcPr>
          <w:p>
            <w:pPr>
              <w:spacing w:before="60" w:after="60"/>
              <w:rPr>
                <w:rFonts w:ascii="Tahoma" w:hAnsi="Tahoma" w:cs="Tahoma"/>
                <w:noProof/>
              </w:rPr>
            </w:pPr>
            <w:r>
              <w:rPr>
                <w:rFonts w:ascii="Tahoma" w:hAnsi="Tahoma" w:cs="Tahoma"/>
                <w:b/>
                <w:noProof/>
              </w:rPr>
              <w:t>What are the costs of the preferred option (if any, otherwise main ones)?</w:t>
            </w:r>
            <w:r>
              <w:rPr>
                <w:rFonts w:ascii="Tahoma" w:hAnsi="Tahoma" w:cs="Tahoma"/>
                <w:noProof/>
              </w:rPr>
              <w:t xml:space="preserve">                                      </w:t>
            </w:r>
          </w:p>
        </w:tc>
      </w:tr>
      <w:tr>
        <w:tc>
          <w:tcPr>
            <w:tcW w:w="9606" w:type="dxa"/>
            <w:tcBorders>
              <w:bottom w:val="single" w:sz="4" w:space="0" w:color="auto"/>
            </w:tcBorders>
            <w:shd w:val="clear" w:color="auto" w:fill="auto"/>
          </w:tcPr>
          <w:p>
            <w:pPr>
              <w:rPr>
                <w:rFonts w:ascii="Arial" w:hAnsi="Arial" w:cs="Arial"/>
                <w:noProof/>
              </w:rPr>
            </w:pPr>
            <w:r>
              <w:rPr>
                <w:rFonts w:ascii="Arial" w:hAnsi="Arial" w:cs="Arial"/>
                <w:noProof/>
              </w:rPr>
              <w:t>Businesses' compliance costs are expected to increase in the short and longer term. Administrative costs to TAs will highly depend upon their actual level of efficiency which is dependent on their structure, organisation and level of computerisation.</w:t>
            </w:r>
          </w:p>
        </w:tc>
      </w:tr>
      <w:tr>
        <w:tc>
          <w:tcPr>
            <w:tcW w:w="9606" w:type="dxa"/>
            <w:tcBorders>
              <w:bottom w:val="single" w:sz="4" w:space="0" w:color="auto"/>
            </w:tcBorders>
            <w:shd w:val="clear" w:color="auto" w:fill="E6E6E6"/>
          </w:tcPr>
          <w:p>
            <w:pPr>
              <w:spacing w:before="60" w:after="60"/>
              <w:rPr>
                <w:rFonts w:ascii="Tahoma" w:hAnsi="Tahoma" w:cs="Tahoma"/>
                <w:noProof/>
              </w:rPr>
            </w:pPr>
            <w:r>
              <w:rPr>
                <w:rFonts w:ascii="Tahoma" w:hAnsi="Tahoma" w:cs="Tahoma"/>
                <w:b/>
                <w:noProof/>
              </w:rPr>
              <w:t xml:space="preserve">How will businesses, SMEs and micro-enterprises be affected? </w:t>
            </w:r>
          </w:p>
        </w:tc>
      </w:tr>
      <w:tr>
        <w:tc>
          <w:tcPr>
            <w:tcW w:w="9606" w:type="dxa"/>
            <w:tcBorders>
              <w:bottom w:val="single" w:sz="4" w:space="0" w:color="auto"/>
            </w:tcBorders>
            <w:shd w:val="clear" w:color="auto" w:fill="auto"/>
          </w:tcPr>
          <w:p>
            <w:pPr>
              <w:tabs>
                <w:tab w:val="left" w:pos="2302"/>
              </w:tabs>
              <w:rPr>
                <w:rFonts w:ascii="Arial" w:hAnsi="Arial" w:cs="Arial"/>
                <w:noProof/>
              </w:rPr>
            </w:pPr>
            <w:r>
              <w:rPr>
                <w:rFonts w:ascii="Arial" w:hAnsi="Arial" w:cs="Arial"/>
                <w:noProof/>
              </w:rPr>
              <w:t>Businesses in a GRCM MS will have to adapt and comply with the new obligations. When also active in a non-GRCM MS, they will have to comply with the normal VAT rules.</w:t>
            </w:r>
          </w:p>
          <w:p>
            <w:pPr>
              <w:tabs>
                <w:tab w:val="left" w:pos="2302"/>
              </w:tabs>
              <w:rPr>
                <w:rFonts w:ascii="Arial" w:hAnsi="Arial" w:cs="Arial"/>
                <w:noProof/>
              </w:rPr>
            </w:pPr>
            <w:r>
              <w:rPr>
                <w:rFonts w:ascii="Arial" w:hAnsi="Arial" w:cs="Arial"/>
                <w:noProof/>
              </w:rPr>
              <w:t>Businesses in the GRCM MS will have a different cash-flow situation</w:t>
            </w:r>
            <w:r>
              <w:rPr>
                <w:rStyle w:val="FootnoteReference"/>
                <w:rFonts w:ascii="Arial" w:hAnsi="Arial" w:cs="Arial"/>
                <w:noProof/>
              </w:rPr>
              <w:footnoteReference w:id="5"/>
            </w:r>
            <w:r>
              <w:rPr>
                <w:rFonts w:ascii="Arial" w:hAnsi="Arial" w:cs="Arial"/>
                <w:noProof/>
              </w:rPr>
              <w:t xml:space="preserve"> compared to businesses in other MS. </w:t>
            </w:r>
          </w:p>
        </w:tc>
      </w:tr>
      <w:tr>
        <w:tc>
          <w:tcPr>
            <w:tcW w:w="9606" w:type="dxa"/>
            <w:tcBorders>
              <w:bottom w:val="single" w:sz="4" w:space="0" w:color="auto"/>
            </w:tcBorders>
            <w:shd w:val="clear" w:color="auto" w:fill="E6E6E6"/>
          </w:tcPr>
          <w:p>
            <w:pPr>
              <w:spacing w:before="60"/>
              <w:rPr>
                <w:rFonts w:ascii="Tahoma" w:hAnsi="Tahoma" w:cs="Tahoma"/>
                <w:b/>
                <w:i/>
                <w:noProof/>
              </w:rPr>
            </w:pPr>
            <w:r>
              <w:rPr>
                <w:rFonts w:ascii="Tahoma" w:hAnsi="Tahoma" w:cs="Tahoma"/>
                <w:b/>
                <w:noProof/>
              </w:rPr>
              <w:t>Will there be significant impacts</w:t>
            </w:r>
            <w:r>
              <w:rPr>
                <w:rFonts w:ascii="Tahoma" w:hAnsi="Tahoma" w:cs="Tahoma"/>
                <w:noProof/>
              </w:rPr>
              <w:t xml:space="preserve"> </w:t>
            </w:r>
            <w:r>
              <w:rPr>
                <w:rFonts w:ascii="Tahoma" w:hAnsi="Tahoma" w:cs="Tahoma"/>
                <w:b/>
                <w:noProof/>
              </w:rPr>
              <w:t>on national budgets and administrations?</w:t>
            </w:r>
            <w:r>
              <w:rPr>
                <w:rFonts w:ascii="Tahoma" w:hAnsi="Tahoma" w:cs="Tahoma"/>
                <w:noProof/>
              </w:rPr>
              <w:t xml:space="preserve"> </w:t>
            </w:r>
          </w:p>
        </w:tc>
      </w:tr>
      <w:tr>
        <w:tc>
          <w:tcPr>
            <w:tcW w:w="9606" w:type="dxa"/>
            <w:shd w:val="clear" w:color="auto" w:fill="auto"/>
          </w:tcPr>
          <w:p>
            <w:pPr>
              <w:rPr>
                <w:rFonts w:ascii="Arial" w:hAnsi="Arial" w:cs="Arial"/>
                <w:noProof/>
              </w:rPr>
            </w:pPr>
            <w:r>
              <w:rPr>
                <w:rFonts w:ascii="Arial" w:hAnsi="Arial" w:cs="Arial"/>
                <w:noProof/>
              </w:rPr>
              <w:t>Reduction of carrousel fraud in the GRCM MS can be expected in the short term if sufficient controls are in place. Fraud shifting to other MS would be curbed. New fraud risks are likely to develop in the GRCM MS in case of insufficient controls, but at an unpredictable speed.. Final impact on fraud is hard to assess without a real experience.</w:t>
            </w:r>
          </w:p>
        </w:tc>
      </w:tr>
      <w:tr>
        <w:tc>
          <w:tcPr>
            <w:tcW w:w="9606" w:type="dxa"/>
            <w:tcBorders>
              <w:bottom w:val="single" w:sz="4" w:space="0" w:color="auto"/>
            </w:tcBorders>
            <w:shd w:val="clear" w:color="auto" w:fill="E6E6E6"/>
          </w:tcPr>
          <w:p>
            <w:pPr>
              <w:spacing w:before="60"/>
              <w:rPr>
                <w:rFonts w:ascii="Tahoma" w:hAnsi="Tahoma" w:cs="Tahoma"/>
                <w:noProof/>
              </w:rPr>
            </w:pPr>
            <w:r>
              <w:rPr>
                <w:rFonts w:ascii="Tahoma" w:hAnsi="Tahoma" w:cs="Tahoma"/>
                <w:b/>
                <w:noProof/>
              </w:rPr>
              <w:t>Will there be other significant impacts?</w:t>
            </w:r>
            <w:r>
              <w:rPr>
                <w:rFonts w:ascii="Tahoma" w:hAnsi="Tahoma" w:cs="Tahoma"/>
                <w:noProof/>
              </w:rPr>
              <w:t xml:space="preserve"> </w:t>
            </w:r>
          </w:p>
        </w:tc>
      </w:tr>
      <w:tr>
        <w:tc>
          <w:tcPr>
            <w:tcW w:w="9606" w:type="dxa"/>
            <w:tcBorders>
              <w:bottom w:val="single" w:sz="4" w:space="0" w:color="auto"/>
            </w:tcBorders>
            <w:shd w:val="clear" w:color="auto" w:fill="auto"/>
          </w:tcPr>
          <w:p>
            <w:pPr>
              <w:rPr>
                <w:rFonts w:ascii="Arial" w:hAnsi="Arial" w:cs="Arial"/>
                <w:noProof/>
              </w:rPr>
            </w:pPr>
            <w:r>
              <w:rPr>
                <w:rFonts w:ascii="Arial" w:hAnsi="Arial" w:cs="Arial"/>
                <w:noProof/>
              </w:rPr>
              <w:t xml:space="preserve">No. </w:t>
            </w:r>
          </w:p>
        </w:tc>
      </w:tr>
      <w:tr>
        <w:tc>
          <w:tcPr>
            <w:tcW w:w="9606"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cs="Tahoma"/>
                <w:b/>
                <w:noProof/>
                <w:sz w:val="22"/>
                <w:szCs w:val="22"/>
              </w:rPr>
              <w:t>D. Follow up</w:t>
            </w:r>
          </w:p>
        </w:tc>
      </w:tr>
      <w:tr>
        <w:tc>
          <w:tcPr>
            <w:tcW w:w="9606" w:type="dxa"/>
            <w:tcBorders>
              <w:bottom w:val="single" w:sz="4" w:space="0" w:color="auto"/>
            </w:tcBorders>
            <w:shd w:val="clear" w:color="auto" w:fill="E6E6E6"/>
          </w:tcPr>
          <w:p>
            <w:pPr>
              <w:spacing w:before="60"/>
              <w:rPr>
                <w:rFonts w:ascii="Tahoma" w:hAnsi="Tahoma" w:cs="Tahoma"/>
                <w:noProof/>
              </w:rPr>
            </w:pPr>
            <w:r>
              <w:rPr>
                <w:rFonts w:ascii="Tahoma" w:hAnsi="Tahoma" w:cs="Tahoma"/>
                <w:b/>
                <w:noProof/>
              </w:rPr>
              <w:t xml:space="preserve">When will the policy be reviewed? </w:t>
            </w:r>
          </w:p>
        </w:tc>
      </w:tr>
      <w:tr>
        <w:tc>
          <w:tcPr>
            <w:tcW w:w="9606" w:type="dxa"/>
            <w:tcBorders>
              <w:bottom w:val="single" w:sz="4" w:space="0" w:color="auto"/>
            </w:tcBorders>
            <w:shd w:val="clear" w:color="auto" w:fill="auto"/>
          </w:tcPr>
          <w:p>
            <w:pPr>
              <w:rPr>
                <w:rFonts w:ascii="Tahoma" w:hAnsi="Tahoma" w:cs="Tahoma"/>
                <w:noProof/>
              </w:rPr>
            </w:pPr>
            <w:r>
              <w:rPr>
                <w:rFonts w:ascii="Arial" w:hAnsi="Arial" w:cs="Arial"/>
                <w:noProof/>
              </w:rPr>
              <w:t>The initiative has a sunset clause (5 years). The Commission might repeal it (</w:t>
            </w:r>
            <w:r>
              <w:rPr>
                <w:rFonts w:ascii="Arial" w:eastAsia="Arial Unicode MS" w:hAnsi="Arial" w:cs="Arial"/>
                <w:noProof/>
              </w:rPr>
              <w:t xml:space="preserve">safeguard clause) </w:t>
            </w:r>
            <w:r>
              <w:rPr>
                <w:rFonts w:ascii="Arial" w:hAnsi="Arial" w:cs="Arial"/>
                <w:noProof/>
              </w:rPr>
              <w:t>in case of negative impact on the IM</w:t>
            </w:r>
            <w:r>
              <w:rPr>
                <w:rFonts w:ascii="Arial" w:eastAsia="Arial Unicode MS" w:hAnsi="Arial" w:cs="Arial"/>
                <w:noProof/>
              </w:rPr>
              <w:t xml:space="preserve">.. </w:t>
            </w:r>
          </w:p>
        </w:tc>
      </w:tr>
    </w:tbl>
    <w:p>
      <w:pPr>
        <w:spacing w:after="0"/>
        <w:rPr>
          <w:rFonts w:ascii="Arial" w:hAnsi="Arial" w:cs="Arial"/>
          <w:i/>
          <w:noProof/>
          <w:sz w:val="20"/>
          <w:lang w:val="en-GB" w:eastAsia="en-GB"/>
        </w:rPr>
      </w:pPr>
    </w:p>
    <w:p>
      <w:pPr>
        <w:rPr>
          <w:noProof/>
          <w:lang w:val="en-GB"/>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66382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33222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tab/>
      </w:r>
      <w:r>
        <w:rPr>
          <w:rFonts w:ascii="Arial" w:hAnsi="Arial" w:cs="Arial"/>
          <w:sz w:val="16"/>
          <w:szCs w:val="16"/>
        </w:rPr>
        <w:t xml:space="preserve">See COM statement to ECOFIN Minutes 17/6/16. </w:t>
      </w:r>
    </w:p>
  </w:footnote>
  <w:footnote w:id="2">
    <w:p>
      <w:pPr>
        <w:pStyle w:val="FootnoteText"/>
        <w:spacing w:after="120"/>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ab/>
        <w:t xml:space="preserve">'Normal' derogations can be granted to MS (Article 395 of the VAT Directive). However a GRCM cannot be </w:t>
      </w:r>
      <w:r>
        <w:rPr>
          <w:rFonts w:ascii="Arial" w:hAnsi="Arial" w:cs="Arial"/>
          <w:noProof/>
          <w:sz w:val="16"/>
          <w:szCs w:val="16"/>
          <w:lang w:eastAsia="en-GB"/>
        </w:rPr>
        <w:t xml:space="preserve">considered as a 'normal derogation' as it entails a fundamental change to the VAT system. </w:t>
      </w:r>
    </w:p>
  </w:footnote>
  <w:footnote w:id="3">
    <w:p>
      <w:pPr>
        <w:pStyle w:val="FootnoteText"/>
        <w:spacing w:after="120"/>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ab/>
        <w:t>E.g. VAT Expert Group opinion of 20/5/16 and REFIT platform.</w:t>
      </w:r>
    </w:p>
  </w:footnote>
  <w:footnote w:id="4">
    <w:p>
      <w:pPr>
        <w:pStyle w:val="FootnoteText"/>
        <w:spacing w:after="120"/>
        <w:rPr>
          <w:rFonts w:ascii="Arial" w:hAnsi="Arial" w:cs="Arial"/>
          <w:sz w:val="16"/>
          <w:szCs w:val="16"/>
        </w:rPr>
      </w:pPr>
      <w:r>
        <w:rPr>
          <w:rStyle w:val="FootnoteReference"/>
        </w:rPr>
        <w:footnoteRef/>
      </w:r>
      <w:r>
        <w:t xml:space="preserve"> </w:t>
      </w:r>
      <w:r>
        <w:tab/>
      </w:r>
      <w:r>
        <w:rPr>
          <w:rFonts w:ascii="Arial" w:hAnsi="Arial" w:cs="Arial"/>
          <w:sz w:val="16"/>
          <w:szCs w:val="16"/>
        </w:rPr>
        <w:t>E.g. Group on the Future of VAT meeting of 5/2/16.</w:t>
      </w:r>
    </w:p>
  </w:footnote>
  <w:footnote w:id="5">
    <w:p>
      <w:pPr>
        <w:pStyle w:val="FootnoteText"/>
        <w:spacing w:after="120"/>
        <w:rPr>
          <w:rFonts w:ascii="Arial" w:hAnsi="Arial" w:cs="Arial"/>
          <w:sz w:val="16"/>
          <w:szCs w:val="16"/>
        </w:rPr>
      </w:pPr>
      <w:r>
        <w:rPr>
          <w:rStyle w:val="FootnoteReference"/>
        </w:rPr>
        <w:footnoteRef/>
      </w:r>
      <w:r>
        <w:t xml:space="preserve"> </w:t>
      </w:r>
      <w:r>
        <w:tab/>
      </w:r>
      <w:r>
        <w:rPr>
          <w:rFonts w:ascii="Arial" w:hAnsi="Arial" w:cs="Arial"/>
          <w:sz w:val="16"/>
          <w:szCs w:val="16"/>
        </w:rPr>
        <w:t>Under GRCM, VAT is only collected at the end of the supply chain instead of at each stage.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49BE"/>
    <w:multiLevelType w:val="hybridMultilevel"/>
    <w:tmpl w:val="89B6974A"/>
    <w:lvl w:ilvl="0" w:tplc="08090011">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nsid w:val="2CBE3B4A"/>
    <w:multiLevelType w:val="hybridMultilevel"/>
    <w:tmpl w:val="7C6820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1CE4741022B1413AB13555B3AA5D3BF2"/>
    <w:docVar w:name="LW_CROSSREFERENCE" w:val="{COM(2016) 811 final}_x000b_{SWD(2016) 457 final}"/>
    <w:docVar w:name="LW_DocType" w:val="NORMAL"/>
    <w:docVar w:name="LW_EMISSION" w:val="21.12.2016"/>
    <w:docVar w:name="LW_EMISSION_ISODATE" w:val="2016-12-21"/>
    <w:docVar w:name="LW_EMISSION_LOCATION" w:val="BRX"/>
    <w:docVar w:name="LW_EMISSION_PREFIX" w:val="Brussels, "/>
    <w:docVar w:name="LW_EMISSION_SUFFIX" w:val=" "/>
    <w:docVar w:name="LW_ID_DOCTYPE_NONLW" w:val="CP-027"/>
    <w:docVar w:name="LW_LANGUE" w:val="EN"/>
    <w:docVar w:name="LW_MARKING" w:val="&lt;UNUSED&gt;"/>
    <w:docVar w:name="LW_NOM.INST" w:val="EUROPEAN COMMISSION"/>
    <w:docVar w:name="LW_NOM.INST_JOINTDOC" w:val="&lt;EMPTY&gt;"/>
    <w:docVar w:name="LW_OBJETACTEPRINCIPAL.CP" w:val="amending Directive 2006/112/EC on the common system of value added tax, as regards the temporary application of the generalised reverse charge mechanism in relation to supplies of goods and services above a certain threshold"/>
    <w:docVar w:name="LW_PART_NBR" w:val="1"/>
    <w:docVar w:name="LW_PART_NBR_TOTAL" w:val="1"/>
    <w:docVar w:name="LW_REF.INST.NEW" w:val="SWD"/>
    <w:docVar w:name="LW_REF.INST.NEW_ADOPTED" w:val="final"/>
    <w:docVar w:name="LW_REF.INST.NEW_TEXT" w:val="(2016) 458"/>
    <w:docVar w:name="LW_REF.INTERNE" w:val="&lt;UNUSED&gt;"/>
    <w:docVar w:name="LW_SUPERTITRE" w:val="&lt;UNUSED&gt;"/>
    <w:docVar w:name="LW_TITRE.OBJ.CP" w:val="&lt;UNUSED&gt;"/>
    <w:docVar w:name="LW_TYPE.DOC.CP" w:val="COMMISSION STAFF WORKING DOCUMENT_x000b__x000b_EXECUTIVE SUMMARY OF THE IMPACT ASSESSMENT_x000b_"/>
    <w:docVar w:name="LW_TYPEACTEPRINCIPAL.CP" w:val="Proposal for a Council Directive"/>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val="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qFormat/>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rFonts w:ascii="Times New Roman" w:eastAsia="Times New Roman" w:hAnsi="Times New Roman" w:cs="Times New Roman"/>
      <w:sz w:val="20"/>
      <w:szCs w:val="20"/>
      <w:lang w:val="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
    <w:basedOn w:val="DefaultParagraphFont"/>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160" w:lineRule="exact"/>
      <w:ind w:left="284" w:hanging="284"/>
      <w:jc w:val="both"/>
    </w:pPr>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after="240" w:line="240" w:lineRule="auto"/>
      <w:ind w:left="720"/>
      <w:contextualSpacing/>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val="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qFormat/>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rFonts w:ascii="Times New Roman" w:eastAsia="Times New Roman" w:hAnsi="Times New Roman" w:cs="Times New Roman"/>
      <w:sz w:val="20"/>
      <w:szCs w:val="20"/>
      <w:lang w:val="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
    <w:basedOn w:val="DefaultParagraphFont"/>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160" w:lineRule="exact"/>
      <w:ind w:left="284" w:hanging="284"/>
      <w:jc w:val="both"/>
    </w:pPr>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after="240" w:line="240" w:lineRule="auto"/>
      <w:ind w:left="720"/>
      <w:contextualSpacing/>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ur-lex.europa.eu/legal-content/EN/TXT/PDF/?uri=CELEX:02006L0112-20150101&amp;from=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c.europa.eu/taxation_customs/resources/documents/taxation/vat/action_plan/com_2016_148_en.pdf"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axation_customs/business/vat/action-plan-vat_en"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3663</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2016-12-12T17:47:00Z</cp:lastPrinted>
  <dcterms:created xsi:type="dcterms:W3CDTF">2016-12-12T17:47:00Z</dcterms:created>
  <dcterms:modified xsi:type="dcterms:W3CDTF">2016-12-20T18:15:00Z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