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48ED08E4C03489F8AFC1112B4AF9AEB" style="width:450.75pt;height:407.2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mallCaps/>
          <w:noProof/>
        </w:rPr>
      </w:pPr>
      <w:r>
        <w:rPr>
          <w:b/>
          <w:smallCaps/>
          <w:noProof/>
        </w:rPr>
        <w:t>Общ контекст</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noProof/>
          <w:color w:val="222222"/>
        </w:rPr>
      </w:pPr>
      <w:r>
        <w:rPr>
          <w:noProof/>
          <w:color w:val="222222"/>
        </w:rPr>
        <w:t>Много правни актове на Съюза са приети без да е определена дата на изтичане на тяхното действие. Тези правни актове продължават официално да са в сила, въпреки че правното им действие е изчерпано.</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noProof/>
          <w:color w:val="222222"/>
        </w:rPr>
      </w:pPr>
      <w:r>
        <w:rPr>
          <w:noProof/>
          <w:color w:val="222222"/>
        </w:rPr>
        <w:t>Премахването на актове, които вече не са приложими или актуални позволява по-разбираемото представяне и по-ефективното и спестяващо време преглеждане на инструментите, които улесняват достъпа до правото на Съюза: CELEX, EUR-Lex и Регистъра на действащото законодателство (например сред резултатите от търсене вече няма да фигурират остарели актове, наред с тези, които са приложими). Подобряването на прозрачността на правото на Съюза е съществен елемент от програмата за по-добро регулиране, която институциите на Съюза изпълняват и в рамките на новото Междуинституционално споразумение за по-добро законотворчество</w:t>
      </w:r>
      <w:r>
        <w:rPr>
          <w:rStyle w:val="FootnoteReference"/>
          <w:noProof/>
          <w:color w:val="222222"/>
        </w:rPr>
        <w:footnoteReference w:id="1"/>
      </w:r>
      <w:r>
        <w:rPr>
          <w:noProof/>
          <w:color w:val="222222"/>
        </w:rPr>
        <w:t xml:space="preserve">. </w:t>
      </w:r>
      <w:r>
        <w:rPr>
          <w:noProof/>
        </w:rPr>
        <w:t>В съобщението от 2014 г. относно програмата REFIT</w:t>
      </w:r>
      <w:r>
        <w:rPr>
          <w:rStyle w:val="FootnoteReference"/>
          <w:noProof/>
        </w:rPr>
        <w:footnoteReference w:id="2"/>
      </w:r>
      <w:r>
        <w:rPr>
          <w:noProof/>
        </w:rPr>
        <w:t xml:space="preserve"> беше обявено, че Комисията ще подготви отмяна на законодателство, </w:t>
      </w:r>
      <w:r>
        <w:rPr>
          <w:i/>
          <w:noProof/>
        </w:rPr>
        <w:t>inter alia</w:t>
      </w:r>
      <w:r>
        <w:rPr>
          <w:noProof/>
        </w:rPr>
        <w:t>, по отношение на стандартизираното докладване в областта на околната среда. Освен това в съобщението за по-добро регулиране от 2015 г.</w:t>
      </w:r>
      <w:r>
        <w:rPr>
          <w:rStyle w:val="FootnoteReference"/>
          <w:noProof/>
        </w:rPr>
        <w:footnoteReference w:id="3"/>
      </w:r>
      <w:r>
        <w:rPr>
          <w:noProof/>
        </w:rPr>
        <w:t xml:space="preserve"> се призовава за широкообхватен преглед на докладването в няколко области на политиката, в т. ч. околната среда. С оглед на горепосоченото сега се вземат мерки във връзка с отмяната на Директива 91/692/ЕИО на Съвета от 23 декември 1991 г. относно стандартизиране и рационализиране на докладите за прилагане на някои директиви, свързани с околната среда („Директива 91/692/ЕИО“). Това е свързано също така с една по-широка проверка за пригодност на задълженията за екологичен мониторинг и докладване. Тази проверка за пригодност се извършва понастоящем, както е предвидено в работната програма на Комисията за 2016 г.</w:t>
      </w:r>
      <w:r>
        <w:rPr>
          <w:rStyle w:val="FootnoteReference"/>
          <w:noProof/>
        </w:rPr>
        <w:footnoteReference w:id="4"/>
      </w:r>
      <w:r>
        <w:rPr>
          <w:noProof/>
        </w:rPr>
        <w:t>, в чието приложение V (инициативи за отмяна) се посочва предложение за отмяна на Директива 91/692/ЕИО и свързаното с това Решение 95/337/ЕИО относно въпросниците към директивите за водния сектор.</w:t>
      </w:r>
      <w:r>
        <w:rPr>
          <w:noProof/>
          <w:color w:val="222222"/>
        </w:rPr>
        <w:t xml:space="preserve"> </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noProof/>
          <w:color w:val="222222"/>
        </w:rPr>
      </w:pPr>
      <w:r>
        <w:rPr>
          <w:noProof/>
          <w:color w:val="222222"/>
        </w:rPr>
        <w:t xml:space="preserve">Пакетът от актове за отмяна се състои от четири предложени инициативи във връзка с отмяната на Директива 91/692/ЕИО и Решение 95/337/ЕИО: </w:t>
      </w:r>
    </w:p>
    <w:p>
      <w:pPr>
        <w:pStyle w:val="ManualNumPar1"/>
        <w:rPr>
          <w:noProof/>
        </w:rPr>
      </w:pPr>
      <w:r>
        <w:t>1.</w:t>
      </w:r>
      <w:r>
        <w:tab/>
      </w:r>
      <w:r>
        <w:rPr>
          <w:noProof/>
        </w:rPr>
        <w:t xml:space="preserve">съобщение, в което се обявяват за остарели 11 акта за изпълнение, приети от Комисията за формулиране на въпросници за докладване по въпросите на околната среда, включително Решение 95/337/ЕИО; </w:t>
      </w:r>
    </w:p>
    <w:p>
      <w:pPr>
        <w:pStyle w:val="ManualNumPar1"/>
        <w:rPr>
          <w:noProof/>
        </w:rPr>
      </w:pPr>
      <w:r>
        <w:t>2.</w:t>
      </w:r>
      <w:r>
        <w:tab/>
      </w:r>
      <w:r>
        <w:rPr>
          <w:noProof/>
        </w:rPr>
        <w:t>две предложения за решения на Комисията за отмяна на 2 решения за изпълнение (посредством процедура на комитет), а именно Решение 2011/92/ЕС на Комисията от 10 февруари 2011 г.</w:t>
      </w:r>
      <w:r>
        <w:rPr>
          <w:rStyle w:val="FootnoteReference"/>
          <w:noProof/>
        </w:rPr>
        <w:footnoteReference w:id="5"/>
      </w:r>
      <w:r>
        <w:rPr>
          <w:noProof/>
        </w:rPr>
        <w:t xml:space="preserve"> и Решение 2010/681/ЕС на Комисията от 9 ноември 2010 г.</w:t>
      </w:r>
      <w:r>
        <w:rPr>
          <w:rStyle w:val="FootnoteReference"/>
          <w:noProof/>
        </w:rPr>
        <w:footnoteReference w:id="6"/>
      </w:r>
      <w:r>
        <w:rPr>
          <w:noProof/>
        </w:rPr>
        <w:t>, които са изчерпали своето правно действие, но поради процедурни причини ще бъдат отменени по-късно от Комисията чрез процедура на комитет;</w:t>
      </w:r>
    </w:p>
    <w:p>
      <w:pPr>
        <w:pStyle w:val="ManualNumPar1"/>
        <w:rPr>
          <w:noProof/>
        </w:rPr>
      </w:pPr>
      <w:r>
        <w:lastRenderedPageBreak/>
        <w:t>3.</w:t>
      </w:r>
      <w:r>
        <w:tab/>
      </w:r>
      <w:r>
        <w:rPr>
          <w:noProof/>
        </w:rPr>
        <w:t>предложение за решение на Европейския парламент и на Съвета, с което ще се отменят и изменят разпоредбите на 6-те правни акта, позоваващи се на Директива 91/692/ЕИО.</w:t>
      </w:r>
    </w:p>
    <w:p>
      <w:pPr>
        <w:autoSpaceDE w:val="0"/>
        <w:autoSpaceDN w:val="0"/>
        <w:adjustRightInd w:val="0"/>
        <w:spacing w:after="0"/>
        <w:rPr>
          <w:noProof/>
        </w:rPr>
      </w:pPr>
      <w:r>
        <w:rPr>
          <w:noProof/>
        </w:rPr>
        <w:t>В хода на подготовката на тези инициативи Комисията анализира и разгледа последиците от запазването или отмяната на различните правни задължения. Резултатите от тези дейности са обобщени по-долу и са представени по-подробно в допълнително проучване, което е публикувано отделно</w:t>
      </w:r>
      <w:r>
        <w:rPr>
          <w:rStyle w:val="FootnoteReference"/>
          <w:noProof/>
        </w:rPr>
        <w:footnoteReference w:id="7"/>
      </w:r>
      <w:r>
        <w:rPr>
          <w:noProof/>
        </w:rPr>
        <w:t>. Тъй като целта е да бъдат отменени остарелите разпоредби и правни актове, се счита, че не е необходимо да се направи официална оценка на въздействието. Важно е да се подчертае, че не се очакват реални икономически ползи в резултат от отмяната на актовете. Основните ползи ще бъдат свързани главно с това да има по-ясни правила за докладването, произтичащи от прочистването на законодателството.</w:t>
      </w:r>
    </w:p>
    <w:p>
      <w:pPr>
        <w:autoSpaceDE w:val="0"/>
        <w:autoSpaceDN w:val="0"/>
        <w:adjustRightInd w:val="0"/>
        <w:spacing w:after="0"/>
        <w:rPr>
          <w:b/>
          <w:noProof/>
          <w:szCs w:val="24"/>
        </w:rPr>
      </w:pPr>
      <w:r>
        <w:rPr>
          <w:b/>
          <w:noProof/>
        </w:rPr>
        <w:t xml:space="preserve">Недостатъци на Директива 91/692/ЕИО </w:t>
      </w:r>
    </w:p>
    <w:p>
      <w:pPr>
        <w:autoSpaceDE w:val="0"/>
        <w:autoSpaceDN w:val="0"/>
        <w:adjustRightInd w:val="0"/>
        <w:spacing w:after="0"/>
        <w:rPr>
          <w:noProof/>
          <w:szCs w:val="24"/>
        </w:rPr>
      </w:pPr>
      <w:r>
        <w:rPr>
          <w:noProof/>
        </w:rPr>
        <w:t>С Директива 91/692/ЕИО се целеше рационализиране на задълженията за докладване във връзка с цялото законодателство на ЕС в областта на околната среда, което беше в сила към момента на нейното приемане. На практика обаче не всички изисквания за докладване относно околната среда са хармонизирани с Директива 91/692/ЕИО. Например директиви 91/271/ЕИО</w:t>
      </w:r>
      <w:r>
        <w:rPr>
          <w:rStyle w:val="FootnoteReference"/>
          <w:noProof/>
        </w:rPr>
        <w:footnoteReference w:id="8"/>
      </w:r>
      <w:r>
        <w:rPr>
          <w:noProof/>
        </w:rPr>
        <w:t xml:space="preserve"> и 91/676/ЕИО</w:t>
      </w:r>
      <w:r>
        <w:rPr>
          <w:rStyle w:val="FootnoteReference"/>
          <w:noProof/>
        </w:rPr>
        <w:footnoteReference w:id="9"/>
      </w:r>
      <w:r>
        <w:rPr>
          <w:noProof/>
        </w:rPr>
        <w:t xml:space="preserve"> бяха изключени от нейния обхват. Освен това се оказа, че прилагането на директивата е трудно и неефективно от самото начало. Основният проблем е, че директивата е приета преди широкото навлизане на информационните технологии (ИТ). Освен това много от отделните инструменти, за които са определени изисквания за докладване в Директива 91/692/ЕИО, впоследствие са били заменени от инструменти, които не отчитат нейните разпоредби за докладване. Например с Директива 2000/60/ЕО</w:t>
      </w:r>
      <w:r>
        <w:rPr>
          <w:rStyle w:val="FootnoteReference"/>
          <w:noProof/>
        </w:rPr>
        <w:footnoteReference w:id="10"/>
      </w:r>
      <w:r>
        <w:rPr>
          <w:noProof/>
        </w:rPr>
        <w:t xml:space="preserve"> се отменят седем законодателни акта в областта на водите и следователно съответният въпросник за водния сектор от 95/337/ЕИО, приет съгласно Директива 91/692/ЕИО, става излишен. Инструменти като Директива 2000/60/ЕО и Директива 2010/75/ЕО</w:t>
      </w:r>
      <w:r>
        <w:rPr>
          <w:rStyle w:val="FootnoteReference"/>
          <w:noProof/>
        </w:rPr>
        <w:footnoteReference w:id="11"/>
      </w:r>
      <w:r>
        <w:rPr>
          <w:noProof/>
        </w:rPr>
        <w:t xml:space="preserve"> (и нейният предшественик — Директива 96/61/ЕО</w:t>
      </w:r>
      <w:r>
        <w:rPr>
          <w:rStyle w:val="FootnoteReference"/>
          <w:noProof/>
        </w:rPr>
        <w:footnoteReference w:id="12"/>
      </w:r>
      <w:r>
        <w:rPr>
          <w:noProof/>
        </w:rPr>
        <w:t xml:space="preserve">) въвеждат независими задължения за докладване. </w:t>
      </w:r>
    </w:p>
    <w:p>
      <w:pPr>
        <w:autoSpaceDE w:val="0"/>
        <w:autoSpaceDN w:val="0"/>
        <w:adjustRightInd w:val="0"/>
        <w:spacing w:after="0"/>
        <w:rPr>
          <w:noProof/>
          <w:szCs w:val="24"/>
        </w:rPr>
      </w:pPr>
      <w:r>
        <w:rPr>
          <w:noProof/>
        </w:rPr>
        <w:t>С успешното развитие на системата Reportnet на Европейската агенция за околна среда (ЕАОС) и секторните инициативи за рационализиране на докладването (например Европейската информационна система за водите) необходимостта и ефективността на един хоризонтален инструмент относно докладването все повече се поставят под въпрос. И накрая, с приемането на Директивата INSPIRE (2007/2/ЕО), както и свързаното с това разработване на Общата информационна система за околната среда (SEIS)</w:t>
      </w:r>
      <w:r>
        <w:rPr>
          <w:rStyle w:val="FootnoteReference"/>
          <w:noProof/>
        </w:rPr>
        <w:footnoteReference w:id="13"/>
      </w:r>
      <w:r>
        <w:rPr>
          <w:noProof/>
        </w:rPr>
        <w:t xml:space="preserve">, се въведе по-съвременен и по-ефективен, хоризонтален подход към управлението на информацията и докладването, свързани с политиката на ЕС в областта на околната среда. </w:t>
      </w:r>
    </w:p>
    <w:p>
      <w:pPr>
        <w:autoSpaceDE w:val="0"/>
        <w:autoSpaceDN w:val="0"/>
        <w:adjustRightInd w:val="0"/>
        <w:spacing w:after="0"/>
        <w:rPr>
          <w:noProof/>
          <w:szCs w:val="24"/>
        </w:rPr>
      </w:pPr>
      <w:r>
        <w:rPr>
          <w:noProof/>
        </w:rPr>
        <w:t xml:space="preserve">Тогава Комисията стига до извода, че „[...] </w:t>
      </w:r>
      <w:r>
        <w:rPr>
          <w:i/>
          <w:noProof/>
        </w:rPr>
        <w:t>решаващ етап от осъществяването на SEIS, и по-специално за постигане на очакваните ползи от опростяването, ще бъде осъвременяването на законовите разпоредби относно начина, по който се предоставя на разположение необходимата информация за околната среда. Очаква се това да стане с преразглеждане на Директива 91/692/ЕИО относно стандартизиране на докладите, която се нуждае от актуализиране и привеждане в съответствие с принципите на SEIS. За тази цел Комисията възнамерява да представи законодателно предложение през 2008 г., което да включва отменяне на остарели разпоредби в Директивата за стандартизиране на докладите, която е в сила понастоящем.“</w:t>
      </w:r>
      <w:r>
        <w:rPr>
          <w:rStyle w:val="FootnoteReference"/>
          <w:noProof/>
        </w:rPr>
        <w:footnoteReference w:id="14"/>
      </w:r>
      <w:r>
        <w:rPr>
          <w:i/>
          <w:noProof/>
        </w:rPr>
        <w:t xml:space="preserve"> </w:t>
      </w:r>
      <w:r>
        <w:rPr>
          <w:noProof/>
        </w:rPr>
        <w:t>В крайна сметка Комисията реши да не предлага нов правен инструмент относно докладването, а да продължи работата по тази програма чрез незаконодателен подход (вж. Обща информационна система на ЕС за околната среда — преглед на изпълнението</w:t>
      </w:r>
      <w:r>
        <w:rPr>
          <w:rStyle w:val="FootnoteReference"/>
          <w:noProof/>
        </w:rPr>
        <w:footnoteReference w:id="15"/>
      </w:r>
      <w:r>
        <w:rPr>
          <w:noProof/>
        </w:rPr>
        <w:t xml:space="preserve">), съчетан с координирани действия в различните сфери на политиката в областта на околната среда (напр. води, въздух, природа и т.н.). </w:t>
      </w:r>
    </w:p>
    <w:p>
      <w:pPr>
        <w:autoSpaceDE w:val="0"/>
        <w:autoSpaceDN w:val="0"/>
        <w:adjustRightInd w:val="0"/>
        <w:spacing w:after="0"/>
        <w:rPr>
          <w:noProof/>
        </w:rPr>
      </w:pPr>
      <w:r>
        <w:rPr>
          <w:b/>
          <w:noProof/>
        </w:rPr>
        <w:t>Обобщение на настоящото приложно поле и значимостта на Директива 91/692/ЕИО</w:t>
      </w:r>
    </w:p>
    <w:p>
      <w:pPr>
        <w:autoSpaceDE w:val="0"/>
        <w:autoSpaceDN w:val="0"/>
        <w:adjustRightInd w:val="0"/>
        <w:spacing w:after="0"/>
        <w:rPr>
          <w:noProof/>
          <w:szCs w:val="24"/>
        </w:rPr>
      </w:pPr>
      <w:r>
        <w:rPr>
          <w:noProof/>
        </w:rPr>
        <w:t>Директива 91/692/ЕИО се позовава на 28 акта в областта на околната среда, обхванати от нейните разпоредби. Директива 91/692/ЕИО е използвана и в редица други законодателни актове. Поради последващата отмяна на част от тези актове (вж. информацията в таблица 2) понастоящем са все още в сила: 1 регламент, 9 директиви (вж. информацията в таблица 1) (две директиви продължават да подлежат на разпоредбите ѝ, а именно Директива 86/278/ЕИО и Директива 87/217/ЕИО) и 23 решения, които се позовават на посочените разпоредби (вж. информацията в таблица 3).</w:t>
      </w:r>
    </w:p>
    <w:p>
      <w:pPr>
        <w:autoSpaceDE w:val="0"/>
        <w:autoSpaceDN w:val="0"/>
        <w:adjustRightInd w:val="0"/>
        <w:spacing w:after="0"/>
        <w:rPr>
          <w:noProof/>
        </w:rPr>
      </w:pPr>
      <w:r>
        <w:rPr>
          <w:noProof/>
        </w:rPr>
        <w:t xml:space="preserve">В заключение, повечето от първоначалните задължения, определени в Директива 91/692/ЕИО, са остарели и вече не пораждат правни последици. В резултат на това беше предложена отмяна с цел да се гарантира правната сигурност, да се подобри прозрачността, да се намали административната тежест и да се гарантира, че законодателството на ЕС е „пригодно за целта“, в съответствие с програмата за по-добро регулиране. </w:t>
      </w:r>
    </w:p>
    <w:p>
      <w:pPr>
        <w:autoSpaceDE w:val="0"/>
        <w:autoSpaceDN w:val="0"/>
        <w:adjustRightInd w:val="0"/>
        <w:spacing w:after="0"/>
        <w:rPr>
          <w:b/>
          <w:noProof/>
        </w:rPr>
      </w:pPr>
      <w:r>
        <w:rPr>
          <w:b/>
          <w:noProof/>
        </w:rPr>
        <w:t>Предложени действия за отмяна на Директива 91/692/ЕИО и свързани с нея актове</w:t>
      </w:r>
    </w:p>
    <w:p>
      <w:pPr>
        <w:autoSpaceDE w:val="0"/>
        <w:autoSpaceDN w:val="0"/>
        <w:adjustRightInd w:val="0"/>
        <w:spacing w:after="0"/>
        <w:rPr>
          <w:noProof/>
        </w:rPr>
      </w:pPr>
      <w:r>
        <w:rPr>
          <w:noProof/>
        </w:rPr>
        <w:t>Първото действие е предложение за решение на Европейския парламент и на Съвета за премахване на изискванията за стандартизирано докладване. Предлага се също така позоваването на предишните правила по процедурата на комитет да бъде заменено с 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съгласно изискванията на член 13 от същия регламент относно преходните мерки.</w:t>
      </w:r>
    </w:p>
    <w:p>
      <w:pPr>
        <w:rPr>
          <w:noProof/>
          <w:szCs w:val="24"/>
        </w:rPr>
      </w:pPr>
      <w:r>
        <w:rPr>
          <w:noProof/>
        </w:rPr>
        <w:t xml:space="preserve">Второто действие има за цел приемане на съобщение за обявяване на все още действащите решения за изпълнение по Директива 91/692/ЕИО за остарели. В съобщението се посочват решенията, които са остарели и чието правно основание е отменено. </w:t>
      </w:r>
    </w:p>
    <w:p>
      <w:pPr>
        <w:rPr>
          <w:noProof/>
          <w:szCs w:val="24"/>
        </w:rPr>
      </w:pPr>
      <w:r>
        <w:rPr>
          <w:noProof/>
        </w:rPr>
        <w:t>Третото действие ще има за цел да отмени две решения за изпълнение, които все още имат валидно правно основание, но междувременно тяхното правно действие е изчерпано</w:t>
      </w:r>
      <w:r>
        <w:rPr>
          <w:rStyle w:val="FootnoteReference"/>
          <w:noProof/>
        </w:rPr>
        <w:footnoteReference w:id="16"/>
      </w:r>
      <w:r>
        <w:rPr>
          <w:noProof/>
        </w:rPr>
        <w:t>.</w:t>
      </w:r>
    </w:p>
    <w:p>
      <w:pPr>
        <w:autoSpaceDE w:val="0"/>
        <w:autoSpaceDN w:val="0"/>
        <w:adjustRightInd w:val="0"/>
        <w:spacing w:after="0"/>
        <w:rPr>
          <w:noProof/>
          <w:szCs w:val="24"/>
        </w:rPr>
      </w:pPr>
      <w:r>
        <w:rPr>
          <w:noProof/>
        </w:rPr>
        <w:t>Като част от подготвителния анализ бяха разгледани няколко варианта, за да се гарантира ефективната отмяна и да се запази правното действие, когато това е необходимо. Резултатите от този анализ са представени в допълнително проучване</w:t>
      </w:r>
      <w:r>
        <w:rPr>
          <w:rStyle w:val="FootnoteReference"/>
          <w:noProof/>
        </w:rPr>
        <w:footnoteReference w:id="17"/>
      </w:r>
      <w:r>
        <w:rPr>
          <w:noProof/>
        </w:rPr>
        <w:t>, в което се препоръчва пълната отмяна на разпоредбите на Директива 91/692/ЕИО, както и премахване на остарелите разпоредби, като се извършва позоваване на новите правила за актовете за изпълнение. Този вариант, състоящ се от посочените по-горе три действия, беше определен като най-ефективен за намаляване на бюрокрацията и повишаване на правната яснота.</w:t>
      </w:r>
    </w:p>
    <w:p>
      <w:pPr>
        <w:autoSpaceDE w:val="0"/>
        <w:autoSpaceDN w:val="0"/>
        <w:adjustRightInd w:val="0"/>
        <w:spacing w:after="0"/>
        <w:rPr>
          <w:b/>
          <w:noProof/>
          <w:szCs w:val="24"/>
        </w:rPr>
      </w:pPr>
      <w:r>
        <w:rPr>
          <w:b/>
          <w:noProof/>
        </w:rPr>
        <w:t>Съществуващи директиви, на които се позовава Директива 91/692/ЕИО</w:t>
      </w:r>
    </w:p>
    <w:p>
      <w:pPr>
        <w:autoSpaceDE w:val="0"/>
        <w:autoSpaceDN w:val="0"/>
        <w:adjustRightInd w:val="0"/>
        <w:spacing w:after="0"/>
        <w:rPr>
          <w:noProof/>
          <w:szCs w:val="24"/>
        </w:rPr>
      </w:pPr>
      <w:r>
        <w:rPr>
          <w:noProof/>
        </w:rPr>
        <w:t xml:space="preserve">Както беше отбелязано по-горе, остават в сила само директиви 86/278/ЕИО и 87/217/ЕИО </w:t>
      </w:r>
      <w:r>
        <w:rPr>
          <w:noProof/>
          <w:color w:val="0000FF"/>
        </w:rPr>
        <w:t>(вж. информацията в таблица 1)</w:t>
      </w:r>
      <w:r>
        <w:rPr>
          <w:noProof/>
        </w:rPr>
        <w:t xml:space="preserve"> от 28</w:t>
      </w:r>
      <w:r>
        <w:rPr>
          <w:noProof/>
          <w:vertAlign w:val="superscript"/>
        </w:rPr>
        <w:t>-те</w:t>
      </w:r>
      <w:r>
        <w:rPr>
          <w:noProof/>
        </w:rPr>
        <w:t xml:space="preserve"> инструмента </w:t>
      </w:r>
      <w:r>
        <w:rPr>
          <w:noProof/>
          <w:color w:val="0000FF"/>
        </w:rPr>
        <w:t>(вж. информацията в таблица 2)</w:t>
      </w:r>
      <w:r>
        <w:rPr>
          <w:noProof/>
        </w:rPr>
        <w:t xml:space="preserve">, първоначално посочени в Директива 91/692/ЕИО. </w:t>
      </w:r>
    </w:p>
    <w:p>
      <w:pPr>
        <w:autoSpaceDE w:val="0"/>
        <w:autoSpaceDN w:val="0"/>
        <w:adjustRightInd w:val="0"/>
        <w:spacing w:after="0"/>
        <w:rPr>
          <w:noProof/>
          <w:szCs w:val="24"/>
        </w:rPr>
      </w:pPr>
      <w:r>
        <w:rPr>
          <w:noProof/>
        </w:rPr>
        <w:t xml:space="preserve">Предлага се да бъдат запазени разпоредбите за докладване от Директива 86/278/ЕИО, като същевременно те бъдат приведени в съответствие с новите правила за актовете за изпълнение, установени с Договора за функционирането на ЕС (ДФЕС). </w:t>
      </w:r>
    </w:p>
    <w:p>
      <w:pPr>
        <w:autoSpaceDE w:val="0"/>
        <w:autoSpaceDN w:val="0"/>
        <w:adjustRightInd w:val="0"/>
        <w:spacing w:after="0"/>
        <w:rPr>
          <w:noProof/>
        </w:rPr>
      </w:pPr>
      <w:r>
        <w:rPr>
          <w:noProof/>
        </w:rPr>
        <w:t>Изискванията за докладване от Директива 87/217/ЕИО не се използват, главно поради прекратяване на употребата на азбест в държавите — членки на ЕС, вследствие на постепенното прекратяване на производството и използването на суров азбест и на продукти, съдържащи азбест, в ЕС, посредством Регламента „REACH“ (1907/2006/ЕО).</w:t>
      </w:r>
    </w:p>
    <w:p>
      <w:pPr>
        <w:spacing w:before="0" w:after="200" w:line="276" w:lineRule="auto"/>
        <w:jc w:val="left"/>
        <w:rPr>
          <w:noProof/>
          <w:szCs w:val="24"/>
        </w:rPr>
      </w:pPr>
      <w:r>
        <w:rPr>
          <w:noProof/>
        </w:rPr>
        <w:br w:type="page"/>
      </w:r>
    </w:p>
    <w:p>
      <w:pPr>
        <w:autoSpaceDE w:val="0"/>
        <w:autoSpaceDN w:val="0"/>
        <w:adjustRightInd w:val="0"/>
        <w:spacing w:after="0"/>
        <w:rPr>
          <w:b/>
          <w:noProof/>
        </w:rPr>
      </w:pPr>
      <w:r>
        <w:rPr>
          <w:b/>
          <w:noProof/>
        </w:rPr>
        <w:t xml:space="preserve">Таблица 1: Преглед на директивите и регламентите, обхванати от предложението за решение за отмяна на Директива 91/692/ЕИО (всички други актове от значение за Директива 91/692/ЕИО междувременно са остарели или са загубили значението си) </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1843"/>
        <w:gridCol w:w="1979"/>
      </w:tblGrid>
      <w:tr>
        <w:trPr>
          <w:trHeight w:val="146"/>
        </w:trPr>
        <w:tc>
          <w:tcPr>
            <w:tcW w:w="5495" w:type="dxa"/>
            <w:shd w:val="clear" w:color="auto" w:fill="auto"/>
          </w:tcPr>
          <w:p>
            <w:pPr>
              <w:autoSpaceDE w:val="0"/>
              <w:autoSpaceDN w:val="0"/>
              <w:adjustRightInd w:val="0"/>
              <w:spacing w:before="0" w:after="240"/>
              <w:rPr>
                <w:rFonts w:eastAsia="Times New Roman"/>
                <w:b/>
                <w:bCs/>
                <w:noProof/>
                <w:sz w:val="22"/>
                <w:szCs w:val="24"/>
              </w:rPr>
            </w:pPr>
            <w:r>
              <w:rPr>
                <w:b/>
                <w:noProof/>
                <w:sz w:val="22"/>
              </w:rPr>
              <w:t>Правни актове, позоваващи се на Директива 91/692/ЕИО, или актове, на които посочената директива се позовава, които все още са в сила</w:t>
            </w:r>
          </w:p>
        </w:tc>
        <w:tc>
          <w:tcPr>
            <w:tcW w:w="1843" w:type="dxa"/>
            <w:shd w:val="clear" w:color="auto" w:fill="auto"/>
          </w:tcPr>
          <w:p>
            <w:pPr>
              <w:autoSpaceDE w:val="0"/>
              <w:autoSpaceDN w:val="0"/>
              <w:adjustRightInd w:val="0"/>
              <w:spacing w:before="0" w:after="240"/>
              <w:rPr>
                <w:rFonts w:eastAsia="Times New Roman"/>
                <w:b/>
                <w:bCs/>
                <w:noProof/>
                <w:sz w:val="22"/>
                <w:szCs w:val="24"/>
              </w:rPr>
            </w:pPr>
            <w:r>
              <w:rPr>
                <w:b/>
                <w:noProof/>
                <w:sz w:val="22"/>
              </w:rPr>
              <w:t>Разпоредби на правните актове, които са засегнати от отмяната на Директива 91/692/ЕИО</w:t>
            </w:r>
          </w:p>
        </w:tc>
        <w:tc>
          <w:tcPr>
            <w:tcW w:w="1979" w:type="dxa"/>
            <w:shd w:val="clear" w:color="auto" w:fill="auto"/>
          </w:tcPr>
          <w:p>
            <w:pPr>
              <w:autoSpaceDE w:val="0"/>
              <w:autoSpaceDN w:val="0"/>
              <w:adjustRightInd w:val="0"/>
              <w:spacing w:before="0" w:after="240"/>
              <w:rPr>
                <w:rFonts w:eastAsia="Times New Roman"/>
                <w:b/>
                <w:bCs/>
                <w:noProof/>
                <w:sz w:val="22"/>
                <w:szCs w:val="24"/>
              </w:rPr>
            </w:pPr>
            <w:r>
              <w:rPr>
                <w:b/>
                <w:noProof/>
                <w:sz w:val="22"/>
              </w:rPr>
              <w:t xml:space="preserve">Член на предложеното решение, който засяга правните актове </w:t>
            </w:r>
          </w:p>
        </w:tc>
      </w:tr>
      <w:tr>
        <w:trPr>
          <w:trHeight w:val="146"/>
        </w:trPr>
        <w:tc>
          <w:tcPr>
            <w:tcW w:w="5495" w:type="dxa"/>
            <w:shd w:val="clear" w:color="auto" w:fill="auto"/>
          </w:tcPr>
          <w:p>
            <w:pPr>
              <w:autoSpaceDE w:val="0"/>
              <w:autoSpaceDN w:val="0"/>
              <w:adjustRightInd w:val="0"/>
              <w:spacing w:before="0" w:after="240"/>
              <w:rPr>
                <w:rFonts w:eastAsia="Times New Roman"/>
                <w:b/>
                <w:bCs/>
                <w:noProof/>
                <w:sz w:val="22"/>
                <w:szCs w:val="24"/>
              </w:rPr>
            </w:pPr>
            <w:r>
              <w:rPr>
                <w:noProof/>
                <w:sz w:val="22"/>
              </w:rPr>
              <w:t>1) Директива 86/278/ЕИО от 12 юни 1986 г. за опазване на околната среда, и по-специално на почвата, при използване на утайки от отпадъчни води в земеделието</w:t>
            </w:r>
          </w:p>
        </w:tc>
        <w:tc>
          <w:tcPr>
            <w:tcW w:w="1843" w:type="dxa"/>
            <w:shd w:val="clear" w:color="auto" w:fill="auto"/>
          </w:tcPr>
          <w:p>
            <w:pPr>
              <w:autoSpaceDE w:val="0"/>
              <w:autoSpaceDN w:val="0"/>
              <w:adjustRightInd w:val="0"/>
              <w:spacing w:before="0" w:after="240"/>
              <w:rPr>
                <w:rFonts w:eastAsia="Times New Roman"/>
                <w:bCs/>
                <w:noProof/>
                <w:sz w:val="22"/>
                <w:szCs w:val="24"/>
              </w:rPr>
            </w:pPr>
            <w:r>
              <w:rPr>
                <w:noProof/>
                <w:sz w:val="22"/>
              </w:rPr>
              <w:t xml:space="preserve">Членове 13, 14, 15, 15а и 17 </w:t>
            </w:r>
          </w:p>
        </w:tc>
        <w:tc>
          <w:tcPr>
            <w:tcW w:w="1979" w:type="dxa"/>
            <w:shd w:val="clear" w:color="auto" w:fill="auto"/>
          </w:tcPr>
          <w:p>
            <w:pPr>
              <w:autoSpaceDE w:val="0"/>
              <w:autoSpaceDN w:val="0"/>
              <w:adjustRightInd w:val="0"/>
              <w:spacing w:before="0" w:after="240"/>
              <w:rPr>
                <w:rFonts w:eastAsia="Times New Roman"/>
                <w:bCs/>
                <w:noProof/>
                <w:sz w:val="22"/>
                <w:szCs w:val="24"/>
              </w:rPr>
            </w:pPr>
            <w:r>
              <w:rPr>
                <w:noProof/>
                <w:sz w:val="22"/>
              </w:rPr>
              <w:t>Член 3</w:t>
            </w:r>
          </w:p>
        </w:tc>
      </w:tr>
      <w:tr>
        <w:trPr>
          <w:trHeight w:val="146"/>
        </w:trPr>
        <w:tc>
          <w:tcPr>
            <w:tcW w:w="5495" w:type="dxa"/>
            <w:shd w:val="clear" w:color="auto" w:fill="auto"/>
          </w:tcPr>
          <w:p>
            <w:pPr>
              <w:autoSpaceDE w:val="0"/>
              <w:autoSpaceDN w:val="0"/>
              <w:adjustRightInd w:val="0"/>
              <w:spacing w:before="0" w:after="240"/>
              <w:rPr>
                <w:rFonts w:eastAsia="Times New Roman"/>
                <w:noProof/>
                <w:sz w:val="22"/>
              </w:rPr>
            </w:pPr>
            <w:r>
              <w:rPr>
                <w:noProof/>
                <w:sz w:val="22"/>
              </w:rPr>
              <w:t>2) Директива 87/217/ЕИО на Съвета от 19 март 1987 г. относно предотвратяването и намаляването на замърсяването на околната среда с азбест</w:t>
            </w:r>
          </w:p>
        </w:tc>
        <w:tc>
          <w:tcPr>
            <w:tcW w:w="1843" w:type="dxa"/>
            <w:shd w:val="clear" w:color="auto" w:fill="auto"/>
          </w:tcPr>
          <w:p>
            <w:pPr>
              <w:autoSpaceDE w:val="0"/>
              <w:autoSpaceDN w:val="0"/>
              <w:adjustRightInd w:val="0"/>
              <w:spacing w:before="0" w:after="240"/>
              <w:rPr>
                <w:rFonts w:eastAsia="Times New Roman"/>
                <w:bCs/>
                <w:noProof/>
                <w:sz w:val="22"/>
                <w:szCs w:val="24"/>
              </w:rPr>
            </w:pPr>
            <w:r>
              <w:rPr>
                <w:noProof/>
                <w:sz w:val="22"/>
              </w:rPr>
              <w:t>Член 13</w:t>
            </w:r>
          </w:p>
        </w:tc>
        <w:tc>
          <w:tcPr>
            <w:tcW w:w="1979" w:type="dxa"/>
            <w:shd w:val="clear" w:color="auto" w:fill="auto"/>
          </w:tcPr>
          <w:p>
            <w:pPr>
              <w:autoSpaceDE w:val="0"/>
              <w:autoSpaceDN w:val="0"/>
              <w:adjustRightInd w:val="0"/>
              <w:spacing w:before="0" w:after="240"/>
              <w:rPr>
                <w:rFonts w:eastAsia="Times New Roman"/>
                <w:bCs/>
                <w:noProof/>
                <w:sz w:val="22"/>
                <w:szCs w:val="24"/>
              </w:rPr>
            </w:pPr>
            <w:r>
              <w:rPr>
                <w:noProof/>
                <w:sz w:val="22"/>
              </w:rPr>
              <w:t>Член 4</w:t>
            </w:r>
          </w:p>
        </w:tc>
      </w:tr>
      <w:tr>
        <w:trPr>
          <w:trHeight w:val="146"/>
        </w:trPr>
        <w:tc>
          <w:tcPr>
            <w:tcW w:w="5495" w:type="dxa"/>
            <w:shd w:val="clear" w:color="auto" w:fill="auto"/>
          </w:tcPr>
          <w:p>
            <w:pPr>
              <w:autoSpaceDE w:val="0"/>
              <w:autoSpaceDN w:val="0"/>
              <w:adjustRightInd w:val="0"/>
              <w:spacing w:before="0" w:after="240"/>
              <w:rPr>
                <w:rFonts w:eastAsia="Times New Roman"/>
                <w:b/>
                <w:bCs/>
                <w:noProof/>
                <w:sz w:val="22"/>
                <w:szCs w:val="24"/>
              </w:rPr>
            </w:pPr>
            <w:r>
              <w:rPr>
                <w:noProof/>
                <w:sz w:val="22"/>
              </w:rPr>
              <w:t>3) 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w:t>
            </w:r>
          </w:p>
        </w:tc>
        <w:tc>
          <w:tcPr>
            <w:tcW w:w="1843" w:type="dxa"/>
            <w:shd w:val="clear" w:color="auto" w:fill="auto"/>
          </w:tcPr>
          <w:p>
            <w:pPr>
              <w:autoSpaceDE w:val="0"/>
              <w:autoSpaceDN w:val="0"/>
              <w:adjustRightInd w:val="0"/>
              <w:spacing w:before="0" w:after="240"/>
              <w:rPr>
                <w:rFonts w:eastAsia="Times New Roman"/>
                <w:bCs/>
                <w:noProof/>
                <w:sz w:val="22"/>
                <w:szCs w:val="24"/>
              </w:rPr>
            </w:pPr>
            <w:r>
              <w:rPr>
                <w:noProof/>
                <w:sz w:val="22"/>
              </w:rPr>
              <w:t>Член 21</w:t>
            </w:r>
          </w:p>
        </w:tc>
        <w:tc>
          <w:tcPr>
            <w:tcW w:w="1979" w:type="dxa"/>
            <w:shd w:val="clear" w:color="auto" w:fill="auto"/>
          </w:tcPr>
          <w:p>
            <w:pPr>
              <w:autoSpaceDE w:val="0"/>
              <w:autoSpaceDN w:val="0"/>
              <w:adjustRightInd w:val="0"/>
              <w:spacing w:before="0" w:after="240"/>
              <w:rPr>
                <w:rFonts w:eastAsia="Times New Roman"/>
                <w:bCs/>
                <w:noProof/>
                <w:sz w:val="22"/>
                <w:szCs w:val="24"/>
              </w:rPr>
            </w:pPr>
            <w:r>
              <w:rPr>
                <w:noProof/>
                <w:sz w:val="22"/>
              </w:rPr>
              <w:t>Член 1</w:t>
            </w:r>
          </w:p>
        </w:tc>
      </w:tr>
      <w:tr>
        <w:trPr>
          <w:trHeight w:val="146"/>
        </w:trPr>
        <w:tc>
          <w:tcPr>
            <w:tcW w:w="5495" w:type="dxa"/>
            <w:shd w:val="clear" w:color="auto" w:fill="auto"/>
          </w:tcPr>
          <w:p>
            <w:pPr>
              <w:autoSpaceDE w:val="0"/>
              <w:autoSpaceDN w:val="0"/>
              <w:adjustRightInd w:val="0"/>
              <w:spacing w:before="0" w:after="240"/>
              <w:rPr>
                <w:rFonts w:eastAsia="Times New Roman"/>
                <w:b/>
                <w:bCs/>
                <w:noProof/>
                <w:sz w:val="22"/>
                <w:szCs w:val="24"/>
              </w:rPr>
            </w:pPr>
            <w:r>
              <w:rPr>
                <w:noProof/>
                <w:sz w:val="22"/>
              </w:rPr>
              <w:t>4) Директива 2009/31/EО на Европейския парламент и на Съвета от 23 април 2009 г. относно съхранението на въглероден диоксид се позовава на Директива 91/692/EИО</w:t>
            </w:r>
          </w:p>
        </w:tc>
        <w:tc>
          <w:tcPr>
            <w:tcW w:w="1843" w:type="dxa"/>
            <w:shd w:val="clear" w:color="auto" w:fill="auto"/>
          </w:tcPr>
          <w:p>
            <w:pPr>
              <w:autoSpaceDE w:val="0"/>
              <w:autoSpaceDN w:val="0"/>
              <w:adjustRightInd w:val="0"/>
              <w:spacing w:before="0" w:after="240"/>
              <w:rPr>
                <w:rFonts w:eastAsia="Times New Roman"/>
                <w:bCs/>
                <w:noProof/>
                <w:sz w:val="22"/>
                <w:szCs w:val="24"/>
              </w:rPr>
            </w:pPr>
            <w:r>
              <w:rPr>
                <w:noProof/>
                <w:sz w:val="22"/>
              </w:rPr>
              <w:t>Членове 27, 29 и 30</w:t>
            </w:r>
          </w:p>
        </w:tc>
        <w:tc>
          <w:tcPr>
            <w:tcW w:w="1979" w:type="dxa"/>
            <w:shd w:val="clear" w:color="auto" w:fill="auto"/>
          </w:tcPr>
          <w:p>
            <w:pPr>
              <w:autoSpaceDE w:val="0"/>
              <w:autoSpaceDN w:val="0"/>
              <w:adjustRightInd w:val="0"/>
              <w:spacing w:before="0" w:after="240"/>
              <w:rPr>
                <w:rFonts w:eastAsia="Times New Roman"/>
                <w:bCs/>
                <w:noProof/>
                <w:sz w:val="22"/>
                <w:szCs w:val="24"/>
              </w:rPr>
            </w:pPr>
            <w:r>
              <w:rPr>
                <w:noProof/>
                <w:sz w:val="22"/>
              </w:rPr>
              <w:t>Член 2</w:t>
            </w:r>
          </w:p>
        </w:tc>
      </w:tr>
      <w:tr>
        <w:trPr>
          <w:trHeight w:val="146"/>
        </w:trPr>
        <w:tc>
          <w:tcPr>
            <w:tcW w:w="5495" w:type="dxa"/>
            <w:shd w:val="clear" w:color="auto" w:fill="auto"/>
          </w:tcPr>
          <w:p>
            <w:pPr>
              <w:autoSpaceDE w:val="0"/>
              <w:autoSpaceDN w:val="0"/>
              <w:adjustRightInd w:val="0"/>
              <w:spacing w:before="0" w:after="240"/>
              <w:rPr>
                <w:rFonts w:eastAsia="Times New Roman"/>
                <w:noProof/>
                <w:sz w:val="22"/>
              </w:rPr>
            </w:pPr>
            <w:r>
              <w:rPr>
                <w:noProof/>
                <w:sz w:val="22"/>
              </w:rPr>
              <w:t>5) Регламент № 1257/2013/ЕС относно рециклирането на кораби</w:t>
            </w:r>
          </w:p>
        </w:tc>
        <w:tc>
          <w:tcPr>
            <w:tcW w:w="1843" w:type="dxa"/>
            <w:shd w:val="clear" w:color="auto" w:fill="auto"/>
          </w:tcPr>
          <w:p>
            <w:pPr>
              <w:autoSpaceDE w:val="0"/>
              <w:autoSpaceDN w:val="0"/>
              <w:adjustRightInd w:val="0"/>
              <w:spacing w:before="0" w:after="240"/>
              <w:rPr>
                <w:rFonts w:eastAsia="Times New Roman"/>
                <w:bCs/>
                <w:noProof/>
                <w:sz w:val="22"/>
                <w:szCs w:val="24"/>
              </w:rPr>
            </w:pPr>
            <w:r>
              <w:rPr>
                <w:noProof/>
                <w:sz w:val="22"/>
              </w:rPr>
              <w:t xml:space="preserve">Член 21 </w:t>
            </w:r>
          </w:p>
        </w:tc>
        <w:tc>
          <w:tcPr>
            <w:tcW w:w="1979" w:type="dxa"/>
            <w:shd w:val="clear" w:color="auto" w:fill="auto"/>
          </w:tcPr>
          <w:p>
            <w:pPr>
              <w:autoSpaceDE w:val="0"/>
              <w:autoSpaceDN w:val="0"/>
              <w:adjustRightInd w:val="0"/>
              <w:spacing w:before="0" w:after="240"/>
              <w:rPr>
                <w:rFonts w:eastAsia="Times New Roman"/>
                <w:bCs/>
                <w:noProof/>
                <w:sz w:val="22"/>
                <w:szCs w:val="24"/>
              </w:rPr>
            </w:pPr>
            <w:r>
              <w:rPr>
                <w:noProof/>
                <w:sz w:val="22"/>
              </w:rPr>
              <w:t>Член 5</w:t>
            </w:r>
          </w:p>
        </w:tc>
      </w:tr>
      <w:tr>
        <w:trPr>
          <w:trHeight w:val="146"/>
        </w:trPr>
        <w:tc>
          <w:tcPr>
            <w:tcW w:w="5495" w:type="dxa"/>
            <w:shd w:val="clear" w:color="auto" w:fill="auto"/>
          </w:tcPr>
          <w:p>
            <w:pPr>
              <w:autoSpaceDE w:val="0"/>
              <w:autoSpaceDN w:val="0"/>
              <w:adjustRightInd w:val="0"/>
              <w:spacing w:before="0" w:after="240"/>
              <w:rPr>
                <w:rFonts w:eastAsia="Times New Roman"/>
                <w:noProof/>
                <w:sz w:val="22"/>
                <w:szCs w:val="24"/>
              </w:rPr>
            </w:pPr>
            <w:r>
              <w:rPr>
                <w:noProof/>
                <w:sz w:val="22"/>
              </w:rPr>
              <w:t>6) Директива 94/63/ЕО от 20 декември 1994 г. относно ограничаването на емисиите на летливи органични съединения (ЛОС), изпускани при съхранението и превоза на бензини от терминали до бензиностанции</w:t>
            </w:r>
          </w:p>
        </w:tc>
        <w:tc>
          <w:tcPr>
            <w:tcW w:w="1843" w:type="dxa"/>
            <w:shd w:val="clear" w:color="auto" w:fill="auto"/>
          </w:tcPr>
          <w:p>
            <w:pPr>
              <w:autoSpaceDE w:val="0"/>
              <w:autoSpaceDN w:val="0"/>
              <w:adjustRightInd w:val="0"/>
              <w:spacing w:before="0" w:after="240"/>
              <w:rPr>
                <w:rFonts w:eastAsia="Times New Roman"/>
                <w:bCs/>
                <w:noProof/>
                <w:sz w:val="22"/>
                <w:szCs w:val="24"/>
              </w:rPr>
            </w:pPr>
            <w:r>
              <w:rPr>
                <w:noProof/>
                <w:sz w:val="22"/>
              </w:rPr>
              <w:t>Член 9</w:t>
            </w:r>
          </w:p>
        </w:tc>
        <w:tc>
          <w:tcPr>
            <w:tcW w:w="1979" w:type="dxa"/>
            <w:shd w:val="clear" w:color="auto" w:fill="auto"/>
          </w:tcPr>
          <w:p>
            <w:pPr>
              <w:autoSpaceDE w:val="0"/>
              <w:autoSpaceDN w:val="0"/>
              <w:adjustRightInd w:val="0"/>
              <w:spacing w:before="0" w:after="240"/>
              <w:rPr>
                <w:rFonts w:eastAsia="Times New Roman"/>
                <w:bCs/>
                <w:noProof/>
                <w:sz w:val="22"/>
                <w:szCs w:val="24"/>
              </w:rPr>
            </w:pPr>
            <w:r>
              <w:rPr>
                <w:noProof/>
                <w:sz w:val="22"/>
              </w:rPr>
              <w:t>Член 6</w:t>
            </w:r>
          </w:p>
        </w:tc>
      </w:tr>
      <w:tr>
        <w:trPr>
          <w:trHeight w:val="146"/>
        </w:trPr>
        <w:tc>
          <w:tcPr>
            <w:tcW w:w="5495" w:type="dxa"/>
            <w:shd w:val="clear" w:color="auto" w:fill="auto"/>
          </w:tcPr>
          <w:p>
            <w:pPr>
              <w:autoSpaceDE w:val="0"/>
              <w:autoSpaceDN w:val="0"/>
              <w:adjustRightInd w:val="0"/>
              <w:spacing w:before="0" w:after="240"/>
              <w:rPr>
                <w:rFonts w:eastAsia="Times New Roman"/>
                <w:noProof/>
                <w:sz w:val="22"/>
                <w:szCs w:val="24"/>
              </w:rPr>
            </w:pPr>
            <w:r>
              <w:rPr>
                <w:noProof/>
              </w:rPr>
              <w:t>7) Член 37, параграф 1 от Директива 2008/98/ЕО на Европейския парламент и на Съвета от 17 ноември 2008 г. относно отпадъците и за отмяна на определени директиви</w:t>
            </w:r>
            <w:r>
              <w:rPr>
                <w:rStyle w:val="FootnoteReference"/>
                <w:noProof/>
              </w:rPr>
              <w:footnoteReference w:id="18"/>
            </w:r>
          </w:p>
        </w:tc>
        <w:tc>
          <w:tcPr>
            <w:tcW w:w="1843" w:type="dxa"/>
            <w:shd w:val="clear" w:color="auto" w:fill="auto"/>
          </w:tcPr>
          <w:p>
            <w:pPr>
              <w:autoSpaceDE w:val="0"/>
              <w:autoSpaceDN w:val="0"/>
              <w:adjustRightInd w:val="0"/>
              <w:spacing w:before="0" w:after="240"/>
              <w:rPr>
                <w:rFonts w:eastAsia="Times New Roman"/>
                <w:bCs/>
                <w:noProof/>
                <w:sz w:val="22"/>
                <w:szCs w:val="24"/>
              </w:rPr>
            </w:pPr>
            <w:r>
              <w:rPr>
                <w:noProof/>
                <w:sz w:val="22"/>
              </w:rPr>
              <w:t>Обхванат от законодателния пакет в областта на отпадъците</w:t>
            </w:r>
          </w:p>
        </w:tc>
        <w:tc>
          <w:tcPr>
            <w:tcW w:w="1979" w:type="dxa"/>
            <w:shd w:val="clear" w:color="auto" w:fill="auto"/>
          </w:tcPr>
          <w:p>
            <w:pPr>
              <w:autoSpaceDE w:val="0"/>
              <w:autoSpaceDN w:val="0"/>
              <w:adjustRightInd w:val="0"/>
              <w:spacing w:before="0" w:after="240"/>
              <w:rPr>
                <w:rFonts w:eastAsia="Times New Roman"/>
                <w:bCs/>
                <w:noProof/>
                <w:sz w:val="22"/>
                <w:szCs w:val="24"/>
              </w:rPr>
            </w:pPr>
            <w:r>
              <w:rPr>
                <w:noProof/>
                <w:sz w:val="22"/>
              </w:rPr>
              <w:t>Обхванат от законодателния пакет в областта на отпадъците</w:t>
            </w:r>
          </w:p>
        </w:tc>
      </w:tr>
      <w:tr>
        <w:trPr>
          <w:trHeight w:val="146"/>
        </w:trPr>
        <w:tc>
          <w:tcPr>
            <w:tcW w:w="5495" w:type="dxa"/>
            <w:shd w:val="clear" w:color="auto" w:fill="auto"/>
          </w:tcPr>
          <w:p>
            <w:pPr>
              <w:autoSpaceDE w:val="0"/>
              <w:autoSpaceDN w:val="0"/>
              <w:adjustRightInd w:val="0"/>
              <w:spacing w:after="0"/>
              <w:rPr>
                <w:noProof/>
                <w:szCs w:val="24"/>
              </w:rPr>
            </w:pPr>
            <w:r>
              <w:rPr>
                <w:noProof/>
              </w:rPr>
              <w:t>8) Член 9 от Директива 2000/53/ЕО на Европейския парламент и на Съвета от 18 септември 2000 г. относно излезлите от употреба превозни средства</w:t>
            </w:r>
            <w:r>
              <w:rPr>
                <w:rStyle w:val="FootnoteReference"/>
                <w:noProof/>
              </w:rPr>
              <w:footnoteReference w:id="19"/>
            </w:r>
          </w:p>
        </w:tc>
        <w:tc>
          <w:tcPr>
            <w:tcW w:w="1843" w:type="dxa"/>
            <w:shd w:val="clear" w:color="auto" w:fill="auto"/>
          </w:tcPr>
          <w:p>
            <w:pPr>
              <w:autoSpaceDE w:val="0"/>
              <w:autoSpaceDN w:val="0"/>
              <w:adjustRightInd w:val="0"/>
              <w:spacing w:before="0" w:after="240"/>
              <w:rPr>
                <w:rFonts w:eastAsia="Times New Roman"/>
                <w:bCs/>
                <w:noProof/>
                <w:sz w:val="22"/>
                <w:szCs w:val="24"/>
              </w:rPr>
            </w:pPr>
            <w:r>
              <w:rPr>
                <w:noProof/>
                <w:sz w:val="22"/>
              </w:rPr>
              <w:t>Обхванат от законодателния пакет в областта на отпадъците</w:t>
            </w:r>
          </w:p>
        </w:tc>
        <w:tc>
          <w:tcPr>
            <w:tcW w:w="1979" w:type="dxa"/>
            <w:shd w:val="clear" w:color="auto" w:fill="auto"/>
          </w:tcPr>
          <w:p>
            <w:pPr>
              <w:autoSpaceDE w:val="0"/>
              <w:autoSpaceDN w:val="0"/>
              <w:adjustRightInd w:val="0"/>
              <w:spacing w:before="0" w:after="240"/>
              <w:rPr>
                <w:rFonts w:eastAsia="Times New Roman"/>
                <w:bCs/>
                <w:noProof/>
                <w:sz w:val="22"/>
                <w:szCs w:val="24"/>
              </w:rPr>
            </w:pPr>
            <w:r>
              <w:rPr>
                <w:noProof/>
                <w:sz w:val="22"/>
              </w:rPr>
              <w:t>Обхванат от законодателния пакет в областта на отпадъците</w:t>
            </w:r>
          </w:p>
        </w:tc>
      </w:tr>
      <w:tr>
        <w:trPr>
          <w:trHeight w:val="146"/>
        </w:trPr>
        <w:tc>
          <w:tcPr>
            <w:tcW w:w="5495" w:type="dxa"/>
            <w:shd w:val="clear" w:color="auto" w:fill="auto"/>
          </w:tcPr>
          <w:p>
            <w:pPr>
              <w:autoSpaceDE w:val="0"/>
              <w:autoSpaceDN w:val="0"/>
              <w:adjustRightInd w:val="0"/>
              <w:spacing w:before="0" w:after="240"/>
              <w:rPr>
                <w:rFonts w:eastAsia="Times New Roman"/>
                <w:noProof/>
                <w:sz w:val="22"/>
                <w:szCs w:val="24"/>
              </w:rPr>
            </w:pPr>
            <w:r>
              <w:rPr>
                <w:noProof/>
              </w:rPr>
              <w:t>9) Член 15 от Директива 1999/31/ЕО на Съвета от 26 април 1999 г. относно депонирането на отпадъци</w:t>
            </w:r>
            <w:r>
              <w:rPr>
                <w:rStyle w:val="FootnoteReference"/>
                <w:noProof/>
              </w:rPr>
              <w:footnoteReference w:id="20"/>
            </w:r>
          </w:p>
        </w:tc>
        <w:tc>
          <w:tcPr>
            <w:tcW w:w="1843" w:type="dxa"/>
            <w:shd w:val="clear" w:color="auto" w:fill="auto"/>
          </w:tcPr>
          <w:p>
            <w:pPr>
              <w:autoSpaceDE w:val="0"/>
              <w:autoSpaceDN w:val="0"/>
              <w:adjustRightInd w:val="0"/>
              <w:spacing w:before="0" w:after="240"/>
              <w:rPr>
                <w:rFonts w:eastAsia="Times New Roman"/>
                <w:bCs/>
                <w:noProof/>
                <w:sz w:val="22"/>
                <w:szCs w:val="24"/>
              </w:rPr>
            </w:pPr>
            <w:r>
              <w:rPr>
                <w:noProof/>
                <w:sz w:val="22"/>
              </w:rPr>
              <w:t>Обхванат от законодателния пакет в областта на отпадъците</w:t>
            </w:r>
          </w:p>
        </w:tc>
        <w:tc>
          <w:tcPr>
            <w:tcW w:w="1979" w:type="dxa"/>
            <w:shd w:val="clear" w:color="auto" w:fill="auto"/>
          </w:tcPr>
          <w:p>
            <w:pPr>
              <w:autoSpaceDE w:val="0"/>
              <w:autoSpaceDN w:val="0"/>
              <w:adjustRightInd w:val="0"/>
              <w:spacing w:before="0" w:after="240"/>
              <w:rPr>
                <w:rFonts w:eastAsia="Times New Roman"/>
                <w:bCs/>
                <w:noProof/>
                <w:sz w:val="22"/>
                <w:szCs w:val="24"/>
              </w:rPr>
            </w:pPr>
            <w:r>
              <w:rPr>
                <w:noProof/>
                <w:sz w:val="22"/>
              </w:rPr>
              <w:t>Обхванат от законодателния пакет в областта на отпадъците</w:t>
            </w:r>
          </w:p>
        </w:tc>
      </w:tr>
      <w:tr>
        <w:trPr>
          <w:trHeight w:val="146"/>
        </w:trPr>
        <w:tc>
          <w:tcPr>
            <w:tcW w:w="5495" w:type="dxa"/>
            <w:shd w:val="clear" w:color="auto" w:fill="auto"/>
          </w:tcPr>
          <w:p>
            <w:pPr>
              <w:autoSpaceDE w:val="0"/>
              <w:autoSpaceDN w:val="0"/>
              <w:adjustRightInd w:val="0"/>
              <w:spacing w:after="0"/>
              <w:rPr>
                <w:noProof/>
                <w:szCs w:val="24"/>
              </w:rPr>
            </w:pPr>
            <w:r>
              <w:rPr>
                <w:noProof/>
              </w:rPr>
              <w:t>10) Член 17 от Директива 94/62/ЕО на Европейския парламент и на Съвета от 20 декември 1994 г. относно опаковките и отпадъците от опаковки</w:t>
            </w:r>
            <w:r>
              <w:rPr>
                <w:rStyle w:val="FootnoteReference"/>
                <w:noProof/>
              </w:rPr>
              <w:footnoteReference w:id="21"/>
            </w:r>
            <w:r>
              <w:rPr>
                <w:noProof/>
              </w:rPr>
              <w:t xml:space="preserve"> </w:t>
            </w:r>
          </w:p>
        </w:tc>
        <w:tc>
          <w:tcPr>
            <w:tcW w:w="1843" w:type="dxa"/>
            <w:shd w:val="clear" w:color="auto" w:fill="auto"/>
          </w:tcPr>
          <w:p>
            <w:pPr>
              <w:autoSpaceDE w:val="0"/>
              <w:autoSpaceDN w:val="0"/>
              <w:adjustRightInd w:val="0"/>
              <w:spacing w:before="0" w:after="240"/>
              <w:rPr>
                <w:rFonts w:eastAsia="Times New Roman"/>
                <w:bCs/>
                <w:noProof/>
                <w:sz w:val="22"/>
                <w:szCs w:val="24"/>
              </w:rPr>
            </w:pPr>
            <w:r>
              <w:rPr>
                <w:noProof/>
                <w:sz w:val="22"/>
              </w:rPr>
              <w:t>Обхванат от законодателния пакет в областта на отпадъците</w:t>
            </w:r>
          </w:p>
        </w:tc>
        <w:tc>
          <w:tcPr>
            <w:tcW w:w="1979" w:type="dxa"/>
            <w:shd w:val="clear" w:color="auto" w:fill="auto"/>
          </w:tcPr>
          <w:p>
            <w:pPr>
              <w:autoSpaceDE w:val="0"/>
              <w:autoSpaceDN w:val="0"/>
              <w:adjustRightInd w:val="0"/>
              <w:spacing w:before="0" w:after="240"/>
              <w:rPr>
                <w:rFonts w:eastAsia="Times New Roman"/>
                <w:bCs/>
                <w:noProof/>
                <w:sz w:val="22"/>
                <w:szCs w:val="24"/>
              </w:rPr>
            </w:pPr>
            <w:r>
              <w:rPr>
                <w:noProof/>
                <w:sz w:val="22"/>
              </w:rPr>
              <w:t>Обхванат от законодателния пакет в областта на отпадъците</w:t>
            </w:r>
          </w:p>
        </w:tc>
      </w:tr>
    </w:tbl>
    <w:p>
      <w:pPr>
        <w:spacing w:before="0" w:after="0"/>
        <w:jc w:val="center"/>
        <w:rPr>
          <w:rFonts w:eastAsia="Times New Roman"/>
          <w:b/>
          <w:noProof/>
          <w:sz w:val="18"/>
          <w:szCs w:val="18"/>
        </w:rPr>
      </w:pPr>
    </w:p>
    <w:p>
      <w:pPr>
        <w:autoSpaceDE w:val="0"/>
        <w:autoSpaceDN w:val="0"/>
        <w:adjustRightInd w:val="0"/>
        <w:spacing w:after="0"/>
        <w:rPr>
          <w:b/>
          <w:noProof/>
        </w:rPr>
      </w:pPr>
      <w:r>
        <w:rPr>
          <w:b/>
          <w:noProof/>
        </w:rPr>
        <w:t xml:space="preserve">Таблица 2: Преглед на отменените директиви и регламенти, които са били обхванати преди това от Директива 91/692/ЕИО </w:t>
      </w:r>
    </w:p>
    <w:tbl>
      <w:tblPr>
        <w:tblW w:w="9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696"/>
      </w:tblGrid>
      <w:tr>
        <w:trPr>
          <w:trHeight w:val="144"/>
          <w:tblHeader/>
        </w:trPr>
        <w:tc>
          <w:tcPr>
            <w:tcW w:w="7621" w:type="dxa"/>
            <w:shd w:val="clear" w:color="auto" w:fill="auto"/>
          </w:tcPr>
          <w:p>
            <w:pPr>
              <w:autoSpaceDE w:val="0"/>
              <w:autoSpaceDN w:val="0"/>
              <w:adjustRightInd w:val="0"/>
              <w:spacing w:before="0" w:after="240"/>
              <w:rPr>
                <w:rFonts w:eastAsia="Times New Roman"/>
                <w:b/>
                <w:bCs/>
                <w:noProof/>
                <w:sz w:val="22"/>
                <w:szCs w:val="24"/>
              </w:rPr>
            </w:pPr>
            <w:r>
              <w:rPr>
                <w:b/>
                <w:noProof/>
                <w:sz w:val="22"/>
              </w:rPr>
              <w:t xml:space="preserve">Отменени правни актове, които са били обхванати преди това от Директива 91/692/ЕИО </w:t>
            </w:r>
          </w:p>
        </w:tc>
        <w:tc>
          <w:tcPr>
            <w:tcW w:w="1696" w:type="dxa"/>
            <w:shd w:val="clear" w:color="auto" w:fill="auto"/>
          </w:tcPr>
          <w:p>
            <w:pPr>
              <w:autoSpaceDE w:val="0"/>
              <w:autoSpaceDN w:val="0"/>
              <w:adjustRightInd w:val="0"/>
              <w:spacing w:before="0" w:after="240"/>
              <w:rPr>
                <w:rFonts w:eastAsia="Times New Roman"/>
                <w:b/>
                <w:bCs/>
                <w:noProof/>
                <w:sz w:val="22"/>
                <w:szCs w:val="24"/>
              </w:rPr>
            </w:pPr>
            <w:r>
              <w:rPr>
                <w:b/>
                <w:noProof/>
                <w:sz w:val="22"/>
              </w:rPr>
              <w:t>Дата на отмяната</w:t>
            </w:r>
          </w:p>
        </w:tc>
      </w:tr>
      <w:tr>
        <w:trPr>
          <w:trHeight w:val="1474"/>
        </w:trPr>
        <w:tc>
          <w:tcPr>
            <w:tcW w:w="7621" w:type="dxa"/>
            <w:shd w:val="clear" w:color="auto" w:fill="auto"/>
          </w:tcPr>
          <w:p>
            <w:pPr>
              <w:autoSpaceDE w:val="0"/>
              <w:autoSpaceDN w:val="0"/>
              <w:adjustRightInd w:val="0"/>
              <w:spacing w:before="0" w:after="240"/>
              <w:rPr>
                <w:rFonts w:eastAsia="Times New Roman"/>
                <w:b/>
                <w:bCs/>
                <w:noProof/>
                <w:sz w:val="22"/>
                <w:szCs w:val="24"/>
              </w:rPr>
            </w:pPr>
            <w:r>
              <w:rPr>
                <w:noProof/>
              </w:rPr>
              <w:t>Директива 76/160/ЕИО на Съвета от 8 декември 1975 г. относно качеството на водите за къпане</w:t>
            </w:r>
            <w:r>
              <w:rPr>
                <w:rStyle w:val="FootnoteReference"/>
                <w:noProof/>
              </w:rPr>
              <w:footnoteReference w:id="22"/>
            </w:r>
            <w:r>
              <w:rPr>
                <w:noProof/>
              </w:rPr>
              <w:t>, изменена с член 3 от Директива 91/692/ЕИО, беше отменена с Директива 2006/7/ЕО на Европейския парламент и на Съвета от 15 февруари 2006 г. за управление качеството на водите за къпане и за отмяна на Директива 76/160/EИО</w:t>
            </w:r>
            <w:r>
              <w:rPr>
                <w:rStyle w:val="FootnoteReference"/>
                <w:noProof/>
              </w:rPr>
              <w:footnoteReference w:id="23"/>
            </w:r>
            <w:r>
              <w:rPr>
                <w:noProof/>
              </w:rPr>
              <w:t>.</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31 декември 2014 г.</w:t>
            </w:r>
          </w:p>
        </w:tc>
      </w:tr>
      <w:tr>
        <w:trPr>
          <w:trHeight w:val="144"/>
        </w:trPr>
        <w:tc>
          <w:tcPr>
            <w:tcW w:w="7621" w:type="dxa"/>
            <w:shd w:val="clear" w:color="auto" w:fill="auto"/>
          </w:tcPr>
          <w:p>
            <w:pPr>
              <w:autoSpaceDE w:val="0"/>
              <w:autoSpaceDN w:val="0"/>
              <w:adjustRightInd w:val="0"/>
              <w:spacing w:after="0"/>
              <w:rPr>
                <w:noProof/>
              </w:rPr>
            </w:pPr>
            <w:r>
              <w:rPr>
                <w:noProof/>
              </w:rPr>
              <w:t>Директива 76/464/ЕИО на Съвета от 4 май 1976 г. относно замърсяването, причинено от определени опасни вещества, изпуснати във водната околна среда на Общността</w:t>
            </w:r>
            <w:r>
              <w:rPr>
                <w:rStyle w:val="FootnoteReference"/>
                <w:noProof/>
              </w:rPr>
              <w:footnoteReference w:id="24"/>
            </w:r>
            <w:r>
              <w:rPr>
                <w:noProof/>
              </w:rPr>
              <w:t>, изменена с член 2, параграф 1 от Директива 91/692/ЕИО, е отменена с Директива 2006/11/ЕО на Европейския парламент и на Съвета от 15 февруари 2006 г. година относно замърсяване, причинено от определени опасни вещества, изпуснати във водната околна среда на Общността</w:t>
            </w:r>
            <w:r>
              <w:rPr>
                <w:rStyle w:val="FootnoteReference"/>
                <w:noProof/>
              </w:rPr>
              <w:footnoteReference w:id="25"/>
            </w:r>
            <w:r>
              <w:rPr>
                <w:noProof/>
              </w:rPr>
              <w:t>.</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23 март 2006 г.</w:t>
            </w:r>
          </w:p>
        </w:tc>
      </w:tr>
      <w:tr>
        <w:trPr>
          <w:trHeight w:val="144"/>
        </w:trPr>
        <w:tc>
          <w:tcPr>
            <w:tcW w:w="7621" w:type="dxa"/>
            <w:shd w:val="clear" w:color="auto" w:fill="auto"/>
          </w:tcPr>
          <w:p>
            <w:pPr>
              <w:autoSpaceDE w:val="0"/>
              <w:autoSpaceDN w:val="0"/>
              <w:adjustRightInd w:val="0"/>
              <w:spacing w:after="0"/>
              <w:rPr>
                <w:noProof/>
              </w:rPr>
            </w:pPr>
            <w:r>
              <w:rPr>
                <w:noProof/>
              </w:rPr>
              <w:t>Директива 78/176/ЕИО на Съвета от 20 февруари 1978 г. относно отпадъци от производството на титанов диоксид</w:t>
            </w:r>
            <w:r>
              <w:rPr>
                <w:rStyle w:val="FootnoteReference"/>
                <w:noProof/>
              </w:rPr>
              <w:footnoteReference w:id="26"/>
            </w:r>
            <w:r>
              <w:rPr>
                <w:noProof/>
              </w:rPr>
              <w:t>, изменена с Директива 83/29/ЕИО</w:t>
            </w:r>
            <w:r>
              <w:rPr>
                <w:rStyle w:val="FootnoteReference"/>
                <w:noProof/>
              </w:rPr>
              <w:footnoteReference w:id="27"/>
            </w:r>
            <w:r>
              <w:rPr>
                <w:noProof/>
              </w:rPr>
              <w:t>, изменена с член 2, параграф 1 от Директива 91/692/ЕИО, беше отменена с Директива 2010/75/ЕС на Европейския парламент и на Съвета от 24 ноември 2010 г. относно емисиите от промишлеността</w:t>
            </w:r>
            <w:r>
              <w:rPr>
                <w:rStyle w:val="FootnoteReference"/>
                <w:noProof/>
              </w:rPr>
              <w:footnoteReference w:id="28"/>
            </w:r>
            <w:r>
              <w:rPr>
                <w:noProof/>
              </w:rPr>
              <w:t xml:space="preserve">. </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7 януари 2014 г.</w:t>
            </w:r>
          </w:p>
        </w:tc>
      </w:tr>
      <w:tr>
        <w:trPr>
          <w:trHeight w:val="2507"/>
        </w:trPr>
        <w:tc>
          <w:tcPr>
            <w:tcW w:w="7621" w:type="dxa"/>
            <w:shd w:val="clear" w:color="auto" w:fill="auto"/>
          </w:tcPr>
          <w:p>
            <w:pPr>
              <w:autoSpaceDE w:val="0"/>
              <w:autoSpaceDN w:val="0"/>
              <w:adjustRightInd w:val="0"/>
              <w:spacing w:before="0" w:after="240"/>
              <w:rPr>
                <w:rFonts w:eastAsia="Times New Roman"/>
                <w:b/>
                <w:bCs/>
                <w:noProof/>
                <w:sz w:val="22"/>
                <w:szCs w:val="24"/>
              </w:rPr>
            </w:pPr>
            <w:r>
              <w:rPr>
                <w:noProof/>
              </w:rPr>
              <w:t>Директива 78/659/ЕИО на Съвета от 18 юли 1978 г. относно качеството на сладките води, които се нуждаят от опазване или подобряване, за да са годни за живота на рибите</w:t>
            </w:r>
            <w:r>
              <w:rPr>
                <w:rStyle w:val="FootnoteReference"/>
                <w:noProof/>
              </w:rPr>
              <w:footnoteReference w:id="29"/>
            </w:r>
            <w:r>
              <w:rPr>
                <w:noProof/>
              </w:rPr>
              <w:t>, изменена с член 2, параграф 1 от Директива 91/692/ЕИО, беше отменена с Директива 2006/44/ЕО на Европейския парламент и на Съвета от 6 септември 2006 г. относно качеството на сладките води, които се нуждаят от опазване или подобряване с цел да бъдат годни за живота на рибите</w:t>
            </w:r>
            <w:r>
              <w:rPr>
                <w:rStyle w:val="FootnoteReference"/>
                <w:noProof/>
              </w:rPr>
              <w:footnoteReference w:id="30"/>
            </w:r>
            <w:r>
              <w:rPr>
                <w:noProof/>
              </w:rPr>
              <w:t>, която на свой ред беше отменена с Директива 2000/60/ЕО на Европейския парламент и на Съвета от 23 октомври 2000 г. за установяване на рамка за действията на Общността в областта на политиката за водите</w:t>
            </w:r>
            <w:r>
              <w:rPr>
                <w:rStyle w:val="FootnoteReference"/>
                <w:noProof/>
              </w:rPr>
              <w:footnoteReference w:id="31"/>
            </w:r>
            <w:r>
              <w:rPr>
                <w:noProof/>
              </w:rPr>
              <w:t xml:space="preserve">. </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21 декември 2013 г.</w:t>
            </w:r>
          </w:p>
        </w:tc>
      </w:tr>
      <w:tr>
        <w:trPr>
          <w:trHeight w:val="144"/>
        </w:trPr>
        <w:tc>
          <w:tcPr>
            <w:tcW w:w="7621" w:type="dxa"/>
            <w:shd w:val="clear" w:color="auto" w:fill="auto"/>
          </w:tcPr>
          <w:p>
            <w:pPr>
              <w:autoSpaceDE w:val="0"/>
              <w:autoSpaceDN w:val="0"/>
              <w:adjustRightInd w:val="0"/>
              <w:spacing w:after="0"/>
              <w:rPr>
                <w:noProof/>
              </w:rPr>
            </w:pPr>
            <w:r>
              <w:rPr>
                <w:noProof/>
              </w:rPr>
              <w:t>Директива 79/869/ЕИО на Съвета от 9 октомври 1979 г. относно методите на измерване и честотата на вземане на проби и анализ на повърхностните води, предназначени за производството на питейна вода в държавите членки</w:t>
            </w:r>
            <w:r>
              <w:rPr>
                <w:rStyle w:val="FootnoteReference"/>
                <w:noProof/>
              </w:rPr>
              <w:footnoteReference w:id="32"/>
            </w:r>
            <w:r>
              <w:rPr>
                <w:noProof/>
              </w:rPr>
              <w:t>, изменена с член 2, параграф 1 от Директива 91/692/ЕИО, последно изменена с Директива 81/855/ЕИО</w:t>
            </w:r>
            <w:r>
              <w:rPr>
                <w:rStyle w:val="FootnoteReference"/>
                <w:noProof/>
              </w:rPr>
              <w:footnoteReference w:id="33"/>
            </w:r>
            <w:r>
              <w:rPr>
                <w:noProof/>
              </w:rPr>
              <w:t xml:space="preserve">, беше отменена с Директива 2000/60/ЕО. </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21 декември 2007 г.</w:t>
            </w:r>
          </w:p>
        </w:tc>
      </w:tr>
      <w:tr>
        <w:trPr>
          <w:trHeight w:val="144"/>
        </w:trPr>
        <w:tc>
          <w:tcPr>
            <w:tcW w:w="7621" w:type="dxa"/>
            <w:shd w:val="clear" w:color="auto" w:fill="auto"/>
          </w:tcPr>
          <w:p>
            <w:pPr>
              <w:autoSpaceDE w:val="0"/>
              <w:autoSpaceDN w:val="0"/>
              <w:adjustRightInd w:val="0"/>
              <w:spacing w:after="0"/>
              <w:rPr>
                <w:noProof/>
              </w:rPr>
            </w:pPr>
            <w:r>
              <w:rPr>
                <w:noProof/>
              </w:rPr>
              <w:t xml:space="preserve">Директива 79/923/ЕИО на Съвета от 30 октомври 1979 г. относно изискванията за качеството на водите за развъждане на черупкови организми </w:t>
            </w:r>
            <w:r>
              <w:rPr>
                <w:rStyle w:val="FootnoteReference"/>
                <w:noProof/>
              </w:rPr>
              <w:footnoteReference w:id="34"/>
            </w:r>
            <w:r>
              <w:rPr>
                <w:noProof/>
              </w:rPr>
              <w:t>, изменена с член 2, параграф 1 от Директива 91/692/ЕИО, беше отменена и кодифицирана с Директива 2006/113/ЕО на Европейския парламент и на Съвета от 12 декември 2006 г. относно изискванията за качеството на водите с черупкови организми</w:t>
            </w:r>
            <w:r>
              <w:rPr>
                <w:rStyle w:val="FootnoteReference"/>
                <w:noProof/>
              </w:rPr>
              <w:footnoteReference w:id="35"/>
            </w:r>
            <w:r>
              <w:rPr>
                <w:noProof/>
              </w:rPr>
              <w:t xml:space="preserve">, която на свой ред беше отменена с Директива 2000/60/ЕО. </w:t>
            </w:r>
          </w:p>
        </w:tc>
        <w:tc>
          <w:tcPr>
            <w:tcW w:w="1696" w:type="dxa"/>
            <w:shd w:val="clear" w:color="auto" w:fill="auto"/>
          </w:tcPr>
          <w:p>
            <w:pPr>
              <w:tabs>
                <w:tab w:val="left" w:pos="954"/>
              </w:tabs>
              <w:autoSpaceDE w:val="0"/>
              <w:autoSpaceDN w:val="0"/>
              <w:adjustRightInd w:val="0"/>
              <w:spacing w:before="0" w:after="240"/>
              <w:rPr>
                <w:rFonts w:eastAsia="Times New Roman"/>
                <w:bCs/>
                <w:noProof/>
                <w:sz w:val="22"/>
                <w:szCs w:val="24"/>
              </w:rPr>
            </w:pPr>
            <w:r>
              <w:rPr>
                <w:noProof/>
              </w:rPr>
              <w:t>21 декември 2013 г.</w:t>
            </w:r>
          </w:p>
        </w:tc>
      </w:tr>
      <w:tr>
        <w:trPr>
          <w:trHeight w:val="144"/>
        </w:trPr>
        <w:tc>
          <w:tcPr>
            <w:tcW w:w="7621" w:type="dxa"/>
            <w:shd w:val="clear" w:color="auto" w:fill="auto"/>
          </w:tcPr>
          <w:p>
            <w:pPr>
              <w:autoSpaceDE w:val="0"/>
              <w:autoSpaceDN w:val="0"/>
              <w:adjustRightInd w:val="0"/>
              <w:spacing w:before="0" w:after="240"/>
              <w:rPr>
                <w:rFonts w:eastAsia="Times New Roman"/>
                <w:noProof/>
                <w:sz w:val="22"/>
                <w:szCs w:val="24"/>
              </w:rPr>
            </w:pPr>
            <w:r>
              <w:rPr>
                <w:noProof/>
              </w:rPr>
              <w:t>Директива 80/68/ЕИО на Съвета от 17 декември 1979 г. относно опазването на подземните води от замърсяване, причинено от определени опасни вещества</w:t>
            </w:r>
            <w:r>
              <w:rPr>
                <w:rStyle w:val="FootnoteReference"/>
                <w:noProof/>
              </w:rPr>
              <w:footnoteReference w:id="36"/>
            </w:r>
            <w:r>
              <w:rPr>
                <w:noProof/>
              </w:rPr>
              <w:t>, изменена с член 2, параграф 1 от Директива 91/692/ЕИО, беше отменена с Директива 2000/60/ЕО.</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21 декември 2013 г.</w:t>
            </w:r>
          </w:p>
        </w:tc>
      </w:tr>
      <w:tr>
        <w:trPr>
          <w:trHeight w:val="144"/>
        </w:trPr>
        <w:tc>
          <w:tcPr>
            <w:tcW w:w="7621" w:type="dxa"/>
            <w:shd w:val="clear" w:color="auto" w:fill="auto"/>
          </w:tcPr>
          <w:p>
            <w:pPr>
              <w:autoSpaceDE w:val="0"/>
              <w:autoSpaceDN w:val="0"/>
              <w:adjustRightInd w:val="0"/>
              <w:spacing w:before="0" w:after="240"/>
              <w:rPr>
                <w:rFonts w:eastAsia="Times New Roman"/>
                <w:noProof/>
                <w:sz w:val="22"/>
                <w:szCs w:val="24"/>
              </w:rPr>
            </w:pPr>
            <w:r>
              <w:rPr>
                <w:noProof/>
              </w:rPr>
              <w:t>Директива 82/176/ЕИО на Съвета от 22 март 1982 г. относно пределно допустимите стойности и целевите показатели за качество за заустванията на живак от отрасъла на хлор-алкална електролиза</w:t>
            </w:r>
            <w:r>
              <w:rPr>
                <w:rStyle w:val="FootnoteReference"/>
                <w:noProof/>
              </w:rPr>
              <w:footnoteReference w:id="37"/>
            </w:r>
            <w:r>
              <w:rPr>
                <w:noProof/>
              </w:rPr>
              <w:t>, изменена с член 2, параграф 1 от Директива 91/692/ЕИО, беше отменена с Директива 2008/105/ЕО за определяне на стандарти за качество на околната среда в областта на политиката за водите</w:t>
            </w:r>
            <w:r>
              <w:rPr>
                <w:rStyle w:val="FootnoteReference"/>
                <w:noProof/>
              </w:rPr>
              <w:footnoteReference w:id="38"/>
            </w:r>
            <w:r>
              <w:rPr>
                <w:noProof/>
              </w:rPr>
              <w:t>.</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22 декември 2012 г.</w:t>
            </w:r>
          </w:p>
        </w:tc>
      </w:tr>
      <w:tr>
        <w:trPr>
          <w:trHeight w:val="144"/>
        </w:trPr>
        <w:tc>
          <w:tcPr>
            <w:tcW w:w="7621" w:type="dxa"/>
            <w:shd w:val="clear" w:color="auto" w:fill="auto"/>
          </w:tcPr>
          <w:p>
            <w:pPr>
              <w:autoSpaceDE w:val="0"/>
              <w:autoSpaceDN w:val="0"/>
              <w:adjustRightInd w:val="0"/>
              <w:spacing w:after="0"/>
              <w:rPr>
                <w:noProof/>
              </w:rPr>
            </w:pPr>
            <w:r>
              <w:rPr>
                <w:noProof/>
              </w:rPr>
              <w:t xml:space="preserve">Директива 83/513/ЕИО на Съвета от 26 септември 1983 г. относно пределно допустимите стойности и целевите показатели за качество за заустванията на кадмий </w:t>
            </w:r>
            <w:r>
              <w:rPr>
                <w:rStyle w:val="FootnoteReference"/>
                <w:noProof/>
              </w:rPr>
              <w:footnoteReference w:id="39"/>
            </w:r>
            <w:r>
              <w:rPr>
                <w:noProof/>
              </w:rPr>
              <w:t xml:space="preserve">, изменена с член 2, параграф 1 от Директива 91/692/ЕИО, беше отменена с Директива 2008/105/ЕО. </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22 декември 2012 г.</w:t>
            </w:r>
          </w:p>
        </w:tc>
      </w:tr>
      <w:tr>
        <w:trPr>
          <w:trHeight w:val="144"/>
        </w:trPr>
        <w:tc>
          <w:tcPr>
            <w:tcW w:w="7621" w:type="dxa"/>
            <w:shd w:val="clear" w:color="auto" w:fill="auto"/>
          </w:tcPr>
          <w:p>
            <w:pPr>
              <w:autoSpaceDE w:val="0"/>
              <w:autoSpaceDN w:val="0"/>
              <w:adjustRightInd w:val="0"/>
              <w:spacing w:after="0"/>
              <w:rPr>
                <w:noProof/>
              </w:rPr>
            </w:pPr>
            <w:r>
              <w:rPr>
                <w:noProof/>
              </w:rPr>
              <w:t xml:space="preserve">Директива 84/156/ЕИО на Съвета от 8 март 1984 г. за граничните стойности и целевите показатели за качество за изхвърлянията на живак от други отрасли, освен този на хлор-алкалната електролиза </w:t>
            </w:r>
            <w:r>
              <w:rPr>
                <w:rStyle w:val="FootnoteReference"/>
                <w:noProof/>
              </w:rPr>
              <w:footnoteReference w:id="40"/>
            </w:r>
            <w:r>
              <w:rPr>
                <w:noProof/>
              </w:rPr>
              <w:t xml:space="preserve">, изменена с член 2, параграф 1 от Директива 91/692/ЕИО, беше отменена с Директива 2008/105/ЕО. </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22 декември 2012 г.</w:t>
            </w:r>
          </w:p>
        </w:tc>
      </w:tr>
      <w:tr>
        <w:trPr>
          <w:trHeight w:val="144"/>
        </w:trPr>
        <w:tc>
          <w:tcPr>
            <w:tcW w:w="7621" w:type="dxa"/>
            <w:shd w:val="clear" w:color="auto" w:fill="auto"/>
          </w:tcPr>
          <w:p>
            <w:pPr>
              <w:autoSpaceDE w:val="0"/>
              <w:autoSpaceDN w:val="0"/>
              <w:adjustRightInd w:val="0"/>
              <w:spacing w:after="0"/>
              <w:rPr>
                <w:noProof/>
              </w:rPr>
            </w:pPr>
            <w:r>
              <w:rPr>
                <w:noProof/>
              </w:rPr>
              <w:t>Директива 84/491/ЕИО на Съвета от 9 октомври 1982 г. относно пределно допустимите стойности и целевите показатели за качество за заустванията на хексахлорциклохексан</w:t>
            </w:r>
            <w:r>
              <w:rPr>
                <w:rStyle w:val="FootnoteReference"/>
                <w:noProof/>
              </w:rPr>
              <w:footnoteReference w:id="41"/>
            </w:r>
            <w:r>
              <w:rPr>
                <w:noProof/>
              </w:rPr>
              <w:t xml:space="preserve">, изменена с член 2, параграф 1 от Директива 91/692/ЕИО, беше отменена с Директива 2008/105/ЕО. </w:t>
            </w:r>
          </w:p>
        </w:tc>
        <w:tc>
          <w:tcPr>
            <w:tcW w:w="1696" w:type="dxa"/>
            <w:shd w:val="clear" w:color="auto" w:fill="auto"/>
          </w:tcPr>
          <w:p>
            <w:pPr>
              <w:autoSpaceDE w:val="0"/>
              <w:autoSpaceDN w:val="0"/>
              <w:adjustRightInd w:val="0"/>
              <w:spacing w:before="0" w:after="240"/>
              <w:rPr>
                <w:rFonts w:eastAsia="Times New Roman"/>
                <w:bCs/>
                <w:noProof/>
                <w:sz w:val="22"/>
                <w:szCs w:val="24"/>
              </w:rPr>
            </w:pPr>
            <w:r>
              <w:rPr>
                <w:noProof/>
              </w:rPr>
              <w:t>22 декември 2012 г.</w:t>
            </w:r>
          </w:p>
        </w:tc>
      </w:tr>
      <w:tr>
        <w:trPr>
          <w:trHeight w:val="144"/>
        </w:trPr>
        <w:tc>
          <w:tcPr>
            <w:tcW w:w="7621" w:type="dxa"/>
            <w:shd w:val="clear" w:color="auto" w:fill="auto"/>
          </w:tcPr>
          <w:p>
            <w:pPr>
              <w:autoSpaceDE w:val="0"/>
              <w:autoSpaceDN w:val="0"/>
              <w:adjustRightInd w:val="0"/>
              <w:spacing w:after="0"/>
              <w:rPr>
                <w:noProof/>
              </w:rPr>
            </w:pPr>
            <w:r>
              <w:rPr>
                <w:noProof/>
              </w:rPr>
              <w:t>Директива 86/280/ЕИО на Съвета от 12 юни 1986 г. относно граничните стойности и целевите показатели за качество за заустванията на някои опасни вещества от списък I на приложението към Директива 76/464/ЕИО</w:t>
            </w:r>
            <w:r>
              <w:rPr>
                <w:rStyle w:val="FootnoteReference"/>
                <w:noProof/>
              </w:rPr>
              <w:footnoteReference w:id="42"/>
            </w:r>
            <w:r>
              <w:rPr>
                <w:noProof/>
              </w:rPr>
              <w:t>, последно изменена с Директива 90/415/ЕИО</w:t>
            </w:r>
            <w:r>
              <w:rPr>
                <w:rStyle w:val="FootnoteReference"/>
                <w:noProof/>
              </w:rPr>
              <w:footnoteReference w:id="43"/>
            </w:r>
            <w:r>
              <w:rPr>
                <w:noProof/>
              </w:rPr>
              <w:t xml:space="preserve">, изменена с член 2, параграф 1 от Директива 91/692/ЕИО, беше отменена с Директива 2008/105/ЕО.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22 декември 2012 г.</w:t>
            </w:r>
          </w:p>
        </w:tc>
      </w:tr>
      <w:tr>
        <w:trPr>
          <w:trHeight w:val="144"/>
        </w:trPr>
        <w:tc>
          <w:tcPr>
            <w:tcW w:w="7621" w:type="dxa"/>
            <w:shd w:val="clear" w:color="auto" w:fill="auto"/>
          </w:tcPr>
          <w:p>
            <w:pPr>
              <w:autoSpaceDE w:val="0"/>
              <w:autoSpaceDN w:val="0"/>
              <w:adjustRightInd w:val="0"/>
              <w:spacing w:before="0" w:after="240"/>
              <w:rPr>
                <w:noProof/>
              </w:rPr>
            </w:pPr>
            <w:r>
              <w:rPr>
                <w:noProof/>
              </w:rPr>
              <w:t>Директива 75/440/ЕИО на Съвета от 16 юни 1975 г. относно изискванията за качество на повърхностните води, предназначени за производство на питейна вода в държавите членки</w:t>
            </w:r>
            <w:r>
              <w:rPr>
                <w:rStyle w:val="FootnoteReference"/>
                <w:noProof/>
              </w:rPr>
              <w:footnoteReference w:id="44"/>
            </w:r>
            <w:r>
              <w:rPr>
                <w:noProof/>
              </w:rPr>
              <w:t>, изменена с член 2, параграф 2 от Директива 91/692/ЕИО, беше отменена с Директива 2000/60/ЕО.</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21 декември 2007 г.</w:t>
            </w:r>
          </w:p>
        </w:tc>
      </w:tr>
      <w:tr>
        <w:trPr>
          <w:trHeight w:val="144"/>
        </w:trPr>
        <w:tc>
          <w:tcPr>
            <w:tcW w:w="7621" w:type="dxa"/>
            <w:shd w:val="clear" w:color="auto" w:fill="auto"/>
          </w:tcPr>
          <w:p>
            <w:pPr>
              <w:autoSpaceDE w:val="0"/>
              <w:autoSpaceDN w:val="0"/>
              <w:adjustRightInd w:val="0"/>
              <w:spacing w:after="0"/>
              <w:rPr>
                <w:noProof/>
              </w:rPr>
            </w:pPr>
            <w:r>
              <w:rPr>
                <w:noProof/>
              </w:rPr>
              <w:t>Директива 80/778/ЕИО на Съвета от 15 юли 1980 г. относно качеството на водите, предназначени за консумация от човека</w:t>
            </w:r>
            <w:r>
              <w:rPr>
                <w:rStyle w:val="FootnoteReference"/>
                <w:noProof/>
              </w:rPr>
              <w:footnoteReference w:id="45"/>
            </w:r>
            <w:r>
              <w:rPr>
                <w:noProof/>
              </w:rPr>
              <w:t>, изменена с член 2, параграф 2 от Директива 91/692/ЕИО, беше отменена с Директива 98/83/ЕО на Съвета от 3 ноември 1998 г. относно качеството на водите, предназначени за консумация от човека</w:t>
            </w:r>
            <w:r>
              <w:rPr>
                <w:rStyle w:val="FootnoteReference"/>
                <w:noProof/>
              </w:rPr>
              <w:footnoteReference w:id="46"/>
            </w:r>
            <w:r>
              <w:rPr>
                <w:noProof/>
              </w:rPr>
              <w:t xml:space="preserve">.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25 декември 2003 г.</w:t>
            </w:r>
          </w:p>
        </w:tc>
      </w:tr>
      <w:tr>
        <w:trPr>
          <w:trHeight w:val="144"/>
        </w:trPr>
        <w:tc>
          <w:tcPr>
            <w:tcW w:w="7621" w:type="dxa"/>
            <w:shd w:val="clear" w:color="auto" w:fill="auto"/>
          </w:tcPr>
          <w:p>
            <w:pPr>
              <w:autoSpaceDE w:val="0"/>
              <w:autoSpaceDN w:val="0"/>
              <w:adjustRightInd w:val="0"/>
              <w:spacing w:after="0"/>
              <w:rPr>
                <w:noProof/>
              </w:rPr>
            </w:pPr>
            <w:r>
              <w:rPr>
                <w:noProof/>
              </w:rPr>
              <w:t>Директива 85/203/ЕИО на Съвета от 7 март 1985 г. относно стандартите за качество на въздуха по отношение на азотните диоксиди</w:t>
            </w:r>
            <w:r>
              <w:rPr>
                <w:rStyle w:val="FootnoteReference"/>
                <w:noProof/>
              </w:rPr>
              <w:footnoteReference w:id="47"/>
            </w:r>
            <w:r>
              <w:rPr>
                <w:noProof/>
              </w:rPr>
              <w:t>, изменена с Директива 85/580/ЕИО</w:t>
            </w:r>
            <w:r>
              <w:rPr>
                <w:rStyle w:val="FootnoteReference"/>
                <w:noProof/>
              </w:rPr>
              <w:footnoteReference w:id="48"/>
            </w:r>
            <w:r>
              <w:rPr>
                <w:noProof/>
              </w:rPr>
              <w:t xml:space="preserve">, изменена с член 4, параграф 3 от Директива 91/692/ЕИО, беше отменена с Директива 1999/30/ЕО на Съвета от 22 април 1999 г. относно пределно допустимите стойности за серен двуоксид, азотен двуоксид и азотни оксиди, прахови частици и олово в околния въздух, в която не е имало позоваване на Директива 91/692/ЕИО и е отменена с Директива 2008/50/ЕО на Европейския парламент и на Съвета от 21 май 2008 г. относно качеството на атмосферния въздух и за по-чист въздух за Европа.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11 юни 2010 г.</w:t>
            </w:r>
          </w:p>
        </w:tc>
      </w:tr>
      <w:tr>
        <w:trPr>
          <w:trHeight w:val="144"/>
        </w:trPr>
        <w:tc>
          <w:tcPr>
            <w:tcW w:w="7621" w:type="dxa"/>
            <w:shd w:val="clear" w:color="auto" w:fill="auto"/>
          </w:tcPr>
          <w:p>
            <w:pPr>
              <w:autoSpaceDE w:val="0"/>
              <w:autoSpaceDN w:val="0"/>
              <w:adjustRightInd w:val="0"/>
              <w:spacing w:after="0"/>
              <w:rPr>
                <w:noProof/>
              </w:rPr>
            </w:pPr>
            <w:r>
              <w:rPr>
                <w:noProof/>
              </w:rPr>
              <w:t>Директива 75/716/ЕИО на Съвета от 24 ноември 1975 г. за сближаването на законодателствата на държавите членки относно съдържанието на сяра в някои течни горива</w:t>
            </w:r>
            <w:r>
              <w:rPr>
                <w:rStyle w:val="FootnoteReference"/>
                <w:noProof/>
              </w:rPr>
              <w:footnoteReference w:id="49"/>
            </w:r>
            <w:r>
              <w:rPr>
                <w:noProof/>
              </w:rPr>
              <w:t>, изменена с член 4, параграф 2 от Директива 91/692/ЕИО, беше отменена с Директива 93/12/ЕИО</w:t>
            </w:r>
            <w:r>
              <w:rPr>
                <w:rStyle w:val="FootnoteReference"/>
                <w:noProof/>
              </w:rPr>
              <w:footnoteReference w:id="50"/>
            </w:r>
            <w:r>
              <w:rPr>
                <w:noProof/>
              </w:rPr>
              <w:t xml:space="preserve">.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30 септември 1994 г.</w:t>
            </w:r>
          </w:p>
        </w:tc>
      </w:tr>
      <w:tr>
        <w:trPr>
          <w:trHeight w:val="144"/>
        </w:trPr>
        <w:tc>
          <w:tcPr>
            <w:tcW w:w="7621" w:type="dxa"/>
            <w:shd w:val="clear" w:color="auto" w:fill="auto"/>
          </w:tcPr>
          <w:p>
            <w:pPr>
              <w:autoSpaceDE w:val="0"/>
              <w:autoSpaceDN w:val="0"/>
              <w:adjustRightInd w:val="0"/>
              <w:spacing w:after="0"/>
              <w:rPr>
                <w:noProof/>
              </w:rPr>
            </w:pPr>
            <w:r>
              <w:rPr>
                <w:noProof/>
              </w:rPr>
              <w:t>Директива 84/360/ЕИО на Съвета от 28 юни 1984 г. относно борбата със замърсяването на въздуха от промишлени инсталации</w:t>
            </w:r>
            <w:r>
              <w:rPr>
                <w:rStyle w:val="FootnoteReference"/>
                <w:noProof/>
              </w:rPr>
              <w:footnoteReference w:id="51"/>
            </w:r>
            <w:r>
              <w:rPr>
                <w:noProof/>
              </w:rPr>
              <w:t>, изменена с член 4, параграф 2 от Директива 91/692/ЕИО, беше отменена с Директива 2008/1/ЕО на Европейския парламент и на Съвета от 15 януари 2008 г. за комплексно предотвратяване и контрол на замърсяването</w:t>
            </w:r>
            <w:r>
              <w:rPr>
                <w:rStyle w:val="FootnoteReference"/>
                <w:noProof/>
              </w:rPr>
              <w:footnoteReference w:id="52"/>
            </w:r>
            <w:r>
              <w:rPr>
                <w:noProof/>
              </w:rPr>
              <w:t>, която на свой ред беше отменена с Директива 2010/75/ЕС на Европейския парламент и на Съвета от 24 ноември 2010 г. относно емисиите от промишлеността</w:t>
            </w:r>
            <w:r>
              <w:rPr>
                <w:rStyle w:val="FootnoteReference"/>
                <w:noProof/>
              </w:rPr>
              <w:footnoteReference w:id="53"/>
            </w:r>
            <w:r>
              <w:rPr>
                <w:noProof/>
              </w:rPr>
              <w:t xml:space="preserve">.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7 януари 2014 г.</w:t>
            </w:r>
          </w:p>
        </w:tc>
      </w:tr>
      <w:tr>
        <w:trPr>
          <w:trHeight w:val="144"/>
        </w:trPr>
        <w:tc>
          <w:tcPr>
            <w:tcW w:w="7621" w:type="dxa"/>
            <w:shd w:val="clear" w:color="auto" w:fill="auto"/>
          </w:tcPr>
          <w:p>
            <w:pPr>
              <w:autoSpaceDE w:val="0"/>
              <w:autoSpaceDN w:val="0"/>
              <w:adjustRightInd w:val="0"/>
              <w:spacing w:after="0"/>
              <w:rPr>
                <w:noProof/>
              </w:rPr>
            </w:pPr>
            <w:r>
              <w:rPr>
                <w:noProof/>
              </w:rPr>
              <w:t>Директива 80/779/ЕИО на Съвета от 15 юли относно граничните стойности за качество на въздуха и ориентировъчните стойности за серен двуокис и суспендирани частици</w:t>
            </w:r>
            <w:r>
              <w:rPr>
                <w:rStyle w:val="FootnoteReference"/>
                <w:noProof/>
              </w:rPr>
              <w:footnoteReference w:id="54"/>
            </w:r>
            <w:r>
              <w:rPr>
                <w:noProof/>
              </w:rPr>
              <w:t>, изменена с член 4, параграф 1 и параграф 3 от Директива 91/692/ЕИО, беше отменена с Директива 1999/30/ЕО</w:t>
            </w:r>
            <w:r>
              <w:rPr>
                <w:rStyle w:val="FootnoteReference"/>
                <w:noProof/>
              </w:rPr>
              <w:footnoteReference w:id="55"/>
            </w:r>
            <w:r>
              <w:rPr>
                <w:noProof/>
              </w:rPr>
              <w:t xml:space="preserve">, която на свой ред беше отменена, считано от 11 юни 2010 г., с Директива 2008/50/ЕО.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11 юни 2010 г.</w:t>
            </w:r>
          </w:p>
        </w:tc>
      </w:tr>
      <w:tr>
        <w:trPr>
          <w:trHeight w:val="144"/>
        </w:trPr>
        <w:tc>
          <w:tcPr>
            <w:tcW w:w="7621" w:type="dxa"/>
            <w:shd w:val="clear" w:color="auto" w:fill="auto"/>
          </w:tcPr>
          <w:p>
            <w:pPr>
              <w:autoSpaceDE w:val="0"/>
              <w:autoSpaceDN w:val="0"/>
              <w:adjustRightInd w:val="0"/>
              <w:spacing w:after="0"/>
              <w:rPr>
                <w:noProof/>
              </w:rPr>
            </w:pPr>
            <w:r>
              <w:rPr>
                <w:noProof/>
              </w:rPr>
              <w:t>Директива 82/884/ЕИО на Съвета от 3 декември 1982 г. относно пределно допустимите стойности на олово във въздуха</w:t>
            </w:r>
            <w:r>
              <w:rPr>
                <w:rStyle w:val="FootnoteReference"/>
                <w:noProof/>
              </w:rPr>
              <w:footnoteReference w:id="56"/>
            </w:r>
            <w:r>
              <w:rPr>
                <w:noProof/>
              </w:rPr>
              <w:t xml:space="preserve">, изменена с член 4, параграф 1 и параграф 3 от Директива 91/692/ЕИО, беше отменена с Директива 1999/30/ЕО, която на свой ред беше отменена с Директива 2008/50/ЕО.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11 юни 2010 г.</w:t>
            </w:r>
          </w:p>
        </w:tc>
      </w:tr>
      <w:tr>
        <w:trPr>
          <w:trHeight w:val="144"/>
        </w:trPr>
        <w:tc>
          <w:tcPr>
            <w:tcW w:w="7621" w:type="dxa"/>
            <w:shd w:val="clear" w:color="auto" w:fill="auto"/>
          </w:tcPr>
          <w:p>
            <w:pPr>
              <w:autoSpaceDE w:val="0"/>
              <w:autoSpaceDN w:val="0"/>
              <w:adjustRightInd w:val="0"/>
              <w:spacing w:after="0"/>
              <w:rPr>
                <w:noProof/>
              </w:rPr>
            </w:pPr>
            <w:r>
              <w:rPr>
                <w:noProof/>
              </w:rPr>
              <w:t>Директива 85/203/ЕИО на Съвета от 7 март 1985 г. относно стандартите за качество на въздуха по отношение на азотните диоксиди</w:t>
            </w:r>
            <w:r>
              <w:rPr>
                <w:rStyle w:val="FootnoteReference"/>
                <w:noProof/>
              </w:rPr>
              <w:footnoteReference w:id="57"/>
            </w:r>
            <w:r>
              <w:rPr>
                <w:noProof/>
              </w:rPr>
              <w:t>, изменена с Директива 85/580/ЕИО</w:t>
            </w:r>
            <w:r>
              <w:rPr>
                <w:rStyle w:val="FootnoteReference"/>
                <w:noProof/>
              </w:rPr>
              <w:footnoteReference w:id="58"/>
            </w:r>
            <w:r>
              <w:rPr>
                <w:noProof/>
              </w:rPr>
              <w:t xml:space="preserve">, изменена с член 4, параграф 1 и параграф 3 от Директива 91/692/ЕИО, беше отменена с Директива 1999/30/ЕО, която на свой ред беше отменена с Директива 2008/50/ЕО. </w:t>
            </w:r>
          </w:p>
        </w:tc>
        <w:tc>
          <w:tcPr>
            <w:tcW w:w="1696" w:type="dxa"/>
            <w:shd w:val="clear" w:color="auto" w:fill="auto"/>
          </w:tcPr>
          <w:p>
            <w:pPr>
              <w:tabs>
                <w:tab w:val="left" w:pos="871"/>
              </w:tabs>
              <w:autoSpaceDE w:val="0"/>
              <w:autoSpaceDN w:val="0"/>
              <w:adjustRightInd w:val="0"/>
              <w:spacing w:before="0" w:after="240"/>
              <w:rPr>
                <w:rFonts w:eastAsia="Times New Roman"/>
                <w:bCs/>
                <w:noProof/>
                <w:sz w:val="22"/>
                <w:szCs w:val="24"/>
              </w:rPr>
            </w:pPr>
            <w:r>
              <w:rPr>
                <w:noProof/>
              </w:rPr>
              <w:t>11 юни 2010 г.</w:t>
            </w:r>
          </w:p>
        </w:tc>
      </w:tr>
      <w:tr>
        <w:trPr>
          <w:trHeight w:val="144"/>
        </w:trPr>
        <w:tc>
          <w:tcPr>
            <w:tcW w:w="7621" w:type="dxa"/>
            <w:shd w:val="clear" w:color="auto" w:fill="auto"/>
          </w:tcPr>
          <w:p>
            <w:pPr>
              <w:autoSpaceDE w:val="0"/>
              <w:autoSpaceDN w:val="0"/>
              <w:adjustRightInd w:val="0"/>
              <w:spacing w:after="0"/>
              <w:rPr>
                <w:noProof/>
              </w:rPr>
            </w:pPr>
            <w:r>
              <w:rPr>
                <w:noProof/>
              </w:rPr>
              <w:t>Директива 75/439/ЕИО на Съвета от 16 юни 1975 г. относно обезвреждането на отработени масла</w:t>
            </w:r>
            <w:r>
              <w:rPr>
                <w:rStyle w:val="FootnoteReference"/>
                <w:noProof/>
              </w:rPr>
              <w:footnoteReference w:id="59"/>
            </w:r>
            <w:r>
              <w:rPr>
                <w:noProof/>
              </w:rPr>
              <w:t>, изменена с член 5 от Директива 91/692/ЕИО, беше отменена с Директива 2008/98/ЕО на Европейския парламент и на Съвета от 19 ноември 2008 г. относно отпадъците</w:t>
            </w:r>
            <w:r>
              <w:rPr>
                <w:rStyle w:val="FootnoteReference"/>
                <w:noProof/>
              </w:rPr>
              <w:footnoteReference w:id="60"/>
            </w:r>
            <w:r>
              <w:rPr>
                <w:noProof/>
              </w:rPr>
              <w:t xml:space="preserve">. </w:t>
            </w:r>
          </w:p>
        </w:tc>
        <w:tc>
          <w:tcPr>
            <w:tcW w:w="1696" w:type="dxa"/>
            <w:shd w:val="clear" w:color="auto" w:fill="auto"/>
          </w:tcPr>
          <w:p>
            <w:pPr>
              <w:tabs>
                <w:tab w:val="left" w:pos="921"/>
              </w:tabs>
              <w:autoSpaceDE w:val="0"/>
              <w:autoSpaceDN w:val="0"/>
              <w:adjustRightInd w:val="0"/>
              <w:spacing w:before="0" w:after="240"/>
              <w:rPr>
                <w:rFonts w:eastAsia="Times New Roman"/>
                <w:bCs/>
                <w:noProof/>
                <w:sz w:val="22"/>
                <w:szCs w:val="24"/>
              </w:rPr>
            </w:pPr>
            <w:r>
              <w:rPr>
                <w:noProof/>
              </w:rPr>
              <w:t>12 декември 2010 г.</w:t>
            </w:r>
          </w:p>
        </w:tc>
      </w:tr>
      <w:tr>
        <w:trPr>
          <w:trHeight w:val="144"/>
        </w:trPr>
        <w:tc>
          <w:tcPr>
            <w:tcW w:w="7621" w:type="dxa"/>
            <w:shd w:val="clear" w:color="auto" w:fill="auto"/>
          </w:tcPr>
          <w:p>
            <w:pPr>
              <w:autoSpaceDE w:val="0"/>
              <w:autoSpaceDN w:val="0"/>
              <w:adjustRightInd w:val="0"/>
              <w:spacing w:after="0"/>
              <w:rPr>
                <w:noProof/>
              </w:rPr>
            </w:pPr>
            <w:r>
              <w:rPr>
                <w:noProof/>
              </w:rPr>
              <w:t>Директива 75/442/ЕИО на Съвета от 15 юли 1975 г. относно отпадъците</w:t>
            </w:r>
            <w:r>
              <w:rPr>
                <w:rStyle w:val="FootnoteReference"/>
                <w:noProof/>
              </w:rPr>
              <w:footnoteReference w:id="61"/>
            </w:r>
            <w:r>
              <w:rPr>
                <w:noProof/>
              </w:rPr>
              <w:t>, изменена с член 5 от Директива 91/692/ЕИО, беше отменена с Директива 2006/12/ЕО на Европейския парламент и на Съвета от 5 април 2006 г. относно отпадъците, която на свой ред беше отменена с Директива 2008/98/ЕО</w:t>
            </w:r>
            <w:r>
              <w:rPr>
                <w:rStyle w:val="FootnoteReference"/>
                <w:noProof/>
              </w:rPr>
              <w:footnoteReference w:id="62"/>
            </w:r>
            <w:r>
              <w:rPr>
                <w:noProof/>
              </w:rPr>
              <w:t xml:space="preserve">. </w:t>
            </w:r>
          </w:p>
        </w:tc>
        <w:tc>
          <w:tcPr>
            <w:tcW w:w="1696" w:type="dxa"/>
            <w:shd w:val="clear" w:color="auto" w:fill="auto"/>
          </w:tcPr>
          <w:p>
            <w:pPr>
              <w:tabs>
                <w:tab w:val="left" w:pos="921"/>
              </w:tabs>
              <w:autoSpaceDE w:val="0"/>
              <w:autoSpaceDN w:val="0"/>
              <w:adjustRightInd w:val="0"/>
              <w:spacing w:before="0" w:after="240"/>
              <w:rPr>
                <w:rFonts w:eastAsia="Times New Roman"/>
                <w:bCs/>
                <w:noProof/>
                <w:sz w:val="22"/>
                <w:szCs w:val="24"/>
              </w:rPr>
            </w:pPr>
            <w:r>
              <w:rPr>
                <w:noProof/>
              </w:rPr>
              <w:t>11 декември 2010 г.</w:t>
            </w:r>
          </w:p>
        </w:tc>
      </w:tr>
      <w:tr>
        <w:trPr>
          <w:trHeight w:val="144"/>
        </w:trPr>
        <w:tc>
          <w:tcPr>
            <w:tcW w:w="7621" w:type="dxa"/>
            <w:shd w:val="clear" w:color="auto" w:fill="auto"/>
          </w:tcPr>
          <w:p>
            <w:pPr>
              <w:autoSpaceDE w:val="0"/>
              <w:autoSpaceDN w:val="0"/>
              <w:adjustRightInd w:val="0"/>
              <w:spacing w:after="0"/>
              <w:rPr>
                <w:noProof/>
              </w:rPr>
            </w:pPr>
            <w:r>
              <w:rPr>
                <w:noProof/>
              </w:rPr>
              <w:t>Директива 76/403/ЕИО на Съвета от 6 април 1976 г. за обезвреждането на полихлорирани бифенили и полихлорирани терфенили</w:t>
            </w:r>
            <w:r>
              <w:rPr>
                <w:rStyle w:val="FootnoteReference"/>
                <w:noProof/>
              </w:rPr>
              <w:footnoteReference w:id="63"/>
            </w:r>
            <w:r>
              <w:rPr>
                <w:noProof/>
              </w:rPr>
              <w:t>, изменена с член 5 от Директива 91/692/ЕИО, беше отменена с Директива 96/59/ЕО на Европейския парламент и на Съвета от 16 септември 1996 г. за обезвреждането на полихлорирани бифенили и полихлорирани терфенили (ПХБ/ПХТ)</w:t>
            </w:r>
            <w:r>
              <w:rPr>
                <w:rStyle w:val="FootnoteReference"/>
                <w:noProof/>
              </w:rPr>
              <w:footnoteReference w:id="64"/>
            </w:r>
            <w:r>
              <w:rPr>
                <w:noProof/>
              </w:rPr>
              <w:t>.</w:t>
            </w:r>
          </w:p>
        </w:tc>
        <w:tc>
          <w:tcPr>
            <w:tcW w:w="1696" w:type="dxa"/>
            <w:shd w:val="clear" w:color="auto" w:fill="auto"/>
          </w:tcPr>
          <w:p>
            <w:pPr>
              <w:tabs>
                <w:tab w:val="left" w:pos="921"/>
              </w:tabs>
              <w:autoSpaceDE w:val="0"/>
              <w:autoSpaceDN w:val="0"/>
              <w:adjustRightInd w:val="0"/>
              <w:spacing w:before="0" w:after="240"/>
              <w:rPr>
                <w:rFonts w:eastAsia="Times New Roman"/>
                <w:bCs/>
                <w:noProof/>
                <w:sz w:val="22"/>
                <w:szCs w:val="24"/>
              </w:rPr>
            </w:pPr>
            <w:r>
              <w:rPr>
                <w:noProof/>
              </w:rPr>
              <w:t>16 септември 1996 г.</w:t>
            </w:r>
          </w:p>
        </w:tc>
      </w:tr>
      <w:tr>
        <w:trPr>
          <w:trHeight w:val="144"/>
        </w:trPr>
        <w:tc>
          <w:tcPr>
            <w:tcW w:w="7621" w:type="dxa"/>
            <w:shd w:val="clear" w:color="auto" w:fill="auto"/>
          </w:tcPr>
          <w:p>
            <w:pPr>
              <w:autoSpaceDE w:val="0"/>
              <w:autoSpaceDN w:val="0"/>
              <w:adjustRightInd w:val="0"/>
              <w:spacing w:after="0"/>
              <w:rPr>
                <w:noProof/>
              </w:rPr>
            </w:pPr>
            <w:r>
              <w:rPr>
                <w:noProof/>
              </w:rPr>
              <w:t>Директива 78/319/ЕИО на Съвета от 20 март 1978 г. относно токсичните и опасни отпадъци</w:t>
            </w:r>
            <w:r>
              <w:rPr>
                <w:rStyle w:val="FootnoteReference"/>
                <w:noProof/>
              </w:rPr>
              <w:footnoteReference w:id="65"/>
            </w:r>
            <w:r>
              <w:rPr>
                <w:noProof/>
              </w:rPr>
              <w:t>, изменена с член 5 от Директива 91/692/ЕИО, беше отменена с Директива 91/689/ЕИО на Съвета от 12 декември 1991 г. относно опасните отпадъци</w:t>
            </w:r>
            <w:r>
              <w:rPr>
                <w:rStyle w:val="FootnoteReference"/>
                <w:noProof/>
              </w:rPr>
              <w:footnoteReference w:id="66"/>
            </w:r>
            <w:r>
              <w:rPr>
                <w:noProof/>
              </w:rPr>
              <w:t xml:space="preserve">. </w:t>
            </w:r>
          </w:p>
        </w:tc>
        <w:tc>
          <w:tcPr>
            <w:tcW w:w="1696" w:type="dxa"/>
            <w:shd w:val="clear" w:color="auto" w:fill="auto"/>
          </w:tcPr>
          <w:p>
            <w:pPr>
              <w:tabs>
                <w:tab w:val="left" w:pos="921"/>
              </w:tabs>
              <w:autoSpaceDE w:val="0"/>
              <w:autoSpaceDN w:val="0"/>
              <w:adjustRightInd w:val="0"/>
              <w:spacing w:before="0" w:after="240"/>
              <w:rPr>
                <w:rFonts w:eastAsia="Times New Roman"/>
                <w:bCs/>
                <w:noProof/>
                <w:sz w:val="22"/>
                <w:szCs w:val="24"/>
              </w:rPr>
            </w:pPr>
            <w:r>
              <w:rPr>
                <w:noProof/>
              </w:rPr>
              <w:t>27 юни 1995 г.</w:t>
            </w:r>
          </w:p>
        </w:tc>
      </w:tr>
      <w:tr>
        <w:trPr>
          <w:trHeight w:val="144"/>
        </w:trPr>
        <w:tc>
          <w:tcPr>
            <w:tcW w:w="7621" w:type="dxa"/>
            <w:shd w:val="clear" w:color="auto" w:fill="auto"/>
          </w:tcPr>
          <w:p>
            <w:pPr>
              <w:autoSpaceDE w:val="0"/>
              <w:autoSpaceDN w:val="0"/>
              <w:adjustRightInd w:val="0"/>
              <w:spacing w:after="0"/>
              <w:rPr>
                <w:noProof/>
              </w:rPr>
            </w:pPr>
            <w:r>
              <w:rPr>
                <w:noProof/>
              </w:rPr>
              <w:t>Директива 84/631/ЕИО на Съвета от 6 декември 1984 г. относно надзора и контрола в рамките на Европейската общност на трансграничния превоз на опасни отпадъци</w:t>
            </w:r>
            <w:r>
              <w:rPr>
                <w:rStyle w:val="FootnoteReference"/>
                <w:noProof/>
              </w:rPr>
              <w:footnoteReference w:id="67"/>
            </w:r>
            <w:r>
              <w:rPr>
                <w:noProof/>
              </w:rPr>
              <w:t>, изменена с член 5 от Директива 91/692/ЕИО, беше отменена с Регламент (ЕИО) № 259/93 на Съвета от 1 февруари 1993 г. относно надзора и контрола върху превози на отпадъци в рамките на, за и от Европейската общност</w:t>
            </w:r>
            <w:r>
              <w:rPr>
                <w:rStyle w:val="FootnoteReference"/>
                <w:noProof/>
              </w:rPr>
              <w:footnoteReference w:id="68"/>
            </w:r>
            <w:r>
              <w:rPr>
                <w:noProof/>
              </w:rPr>
              <w:t>, който на свой ред беше отменен с Регламент (ЕО) № 1013/2006 на Европейския парламент и на Съвета от 14 юни 2006 г. относно превози на отпадъци</w:t>
            </w:r>
            <w:r>
              <w:rPr>
                <w:rStyle w:val="FootnoteReference"/>
                <w:noProof/>
              </w:rPr>
              <w:footnoteReference w:id="69"/>
            </w:r>
            <w:r>
              <w:rPr>
                <w:noProof/>
              </w:rPr>
              <w:t>.</w:t>
            </w:r>
          </w:p>
        </w:tc>
        <w:tc>
          <w:tcPr>
            <w:tcW w:w="1696" w:type="dxa"/>
            <w:shd w:val="clear" w:color="auto" w:fill="auto"/>
          </w:tcPr>
          <w:p>
            <w:pPr>
              <w:tabs>
                <w:tab w:val="left" w:pos="921"/>
              </w:tabs>
              <w:autoSpaceDE w:val="0"/>
              <w:autoSpaceDN w:val="0"/>
              <w:adjustRightInd w:val="0"/>
              <w:spacing w:before="0" w:after="240"/>
              <w:rPr>
                <w:rFonts w:eastAsia="Times New Roman"/>
                <w:bCs/>
                <w:noProof/>
                <w:sz w:val="22"/>
                <w:szCs w:val="24"/>
              </w:rPr>
            </w:pPr>
            <w:r>
              <w:rPr>
                <w:noProof/>
              </w:rPr>
              <w:t>11 юли 2007 г.</w:t>
            </w:r>
          </w:p>
        </w:tc>
      </w:tr>
      <w:tr>
        <w:trPr>
          <w:trHeight w:val="144"/>
        </w:trPr>
        <w:tc>
          <w:tcPr>
            <w:tcW w:w="7621" w:type="dxa"/>
            <w:shd w:val="clear" w:color="auto" w:fill="auto"/>
          </w:tcPr>
          <w:p>
            <w:pPr>
              <w:autoSpaceDE w:val="0"/>
              <w:autoSpaceDN w:val="0"/>
              <w:adjustRightInd w:val="0"/>
              <w:spacing w:after="0"/>
              <w:rPr>
                <w:noProof/>
              </w:rPr>
            </w:pPr>
            <w:r>
              <w:rPr>
                <w:noProof/>
              </w:rPr>
              <w:t>Директива 85/339/ЕИО на Съвета от 27 юни 1985 г. относно опаковки за течности за консумация от човека</w:t>
            </w:r>
            <w:r>
              <w:rPr>
                <w:rStyle w:val="FootnoteReference"/>
                <w:noProof/>
              </w:rPr>
              <w:footnoteReference w:id="70"/>
            </w:r>
            <w:r>
              <w:rPr>
                <w:noProof/>
              </w:rPr>
              <w:t>, изменена с член 5 от Директива 91/692/ЕИО, беше отменена с Директива 94/62/ЕО на Съвета от 20 декември 1994 г. относно опаковките и отпадъците от опаковки</w:t>
            </w:r>
            <w:r>
              <w:rPr>
                <w:rStyle w:val="FootnoteReference"/>
                <w:noProof/>
              </w:rPr>
              <w:footnoteReference w:id="71"/>
            </w:r>
            <w:r>
              <w:rPr>
                <w:noProof/>
              </w:rPr>
              <w:t>.</w:t>
            </w:r>
          </w:p>
        </w:tc>
        <w:tc>
          <w:tcPr>
            <w:tcW w:w="1696" w:type="dxa"/>
            <w:shd w:val="clear" w:color="auto" w:fill="auto"/>
          </w:tcPr>
          <w:p>
            <w:pPr>
              <w:tabs>
                <w:tab w:val="left" w:pos="921"/>
              </w:tabs>
              <w:autoSpaceDE w:val="0"/>
              <w:autoSpaceDN w:val="0"/>
              <w:adjustRightInd w:val="0"/>
              <w:spacing w:before="0" w:after="240"/>
              <w:rPr>
                <w:rFonts w:eastAsia="Times New Roman"/>
                <w:bCs/>
                <w:noProof/>
                <w:sz w:val="22"/>
                <w:szCs w:val="24"/>
              </w:rPr>
            </w:pPr>
            <w:r>
              <w:rPr>
                <w:noProof/>
              </w:rPr>
              <w:t>29 юни 1996 г.</w:t>
            </w:r>
          </w:p>
        </w:tc>
      </w:tr>
    </w:tbl>
    <w:p>
      <w:pPr>
        <w:rPr>
          <w:b/>
          <w:noProof/>
        </w:rPr>
      </w:pPr>
      <w:r>
        <w:rPr>
          <w:noProof/>
        </w:rPr>
        <w:br w:type="page"/>
      </w:r>
      <w:r>
        <w:rPr>
          <w:b/>
          <w:noProof/>
        </w:rPr>
        <w:t xml:space="preserve">Таблица 3: Преглед на актовете за изпълнение, които остават в сила, които следва да бъдат отменени или които следва да бъдат обявени за остарели </w:t>
      </w:r>
    </w:p>
    <w:tbl>
      <w:tblPr>
        <w:tblW w:w="9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1276"/>
        <w:gridCol w:w="1134"/>
        <w:gridCol w:w="1143"/>
      </w:tblGrid>
      <w:tr>
        <w:trPr>
          <w:trHeight w:val="144"/>
          <w:tblHeader/>
        </w:trPr>
        <w:tc>
          <w:tcPr>
            <w:tcW w:w="5778" w:type="dxa"/>
            <w:shd w:val="clear" w:color="auto" w:fill="auto"/>
          </w:tcPr>
          <w:p>
            <w:pPr>
              <w:autoSpaceDE w:val="0"/>
              <w:autoSpaceDN w:val="0"/>
              <w:adjustRightInd w:val="0"/>
              <w:spacing w:before="0" w:after="240"/>
              <w:rPr>
                <w:rFonts w:eastAsia="Times New Roman"/>
                <w:b/>
                <w:bCs/>
                <w:noProof/>
                <w:sz w:val="22"/>
                <w:szCs w:val="24"/>
              </w:rPr>
            </w:pPr>
            <w:r>
              <w:rPr>
                <w:b/>
                <w:noProof/>
                <w:sz w:val="22"/>
              </w:rPr>
              <w:t xml:space="preserve">Правни актове, приети съгласно Директива 91/692/ЕИО </w:t>
            </w:r>
          </w:p>
        </w:tc>
        <w:tc>
          <w:tcPr>
            <w:tcW w:w="1276" w:type="dxa"/>
            <w:shd w:val="clear" w:color="auto" w:fill="auto"/>
          </w:tcPr>
          <w:p>
            <w:pPr>
              <w:autoSpaceDE w:val="0"/>
              <w:autoSpaceDN w:val="0"/>
              <w:adjustRightInd w:val="0"/>
              <w:spacing w:before="0" w:after="240"/>
              <w:jc w:val="center"/>
              <w:rPr>
                <w:rFonts w:eastAsia="Times New Roman"/>
                <w:b/>
                <w:bCs/>
                <w:noProof/>
                <w:sz w:val="22"/>
                <w:szCs w:val="24"/>
              </w:rPr>
            </w:pPr>
            <w:r>
              <w:rPr>
                <w:b/>
                <w:noProof/>
                <w:sz w:val="22"/>
              </w:rPr>
              <w:t>Оставащи в сила</w:t>
            </w:r>
          </w:p>
        </w:tc>
        <w:tc>
          <w:tcPr>
            <w:tcW w:w="1134" w:type="dxa"/>
            <w:shd w:val="clear" w:color="auto" w:fill="auto"/>
          </w:tcPr>
          <w:p>
            <w:pPr>
              <w:autoSpaceDE w:val="0"/>
              <w:autoSpaceDN w:val="0"/>
              <w:adjustRightInd w:val="0"/>
              <w:spacing w:before="0" w:after="240"/>
              <w:jc w:val="center"/>
              <w:rPr>
                <w:rFonts w:eastAsia="Times New Roman"/>
                <w:b/>
                <w:bCs/>
                <w:noProof/>
                <w:sz w:val="22"/>
                <w:szCs w:val="24"/>
              </w:rPr>
            </w:pPr>
            <w:r>
              <w:rPr>
                <w:b/>
                <w:noProof/>
                <w:sz w:val="22"/>
              </w:rPr>
              <w:t>Предлага се да бъдат обявени за остарели</w:t>
            </w:r>
          </w:p>
        </w:tc>
        <w:tc>
          <w:tcPr>
            <w:tcW w:w="1143" w:type="dxa"/>
            <w:shd w:val="clear" w:color="auto" w:fill="auto"/>
          </w:tcPr>
          <w:p>
            <w:pPr>
              <w:autoSpaceDE w:val="0"/>
              <w:autoSpaceDN w:val="0"/>
              <w:adjustRightInd w:val="0"/>
              <w:spacing w:before="0" w:after="240"/>
              <w:jc w:val="center"/>
              <w:rPr>
                <w:rFonts w:eastAsia="Times New Roman"/>
                <w:b/>
                <w:bCs/>
                <w:noProof/>
                <w:sz w:val="22"/>
                <w:szCs w:val="24"/>
              </w:rPr>
            </w:pPr>
            <w:r>
              <w:rPr>
                <w:b/>
                <w:noProof/>
                <w:sz w:val="22"/>
              </w:rPr>
              <w:t>Предлага се да бъдат отменени</w:t>
            </w:r>
          </w:p>
        </w:tc>
      </w:tr>
      <w:tr>
        <w:trPr>
          <w:trHeight w:val="144"/>
        </w:trPr>
        <w:tc>
          <w:tcPr>
            <w:tcW w:w="5778" w:type="dxa"/>
            <w:shd w:val="clear" w:color="auto" w:fill="auto"/>
          </w:tcPr>
          <w:p>
            <w:pPr>
              <w:autoSpaceDE w:val="0"/>
              <w:autoSpaceDN w:val="0"/>
              <w:adjustRightInd w:val="0"/>
              <w:spacing w:before="0" w:after="240"/>
              <w:rPr>
                <w:rFonts w:eastAsia="Times New Roman"/>
                <w:b/>
                <w:bCs/>
                <w:noProof/>
                <w:sz w:val="22"/>
                <w:szCs w:val="24"/>
              </w:rPr>
            </w:pPr>
            <w:r>
              <w:rPr>
                <w:noProof/>
              </w:rPr>
              <w:t>1) Решение за изпълнение 2014/166/ЕС на Комисията от 21 март 2014 г. за изменение на Решение 2005/381/ЕО по отношение на въпросника за докладване на прилагането на Директива 2003/87/ЕО на Европейския парламент и на Съвета (нотифицирано под номер C(2014) 1726).</w:t>
            </w:r>
            <w:r>
              <w:rPr>
                <w:rStyle w:val="FootnoteReference"/>
                <w:noProof/>
              </w:rPr>
              <w:footnoteReference w:id="72"/>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rPr>
            </w:pPr>
            <w:r>
              <w:rPr>
                <w:noProof/>
              </w:rPr>
              <w:t>2) Решение 2005/381/ЕО на Комисията от 4 май 2005 г. за установяване на въпросник за отчитане прилагането на Директива 2003/87/ЕО на Европейския парламент и на Съвета за установяване на схема за търговия с квоти за емисии на парникови газове в рамките на Общността и за изменение на Директива 96/61/ЕО на Съвета (нотифицирано под номер C(2005) 1359)</w:t>
            </w:r>
            <w:r>
              <w:rPr>
                <w:rStyle w:val="FootnoteReference"/>
                <w:noProof/>
              </w:rPr>
              <w:footnoteReference w:id="73"/>
            </w:r>
            <w:r>
              <w:rPr>
                <w:noProof/>
              </w:rPr>
              <w:t xml:space="preserve">. </w:t>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 w:val="32"/>
                <w:szCs w:val="32"/>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b/>
                <w:bCs/>
                <w:noProof/>
                <w:sz w:val="22"/>
                <w:szCs w:val="24"/>
              </w:rPr>
            </w:pPr>
            <w:r>
              <w:rPr>
                <w:noProof/>
              </w:rPr>
              <w:t>3) Решение 2006/803/ЕО на Комисията от 23 ноември 2006 г. за изменение на Решение 2005/381/ЕО за установяване на въпросник за отчитане прилагането на Директива 2003/87/ЕО на Европейския парламент и на Съвета за установяване на схема за търговия с квоти за емисии на парникови газове в рамките на Общността и за изменение на Директива 96/61/ЕО на Съвета (нотифицирано под номер С(2006) 5546)</w:t>
            </w:r>
            <w:r>
              <w:rPr>
                <w:rStyle w:val="FootnoteReference"/>
                <w:noProof/>
              </w:rPr>
              <w:footnoteReference w:id="74"/>
            </w:r>
            <w:r>
              <w:rPr>
                <w:noProof/>
              </w:rPr>
              <w:t>.</w:t>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rPr>
            </w:pPr>
            <w:r>
              <w:rPr>
                <w:noProof/>
              </w:rPr>
              <w:t>4) Решение на Комисията от 18.4.2012 г. за формулиране на въпросник, който да бъде използван за докладване относно прилагането на Директива 2008/98/ЕО на Европейския парламент и на Съвета относно отпадъците</w:t>
            </w:r>
            <w:r>
              <w:rPr>
                <w:rStyle w:val="FootnoteReference"/>
                <w:noProof/>
              </w:rPr>
              <w:footnoteReference w:id="75"/>
            </w:r>
            <w:r>
              <w:rPr>
                <w:noProof/>
              </w:rPr>
              <w:t>.</w:t>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952"/>
        </w:trPr>
        <w:tc>
          <w:tcPr>
            <w:tcW w:w="5778" w:type="dxa"/>
            <w:shd w:val="clear" w:color="auto" w:fill="auto"/>
          </w:tcPr>
          <w:p>
            <w:pPr>
              <w:autoSpaceDE w:val="0"/>
              <w:autoSpaceDN w:val="0"/>
              <w:adjustRightInd w:val="0"/>
              <w:spacing w:before="0" w:after="240"/>
              <w:rPr>
                <w:noProof/>
              </w:rPr>
            </w:pPr>
            <w:r>
              <w:rPr>
                <w:noProof/>
              </w:rPr>
              <w:t>5) Решение 2004/249/ЕО на Комисията от 11 март 2004 г. относно изпълнението на Директива 2002/96/ЕО (ОЕЕО)</w:t>
            </w:r>
            <w:r>
              <w:rPr>
                <w:rStyle w:val="FootnoteReference"/>
                <w:noProof/>
              </w:rPr>
              <w:footnoteReference w:id="76"/>
            </w:r>
            <w:r>
              <w:rPr>
                <w:noProof/>
              </w:rPr>
              <w:t xml:space="preserve">. </w:t>
            </w:r>
          </w:p>
        </w:tc>
        <w:tc>
          <w:tcPr>
            <w:tcW w:w="1276" w:type="dxa"/>
            <w:shd w:val="clear" w:color="auto" w:fill="auto"/>
          </w:tcPr>
          <w:p>
            <w:pPr>
              <w:pStyle w:val="ListParagraph"/>
              <w:numPr>
                <w:ilvl w:val="0"/>
                <w:numId w:val="10"/>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6) Решение 2007/151/ЕО на Комисията от 6 март 2007 г. за изменение на решения 94/741/ЕО и 97/622/ЕО относно въпросниците за докладите за прилагането на Директива 2006/12/ЕО на Европейския парламент и на Съвета относно отпадъците и за прилагането на Директива 91/689/ЕИО на Съвета относно опасните отпадъци</w:t>
            </w:r>
            <w:r>
              <w:rPr>
                <w:rStyle w:val="FootnoteReference"/>
                <w:noProof/>
              </w:rPr>
              <w:footnoteReference w:id="77"/>
            </w:r>
            <w:r>
              <w:rPr>
                <w:noProof/>
              </w:rPr>
              <w:t>.</w:t>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7) Решение 2000/738/ЕО на Комисията от 17 ноември 2000 г. относно въпросника към докладите на държавите членки за прилагането на Директива 1999/31/ЕО относно депонирането на отпадъци</w:t>
            </w:r>
            <w:r>
              <w:rPr>
                <w:rStyle w:val="FootnoteReference"/>
                <w:noProof/>
              </w:rPr>
              <w:footnoteReference w:id="78"/>
            </w:r>
            <w:r>
              <w:rPr>
                <w:noProof/>
              </w:rPr>
              <w:t xml:space="preserve">. </w:t>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8) Решение 2001/753/ЕО на Комисията от 17 октомври 2001 г. относно въпросник за докладите на държавите членки във връзка с прилагане на Директива 2000/53/ЕО на Европейския парламент и на Съвета относно излезлите от употреба превозни средства</w:t>
            </w:r>
            <w:r>
              <w:rPr>
                <w:rStyle w:val="FootnoteReference"/>
                <w:noProof/>
              </w:rPr>
              <w:footnoteReference w:id="79"/>
            </w:r>
            <w:r>
              <w:rPr>
                <w:noProof/>
              </w:rPr>
              <w:t>.</w:t>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9) Решение 97/622/ЕО на Комисията от 27 май 1997 г. относно въпросниците за докладите на държавите членки за прилагането на някои директиви в областта на отпадъците</w:t>
            </w:r>
            <w:r>
              <w:rPr>
                <w:rStyle w:val="FootnoteReference"/>
                <w:noProof/>
              </w:rPr>
              <w:footnoteReference w:id="80"/>
            </w:r>
            <w:r>
              <w:rPr>
                <w:noProof/>
              </w:rPr>
              <w:t xml:space="preserve">. </w:t>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10) Решение 94/741/ЕО на Комисията от 24 октомври 1994 г. относно въпросниците за докладите на държавите членки за прилагането на някои директиви в областта на отпадъците</w:t>
            </w:r>
            <w:r>
              <w:rPr>
                <w:rStyle w:val="FootnoteReference"/>
                <w:noProof/>
              </w:rPr>
              <w:footnoteReference w:id="81"/>
            </w:r>
            <w:r>
              <w:rPr>
                <w:noProof/>
              </w:rPr>
              <w:t>.</w:t>
            </w:r>
          </w:p>
        </w:tc>
        <w:tc>
          <w:tcPr>
            <w:tcW w:w="1276"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11) Решение за изпълнение 2011/632/ЕС на Комисията от 21 септември 2011 г. за създаване на въпросник, предвиден за използване при изготвянето на доклади за прилагането на Директива 2000/76/ЕО на Европейския парламент и на Съвета относно изгарянето на отпадъци</w:t>
            </w:r>
            <w:r>
              <w:rPr>
                <w:rStyle w:val="FootnoteReference"/>
                <w:noProof/>
              </w:rPr>
              <w:footnoteReference w:id="82"/>
            </w:r>
            <w:r>
              <w:rPr>
                <w:noProof/>
              </w:rPr>
              <w:t xml:space="preserve">. </w:t>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12) Решение 2011/92/ЕС на Комисията от 10 февруари 2011 г. за въвеждане на въпросник, който трябва да се използва за първоначалния доклад за прилагането на Директива 2009/31/ЕО на Европейския парламент и на Съвета относно съхранението на въглероден диоксид в геоложки формации</w:t>
            </w:r>
            <w:r>
              <w:rPr>
                <w:rStyle w:val="FootnoteReference"/>
                <w:noProof/>
              </w:rPr>
              <w:footnoteReference w:id="83"/>
            </w:r>
            <w:r>
              <w:rPr>
                <w:noProof/>
              </w:rPr>
              <w:t xml:space="preserve">. </w:t>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13) Решение 2010/681/ЕС на Комисията от 9 ноември 2010 г. относно въпросника за докладите на държавите членки за прилагането на Директива 1999/13/ЕО на Съвета за ограничаване на емисиите на летливи органични съединения, дължащи се на употребата на органични разтворители при определени дейности и инсталации през периода 2011—2013 г.</w:t>
            </w:r>
            <w:r>
              <w:rPr>
                <w:rStyle w:val="FootnoteReference"/>
                <w:noProof/>
              </w:rPr>
              <w:footnoteReference w:id="84"/>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autoSpaceDE w:val="0"/>
              <w:autoSpaceDN w:val="0"/>
              <w:adjustRightInd w:val="0"/>
              <w:spacing w:before="0" w:after="240"/>
              <w:rPr>
                <w:rFonts w:eastAsia="Times New Roman"/>
                <w:bCs/>
                <w:noProof/>
                <w:sz w:val="22"/>
                <w:szCs w:val="24"/>
              </w:rPr>
            </w:pPr>
          </w:p>
        </w:tc>
        <w:tc>
          <w:tcPr>
            <w:tcW w:w="1143"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r>
      <w:tr>
        <w:trPr>
          <w:trHeight w:val="144"/>
        </w:trPr>
        <w:tc>
          <w:tcPr>
            <w:tcW w:w="5778" w:type="dxa"/>
            <w:shd w:val="clear" w:color="auto" w:fill="auto"/>
          </w:tcPr>
          <w:p>
            <w:pPr>
              <w:autoSpaceDE w:val="0"/>
              <w:autoSpaceDN w:val="0"/>
              <w:adjustRightInd w:val="0"/>
              <w:spacing w:before="0" w:after="240"/>
              <w:rPr>
                <w:noProof/>
                <w:szCs w:val="24"/>
              </w:rPr>
            </w:pPr>
            <w:r>
              <w:rPr>
                <w:noProof/>
              </w:rPr>
              <w:t>14) Решение 2007/531/ЕО на Комисията от 26 юли 2007 г. относно въпросник към докладите на държавите членки относно прилагането на Директива 1999/13/ЕО на Съвета за ограничаване на емисиите на летливи органични съединения, дължащи се на употребата на органични разтворители в определени дейности и инсталации през периода 2008—2010 г.</w:t>
            </w:r>
            <w:r>
              <w:rPr>
                <w:rStyle w:val="FootnoteReference"/>
                <w:noProof/>
              </w:rPr>
              <w:t xml:space="preserve"> </w:t>
            </w:r>
            <w:r>
              <w:rPr>
                <w:rStyle w:val="FootnoteReference"/>
                <w:noProof/>
              </w:rPr>
              <w:footnoteReference w:id="85"/>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11"/>
              </w:numPr>
              <w:autoSpaceDE w:val="0"/>
              <w:autoSpaceDN w:val="0"/>
              <w:adjustRightInd w:val="0"/>
              <w:spacing w:after="240"/>
              <w:rPr>
                <w:rFonts w:eastAsia="Times New Roman"/>
                <w:bCs/>
                <w:noProof/>
                <w:szCs w:val="24"/>
              </w:rPr>
            </w:pPr>
          </w:p>
        </w:tc>
        <w:tc>
          <w:tcPr>
            <w:tcW w:w="1143" w:type="dxa"/>
            <w:shd w:val="clear" w:color="auto" w:fill="auto"/>
          </w:tcPr>
          <w:p>
            <w:pPr>
              <w:pStyle w:val="ListParagraph"/>
              <w:autoSpaceDE w:val="0"/>
              <w:autoSpaceDN w:val="0"/>
              <w:adjustRightInd w:val="0"/>
              <w:spacing w:after="240"/>
              <w:rPr>
                <w:rFonts w:eastAsia="Times New Roman"/>
                <w:bCs/>
                <w:noProof/>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15) Решение 2003/241/ЕО на Комисията от 26 март 2003 г. за изменение на Решение 1999/391/ЕО на Комисията от 31 май 1999 г. относно въпросника във връзка с Директива 96/61/ЕО на Съвета относно комплексно предотвратяване и контрол на замърсяването на околната среда</w:t>
            </w:r>
            <w:r>
              <w:rPr>
                <w:rStyle w:val="FootnoteReference"/>
                <w:noProof/>
              </w:rPr>
              <w:footnoteReference w:id="86"/>
            </w:r>
            <w:r>
              <w:rPr>
                <w:noProof/>
              </w:rPr>
              <w:t>.</w:t>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noProof/>
                <w:szCs w:val="24"/>
              </w:rPr>
            </w:pPr>
            <w:r>
              <w:rPr>
                <w:noProof/>
              </w:rPr>
              <w:t>16) Решение 2002/605/ЕО на Комисията</w:t>
            </w:r>
            <w:r>
              <w:rPr>
                <w:b/>
                <w:noProof/>
              </w:rPr>
              <w:t xml:space="preserve"> </w:t>
            </w:r>
            <w:r>
              <w:rPr>
                <w:noProof/>
              </w:rPr>
              <w:t>от 17 юли 2002 г. относно въпросника във връзка с Директива 96/82/ЕО на Съвета относно контрола на опасностите от големи аварии, които включват опасни вещества</w:t>
            </w:r>
            <w:r>
              <w:rPr>
                <w:rStyle w:val="FootnoteReference"/>
                <w:noProof/>
              </w:rPr>
              <w:footnoteReference w:id="87"/>
            </w:r>
            <w:r>
              <w:rPr>
                <w:noProof/>
              </w:rPr>
              <w:t>.</w:t>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17) Решение 1999/391/ЕО на Комисията от 31 май 1999 г. относно въпросника във връзка с Директива 96/61/ЕО на Съвета относно комплексно предотвратяване и контрол на замърсяването на околната среда.</w:t>
            </w:r>
            <w:r>
              <w:rPr>
                <w:rStyle w:val="FootnoteReference"/>
                <w:noProof/>
              </w:rPr>
              <w:t xml:space="preserve"> </w:t>
            </w:r>
            <w:r>
              <w:rPr>
                <w:rStyle w:val="FootnoteReference"/>
                <w:noProof/>
              </w:rPr>
              <w:footnoteReference w:id="88"/>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18) Решение 1999/314/ЕО на Комисията от 9 април 1999 г. относно въпросника във връзка с Директива 96/82/ЕО на Съвета относно контрола на опасностите от големи аварии, които включват опасни вещества</w:t>
            </w:r>
            <w:r>
              <w:rPr>
                <w:rStyle w:val="FootnoteReference"/>
                <w:noProof/>
              </w:rPr>
              <w:footnoteReference w:id="89"/>
            </w:r>
            <w:r>
              <w:rPr>
                <w:noProof/>
              </w:rPr>
              <w:t>.</w:t>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19) Решение 98/184/ЕО на Комисията от 25 февруари 1998 г. относно въпросник за докладите на държавите членки по прилагането на Директива 94/67/EО на Съвета относно изгарянето на опасни отпадъци</w:t>
            </w:r>
            <w:r>
              <w:rPr>
                <w:rStyle w:val="FootnoteReference"/>
                <w:noProof/>
              </w:rPr>
              <w:footnoteReference w:id="90"/>
            </w:r>
            <w:r>
              <w:rPr>
                <w:noProof/>
              </w:rPr>
              <w:t>.</w:t>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20) Решение 96/511/ЕО на Комисията от 29 юли 1996 г. относно въпросниците, предвидени в Директиви 80/779/ЕИО, 82/884/ЕИО, 84/360/ЕИО и 85/203/ЕИО на Съвета</w:t>
            </w:r>
            <w:r>
              <w:rPr>
                <w:rStyle w:val="FootnoteReference"/>
                <w:noProof/>
              </w:rPr>
              <w:footnoteReference w:id="91"/>
            </w:r>
            <w:r>
              <w:rPr>
                <w:noProof/>
              </w:rPr>
              <w:t>.</w:t>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21) Решение 96/302/ЕО на Комисията от 17 април 1996 г. за установяване на формата, в която да бъде предоставена информацията по член 8, параграф 3 от Директива 91/689/ЕИО на Съвета за опасните отпадъци</w:t>
            </w:r>
            <w:r>
              <w:rPr>
                <w:rStyle w:val="FootnoteReference"/>
                <w:noProof/>
              </w:rPr>
              <w:footnoteReference w:id="92"/>
            </w:r>
            <w:r>
              <w:rPr>
                <w:noProof/>
              </w:rPr>
              <w:t>.</w:t>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22) Решение 92/446/ЕИО на Комисията от 27 юли 1992 г. относно въпросниците към директивите за водния сектор беше изменено с Решение 95/337/ЕО на Комисията от 25 юли 1995 г. относно въпросниците към директивите за водния сектор</w:t>
            </w:r>
            <w:r>
              <w:rPr>
                <w:rStyle w:val="FootnoteReference"/>
                <w:noProof/>
              </w:rPr>
              <w:footnoteReference w:id="93"/>
            </w:r>
            <w:r>
              <w:rPr>
                <w:noProof/>
              </w:rPr>
              <w:t>.</w:t>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r>
        <w:trPr>
          <w:trHeight w:val="144"/>
        </w:trPr>
        <w:tc>
          <w:tcPr>
            <w:tcW w:w="5778" w:type="dxa"/>
            <w:shd w:val="clear" w:color="auto" w:fill="auto"/>
          </w:tcPr>
          <w:p>
            <w:pPr>
              <w:autoSpaceDE w:val="0"/>
              <w:autoSpaceDN w:val="0"/>
              <w:adjustRightInd w:val="0"/>
              <w:spacing w:before="0" w:after="240"/>
              <w:rPr>
                <w:rFonts w:eastAsia="Times New Roman"/>
                <w:noProof/>
                <w:sz w:val="22"/>
                <w:szCs w:val="24"/>
              </w:rPr>
            </w:pPr>
            <w:r>
              <w:rPr>
                <w:noProof/>
              </w:rPr>
              <w:t>23) Решение 95/337/ЕО на Комисията от 25 юли 1995 г. за изменение на Решение 92/446/ЕИО от 27 юли 1992 г. относно въпросниците към директивите за водния сектор</w:t>
            </w:r>
            <w:r>
              <w:rPr>
                <w:rStyle w:val="FootnoteReference"/>
                <w:noProof/>
              </w:rPr>
              <w:footnoteReference w:id="94"/>
            </w:r>
            <w:r>
              <w:rPr>
                <w:noProof/>
              </w:rPr>
              <w:t>.</w:t>
            </w:r>
          </w:p>
        </w:tc>
        <w:tc>
          <w:tcPr>
            <w:tcW w:w="1276" w:type="dxa"/>
            <w:shd w:val="clear" w:color="auto" w:fill="auto"/>
          </w:tcPr>
          <w:p>
            <w:pPr>
              <w:autoSpaceDE w:val="0"/>
              <w:autoSpaceDN w:val="0"/>
              <w:adjustRightInd w:val="0"/>
              <w:spacing w:before="0" w:after="240"/>
              <w:rPr>
                <w:rFonts w:eastAsia="Times New Roman"/>
                <w:bCs/>
                <w:noProof/>
                <w:sz w:val="22"/>
                <w:szCs w:val="24"/>
              </w:rPr>
            </w:pPr>
          </w:p>
        </w:tc>
        <w:tc>
          <w:tcPr>
            <w:tcW w:w="1134" w:type="dxa"/>
            <w:shd w:val="clear" w:color="auto" w:fill="auto"/>
          </w:tcPr>
          <w:p>
            <w:pPr>
              <w:pStyle w:val="ListParagraph"/>
              <w:numPr>
                <w:ilvl w:val="0"/>
                <w:numId w:val="9"/>
              </w:numPr>
              <w:autoSpaceDE w:val="0"/>
              <w:autoSpaceDN w:val="0"/>
              <w:adjustRightInd w:val="0"/>
              <w:spacing w:after="240"/>
              <w:rPr>
                <w:rFonts w:eastAsia="Times New Roman"/>
                <w:bCs/>
                <w:noProof/>
                <w:szCs w:val="24"/>
              </w:rPr>
            </w:pPr>
          </w:p>
        </w:tc>
        <w:tc>
          <w:tcPr>
            <w:tcW w:w="1143" w:type="dxa"/>
            <w:shd w:val="clear" w:color="auto" w:fill="auto"/>
          </w:tcPr>
          <w:p>
            <w:pPr>
              <w:autoSpaceDE w:val="0"/>
              <w:autoSpaceDN w:val="0"/>
              <w:adjustRightInd w:val="0"/>
              <w:spacing w:before="0" w:after="240"/>
              <w:rPr>
                <w:rFonts w:eastAsia="Times New Roman"/>
                <w:bCs/>
                <w:noProof/>
                <w:sz w:val="22"/>
                <w:szCs w:val="24"/>
              </w:rPr>
            </w:pPr>
          </w:p>
        </w:tc>
      </w:tr>
    </w:tbl>
    <w:p>
      <w:pPr>
        <w:spacing w:before="0" w:after="0"/>
        <w:ind w:left="720"/>
        <w:jc w:val="center"/>
        <w:rPr>
          <w:rFonts w:eastAsia="Times New Roman"/>
          <w:b/>
          <w:noProof/>
          <w:sz w:val="18"/>
          <w:szCs w:val="18"/>
        </w:rPr>
      </w:pPr>
    </w:p>
    <w:p>
      <w:pPr>
        <w:spacing w:before="0" w:after="200" w:line="276" w:lineRule="auto"/>
        <w:jc w:val="left"/>
        <w:rPr>
          <w:b/>
          <w:noProof/>
          <w:szCs w:val="24"/>
        </w:rPr>
      </w:pPr>
      <w:r>
        <w:rPr>
          <w:noProof/>
        </w:rPr>
        <w:br w:type="page"/>
      </w:r>
    </w:p>
    <w:p>
      <w:pPr>
        <w:rPr>
          <w:b/>
          <w:noProof/>
        </w:rPr>
      </w:pPr>
      <w:r>
        <w:rPr>
          <w:b/>
          <w:noProof/>
        </w:rPr>
        <w:t>Оценка на въздействието</w:t>
      </w:r>
    </w:p>
    <w:p>
      <w:pPr>
        <w:autoSpaceDE w:val="0"/>
        <w:autoSpaceDN w:val="0"/>
        <w:adjustRightInd w:val="0"/>
        <w:spacing w:before="0" w:after="0"/>
        <w:rPr>
          <w:noProof/>
          <w:szCs w:val="24"/>
        </w:rPr>
      </w:pPr>
      <w:r>
        <w:rPr>
          <w:noProof/>
        </w:rPr>
        <w:t>Още в рамките на изготвянето на Съобщението за Обща информационна система за околната среда (SEIS)</w:t>
      </w:r>
      <w:r>
        <w:rPr>
          <w:rStyle w:val="FootnoteReference"/>
          <w:noProof/>
        </w:rPr>
        <w:footnoteReference w:id="95"/>
      </w:r>
      <w:r>
        <w:rPr>
          <w:noProof/>
        </w:rPr>
        <w:t xml:space="preserve"> беше направена оценка на икономическото и социалното въздействие, както и на въздействието върху околната среда; беше проведена и една по-широка консултация. Впоследствие залегналият в основата на процеса анализ беше актуализиран и беше изготвен подробен информационен документ</w:t>
      </w:r>
      <w:r>
        <w:rPr>
          <w:rStyle w:val="FootnoteReference"/>
          <w:noProof/>
        </w:rPr>
        <w:footnoteReference w:id="96"/>
      </w:r>
      <w:r>
        <w:rPr>
          <w:noProof/>
        </w:rPr>
        <w:t xml:space="preserve">. Това предостави достатъчно основания за предложението за отмяна и направи ненужно изготвянето на допълнителна оценка на въздействието. </w:t>
      </w:r>
    </w:p>
    <w:p>
      <w:pPr>
        <w:autoSpaceDE w:val="0"/>
        <w:autoSpaceDN w:val="0"/>
        <w:adjustRightInd w:val="0"/>
        <w:spacing w:before="0" w:after="0"/>
        <w:rPr>
          <w:noProof/>
          <w:szCs w:val="24"/>
        </w:rPr>
      </w:pPr>
      <w:r>
        <w:rPr>
          <w:noProof/>
        </w:rPr>
        <w:t>Избраните инструменти за постигане на целите — двете решения и съобщението — не биха променили на практика докладването. Причината за това е, че предложеният за отмяна законодателен пакет ще доведе до по-голяма правна яснота чрез премахване на вече остарели разпоредби и ще рационализира редица задължения за докладване чрез „лисабонизацията“</w:t>
      </w:r>
      <w:r>
        <w:rPr>
          <w:rStyle w:val="FootnoteReference"/>
          <w:noProof/>
        </w:rPr>
        <w:footnoteReference w:id="97"/>
      </w:r>
      <w:r>
        <w:rPr>
          <w:noProof/>
        </w:rPr>
        <w:t xml:space="preserve"> на процедурите. Повишаването на ефективността се очаква да бъде постигнато чрез опростяване на достиженията на правото на ЕС, това означава, че то няма да доведе до икономически ползи, а по-скоро до технически и правни такива. Въпреки това няма количествени данни за разходите и/или ползите, които може да бъдат реализирани пряко във връзка с отмяната, най-вече защото голяма част от първоначалните задължения съгласно директивата на практика са вече остарели. </w:t>
      </w:r>
    </w:p>
    <w:p>
      <w:pPr>
        <w:pStyle w:val="ManualHeading1"/>
        <w:rPr>
          <w:noProof/>
          <w:szCs w:val="24"/>
        </w:rPr>
      </w:pPr>
      <w:r>
        <w:rPr>
          <w:noProof/>
        </w:rPr>
        <w:t>3.</w:t>
      </w:r>
      <w:r>
        <w:rPr>
          <w:noProof/>
        </w:rPr>
        <w:tab/>
        <w:t>ПРАВНИ ЕЛЕМЕНТИ НА ПРЕДЛОЖЕНИЕТО</w:t>
      </w:r>
    </w:p>
    <w:p>
      <w:pPr>
        <w:rPr>
          <w:b/>
          <w:noProof/>
        </w:rPr>
      </w:pPr>
      <w:r>
        <w:rPr>
          <w:b/>
          <w:noProof/>
        </w:rPr>
        <w:t>Обобщение на предлаганите мерки</w:t>
      </w:r>
    </w:p>
    <w:p>
      <w:pPr>
        <w:rPr>
          <w:noProof/>
        </w:rPr>
      </w:pPr>
      <w:r>
        <w:rPr>
          <w:noProof/>
        </w:rPr>
        <w:t xml:space="preserve">С предложението за отмяна при докладването в областта на околната среда се набелязват правни мерки, които са остарели, или по целесъобразност съществуващите разпоредби са заменени с подходящи позовавания на Регламент (ЕС) № 182/2011. </w:t>
      </w:r>
    </w:p>
    <w:p>
      <w:pPr>
        <w:rPr>
          <w:b/>
          <w:noProof/>
        </w:rPr>
      </w:pPr>
      <w:r>
        <w:rPr>
          <w:b/>
          <w:noProof/>
        </w:rPr>
        <w:t>Правно основание</w:t>
      </w:r>
    </w:p>
    <w:p>
      <w:pPr>
        <w:rPr>
          <w:noProof/>
        </w:rPr>
      </w:pPr>
      <w:r>
        <w:rPr>
          <w:noProof/>
        </w:rPr>
        <w:t>Правното основание за приемане на решението за отмяна е член 192 от Договора за функционирането на Европейския съюз (ДФЕС).</w:t>
      </w:r>
    </w:p>
    <w:p>
      <w:pPr>
        <w:rPr>
          <w:b/>
          <w:noProof/>
        </w:rPr>
      </w:pPr>
      <w:r>
        <w:rPr>
          <w:b/>
          <w:noProof/>
        </w:rPr>
        <w:t>Принципи на субсидиарност и пропорционалност</w:t>
      </w:r>
    </w:p>
    <w:p>
      <w:pPr>
        <w:rPr>
          <w:noProof/>
        </w:rPr>
      </w:pPr>
      <w:r>
        <w:rPr>
          <w:noProof/>
        </w:rPr>
        <w:t>Мерките, за които се отнася настоящото предложение, са остарели, тъй като тяхното съдържание е било включено в последващи актове или защото са изгубили актуалност поради временния си характер. Следователно отмяната на тези мерки е в съответствие с принципите на субсидиарност и пропорционалност. Приемането на необходимите за целта мерки следва да се извърши от законодателя на Съюза.</w:t>
      </w:r>
    </w:p>
    <w:p>
      <w:pPr>
        <w:rPr>
          <w:b/>
          <w:noProof/>
          <w:szCs w:val="24"/>
        </w:rPr>
      </w:pPr>
      <w:r>
        <w:rPr>
          <w:b/>
          <w:noProof/>
        </w:rPr>
        <w:t>Основни правни разпоредби на предложението за решение</w:t>
      </w:r>
    </w:p>
    <w:p>
      <w:pPr>
        <w:rPr>
          <w:b/>
          <w:noProof/>
        </w:rPr>
      </w:pPr>
      <w:r>
        <w:rPr>
          <w:b/>
          <w:noProof/>
        </w:rPr>
        <w:t xml:space="preserve">Член 1 </w:t>
      </w:r>
    </w:p>
    <w:p>
      <w:pPr>
        <w:rPr>
          <w:noProof/>
        </w:rPr>
      </w:pPr>
      <w:r>
        <w:rPr>
          <w:noProof/>
        </w:rPr>
        <w:t>Приема се изменение на член 21, параграф 1 от Директива 2003/87/ЕО на Европейския парламент и на Съвета от 23 октомври 2003 г. за установяване на схема за търговия с квоти за емисии на парникови газове в рамките на Общността и за изменение на Директива 96/61/ЕО на Съвета чрез включване на позоваване на Регламент (ЕС) № 182/2011.</w:t>
      </w:r>
    </w:p>
    <w:p>
      <w:pPr>
        <w:rPr>
          <w:b/>
          <w:noProof/>
        </w:rPr>
      </w:pPr>
      <w:r>
        <w:rPr>
          <w:b/>
          <w:noProof/>
        </w:rPr>
        <w:t>Член 2</w:t>
      </w:r>
    </w:p>
    <w:p>
      <w:pPr>
        <w:rPr>
          <w:noProof/>
        </w:rPr>
      </w:pPr>
      <w:r>
        <w:rPr>
          <w:noProof/>
        </w:rPr>
        <w:t>Приема се изменение на член 27, параграф 1 от Директива 2009/31/ЕО на Европейския парламент и на Съвета от 23 април 2009 г. относно съхранението на въглероден диоксид в геоложки формации чрез включване на позоваване на Регламент (ЕС) № 182/2011 и се привежда член 29 от Директива 2009/31/ЕО, в който се предвижда използването на процедурата по регулиране с контрол, в съответствие с член 290 от ДФЕС.</w:t>
      </w:r>
    </w:p>
    <w:p>
      <w:pPr>
        <w:rPr>
          <w:b/>
          <w:noProof/>
        </w:rPr>
      </w:pPr>
      <w:r>
        <w:rPr>
          <w:b/>
          <w:noProof/>
        </w:rPr>
        <w:t>Член 3</w:t>
      </w:r>
    </w:p>
    <w:p>
      <w:pPr>
        <w:rPr>
          <w:noProof/>
        </w:rPr>
      </w:pPr>
      <w:r>
        <w:rPr>
          <w:noProof/>
        </w:rPr>
        <w:t>Приема се изменение на членове 13, 15 и 17 и се създава нов член 15а от Директива 86/278/ЕИО на Съвета от 12 юни 1986 г. за опазване на околната среда, и по-специално на почвата, при използване на утайки от отпадъчни води в земеделието чрез включване на позовавания на Регламент (ЕС) № 182/2011.</w:t>
      </w:r>
    </w:p>
    <w:p>
      <w:pPr>
        <w:rPr>
          <w:b/>
          <w:noProof/>
        </w:rPr>
      </w:pPr>
      <w:r>
        <w:rPr>
          <w:b/>
          <w:noProof/>
        </w:rPr>
        <w:t>Член 4</w:t>
      </w:r>
    </w:p>
    <w:p>
      <w:pPr>
        <w:rPr>
          <w:noProof/>
        </w:rPr>
      </w:pPr>
      <w:r>
        <w:rPr>
          <w:noProof/>
        </w:rPr>
        <w:t xml:space="preserve">Приема се изменение на член 13 от Директива 87/217/ЕИО от 19 март 1987 г. относно предотвратяването и намаляването на замърсяването на околната среда с азбест като се заличава първият параграф от него. </w:t>
      </w:r>
    </w:p>
    <w:p>
      <w:pPr>
        <w:rPr>
          <w:b/>
          <w:noProof/>
        </w:rPr>
      </w:pPr>
      <w:r>
        <w:rPr>
          <w:b/>
          <w:noProof/>
        </w:rPr>
        <w:t>Член 5</w:t>
      </w:r>
    </w:p>
    <w:p>
      <w:pPr>
        <w:rPr>
          <w:noProof/>
        </w:rPr>
      </w:pPr>
      <w:r>
        <w:rPr>
          <w:noProof/>
        </w:rPr>
        <w:t xml:space="preserve">Приема се изменение на член 21, параграф 2 от Регламент (ЕС) № 1257/2013 относно рециклирането на кораби. </w:t>
      </w:r>
    </w:p>
    <w:p>
      <w:pPr>
        <w:rPr>
          <w:b/>
          <w:noProof/>
        </w:rPr>
      </w:pPr>
      <w:r>
        <w:rPr>
          <w:b/>
          <w:noProof/>
        </w:rPr>
        <w:t>Член 6</w:t>
      </w:r>
    </w:p>
    <w:p>
      <w:pPr>
        <w:rPr>
          <w:noProof/>
        </w:rPr>
      </w:pPr>
      <w:r>
        <w:rPr>
          <w:noProof/>
        </w:rPr>
        <w:t>Приема се изменение на Директива 94/63/ЕО на Европейския парламент и на Съвета от 20 декември 1994 г. относно ограничаването на емисиите на летливи органични съединения (ЛОС), изпускани при съхранението и превоза на бензини от терминали до бензиностанции, чрез изменяне на член 4, параграф 4 и на член 6, параграф 4, както и чрез заличаване на първото изречение от член 9 относно мониторинга и изготвянето на доклади.</w:t>
      </w:r>
    </w:p>
    <w:p>
      <w:pPr>
        <w:rPr>
          <w:b/>
          <w:noProof/>
        </w:rPr>
      </w:pPr>
      <w:r>
        <w:rPr>
          <w:b/>
          <w:noProof/>
        </w:rPr>
        <w:t>Член 7 и член 8</w:t>
      </w:r>
    </w:p>
    <w:p>
      <w:pPr>
        <w:rPr>
          <w:noProof/>
          <w:szCs w:val="24"/>
        </w:rPr>
      </w:pPr>
      <w:r>
        <w:rPr>
          <w:noProof/>
        </w:rPr>
        <w:t>Приема се отмяната на директивата и датата на влизане в сила и прилагане на правния акт за отмяна. Влизането в сила следва да бъде приведено в съответствие с предложението относно кръговата икономика</w:t>
      </w:r>
      <w:r>
        <w:rPr>
          <w:rStyle w:val="FootnoteReference"/>
          <w:noProof/>
        </w:rPr>
        <w:footnoteReference w:id="98"/>
      </w:r>
      <w:r>
        <w:rPr>
          <w:noProof/>
        </w:rPr>
        <w:t>, което обхваща разпоредби на Директива 2008/98/ЕО на Европейския парламент и на Съвета от 17 ноември 2008 г. относно отпадъците и за отмяна на определени директиви, Директива 2000/53/ЕО на Европейския парламент и на Съвета от 18 септември 2000 г. относно излезлите от употреба превозни средства, Директива 1999/31/ЕО на Съвета от 26 април 1999 г. относно депонирането на отпадъци и Директива 94/62/ЕО на Съвета и Европейския парламент от 20 декември 1994 г. относно опаковките и отпадъците от опаковки, както и с предложението за директива за изменение на Директива 2003/87/ЕО за засилване на разходоефективните намаления на емисии и на нисковъглеродните инвестиции</w:t>
      </w:r>
      <w:r>
        <w:rPr>
          <w:rStyle w:val="FootnoteReference"/>
          <w:noProof/>
        </w:rPr>
        <w:footnoteReference w:id="99"/>
      </w:r>
      <w:r>
        <w:rPr>
          <w:noProof/>
        </w:rPr>
        <w:t>.</w:t>
      </w:r>
    </w:p>
    <w:p>
      <w:pPr>
        <w:rPr>
          <w:b/>
          <w:noProof/>
        </w:rPr>
      </w:pPr>
      <w:r>
        <w:rPr>
          <w:b/>
          <w:noProof/>
        </w:rPr>
        <w:t>Избор на инструмент</w:t>
      </w:r>
    </w:p>
    <w:p>
      <w:pPr>
        <w:rPr>
          <w:noProof/>
        </w:rPr>
      </w:pPr>
      <w:r>
        <w:rPr>
          <w:noProof/>
        </w:rPr>
        <w:t>Предложен инструмент: Решение на Европейския парламент и на Съвета.</w:t>
      </w:r>
    </w:p>
    <w:p>
      <w:pPr>
        <w:pStyle w:val="ManualHeading1"/>
        <w:rPr>
          <w:noProof/>
          <w:szCs w:val="24"/>
        </w:rPr>
      </w:pPr>
      <w:r>
        <w:rPr>
          <w:noProof/>
        </w:rPr>
        <w:t>4.</w:t>
      </w:r>
      <w:r>
        <w:rPr>
          <w:noProof/>
        </w:rPr>
        <w:tab/>
        <w:t xml:space="preserve">ОТРАЖЕНИЕ ВЪРХУ БЮДЖЕТА </w:t>
      </w:r>
    </w:p>
    <w:p>
      <w:pPr>
        <w:spacing w:before="0" w:after="0"/>
        <w:rPr>
          <w:noProof/>
          <w:szCs w:val="24"/>
        </w:rPr>
      </w:pPr>
      <w:r>
        <w:rPr>
          <w:noProof/>
        </w:rPr>
        <w:t>Предложението не оказва въздействие върху бюджета.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2016/0394 (COD)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 xml:space="preserve">за изменение на Директива 87/217/ЕИО на Съвета, Директива 2003/87/ЕО на Европейския парламент и на Съвета, Директива 2009/31/ЕО на Европейския парламент и на Съвета, Регламент (ЕС) № 1257/2013 на Европейския парламент и на Съвета, Директива 86/278/ЕИО на Съвета и Директива 94/63/ЕО на Съвета по отношение на процедурните правила при докладването в областта на околната среда и за отмяна на Директива 91/692/ЕИО на Съвета </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192, параграф 1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00"/>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101"/>
      </w:r>
      <w:r>
        <w:rPr>
          <w:noProof/>
        </w:rPr>
        <w:t xml:space="preserve">, </w:t>
      </w:r>
    </w:p>
    <w:p>
      <w:pPr>
        <w:rPr>
          <w:noProof/>
        </w:rPr>
      </w:pPr>
      <w:r>
        <w:rPr>
          <w:noProof/>
        </w:rPr>
        <w:t>в съответствие с обикновената законодателна процедура,</w:t>
      </w:r>
    </w:p>
    <w:p>
      <w:pPr>
        <w:rPr>
          <w:noProof/>
        </w:rPr>
      </w:pPr>
      <w:r>
        <w:rPr>
          <w:noProof/>
        </w:rPr>
        <w:t xml:space="preserve">като имат предвид, че: </w:t>
      </w:r>
    </w:p>
    <w:p>
      <w:pPr>
        <w:pStyle w:val="ManualConsidrant"/>
        <w:rPr>
          <w:noProof/>
        </w:rPr>
      </w:pPr>
      <w:r>
        <w:t>(1)</w:t>
      </w:r>
      <w:r>
        <w:tab/>
      </w:r>
      <w:r>
        <w:rPr>
          <w:noProof/>
        </w:rPr>
        <w:t>Директива 86/278/ЕИО на Съвета</w:t>
      </w:r>
      <w:r>
        <w:rPr>
          <w:rStyle w:val="FootnoteReference"/>
          <w:noProof/>
        </w:rPr>
        <w:footnoteReference w:id="102"/>
      </w:r>
      <w:r>
        <w:rPr>
          <w:noProof/>
        </w:rPr>
        <w:t xml:space="preserve"> и Директива 87/217/ЕИО на Съвета</w:t>
      </w:r>
      <w:r>
        <w:rPr>
          <w:rStyle w:val="FootnoteReference"/>
          <w:noProof/>
        </w:rPr>
        <w:footnoteReference w:id="103"/>
      </w:r>
      <w:r>
        <w:rPr>
          <w:noProof/>
        </w:rPr>
        <w:t xml:space="preserve"> се основават на членове 100 и 235 от Договора за създаване на Европейската общност, понастоящем членове 115 и 352 от Договора за функционирането на Европейския съюз (ДФЕС). Измененията на посочените директиви са свързани с политиката на Съюза в областта на околната среда и са пряка последица от отмяната на Директива 91/692/ЕИО на Съвета</w:t>
      </w:r>
      <w:r>
        <w:rPr>
          <w:rStyle w:val="FootnoteReference"/>
          <w:noProof/>
        </w:rPr>
        <w:footnoteReference w:id="104"/>
      </w:r>
      <w:r>
        <w:rPr>
          <w:noProof/>
        </w:rPr>
        <w:t xml:space="preserve"> въз основа на член 192, параграф 1 от ДФЕС. Поради това е целесъобразно да се изменят директиви 86/278/ЕИО и 87/217/ЕИО въз основа на член 192, параграф 1 от ДФЕС. </w:t>
      </w:r>
    </w:p>
    <w:p>
      <w:pPr>
        <w:pStyle w:val="ManualConsidrant"/>
        <w:rPr>
          <w:noProof/>
        </w:rPr>
      </w:pPr>
      <w:r>
        <w:t>(2)</w:t>
      </w:r>
      <w:r>
        <w:tab/>
      </w:r>
      <w:r>
        <w:rPr>
          <w:noProof/>
        </w:rPr>
        <w:t>Директива 94/63/ЕО на Европейския парламент и на Съвета</w:t>
      </w:r>
      <w:r>
        <w:rPr>
          <w:rStyle w:val="FootnoteReference"/>
          <w:noProof/>
        </w:rPr>
        <w:footnoteReference w:id="105"/>
      </w:r>
      <w:r>
        <w:rPr>
          <w:noProof/>
        </w:rPr>
        <w:t xml:space="preserve"> се базира на член 100а от Договора за създаване на Европейската общност, сега член 114 от ДФЕС. Измененията на посочената директива са свързани с политиката на Съюза в областта на околната среда и са пряка последица от отмяната на Директива 91/692/ЕИО въз основа на член 192, параграф 1 от ДФЕС. Поради това е целесъобразно да се измени Директива 94/63/ЕО въз основа на член 192, параграф 1 от ДФЕС.</w:t>
      </w:r>
    </w:p>
    <w:p>
      <w:pPr>
        <w:pStyle w:val="ManualConsidrant"/>
        <w:rPr>
          <w:rFonts w:eastAsia="Times New Roman"/>
          <w:b/>
          <w:noProof/>
          <w:szCs w:val="24"/>
        </w:rPr>
      </w:pPr>
      <w:r>
        <w:t>(3)</w:t>
      </w:r>
      <w:r>
        <w:tab/>
      </w:r>
      <w:r>
        <w:rPr>
          <w:noProof/>
        </w:rPr>
        <w:t>Директива 91/692/ЕИО беше приета, за да се рационализират и подобрят на секторна основа разпоредбите за предаването на информация и публикуването на доклади във връзка с някои директиви относно защитата на околната среда. С оглед постигане на тази цел с Директива 91/692/ЕИО се изменят няколко директиви, за да се въведат единни изисквания за докладване.</w:t>
      </w:r>
    </w:p>
    <w:p>
      <w:pPr>
        <w:pStyle w:val="ManualConsidrant"/>
        <w:rPr>
          <w:noProof/>
        </w:rPr>
      </w:pPr>
      <w:r>
        <w:t>(4)</w:t>
      </w:r>
      <w:r>
        <w:tab/>
      </w:r>
      <w:r>
        <w:rPr>
          <w:noProof/>
        </w:rPr>
        <w:t>Изпълнението на изискванията за докладване, въведени с Директива 91/692/ЕИО, е затрудняващо и неефективно. Много актове на Съюза, изменени с Директива 91/692/ЕИО, са заменени и вече не съдържат изискванията за докладване, въведени с Директива 91/692/ЕИО. Например Директива 2000/60/ЕО на Европейския парламент и на Съвета</w:t>
      </w:r>
      <w:r>
        <w:rPr>
          <w:rStyle w:val="FootnoteReference"/>
          <w:noProof/>
        </w:rPr>
        <w:footnoteReference w:id="106"/>
      </w:r>
      <w:r>
        <w:rPr>
          <w:noProof/>
        </w:rPr>
        <w:t xml:space="preserve"> отменя седем акта на Съюза в областта на политиката за водите и не приема системата за докладване, въведена с Директива 91/692/ЕИО. В Директива 2010/75/ЕС на Европейския парламент и на Съвета</w:t>
      </w:r>
      <w:r>
        <w:rPr>
          <w:rStyle w:val="FootnoteReference"/>
          <w:noProof/>
        </w:rPr>
        <w:footnoteReference w:id="107"/>
      </w:r>
      <w:r>
        <w:rPr>
          <w:noProof/>
        </w:rPr>
        <w:t xml:space="preserve"> не се съдържа позоваване на Директива 91/692/ЕИО и се предвижда отделна система за докладване.</w:t>
      </w:r>
    </w:p>
    <w:p>
      <w:pPr>
        <w:pStyle w:val="ManualConsidrant"/>
        <w:rPr>
          <w:noProof/>
        </w:rPr>
      </w:pPr>
      <w:r>
        <w:t>(5)</w:t>
      </w:r>
      <w:r>
        <w:tab/>
      </w:r>
      <w:r>
        <w:rPr>
          <w:noProof/>
        </w:rPr>
        <w:t>Освен това в Директива 91/692/ЕИО не се предвижда използването на електронни инструменти. С успешното развитие на системата Reportnet на Европейската агенция за околната среда и секторните инициативи за рационализиране на докладването (например Европейската информационна система за водите) необходимостта и ефективността на един хоризонтален инструмент относно докладването все повече се поставят под въпрос. И накрая, с приемането на Директива 2007/2/ЕО на Европейския парламент и на Съвета</w:t>
      </w:r>
      <w:r>
        <w:rPr>
          <w:rStyle w:val="FootnoteReference"/>
          <w:noProof/>
        </w:rPr>
        <w:footnoteReference w:id="108"/>
      </w:r>
      <w:r>
        <w:rPr>
          <w:noProof/>
        </w:rPr>
        <w:t>, както и свързаното с това разработване на Общата информационна система за околната среда</w:t>
      </w:r>
      <w:r>
        <w:rPr>
          <w:rStyle w:val="FootnoteReference"/>
          <w:noProof/>
        </w:rPr>
        <w:footnoteReference w:id="109"/>
      </w:r>
      <w:r>
        <w:rPr>
          <w:noProof/>
        </w:rPr>
        <w:t>, се въведе по-съвременен и по-ефективен, хоризонтален подход към управлението на информацията и докладването, свързани с политиката на ЕС в областта на околната среда.</w:t>
      </w:r>
    </w:p>
    <w:p>
      <w:pPr>
        <w:pStyle w:val="ManualConsidrant"/>
        <w:rPr>
          <w:rFonts w:eastAsia="Times New Roman"/>
          <w:noProof/>
          <w:szCs w:val="24"/>
        </w:rPr>
      </w:pPr>
      <w:r>
        <w:t>(6)</w:t>
      </w:r>
      <w:r>
        <w:tab/>
      </w:r>
      <w:r>
        <w:rPr>
          <w:noProof/>
        </w:rPr>
        <w:t>Поради това Директива 91/692/ЕИО следва да бъде отменена.</w:t>
      </w:r>
    </w:p>
    <w:p>
      <w:pPr>
        <w:pStyle w:val="ManualConsidrant"/>
        <w:rPr>
          <w:rFonts w:eastAsia="Times New Roman"/>
          <w:noProof/>
          <w:szCs w:val="24"/>
        </w:rPr>
      </w:pPr>
      <w:r>
        <w:t>(7)</w:t>
      </w:r>
      <w:r>
        <w:tab/>
      </w:r>
      <w:r>
        <w:rPr>
          <w:noProof/>
        </w:rPr>
        <w:t>По-голямата част от директивите, изменени с Директива 91/692/ЕИО, вече не са в сила. Директива 87/217/ЕИО и Директива 86/278/ЕИО обаче все още са в сила.</w:t>
      </w:r>
    </w:p>
    <w:p>
      <w:pPr>
        <w:pStyle w:val="ManualConsidrant"/>
        <w:rPr>
          <w:noProof/>
        </w:rPr>
      </w:pPr>
      <w:r>
        <w:t>(8)</w:t>
      </w:r>
      <w:r>
        <w:tab/>
      </w:r>
      <w:r>
        <w:rPr>
          <w:noProof/>
        </w:rPr>
        <w:t>Съгласно Директива 86/278/ЕИО от държавите членки се изисква да представят доклад относно прилагането на посочената директива въз основата на въпросник или тезисен план, съставен от Комисията в съответствие с процедурата, предвидена в Директива 91/692/ЕИО. С цел да се избегне правен вакуум вследствие на отмяната на Директива 91/692/ЕИО е необходимо да се замени позоваването на Директива 91/692/ЕИО с позоваване на процедурата, посочена в Директива 86/278/ЕИО.</w:t>
      </w:r>
    </w:p>
    <w:p>
      <w:pPr>
        <w:pStyle w:val="ManualConsidrant"/>
        <w:rPr>
          <w:noProof/>
        </w:rPr>
      </w:pPr>
      <w:r>
        <w:t>(9)</w:t>
      </w:r>
      <w:r>
        <w:tab/>
      </w:r>
      <w:r>
        <w:rPr>
          <w:noProof/>
        </w:rPr>
        <w:t>Докладване по Директива 87/217/ЕИО вече не е необходимо в държавите членки след приемането на Регламент (ЕО) № 1907/2006 на Европейския парламент и на Съвета</w:t>
      </w:r>
      <w:r>
        <w:rPr>
          <w:rStyle w:val="FootnoteReference"/>
          <w:noProof/>
        </w:rPr>
        <w:footnoteReference w:id="110"/>
      </w:r>
      <w:r>
        <w:rPr>
          <w:noProof/>
        </w:rPr>
        <w:t>, в който се предвижда постепенното преустановяване на производството и използването на азбест и на продукти, съдържащи азбест, в Съюза. Поради това е уместно да се премахнат изискванията за докладване, посочени в Директива 87/217/ЕИО.</w:t>
      </w:r>
    </w:p>
    <w:p>
      <w:pPr>
        <w:pStyle w:val="ManualConsidrant"/>
        <w:rPr>
          <w:noProof/>
        </w:rPr>
      </w:pPr>
      <w:r>
        <w:t>(10)</w:t>
      </w:r>
      <w:r>
        <w:tab/>
      </w:r>
      <w:r>
        <w:rPr>
          <w:noProof/>
        </w:rPr>
        <w:t>След приемането на Директива 91/692/ЕО в следните регламенти и директиви е включено позоваване на Директива 91/692/ЕО: Директива 94/62/ЕО на Европейския парламент и на Съвета</w:t>
      </w:r>
      <w:r>
        <w:rPr>
          <w:rStyle w:val="FootnoteReference"/>
          <w:noProof/>
        </w:rPr>
        <w:footnoteReference w:id="111"/>
      </w:r>
      <w:r>
        <w:rPr>
          <w:noProof/>
        </w:rPr>
        <w:t>, Директива 94/63/ЕО, Директива 1999/31/EО на Съвета</w:t>
      </w:r>
      <w:r>
        <w:rPr>
          <w:rStyle w:val="FootnoteReference"/>
          <w:noProof/>
        </w:rPr>
        <w:footnoteReference w:id="112"/>
      </w:r>
      <w:r>
        <w:rPr>
          <w:noProof/>
        </w:rPr>
        <w:t>, Директива 2000/53/EО на Европейския парламент и на Съвета</w:t>
      </w:r>
      <w:r>
        <w:rPr>
          <w:rStyle w:val="FootnoteReference"/>
          <w:noProof/>
        </w:rPr>
        <w:footnoteReference w:id="113"/>
      </w:r>
      <w:r>
        <w:rPr>
          <w:noProof/>
        </w:rPr>
        <w:t>, Директива 2003/87/EО на Европейския парламент и на Съвета</w:t>
      </w:r>
      <w:r>
        <w:rPr>
          <w:rStyle w:val="FootnoteReference"/>
          <w:noProof/>
        </w:rPr>
        <w:footnoteReference w:id="114"/>
      </w:r>
      <w:r>
        <w:rPr>
          <w:noProof/>
        </w:rPr>
        <w:t>, Директива 2008/98/EО на Европейския парламент и на Съвета</w:t>
      </w:r>
      <w:r>
        <w:rPr>
          <w:rStyle w:val="FootnoteReference"/>
          <w:noProof/>
        </w:rPr>
        <w:footnoteReference w:id="115"/>
      </w:r>
      <w:r>
        <w:rPr>
          <w:noProof/>
        </w:rPr>
        <w:t>, Директива 2009/31/EО на Европейския парламент и на Съвета</w:t>
      </w:r>
      <w:r>
        <w:rPr>
          <w:rStyle w:val="FootnoteReference"/>
          <w:noProof/>
        </w:rPr>
        <w:footnoteReference w:id="116"/>
      </w:r>
      <w:r>
        <w:rPr>
          <w:noProof/>
        </w:rPr>
        <w:t xml:space="preserve"> и Регламент (EС) № 1257/2013 на Европейския парламент и на Съвета</w:t>
      </w:r>
      <w:r>
        <w:rPr>
          <w:rStyle w:val="FootnoteReference"/>
          <w:noProof/>
        </w:rPr>
        <w:footnoteReference w:id="117"/>
      </w:r>
      <w:r>
        <w:rPr>
          <w:noProof/>
        </w:rPr>
        <w:t>.</w:t>
      </w:r>
    </w:p>
    <w:p>
      <w:pPr>
        <w:pStyle w:val="ManualConsidrant"/>
        <w:rPr>
          <w:noProof/>
        </w:rPr>
      </w:pPr>
      <w:r>
        <w:t>(11)</w:t>
      </w:r>
      <w:r>
        <w:tab/>
      </w:r>
      <w:r>
        <w:rPr>
          <w:noProof/>
        </w:rPr>
        <w:t>Като част от план за действие на ЕС за кръговата икономика</w:t>
      </w:r>
      <w:r>
        <w:rPr>
          <w:rStyle w:val="FootnoteReference"/>
          <w:noProof/>
        </w:rPr>
        <w:footnoteReference w:id="118"/>
      </w:r>
      <w:r>
        <w:rPr>
          <w:noProof/>
        </w:rPr>
        <w:t xml:space="preserve"> Комисията предложи да се изменят директиви 2008/98/ЕО, 94/62/ЕО, 1999/31/ЕО и 2000/53/ЕО, за да се замени позоваването на Директива 91/692/ЕИО. С цел да се гарантира, че не се получава правен вакуум вследствие на отмяната на Директива 91/692/ЕИО, настоящото решение следва да се прилага от датата на прилагане на актовете, предложени в рамките на пакета за кръговата икономика.</w:t>
      </w:r>
    </w:p>
    <w:p>
      <w:pPr>
        <w:pStyle w:val="ManualConsidrant"/>
        <w:rPr>
          <w:noProof/>
        </w:rPr>
      </w:pPr>
      <w:r>
        <w:t>(12)</w:t>
      </w:r>
      <w:r>
        <w:tab/>
      </w:r>
      <w:r>
        <w:rPr>
          <w:noProof/>
        </w:rPr>
        <w:t xml:space="preserve">Съгласно Директива 2009/31/ЕО и Директива 2003/87/EО от държавите членки се изисква да представят доклад относно прилагането на посочените директиви въз основата на въпросник или тезисен план, съставен от Комисията в съответствие с процедурата, предвидена в Директива 91/692/ЕИО. С цел да се избегне правен вакуум вследствие на отмяната на Директива 91/692/ЕИО е необходимо да се замени позоваването на Директива 91/692/ЕИО с позоваване на процедурата, посочена в съответната директива. </w:t>
      </w:r>
    </w:p>
    <w:p>
      <w:pPr>
        <w:pStyle w:val="ManualConsidrant"/>
        <w:rPr>
          <w:noProof/>
        </w:rPr>
      </w:pPr>
      <w:r>
        <w:t>(13)</w:t>
      </w:r>
      <w:r>
        <w:tab/>
      </w:r>
      <w:r>
        <w:rPr>
          <w:noProof/>
        </w:rPr>
        <w:t>С цел да се гарантира, че някои разпоредби на приложенията към Директива 86/278/ЕИО са актуални, на Комисията следва да бъде делегирано правомощието да приема актове в съответствие с член 290 от Договора за функционирането на Европейския съюз по отношение на приспособяването на тези разпоредби към научно-техническия прогрес. С цел да се гарантира, че приложенията към Директива 2009/31/ЕО са актуални, на Комисията следва да бъде делегирано правомощието да приема актове в съответствие с член 290 от Договора за функционирането на Европейския съюз по отношение на приспособяването на тези приложения към научно-техническия прогрес.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(14)</w:t>
      </w:r>
      <w:r>
        <w:tab/>
      </w:r>
      <w:r>
        <w:rPr>
          <w:noProof/>
        </w:rPr>
        <w:t xml:space="preserve">В Регламент (ЕС) № 1257/2013 се съдържа позоваване на Директива 91/692/ЕИО. Съответната разпоредба се отнася до първия период на докладване, който вече е изтекъл. Поради това съответната разпоредба следва да бъде заличена. </w:t>
      </w:r>
    </w:p>
    <w:p>
      <w:pPr>
        <w:pStyle w:val="ManualConsidrant"/>
        <w:rPr>
          <w:noProof/>
        </w:rPr>
      </w:pPr>
      <w:r>
        <w:t>(15)</w:t>
      </w:r>
      <w:r>
        <w:tab/>
      </w:r>
      <w:r>
        <w:rPr>
          <w:noProof/>
        </w:rPr>
        <w:t xml:space="preserve">Изискването за докладване, посочено в Директива 94/63/ЕО, вече не е необходимо за целите на мониторинга на изпълнението на Директива 94/63/ЕО. Поради това съответната разпоредба следва да бъде заличена. </w:t>
      </w:r>
    </w:p>
    <w:p>
      <w:pPr>
        <w:pStyle w:val="ManualConsidrant"/>
        <w:rPr>
          <w:noProof/>
        </w:rPr>
      </w:pPr>
      <w:r>
        <w:t>(16)</w:t>
      </w:r>
      <w:r>
        <w:tab/>
      </w:r>
      <w:r>
        <w:rPr>
          <w:noProof/>
        </w:rPr>
        <w:t>Поради това директиви 87/217/ЕИО, 2003/87/ЕО и 2009/31/ЕО, Регламент (ЕС) № 1257/2013 и директиви 86/278/ЕИО и 94/63/ЕО следва да бъдат съответно изменени,</w:t>
      </w:r>
    </w:p>
    <w:p>
      <w:pPr>
        <w:pStyle w:val="Formuledadoption"/>
        <w:rPr>
          <w:noProof/>
        </w:rPr>
      </w:pPr>
      <w:r>
        <w:rPr>
          <w:noProof/>
        </w:rPr>
        <w:t>ПРИЕХА НАСТОЯЩОТО РЕШЕНИЕ:</w:t>
      </w:r>
    </w:p>
    <w:p>
      <w:pPr>
        <w:pStyle w:val="Titrearticle"/>
        <w:rPr>
          <w:rFonts w:eastAsia="Times New Roman"/>
          <w:b/>
          <w:i w:val="0"/>
          <w:noProof/>
          <w:szCs w:val="24"/>
        </w:rPr>
      </w:pPr>
      <w:r>
        <w:rPr>
          <w:noProof/>
        </w:rPr>
        <w:t>Член 1</w:t>
      </w:r>
      <w:r>
        <w:rPr>
          <w:noProof/>
        </w:rPr>
        <w:br/>
        <w:t>Изменение на Директива 2003/87/EО</w:t>
      </w:r>
    </w:p>
    <w:p>
      <w:pPr>
        <w:spacing w:before="100" w:beforeAutospacing="1" w:after="100" w:afterAutospacing="1"/>
        <w:rPr>
          <w:rFonts w:eastAsia="Times New Roman"/>
          <w:noProof/>
          <w:szCs w:val="24"/>
        </w:rPr>
      </w:pPr>
      <w:r>
        <w:rPr>
          <w:noProof/>
        </w:rPr>
        <w:t>В член 21, параграф 1 от Директива 2003/87/ЕО четвъртото изречение се заменя със следното:</w:t>
      </w:r>
    </w:p>
    <w:p>
      <w:pPr>
        <w:pStyle w:val="Text1"/>
        <w:rPr>
          <w:noProof/>
        </w:rPr>
      </w:pPr>
      <w:r>
        <w:rPr>
          <w:noProof/>
        </w:rPr>
        <w:t>„Докладът се изготвя въз основа на въпросник или тезисен план, който се приема от Комисията под формата на актове за изпълнение. Тези актове за изпълнение се приемат в съответствие с процедурата по разглеждане, посочена в член 22а, параграф 2.“</w:t>
      </w:r>
    </w:p>
    <w:p>
      <w:pPr>
        <w:pStyle w:val="Titrearticle"/>
        <w:rPr>
          <w:rFonts w:eastAsia="Times New Roman"/>
          <w:b/>
          <w:i w:val="0"/>
          <w:noProof/>
          <w:szCs w:val="24"/>
        </w:rPr>
      </w:pPr>
      <w:r>
        <w:rPr>
          <w:noProof/>
        </w:rPr>
        <w:t xml:space="preserve">Член 2 </w:t>
      </w:r>
      <w:r>
        <w:rPr>
          <w:noProof/>
        </w:rPr>
        <w:br/>
        <w:t>Изменения на Директива 2009/31/ЕО</w:t>
      </w:r>
    </w:p>
    <w:p>
      <w:pPr>
        <w:rPr>
          <w:rFonts w:eastAsia="Times New Roman"/>
          <w:b/>
          <w:i/>
          <w:noProof/>
          <w:szCs w:val="24"/>
        </w:rPr>
      </w:pPr>
      <w:r>
        <w:rPr>
          <w:noProof/>
        </w:rPr>
        <w:t>Директива 2009/31/ЕО се изменя, както следва:</w:t>
      </w:r>
    </w:p>
    <w:p>
      <w:pPr>
        <w:pStyle w:val="Point0"/>
        <w:rPr>
          <w:noProof/>
        </w:rPr>
      </w:pPr>
      <w:r>
        <w:rPr>
          <w:noProof/>
        </w:rPr>
        <w:t>1)</w:t>
      </w:r>
      <w:r>
        <w:rPr>
          <w:noProof/>
        </w:rPr>
        <w:tab/>
        <w:t>В член 27, параграф 1 третото изречение се заменя със следното:</w:t>
      </w:r>
    </w:p>
    <w:p>
      <w:pPr>
        <w:pStyle w:val="Text1"/>
        <w:rPr>
          <w:noProof/>
        </w:rPr>
      </w:pPr>
      <w:r>
        <w:rPr>
          <w:noProof/>
        </w:rPr>
        <w:t>„Докладът се изготвя въз основа на въпросник или тезисен план, който се приема от Комисията под формата на актове за изпълнение. Тези актове за изпълнение се приемат в съответствие с процедурата по разглеждане, посочена в член 30, параграф 2.“</w:t>
      </w:r>
    </w:p>
    <w:p>
      <w:pPr>
        <w:pStyle w:val="Point0"/>
        <w:rPr>
          <w:noProof/>
        </w:rPr>
      </w:pPr>
      <w:r>
        <w:rPr>
          <w:noProof/>
        </w:rPr>
        <w:t>2)</w:t>
      </w:r>
      <w:r>
        <w:rPr>
          <w:noProof/>
        </w:rPr>
        <w:tab/>
        <w:t>Член 29 се заменя със следното:</w:t>
      </w:r>
    </w:p>
    <w:p>
      <w:pPr>
        <w:jc w:val="center"/>
        <w:rPr>
          <w:b/>
          <w:iCs/>
          <w:noProof/>
        </w:rPr>
      </w:pPr>
      <w:r>
        <w:rPr>
          <w:i/>
          <w:noProof/>
        </w:rPr>
        <w:t>„Член 29</w:t>
      </w:r>
      <w:r>
        <w:rPr>
          <w:i/>
          <w:iCs/>
          <w:noProof/>
        </w:rPr>
        <w:br/>
      </w:r>
      <w:r>
        <w:rPr>
          <w:i/>
          <w:noProof/>
        </w:rPr>
        <w:t>Изменения на приложенията</w:t>
      </w:r>
    </w:p>
    <w:p>
      <w:pPr>
        <w:pStyle w:val="Text1"/>
        <w:rPr>
          <w:noProof/>
        </w:rPr>
      </w:pPr>
      <w:r>
        <w:rPr>
          <w:noProof/>
        </w:rPr>
        <w:t>На Комисията се предоставя правомощието да приема делегирани актове в съответствие с член 29а относно приспособяването на приложенията към научно-техническия прогрес.“</w:t>
      </w:r>
    </w:p>
    <w:p>
      <w:pPr>
        <w:pStyle w:val="Point0"/>
        <w:rPr>
          <w:noProof/>
        </w:rPr>
      </w:pPr>
      <w:r>
        <w:rPr>
          <w:noProof/>
        </w:rPr>
        <w:t>3) Вмъква се следният член 29a:</w:t>
      </w:r>
    </w:p>
    <w:p>
      <w:pPr>
        <w:rPr>
          <w:i/>
          <w:iCs/>
          <w:noProof/>
        </w:rPr>
      </w:pPr>
      <w:r>
        <w:rPr>
          <w:noProof/>
        </w:rPr>
        <w:br w:type="page"/>
      </w:r>
    </w:p>
    <w:p>
      <w:pPr>
        <w:jc w:val="center"/>
        <w:rPr>
          <w:i/>
          <w:iCs/>
          <w:noProof/>
        </w:rPr>
      </w:pPr>
      <w:r>
        <w:rPr>
          <w:i/>
          <w:noProof/>
        </w:rPr>
        <w:t>„Член 29a</w:t>
      </w:r>
      <w:r>
        <w:rPr>
          <w:i/>
          <w:iCs/>
          <w:noProof/>
        </w:rPr>
        <w:br/>
      </w:r>
      <w:r>
        <w:rPr>
          <w:i/>
          <w:noProof/>
        </w:rPr>
        <w:t>Упражняване на делегираните правомощия</w:t>
      </w:r>
    </w:p>
    <w:p>
      <w:pPr>
        <w:pStyle w:val="Text1"/>
        <w:rPr>
          <w:noProof/>
        </w:rPr>
      </w:pPr>
      <w:r>
        <w:rPr>
          <w:noProof/>
        </w:rPr>
        <w:t>1.</w:t>
      </w:r>
      <w:r>
        <w:rPr>
          <w:noProof/>
        </w:rPr>
        <w:tab/>
        <w:t>Правомощието да приема делегирани актове се предоставя на Комисията при спазване на предвидените в настоящия член условия.</w:t>
      </w:r>
    </w:p>
    <w:p>
      <w:pPr>
        <w:pStyle w:val="Text1"/>
        <w:rPr>
          <w:noProof/>
        </w:rPr>
      </w:pPr>
      <w:r>
        <w:rPr>
          <w:noProof/>
        </w:rPr>
        <w:t>2.</w:t>
      </w:r>
      <w:r>
        <w:rPr>
          <w:noProof/>
        </w:rPr>
        <w:tab/>
        <w:t>Правомощието да приема делегирани актове, посочено в член 29, се предоставя на Комисията за неопределен срок, считано от [датата на влизане в сила на настоящото решение].</w:t>
      </w:r>
    </w:p>
    <w:p>
      <w:pPr>
        <w:pStyle w:val="Text1"/>
        <w:rPr>
          <w:noProof/>
        </w:rPr>
      </w:pPr>
      <w:r>
        <w:rPr>
          <w:noProof/>
        </w:rPr>
        <w:t>3.</w:t>
      </w:r>
      <w:r>
        <w:rPr>
          <w:noProof/>
        </w:rPr>
        <w:tab/>
        <w:t xml:space="preserve">Делегирането на правомощия, посочено в член 29,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 </w:t>
      </w:r>
    </w:p>
    <w:p>
      <w:pPr>
        <w:pStyle w:val="Text1"/>
        <w:rPr>
          <w:noProof/>
        </w:rPr>
      </w:pPr>
      <w:r>
        <w:rPr>
          <w:noProof/>
        </w:rPr>
        <w:t>4.</w:t>
      </w:r>
      <w:r>
        <w:rPr>
          <w:noProof/>
        </w:rPr>
        <w:tab/>
        <w:t>Преди приемането на делегиран акт Комисията провежда консултации с експерти, определени от всяка държава членка, в съответствие с принципите, заложени в Междуинституционалното споразумение за по-добро законотворчество от 13 април 2016 г.</w:t>
      </w:r>
    </w:p>
    <w:p>
      <w:pPr>
        <w:pStyle w:val="Text1"/>
        <w:rPr>
          <w:noProof/>
        </w:rPr>
      </w:pPr>
      <w:r>
        <w:rPr>
          <w:noProof/>
        </w:rPr>
        <w:t>5.</w:t>
      </w:r>
      <w:r>
        <w:rPr>
          <w:noProof/>
        </w:rPr>
        <w:tab/>
        <w:t xml:space="preserve">Веднага след като приеме делегиран акт, Комисията уведомява за това едновременно Европейския парламент и Съвета. </w:t>
      </w:r>
    </w:p>
    <w:p>
      <w:pPr>
        <w:pStyle w:val="Text1"/>
        <w:rPr>
          <w:noProof/>
        </w:rPr>
      </w:pPr>
      <w:r>
        <w:rPr>
          <w:noProof/>
        </w:rPr>
        <w:t>6.</w:t>
      </w:r>
      <w:r>
        <w:rPr>
          <w:noProof/>
        </w:rPr>
        <w:tab/>
        <w:t>Делегиран акт, приет съгласно член 29,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се удължава с два месеца по инициатива на Европейския парламент или на Съвета.“</w:t>
      </w:r>
    </w:p>
    <w:p>
      <w:pPr>
        <w:pStyle w:val="Point0"/>
        <w:rPr>
          <w:noProof/>
        </w:rPr>
      </w:pPr>
      <w:r>
        <w:rPr>
          <w:noProof/>
        </w:rPr>
        <w:t>4)</w:t>
      </w:r>
      <w:r>
        <w:rPr>
          <w:noProof/>
        </w:rPr>
        <w:tab/>
        <w:t xml:space="preserve">Член 30 се заменя със следното: </w:t>
      </w:r>
    </w:p>
    <w:p>
      <w:pPr>
        <w:jc w:val="center"/>
        <w:rPr>
          <w:i/>
          <w:iCs/>
          <w:noProof/>
        </w:rPr>
      </w:pPr>
      <w:r>
        <w:rPr>
          <w:i/>
          <w:noProof/>
        </w:rPr>
        <w:t>„Член 30</w:t>
      </w:r>
      <w:r>
        <w:rPr>
          <w:i/>
          <w:iCs/>
          <w:noProof/>
        </w:rPr>
        <w:br/>
      </w:r>
      <w:r>
        <w:rPr>
          <w:i/>
          <w:noProof/>
        </w:rPr>
        <w:t>Процедура на комитет</w:t>
      </w:r>
    </w:p>
    <w:p>
      <w:pPr>
        <w:pStyle w:val="Text1"/>
        <w:rPr>
          <w:noProof/>
        </w:rPr>
      </w:pPr>
      <w:r>
        <w:rPr>
          <w:noProof/>
        </w:rPr>
        <w:t>1.</w:t>
      </w:r>
      <w:r>
        <w:rPr>
          <w:noProof/>
        </w:rPr>
        <w:tab/>
        <w:t xml:space="preserve">Комисията се подпомага от Комитета по изменението на климата, създаден с член 26 от Регламент (ЕС) № 525/2013 на Европейския парламент и на Съвета*. Този комитет е комитет по смисъла на Регламент (ЕС) № 182/2011 на Европейския парламент и на Съвета**. </w:t>
      </w:r>
    </w:p>
    <w:p>
      <w:pPr>
        <w:pStyle w:val="Text1"/>
        <w:rPr>
          <w:noProof/>
        </w:rPr>
      </w:pPr>
      <w:r>
        <w:rPr>
          <w:noProof/>
        </w:rPr>
        <w:t>2.</w:t>
      </w:r>
      <w:r>
        <w:rPr>
          <w:noProof/>
        </w:rPr>
        <w:tab/>
        <w:t>При позоваване на настоящия параграф се прилага член 5 от Регламент (ЕС) № 182/2011.</w:t>
      </w:r>
    </w:p>
    <w:p>
      <w:pPr>
        <w:rPr>
          <w:noProof/>
        </w:rPr>
      </w:pPr>
      <w:r>
        <w:rPr>
          <w:noProof/>
        </w:rPr>
        <w:t>______________________________________</w:t>
      </w:r>
    </w:p>
    <w:p>
      <w:pPr>
        <w:rPr>
          <w:noProof/>
        </w:rPr>
      </w:pPr>
      <w:r>
        <w:rPr>
          <w:noProof/>
        </w:rPr>
        <w:t>*</w:t>
      </w:r>
      <w:r>
        <w:rPr>
          <w:noProof/>
        </w:rPr>
        <w:tab/>
        <w:t>Регламент (ЕС) № 525/2013 на Европейския парламент и на Съвета от 21 май 2013 г. относно механизъм за мониторинг и докладване на емисиите на парникови газове и за докладване на друга информация, свързана с изменението на климата, на национално равнище и на равнището на Съюза и отмяна на Решение № 280/2004/ЕО (ОВ L 165, 18.6.2013 г., стр. 13).</w:t>
      </w:r>
    </w:p>
    <w:p>
      <w:pPr>
        <w:rPr>
          <w:noProof/>
        </w:rPr>
      </w:pPr>
      <w:r>
        <w:rPr>
          <w:noProof/>
        </w:rPr>
        <w:t>**</w:t>
      </w:r>
      <w:r>
        <w:rPr>
          <w:noProof/>
        </w:rPr>
        <w:tab/>
        <w:t>Регламент (ЕС) № 182/2011 на Европейския парламент и на Съвета от 16 февруари 2011 година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p>
      <w:pPr>
        <w:pStyle w:val="Titrearticle"/>
        <w:rPr>
          <w:noProof/>
        </w:rPr>
      </w:pPr>
      <w:r>
        <w:rPr>
          <w:noProof/>
        </w:rPr>
        <w:t xml:space="preserve">Член 3 </w:t>
      </w:r>
      <w:r>
        <w:rPr>
          <w:noProof/>
        </w:rPr>
        <w:br/>
        <w:t>Изменения на Директива 86/278/ЕИО</w:t>
      </w:r>
    </w:p>
    <w:p>
      <w:pPr>
        <w:rPr>
          <w:rFonts w:eastAsia="Times New Roman"/>
          <w:noProof/>
          <w:szCs w:val="24"/>
        </w:rPr>
      </w:pPr>
      <w:r>
        <w:rPr>
          <w:noProof/>
        </w:rPr>
        <w:t>Директива 86/278/ЕИО се изменя, както следва:</w:t>
      </w:r>
    </w:p>
    <w:p>
      <w:pPr>
        <w:pStyle w:val="Point0"/>
        <w:rPr>
          <w:noProof/>
        </w:rPr>
      </w:pPr>
      <w:r>
        <w:rPr>
          <w:noProof/>
        </w:rPr>
        <w:t>1) Член 13 се заменя със следното:</w:t>
      </w:r>
    </w:p>
    <w:p>
      <w:pPr>
        <w:jc w:val="center"/>
        <w:rPr>
          <w:i/>
          <w:noProof/>
          <w:szCs w:val="24"/>
        </w:rPr>
      </w:pPr>
      <w:r>
        <w:rPr>
          <w:i/>
          <w:noProof/>
        </w:rPr>
        <w:t>„Член 13</w:t>
      </w:r>
    </w:p>
    <w:p>
      <w:pPr>
        <w:pStyle w:val="Text1"/>
        <w:rPr>
          <w:noProof/>
        </w:rPr>
      </w:pPr>
      <w:r>
        <w:rPr>
          <w:noProof/>
        </w:rPr>
        <w:t>На Комисията се предоставя правомощието да приема делегирани актове в съответствие с член 15а за приспособяването на приложенията към научно-техническия прогрес.</w:t>
      </w:r>
    </w:p>
    <w:p>
      <w:pPr>
        <w:pStyle w:val="Text1"/>
        <w:rPr>
          <w:noProof/>
        </w:rPr>
      </w:pPr>
      <w:r>
        <w:rPr>
          <w:noProof/>
        </w:rPr>
        <w:t>Първият параграф не се прилага за параметрите и стойностите, включени в приложения I A, I Б и I B, всички фактори, които е вероятно да се отразят на измерването на стойностите, и параметрите за анализ, посочени в приложения II A и II Б.“;</w:t>
      </w:r>
    </w:p>
    <w:p>
      <w:pPr>
        <w:pStyle w:val="Point0"/>
        <w:rPr>
          <w:noProof/>
        </w:rPr>
      </w:pPr>
      <w:r>
        <w:rPr>
          <w:noProof/>
        </w:rPr>
        <w:t>2) Член 14 се заличава;</w:t>
      </w:r>
    </w:p>
    <w:p>
      <w:pPr>
        <w:pStyle w:val="Point0"/>
        <w:rPr>
          <w:noProof/>
        </w:rPr>
      </w:pPr>
      <w:r>
        <w:rPr>
          <w:noProof/>
        </w:rPr>
        <w:t>3) Член 15 се заменя със следното:</w:t>
      </w:r>
    </w:p>
    <w:p>
      <w:pPr>
        <w:jc w:val="center"/>
        <w:rPr>
          <w:i/>
          <w:noProof/>
          <w:szCs w:val="24"/>
        </w:rPr>
      </w:pPr>
      <w:r>
        <w:rPr>
          <w:noProof/>
        </w:rPr>
        <w:t>„</w:t>
      </w:r>
      <w:r>
        <w:rPr>
          <w:i/>
          <w:noProof/>
        </w:rPr>
        <w:t>Член 15</w:t>
      </w:r>
    </w:p>
    <w:p>
      <w:pPr>
        <w:pStyle w:val="Text1"/>
        <w:rPr>
          <w:noProof/>
        </w:rPr>
      </w:pPr>
      <w:r>
        <w:rPr>
          <w:noProof/>
        </w:rPr>
        <w:t>1.</w:t>
      </w:r>
      <w:r>
        <w:rPr>
          <w:noProof/>
        </w:rPr>
        <w:tab/>
        <w:t>Комисията се подпомага от Комитета, създаден съгласно член 39 от Директива 2008/98/ЕИО на Европейския парламент и на Съвета*. Този комитет е комитет по смисъла на Регламент (ЕС) № 182/2011 на Европейския парламент и на Съвета**.</w:t>
      </w:r>
    </w:p>
    <w:p>
      <w:pPr>
        <w:pStyle w:val="Text1"/>
        <w:rPr>
          <w:noProof/>
        </w:rPr>
      </w:pPr>
      <w:r>
        <w:rPr>
          <w:noProof/>
        </w:rPr>
        <w:t>2.</w:t>
      </w:r>
      <w:r>
        <w:rPr>
          <w:noProof/>
        </w:rPr>
        <w:tab/>
        <w:t>При позоваване на настоящия параграф се прилага член 5 от Регламент (ЕС) № 182/2011.</w:t>
      </w:r>
    </w:p>
    <w:p>
      <w:pPr>
        <w:rPr>
          <w:noProof/>
        </w:rPr>
      </w:pPr>
      <w:r>
        <w:rPr>
          <w:noProof/>
        </w:rPr>
        <w:t>_______________________________________________</w:t>
      </w:r>
    </w:p>
    <w:p>
      <w:pPr>
        <w:rPr>
          <w:noProof/>
        </w:rPr>
      </w:pPr>
      <w:r>
        <w:rPr>
          <w:noProof/>
        </w:rPr>
        <w:t>*</w:t>
      </w:r>
      <w:r>
        <w:rPr>
          <w:noProof/>
        </w:rPr>
        <w:tab/>
        <w:t>Директива 2008/98/ЕО на Европейския парламент и на Съвета от 19 ноември 2008 г. относно отпадъците и за отмяна на определени директиви (ОВ L 312, 22.11.2008 г., стр. 3).</w:t>
      </w:r>
    </w:p>
    <w:p>
      <w:pPr>
        <w:rPr>
          <w:noProof/>
        </w:rPr>
      </w:pPr>
      <w:r>
        <w:rPr>
          <w:noProof/>
        </w:rPr>
        <w:t>**</w:t>
      </w:r>
      <w:r>
        <w:rPr>
          <w:noProof/>
        </w:rPr>
        <w:tab/>
        <w:t>Регламент (ЕС) № 182/2011 на Европейския парламент и на Съвета от 16 февруари 2011 година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p>
      <w:pPr>
        <w:pStyle w:val="Point0"/>
        <w:rPr>
          <w:noProof/>
        </w:rPr>
      </w:pPr>
      <w:r>
        <w:rPr>
          <w:noProof/>
        </w:rPr>
        <w:t xml:space="preserve">4. Добавя се следният член 15a: </w:t>
      </w:r>
    </w:p>
    <w:p>
      <w:pPr>
        <w:spacing w:before="0" w:after="200" w:line="276" w:lineRule="auto"/>
        <w:jc w:val="center"/>
        <w:rPr>
          <w:noProof/>
          <w:szCs w:val="24"/>
        </w:rPr>
      </w:pPr>
      <w:r>
        <w:rPr>
          <w:i/>
          <w:noProof/>
        </w:rPr>
        <w:t>„Член 15a</w:t>
      </w:r>
    </w:p>
    <w:p>
      <w:pPr>
        <w:pStyle w:val="Text1"/>
        <w:rPr>
          <w:noProof/>
        </w:rPr>
      </w:pPr>
      <w:r>
        <w:rPr>
          <w:noProof/>
        </w:rPr>
        <w:t>1. Правомощието да приема делегирани актове се предоставя на Комисията при спазване на предвидените в настоящия член условия.</w:t>
      </w:r>
    </w:p>
    <w:p>
      <w:pPr>
        <w:pStyle w:val="Text1"/>
        <w:rPr>
          <w:noProof/>
        </w:rPr>
      </w:pPr>
      <w:r>
        <w:rPr>
          <w:noProof/>
        </w:rPr>
        <w:t xml:space="preserve">2. Правомощието да приема делегирани актове, посочено в член 13, се предоставя на Комисията за неопределен срок, считано от датата на влизане в сила на настоящата директива. </w:t>
      </w:r>
    </w:p>
    <w:p>
      <w:pPr>
        <w:pStyle w:val="Text1"/>
        <w:rPr>
          <w:noProof/>
        </w:rPr>
      </w:pPr>
      <w:r>
        <w:rPr>
          <w:noProof/>
        </w:rPr>
        <w:t xml:space="preserve">3. Делегирането на правомощия, посочено в член 13,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pStyle w:val="Text1"/>
        <w:rPr>
          <w:noProof/>
        </w:rPr>
      </w:pPr>
      <w:r>
        <w:rPr>
          <w:noProof/>
        </w:rPr>
        <w:t>4. Преди приемането на делегиран акт Комисията провежда консултации с експерти, определени от всяка държава членка, в съответствие с принципите, заложени в Междуинституционалното споразумение за по-добро законотворчество от 13 април 2016 г.</w:t>
      </w:r>
    </w:p>
    <w:p>
      <w:pPr>
        <w:pStyle w:val="Text1"/>
        <w:rPr>
          <w:noProof/>
        </w:rPr>
      </w:pPr>
      <w:r>
        <w:rPr>
          <w:noProof/>
        </w:rPr>
        <w:t>5. Веднага след като приеме делегиран акт, Комисията уведомява за това едновременно Европейския парламент и Съвета.</w:t>
      </w:r>
    </w:p>
    <w:p>
      <w:pPr>
        <w:pStyle w:val="Text1"/>
        <w:rPr>
          <w:noProof/>
        </w:rPr>
      </w:pPr>
      <w:r>
        <w:rPr>
          <w:noProof/>
        </w:rPr>
        <w:t>6. Делегиран акт, приет съгласно член 13,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се удължава с два месеца по инициатива на Европейския парламент или на Съвета.“</w:t>
      </w:r>
    </w:p>
    <w:p>
      <w:pPr>
        <w:pStyle w:val="Point0"/>
        <w:rPr>
          <w:noProof/>
        </w:rPr>
      </w:pPr>
      <w:r>
        <w:rPr>
          <w:noProof/>
        </w:rPr>
        <w:t xml:space="preserve">5) В член 17, параграф 1, второто изречение се заменя със следното: </w:t>
      </w:r>
    </w:p>
    <w:p>
      <w:pPr>
        <w:pStyle w:val="Text1"/>
        <w:rPr>
          <w:rFonts w:eastAsia="Times New Roman"/>
          <w:noProof/>
          <w:szCs w:val="24"/>
        </w:rPr>
      </w:pPr>
      <w:r>
        <w:rPr>
          <w:noProof/>
        </w:rPr>
        <w:t>„Секторните доклади се изготвят въз основа на въпросник или тезисен план, който се приема от Комисията под формата на акт за изпълнение. Актът за изпълнение се приема в съответствие с процедурата по разглеждане, посочена в член 15, параграф 2.“</w:t>
      </w:r>
    </w:p>
    <w:p>
      <w:pPr>
        <w:pStyle w:val="Titrearticle"/>
        <w:rPr>
          <w:noProof/>
        </w:rPr>
      </w:pPr>
      <w:r>
        <w:rPr>
          <w:noProof/>
        </w:rPr>
        <w:t xml:space="preserve">Член 4 </w:t>
      </w:r>
      <w:r>
        <w:rPr>
          <w:noProof/>
        </w:rPr>
        <w:br/>
        <w:t>Изменение на Директива 87/217/ЕИО</w:t>
      </w:r>
    </w:p>
    <w:p>
      <w:pPr>
        <w:autoSpaceDE w:val="0"/>
        <w:autoSpaceDN w:val="0"/>
        <w:adjustRightInd w:val="0"/>
        <w:spacing w:before="0" w:after="0"/>
        <w:jc w:val="left"/>
        <w:rPr>
          <w:rFonts w:eastAsia="Times New Roman"/>
          <w:i/>
          <w:noProof/>
          <w:szCs w:val="24"/>
        </w:rPr>
      </w:pPr>
      <w:r>
        <w:rPr>
          <w:noProof/>
        </w:rPr>
        <w:t>Член 13, параграф 1 от Директива 87/217/ЕИО се заличава.</w:t>
      </w:r>
    </w:p>
    <w:p>
      <w:pPr>
        <w:pStyle w:val="Titrearticle"/>
        <w:rPr>
          <w:noProof/>
        </w:rPr>
      </w:pPr>
      <w:r>
        <w:rPr>
          <w:noProof/>
        </w:rPr>
        <w:t xml:space="preserve">Член 5 </w:t>
      </w:r>
      <w:r>
        <w:rPr>
          <w:noProof/>
        </w:rPr>
        <w:br/>
        <w:t>Изменение на Регламент (ЕС) № 1257/2013</w:t>
      </w:r>
    </w:p>
    <w:p>
      <w:pPr>
        <w:rPr>
          <w:noProof/>
          <w:szCs w:val="24"/>
        </w:rPr>
      </w:pPr>
      <w:r>
        <w:rPr>
          <w:noProof/>
        </w:rPr>
        <w:t xml:space="preserve">Член 21, параграф 2 от Регламент (ЕС) № 1257/2013 се заменя със следното: </w:t>
      </w:r>
    </w:p>
    <w:p>
      <w:pPr>
        <w:pStyle w:val="Text1"/>
        <w:rPr>
          <w:noProof/>
        </w:rPr>
      </w:pPr>
      <w:r>
        <w:rPr>
          <w:noProof/>
        </w:rPr>
        <w:t xml:space="preserve">„2. Всеки доклад обхваща три години и се предава в електронен вид на Комисията не по-късно от девет месеца след края на тригодишния период, за който се отнася. </w:t>
      </w:r>
    </w:p>
    <w:p>
      <w:pPr>
        <w:pStyle w:val="Text1"/>
        <w:rPr>
          <w:noProof/>
        </w:rPr>
      </w:pPr>
      <w:r>
        <w:rPr>
          <w:noProof/>
        </w:rPr>
        <w:t>Първият електронен доклад обхваща периода от датата на публикуване на Европейския списък до 31 декември 2018 г.“</w:t>
      </w:r>
    </w:p>
    <w:p>
      <w:pPr>
        <w:pStyle w:val="Titrearticle"/>
        <w:rPr>
          <w:noProof/>
        </w:rPr>
      </w:pPr>
      <w:r>
        <w:rPr>
          <w:noProof/>
        </w:rPr>
        <w:t xml:space="preserve">Член 6 </w:t>
      </w:r>
      <w:r>
        <w:rPr>
          <w:noProof/>
        </w:rPr>
        <w:br/>
        <w:t>Изменения на Директива 94/63/ЕО</w:t>
      </w:r>
    </w:p>
    <w:p>
      <w:pPr>
        <w:rPr>
          <w:noProof/>
          <w:szCs w:val="24"/>
        </w:rPr>
      </w:pPr>
      <w:r>
        <w:rPr>
          <w:noProof/>
        </w:rPr>
        <w:t>Директива 94/63/ЕО се изменя, както следва:</w:t>
      </w:r>
    </w:p>
    <w:p>
      <w:pPr>
        <w:pStyle w:val="Point0"/>
        <w:rPr>
          <w:noProof/>
        </w:rPr>
      </w:pPr>
      <w:r>
        <w:rPr>
          <w:noProof/>
        </w:rPr>
        <w:t>1) В член 4, параграф 4 втората алинея се заменя със следното:</w:t>
      </w:r>
    </w:p>
    <w:p>
      <w:pPr>
        <w:pStyle w:val="Text1"/>
        <w:rPr>
          <w:noProof/>
        </w:rPr>
      </w:pPr>
      <w:r>
        <w:rPr>
          <w:noProof/>
        </w:rPr>
        <w:t>„Държавите членки информират Комисията за съответните терминали, предмет на дерогация.“</w:t>
      </w:r>
    </w:p>
    <w:p>
      <w:pPr>
        <w:pStyle w:val="Point0"/>
        <w:rPr>
          <w:noProof/>
        </w:rPr>
      </w:pPr>
      <w:r>
        <w:rPr>
          <w:noProof/>
        </w:rPr>
        <w:t>2) В член 6, параграф 4, втората алинея се заменя със следното:</w:t>
      </w:r>
    </w:p>
    <w:p>
      <w:pPr>
        <w:pStyle w:val="Text1"/>
        <w:rPr>
          <w:noProof/>
        </w:rPr>
      </w:pPr>
      <w:r>
        <w:rPr>
          <w:noProof/>
        </w:rPr>
        <w:t xml:space="preserve">„Държавите членки информират Комисията за областите, в които те възнамеряват да предоставят такава дерогация и впоследствие — за всички промени в тези области.“ </w:t>
      </w:r>
    </w:p>
    <w:p>
      <w:pPr>
        <w:pStyle w:val="Point0"/>
        <w:rPr>
          <w:noProof/>
        </w:rPr>
      </w:pPr>
      <w:r>
        <w:rPr>
          <w:noProof/>
        </w:rPr>
        <w:t xml:space="preserve">3) В член 9 първото изречение се заличава. </w:t>
      </w:r>
    </w:p>
    <w:p>
      <w:pPr>
        <w:pStyle w:val="Titrearticle"/>
        <w:rPr>
          <w:noProof/>
        </w:rPr>
      </w:pPr>
      <w:r>
        <w:rPr>
          <w:noProof/>
        </w:rPr>
        <w:t xml:space="preserve">Член 7 </w:t>
      </w:r>
      <w:r>
        <w:rPr>
          <w:noProof/>
        </w:rPr>
        <w:br/>
        <w:t>Отмяна на Директива 91/692/ЕИО</w:t>
      </w:r>
    </w:p>
    <w:p>
      <w:pPr>
        <w:spacing w:before="0" w:after="200" w:line="276" w:lineRule="auto"/>
        <w:jc w:val="left"/>
        <w:rPr>
          <w:rFonts w:eastAsia="Times New Roman"/>
          <w:noProof/>
          <w:szCs w:val="24"/>
        </w:rPr>
      </w:pPr>
      <w:r>
        <w:rPr>
          <w:noProof/>
        </w:rPr>
        <w:t>Директива 91/692/ЕИО се отменя.</w:t>
      </w:r>
    </w:p>
    <w:p>
      <w:pPr>
        <w:pStyle w:val="Titrearticle"/>
        <w:rPr>
          <w:noProof/>
        </w:rPr>
      </w:pPr>
      <w:r>
        <w:rPr>
          <w:noProof/>
        </w:rPr>
        <w:t xml:space="preserve">Член 8 </w:t>
      </w:r>
      <w:r>
        <w:rPr>
          <w:noProof/>
        </w:rPr>
        <w:br/>
        <w:t>Влизане в сила и прилагане</w:t>
      </w:r>
    </w:p>
    <w:p>
      <w:pPr>
        <w:spacing w:before="0" w:after="200" w:line="276" w:lineRule="auto"/>
        <w:jc w:val="left"/>
        <w:rPr>
          <w:rFonts w:eastAsia="Times New Roman"/>
          <w:noProof/>
          <w:szCs w:val="24"/>
        </w:rPr>
      </w:pPr>
      <w:r>
        <w:rPr>
          <w:noProof/>
        </w:rPr>
        <w:t xml:space="preserve">Настоящото решение влиза в сила на двадесетия ден след деня на публикуването му в </w:t>
      </w:r>
      <w:r>
        <w:rPr>
          <w:i/>
          <w:noProof/>
        </w:rPr>
        <w:t>Официален вестник на Европейския съюз</w:t>
      </w:r>
      <w:r>
        <w:rPr>
          <w:noProof/>
        </w:rPr>
        <w:t>.</w:t>
      </w:r>
    </w:p>
    <w:p>
      <w:pPr>
        <w:spacing w:before="0" w:after="200" w:line="276" w:lineRule="auto"/>
        <w:rPr>
          <w:rFonts w:eastAsia="Times New Roman"/>
          <w:noProof/>
          <w:szCs w:val="24"/>
        </w:rPr>
      </w:pPr>
      <w:r>
        <w:rPr>
          <w:noProof/>
        </w:rPr>
        <w:t>То се прилага от [Служба за публикации: ДАТА на влизане в сила на изменението на член 37, параграф 1</w:t>
      </w:r>
      <w:r>
        <w:rPr>
          <w:rStyle w:val="FootnoteReference"/>
          <w:noProof/>
        </w:rPr>
        <w:footnoteReference w:id="119"/>
      </w:r>
      <w:r>
        <w:rPr>
          <w:noProof/>
        </w:rPr>
        <w:t xml:space="preserve"> от Директива 2008/98/ЕО, изменението на член 9</w:t>
      </w:r>
      <w:r>
        <w:rPr>
          <w:rStyle w:val="FootnoteReference"/>
          <w:noProof/>
        </w:rPr>
        <w:footnoteReference w:id="120"/>
      </w:r>
      <w:r>
        <w:rPr>
          <w:noProof/>
        </w:rPr>
        <w:t xml:space="preserve"> от Директива 2000/53/ЕО, изменението на член 15</w:t>
      </w:r>
      <w:r>
        <w:rPr>
          <w:rStyle w:val="FootnoteReference"/>
          <w:noProof/>
        </w:rPr>
        <w:footnoteReference w:id="121"/>
      </w:r>
      <w:r>
        <w:rPr>
          <w:noProof/>
        </w:rPr>
        <w:t xml:space="preserve"> от Директива 1999/31/ЕО и изменението на член 17</w:t>
      </w:r>
      <w:r>
        <w:rPr>
          <w:rStyle w:val="FootnoteReference"/>
          <w:noProof/>
        </w:rPr>
        <w:footnoteReference w:id="122"/>
      </w:r>
      <w:r>
        <w:rPr>
          <w:noProof/>
        </w:rPr>
        <w:t xml:space="preserve"> от Директива 94/62/ЕО].</w:t>
      </w:r>
    </w:p>
    <w:p>
      <w:pPr>
        <w:spacing w:before="0" w:after="200" w:line="276" w:lineRule="auto"/>
        <w:jc w:val="left"/>
        <w:rPr>
          <w:rFonts w:eastAsia="Times New Roman"/>
          <w:bCs/>
          <w:noProof/>
          <w:szCs w:val="24"/>
          <w:vertAlign w:val="superscript"/>
        </w:rPr>
      </w:pPr>
      <w:r>
        <w:rPr>
          <w:noProof/>
        </w:rPr>
        <w:t>Член 1 се прилага от [Служба за публикации: ДАТАТА на влизане в сила на изменението на член 22а от Директива 2003/87/EC</w:t>
      </w:r>
      <w:r>
        <w:rPr>
          <w:rStyle w:val="FootnoteReference"/>
          <w:noProof/>
        </w:rPr>
        <w:footnoteReference w:id="123"/>
      </w:r>
      <w:r>
        <w:rPr>
          <w:noProof/>
        </w:rPr>
        <w:t>].</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i w:val="0"/>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025796" w15:done="0"/>
  <w15:commentEx w15:paraId="2CE6C2C0" w15:done="0"/>
  <w15:commentEx w15:paraId="2BCA0E80" w15:done="0"/>
  <w15:commentEx w15:paraId="019B1AAC" w15:done="0"/>
  <w15:commentEx w15:paraId="02027CD5" w15:done="0"/>
  <w15:commentEx w15:paraId="347BA7D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TT"/>
        </w:rPr>
      </w:pPr>
      <w:r>
        <w:rPr>
          <w:rStyle w:val="FootnoteReference"/>
        </w:rPr>
        <w:footnoteRef/>
      </w:r>
      <w:r>
        <w:tab/>
        <w:t>ОВ L 123, 12.5.2016 г., стр. 1—14.</w:t>
      </w:r>
    </w:p>
  </w:footnote>
  <w:footnote w:id="2">
    <w:p>
      <w:pPr>
        <w:pStyle w:val="FootnoteText"/>
        <w:rPr>
          <w:lang w:val="en-TT"/>
        </w:rPr>
      </w:pPr>
      <w:r>
        <w:rPr>
          <w:rStyle w:val="FootnoteReference"/>
        </w:rPr>
        <w:footnoteRef/>
      </w:r>
      <w:r>
        <w:tab/>
        <w:t>COM(2014) 368 „Програма за пригодност и резултатност на регулаторната рамка (REFIT): настояща ситуация и перспективи“, в част III относно „Бъдещи инициативи по програма REFIT“.</w:t>
      </w:r>
    </w:p>
  </w:footnote>
  <w:footnote w:id="3">
    <w:p>
      <w:pPr>
        <w:pStyle w:val="FootnoteText"/>
        <w:rPr>
          <w:lang w:val="en-TT"/>
        </w:rPr>
      </w:pPr>
      <w:r>
        <w:rPr>
          <w:rStyle w:val="FootnoteReference"/>
        </w:rPr>
        <w:footnoteRef/>
      </w:r>
      <w:r>
        <w:tab/>
        <w:t>COM(2015) 215 от 19 май 2015 г.</w:t>
      </w:r>
    </w:p>
  </w:footnote>
  <w:footnote w:id="4">
    <w:p>
      <w:pPr>
        <w:pStyle w:val="FootnoteText"/>
        <w:rPr>
          <w:lang w:val="en-TT"/>
        </w:rPr>
      </w:pPr>
      <w:r>
        <w:rPr>
          <w:rStyle w:val="FootnoteReference"/>
        </w:rPr>
        <w:footnoteRef/>
      </w:r>
      <w:r>
        <w:tab/>
        <w:t>COM(2015) 610 от 27 октомври 2015 г.</w:t>
      </w:r>
    </w:p>
  </w:footnote>
  <w:footnote w:id="5">
    <w:p>
      <w:pPr>
        <w:pStyle w:val="FootnoteText"/>
        <w:rPr>
          <w:lang w:val="hu-HU"/>
        </w:rPr>
      </w:pPr>
      <w:r>
        <w:rPr>
          <w:rStyle w:val="FootnoteReference"/>
        </w:rPr>
        <w:footnoteRef/>
      </w:r>
      <w:r>
        <w:tab/>
        <w:t>ОВ L 37, 11.2.2011 г., стр. 19—24.</w:t>
      </w:r>
    </w:p>
  </w:footnote>
  <w:footnote w:id="6">
    <w:p>
      <w:pPr>
        <w:pStyle w:val="FootnoteText"/>
      </w:pPr>
      <w:r>
        <w:rPr>
          <w:rStyle w:val="FootnoteReference"/>
        </w:rPr>
        <w:footnoteRef/>
      </w:r>
      <w:r>
        <w:tab/>
        <w:t>ОВ L 292, 10.11.2010 г., стр. 65—67.</w:t>
      </w:r>
    </w:p>
  </w:footnote>
  <w:footnote w:id="7">
    <w:p>
      <w:pPr>
        <w:pStyle w:val="FootnoteText"/>
      </w:pPr>
      <w:r>
        <w:rPr>
          <w:rStyle w:val="FootnoteReference"/>
        </w:rPr>
        <w:footnoteRef/>
      </w:r>
      <w:r>
        <w:tab/>
        <w:t>Достъпно на: http://ec.europa.eu/environment/legal/reporting/other_actions_en.htm</w:t>
      </w:r>
    </w:p>
  </w:footnote>
  <w:footnote w:id="8">
    <w:p>
      <w:pPr>
        <w:pStyle w:val="FootnoteText"/>
      </w:pPr>
      <w:r>
        <w:rPr>
          <w:rStyle w:val="FootnoteReference"/>
        </w:rPr>
        <w:footnoteRef/>
      </w:r>
      <w:r>
        <w:tab/>
        <w:t>Директива за пречистването на градските отпадъчни води.</w:t>
      </w:r>
    </w:p>
  </w:footnote>
  <w:footnote w:id="9">
    <w:p>
      <w:pPr>
        <w:pStyle w:val="FootnoteText"/>
      </w:pPr>
      <w:r>
        <w:rPr>
          <w:rStyle w:val="FootnoteReference"/>
        </w:rPr>
        <w:footnoteRef/>
      </w:r>
      <w:r>
        <w:tab/>
        <w:t>Директива за нитратите.</w:t>
      </w:r>
    </w:p>
  </w:footnote>
  <w:footnote w:id="10">
    <w:p>
      <w:pPr>
        <w:pStyle w:val="FootnoteText"/>
      </w:pPr>
      <w:r>
        <w:rPr>
          <w:rStyle w:val="FootnoteReference"/>
        </w:rPr>
        <w:footnoteRef/>
      </w:r>
      <w:r>
        <w:tab/>
        <w:t>Рамкова директива за водите.</w:t>
      </w:r>
    </w:p>
  </w:footnote>
  <w:footnote w:id="11">
    <w:p>
      <w:pPr>
        <w:pStyle w:val="FootnoteText"/>
      </w:pPr>
      <w:r>
        <w:rPr>
          <w:rStyle w:val="FootnoteReference"/>
        </w:rPr>
        <w:footnoteRef/>
      </w:r>
      <w:r>
        <w:tab/>
        <w:t>Директива относно емисиите от промишлеността.</w:t>
      </w:r>
    </w:p>
  </w:footnote>
  <w:footnote w:id="12">
    <w:p>
      <w:pPr>
        <w:pStyle w:val="FootnoteText"/>
        <w:rPr>
          <w:lang w:val="hu-HU"/>
        </w:rPr>
      </w:pPr>
      <w:r>
        <w:rPr>
          <w:rStyle w:val="FootnoteReference"/>
        </w:rPr>
        <w:footnoteRef/>
      </w:r>
      <w:r>
        <w:tab/>
        <w:t>Директивата за КПКЗ.</w:t>
      </w:r>
    </w:p>
  </w:footnote>
  <w:footnote w:id="13">
    <w:p>
      <w:pPr>
        <w:pStyle w:val="FootnoteText"/>
        <w:rPr>
          <w:lang w:val="hu-HU"/>
        </w:rPr>
      </w:pPr>
      <w:r>
        <w:rPr>
          <w:rStyle w:val="FootnoteReference"/>
        </w:rPr>
        <w:footnoteRef/>
      </w:r>
      <w:r>
        <w:rPr>
          <w:lang w:val="hu-HU"/>
        </w:rPr>
        <w:tab/>
        <w:t>COM(2008) 46 от 1 февруари 2008 г.</w:t>
      </w:r>
    </w:p>
  </w:footnote>
  <w:footnote w:id="14">
    <w:p>
      <w:pPr>
        <w:pStyle w:val="FootnoteText"/>
        <w:rPr>
          <w:lang w:val="hu-HU"/>
        </w:rPr>
      </w:pPr>
      <w:r>
        <w:rPr>
          <w:rStyle w:val="FootnoteReference"/>
        </w:rPr>
        <w:footnoteRef/>
      </w:r>
      <w:r>
        <w:rPr>
          <w:lang w:val="hu-HU"/>
        </w:rPr>
        <w:tab/>
        <w:t>Съобщение на Комисията до Съвета, Европейския парламент, Европейския икономически и социален комитет и Комитета на регионите — За Обща информационна система за околната среда (SEIS) {SEC(2008) 111} {SEC(2008) 112}/* COM/2008/0046 окончателен *.</w:t>
      </w:r>
    </w:p>
  </w:footnote>
  <w:footnote w:id="15">
    <w:p>
      <w:pPr>
        <w:pStyle w:val="FootnoteText"/>
        <w:rPr>
          <w:lang w:val="hu-HU"/>
        </w:rPr>
      </w:pPr>
      <w:r>
        <w:rPr>
          <w:rStyle w:val="FootnoteReference"/>
        </w:rPr>
        <w:footnoteRef/>
      </w:r>
      <w:r>
        <w:rPr>
          <w:lang w:val="hu-HU"/>
        </w:rPr>
        <w:tab/>
        <w:t>SWD(2013) 18 от 25 януари 2013 г.</w:t>
      </w:r>
    </w:p>
  </w:footnote>
  <w:footnote w:id="16">
    <w:p>
      <w:pPr>
        <w:pStyle w:val="FootnoteText"/>
      </w:pPr>
      <w:r>
        <w:rPr>
          <w:rStyle w:val="FootnoteReference"/>
        </w:rPr>
        <w:footnoteRef/>
      </w:r>
      <w:r>
        <w:rPr>
          <w:lang w:val="hu-HU"/>
        </w:rPr>
        <w:tab/>
        <w:t>Решение 2011/92/ЕС на Комисията от 10 февруари 2011 г. (ОВ L 37, 11.2.2011 г., стр. 19–24) и Решение 2010/681/ЕС на Комисията от 9 ноември 2010 г. (ОВ L 292, 10.11.2010 г., стр. 65—67)</w:t>
      </w:r>
      <w:r>
        <w:t>.</w:t>
      </w:r>
    </w:p>
  </w:footnote>
  <w:footnote w:id="17">
    <w:p>
      <w:pPr>
        <w:pStyle w:val="FootnoteText"/>
        <w:rPr>
          <w:lang w:val="hu-HU"/>
        </w:rPr>
      </w:pPr>
      <w:r>
        <w:rPr>
          <w:rStyle w:val="FootnoteReference"/>
        </w:rPr>
        <w:footnoteRef/>
      </w:r>
      <w:r>
        <w:rPr>
          <w:lang w:val="hu-HU"/>
        </w:rPr>
        <w:tab/>
        <w:t>То е достъпно на следния интернет адрес: http://ec.europa.eu/environment/legal/reporting/index_en.htm</w:t>
      </w:r>
    </w:p>
  </w:footnote>
  <w:footnote w:id="18">
    <w:p>
      <w:pPr>
        <w:pStyle w:val="FootnoteText"/>
      </w:pPr>
      <w:r>
        <w:rPr>
          <w:rStyle w:val="FootnoteReference"/>
        </w:rPr>
        <w:footnoteRef/>
      </w:r>
      <w:r>
        <w:rPr>
          <w:lang w:val="pt-PT"/>
        </w:rPr>
        <w:tab/>
      </w:r>
      <w:r>
        <w:t>Член</w:t>
      </w:r>
      <w:r>
        <w:rPr>
          <w:lang w:val="pt-PT"/>
        </w:rPr>
        <w:t xml:space="preserve"> 37, </w:t>
      </w:r>
      <w:r>
        <w:t>параграф</w:t>
      </w:r>
      <w:r>
        <w:rPr>
          <w:lang w:val="pt-PT"/>
        </w:rPr>
        <w:t xml:space="preserve"> 1.</w:t>
      </w:r>
    </w:p>
  </w:footnote>
  <w:footnote w:id="19">
    <w:p>
      <w:pPr>
        <w:pStyle w:val="FootnoteText"/>
      </w:pPr>
      <w:r>
        <w:rPr>
          <w:rStyle w:val="FootnoteReference"/>
        </w:rPr>
        <w:footnoteRef/>
      </w:r>
      <w:r>
        <w:rPr>
          <w:lang w:val="pt-PT"/>
        </w:rPr>
        <w:tab/>
      </w:r>
      <w:r>
        <w:t>Член</w:t>
      </w:r>
      <w:r>
        <w:rPr>
          <w:lang w:val="pt-PT"/>
        </w:rPr>
        <w:t> 9.</w:t>
      </w:r>
    </w:p>
  </w:footnote>
  <w:footnote w:id="20">
    <w:p>
      <w:pPr>
        <w:pStyle w:val="FootnoteText"/>
        <w:rPr>
          <w:lang w:val="pt-PT"/>
        </w:rPr>
      </w:pPr>
      <w:r>
        <w:rPr>
          <w:rStyle w:val="FootnoteReference"/>
        </w:rPr>
        <w:footnoteRef/>
      </w:r>
      <w:r>
        <w:rPr>
          <w:lang w:val="pt-PT"/>
        </w:rPr>
        <w:tab/>
      </w:r>
      <w:r>
        <w:t>Член</w:t>
      </w:r>
      <w:r>
        <w:rPr>
          <w:lang w:val="pt-PT"/>
        </w:rPr>
        <w:t> 15.</w:t>
      </w:r>
    </w:p>
  </w:footnote>
  <w:footnote w:id="21">
    <w:p>
      <w:pPr>
        <w:pStyle w:val="FootnoteText"/>
      </w:pPr>
      <w:r>
        <w:rPr>
          <w:rStyle w:val="FootnoteReference"/>
        </w:rPr>
        <w:footnoteRef/>
      </w:r>
      <w:r>
        <w:rPr>
          <w:lang w:val="pt-PT"/>
        </w:rPr>
        <w:tab/>
        <w:t xml:space="preserve">COM (2015) 595 final; COM (2015) 593 final; COM (2015) 594 final; </w:t>
      </w:r>
      <w:r>
        <w:t>СОМ</w:t>
      </w:r>
      <w:r>
        <w:rPr>
          <w:lang w:val="pt-PT"/>
        </w:rPr>
        <w:t>(2015) 596 final</w:t>
      </w:r>
      <w:r>
        <w:t>.</w:t>
      </w:r>
    </w:p>
  </w:footnote>
  <w:footnote w:id="22">
    <w:p>
      <w:pPr>
        <w:pStyle w:val="FootnoteText"/>
      </w:pPr>
      <w:r>
        <w:rPr>
          <w:rStyle w:val="FootnoteReference"/>
        </w:rPr>
        <w:footnoteRef/>
      </w:r>
      <w:r>
        <w:tab/>
      </w:r>
      <w:r>
        <w:rPr>
          <w:i/>
        </w:rPr>
        <w:t xml:space="preserve">ОВ </w:t>
      </w:r>
      <w:r>
        <w:rPr>
          <w:i/>
          <w:lang w:val="pt-PT"/>
        </w:rPr>
        <w:t>L</w:t>
      </w:r>
      <w:r>
        <w:rPr>
          <w:i/>
        </w:rPr>
        <w:t xml:space="preserve"> 31, 5.2.1976 г., стр. 1—7.</w:t>
      </w:r>
    </w:p>
  </w:footnote>
  <w:footnote w:id="23">
    <w:p>
      <w:pPr>
        <w:pStyle w:val="FootnoteText"/>
      </w:pPr>
      <w:r>
        <w:rPr>
          <w:rStyle w:val="FootnoteReference"/>
        </w:rPr>
        <w:footnoteRef/>
      </w:r>
      <w:r>
        <w:tab/>
      </w:r>
      <w:r>
        <w:rPr>
          <w:i/>
        </w:rPr>
        <w:t xml:space="preserve">ОВ </w:t>
      </w:r>
      <w:r>
        <w:rPr>
          <w:i/>
          <w:lang w:val="pt-PT"/>
        </w:rPr>
        <w:t>L</w:t>
      </w:r>
      <w:r>
        <w:rPr>
          <w:i/>
        </w:rPr>
        <w:t xml:space="preserve"> 64, 4.3.2006 г., стр. 37—51.</w:t>
      </w:r>
    </w:p>
  </w:footnote>
  <w:footnote w:id="24">
    <w:p>
      <w:pPr>
        <w:pStyle w:val="FootnoteText"/>
      </w:pPr>
      <w:r>
        <w:rPr>
          <w:rStyle w:val="FootnoteReference"/>
        </w:rPr>
        <w:footnoteRef/>
      </w:r>
      <w:r>
        <w:tab/>
      </w:r>
      <w:r>
        <w:rPr>
          <w:i/>
        </w:rPr>
        <w:t xml:space="preserve">ОВ </w:t>
      </w:r>
      <w:r>
        <w:rPr>
          <w:i/>
          <w:lang w:val="pt-PT"/>
        </w:rPr>
        <w:t>L</w:t>
      </w:r>
      <w:r>
        <w:rPr>
          <w:i/>
        </w:rPr>
        <w:t xml:space="preserve"> 129, 18.5.1976 г., стр. 23—29.</w:t>
      </w:r>
    </w:p>
  </w:footnote>
  <w:footnote w:id="25">
    <w:p>
      <w:pPr>
        <w:pStyle w:val="FootnoteText"/>
      </w:pPr>
      <w:r>
        <w:rPr>
          <w:rStyle w:val="FootnoteReference"/>
        </w:rPr>
        <w:footnoteRef/>
      </w:r>
      <w:r>
        <w:tab/>
      </w:r>
      <w:r>
        <w:rPr>
          <w:i/>
        </w:rPr>
        <w:t xml:space="preserve">ОВ </w:t>
      </w:r>
      <w:r>
        <w:rPr>
          <w:i/>
          <w:lang w:val="pt-PT"/>
        </w:rPr>
        <w:t>L</w:t>
      </w:r>
      <w:r>
        <w:rPr>
          <w:i/>
        </w:rPr>
        <w:t xml:space="preserve"> 64, 4.3.2006 г., стр. 52—59.</w:t>
      </w:r>
    </w:p>
  </w:footnote>
  <w:footnote w:id="26">
    <w:p>
      <w:pPr>
        <w:pStyle w:val="FootnoteText"/>
      </w:pPr>
      <w:r>
        <w:rPr>
          <w:rStyle w:val="FootnoteReference"/>
        </w:rPr>
        <w:footnoteRef/>
      </w:r>
      <w:r>
        <w:tab/>
      </w:r>
      <w:r>
        <w:rPr>
          <w:i/>
        </w:rPr>
        <w:t xml:space="preserve">ОВ </w:t>
      </w:r>
      <w:r>
        <w:rPr>
          <w:i/>
          <w:lang w:val="pt-PT"/>
        </w:rPr>
        <w:t>L</w:t>
      </w:r>
      <w:r>
        <w:rPr>
          <w:i/>
        </w:rPr>
        <w:t xml:space="preserve"> 54, 25.2.1978 г., стр. 19–24.</w:t>
      </w:r>
    </w:p>
  </w:footnote>
  <w:footnote w:id="27">
    <w:p>
      <w:pPr>
        <w:pStyle w:val="FootnoteText"/>
      </w:pPr>
      <w:r>
        <w:rPr>
          <w:rStyle w:val="FootnoteReference"/>
        </w:rPr>
        <w:footnoteRef/>
      </w:r>
      <w:r>
        <w:tab/>
      </w:r>
      <w:r>
        <w:rPr>
          <w:rStyle w:val="Emphasis"/>
        </w:rPr>
        <w:t xml:space="preserve">ОВ </w:t>
      </w:r>
      <w:r>
        <w:rPr>
          <w:rStyle w:val="Emphasis"/>
          <w:lang w:val="pt-PT"/>
        </w:rPr>
        <w:t>L</w:t>
      </w:r>
      <w:r>
        <w:rPr>
          <w:rStyle w:val="Emphasis"/>
        </w:rPr>
        <w:t xml:space="preserve"> 032 , 3.2.1983 г., стр. 0028.</w:t>
      </w:r>
    </w:p>
  </w:footnote>
  <w:footnote w:id="28">
    <w:p>
      <w:pPr>
        <w:pStyle w:val="FootnoteText"/>
        <w:rPr>
          <w:i/>
          <w:iCs/>
        </w:rPr>
      </w:pPr>
      <w:r>
        <w:rPr>
          <w:rStyle w:val="FootnoteReference"/>
        </w:rPr>
        <w:footnoteRef/>
      </w:r>
      <w:r>
        <w:tab/>
      </w:r>
      <w:r>
        <w:rPr>
          <w:i/>
        </w:rPr>
        <w:t xml:space="preserve">ОВ </w:t>
      </w:r>
      <w:r>
        <w:rPr>
          <w:i/>
          <w:lang w:val="pt-PT"/>
        </w:rPr>
        <w:t>L</w:t>
      </w:r>
      <w:r>
        <w:rPr>
          <w:i/>
        </w:rPr>
        <w:t xml:space="preserve"> 334, 17.12.2010 г., стр. 17—119.</w:t>
      </w:r>
    </w:p>
  </w:footnote>
  <w:footnote w:id="29">
    <w:p>
      <w:pPr>
        <w:pStyle w:val="FootnoteText"/>
        <w:rPr>
          <w:lang w:val="hu-HU"/>
        </w:rPr>
      </w:pPr>
      <w:r>
        <w:rPr>
          <w:rStyle w:val="FootnoteReference"/>
        </w:rPr>
        <w:footnoteRef/>
      </w:r>
      <w:r>
        <w:tab/>
      </w:r>
      <w:r>
        <w:rPr>
          <w:i/>
        </w:rPr>
        <w:t xml:space="preserve">ОВ </w:t>
      </w:r>
      <w:r>
        <w:rPr>
          <w:i/>
          <w:lang w:val="pt-PT"/>
        </w:rPr>
        <w:t>L</w:t>
      </w:r>
      <w:r>
        <w:rPr>
          <w:i/>
        </w:rPr>
        <w:t xml:space="preserve"> 222, 14.8.1978 г., стр. 1—10.</w:t>
      </w:r>
    </w:p>
  </w:footnote>
  <w:footnote w:id="30">
    <w:p>
      <w:pPr>
        <w:pStyle w:val="FootnoteText"/>
        <w:rPr>
          <w:lang w:val="hu-HU"/>
        </w:rPr>
      </w:pPr>
      <w:r>
        <w:rPr>
          <w:rStyle w:val="FootnoteReference"/>
        </w:rPr>
        <w:footnoteRef/>
      </w:r>
      <w:r>
        <w:rPr>
          <w:lang w:val="hu-HU"/>
        </w:rPr>
        <w:tab/>
      </w:r>
      <w:r>
        <w:rPr>
          <w:i/>
          <w:lang w:val="hu-HU"/>
        </w:rPr>
        <w:t>ОВ L 264, 25.9.2006 г., стр. 20—31.</w:t>
      </w:r>
    </w:p>
  </w:footnote>
  <w:footnote w:id="31">
    <w:p>
      <w:pPr>
        <w:pStyle w:val="FootnoteText"/>
        <w:rPr>
          <w:lang w:val="hu-HU"/>
        </w:rPr>
      </w:pPr>
      <w:r>
        <w:rPr>
          <w:rStyle w:val="FootnoteReference"/>
        </w:rPr>
        <w:footnoteRef/>
      </w:r>
      <w:r>
        <w:rPr>
          <w:lang w:val="hu-HU"/>
        </w:rPr>
        <w:tab/>
      </w:r>
      <w:r>
        <w:rPr>
          <w:i/>
          <w:lang w:val="hu-HU"/>
        </w:rPr>
        <w:t>ОВ L 327, 22.12.2000 г., стр. 1—73.</w:t>
      </w:r>
    </w:p>
  </w:footnote>
  <w:footnote w:id="32">
    <w:p>
      <w:pPr>
        <w:pStyle w:val="FootnoteText"/>
        <w:rPr>
          <w:lang w:val="hu-HU"/>
        </w:rPr>
      </w:pPr>
      <w:r>
        <w:rPr>
          <w:rStyle w:val="FootnoteReference"/>
        </w:rPr>
        <w:footnoteRef/>
      </w:r>
      <w:r>
        <w:rPr>
          <w:lang w:val="hu-HU"/>
        </w:rPr>
        <w:tab/>
      </w:r>
      <w:r>
        <w:rPr>
          <w:i/>
          <w:lang w:val="hu-HU"/>
        </w:rPr>
        <w:t>ОВ L 271, 29.10.1979 г., стр. 44—53.</w:t>
      </w:r>
    </w:p>
  </w:footnote>
  <w:footnote w:id="33">
    <w:p>
      <w:pPr>
        <w:pStyle w:val="FootnoteText"/>
        <w:rPr>
          <w:lang w:val="hu-HU"/>
        </w:rPr>
      </w:pPr>
      <w:r>
        <w:rPr>
          <w:rStyle w:val="FootnoteReference"/>
        </w:rPr>
        <w:footnoteRef/>
      </w:r>
      <w:r>
        <w:rPr>
          <w:lang w:val="hu-HU"/>
        </w:rPr>
        <w:tab/>
      </w:r>
      <w:r>
        <w:rPr>
          <w:i/>
          <w:lang w:val="hu-HU"/>
        </w:rPr>
        <w:t>ОВ L 319, 7.11.1981 г., стр. 16.</w:t>
      </w:r>
    </w:p>
  </w:footnote>
  <w:footnote w:id="34">
    <w:p>
      <w:pPr>
        <w:pStyle w:val="FootnoteText"/>
        <w:rPr>
          <w:lang w:val="hu-HU"/>
        </w:rPr>
      </w:pPr>
      <w:r>
        <w:rPr>
          <w:rStyle w:val="FootnoteReference"/>
        </w:rPr>
        <w:footnoteRef/>
      </w:r>
      <w:r>
        <w:rPr>
          <w:lang w:val="hu-HU"/>
        </w:rPr>
        <w:tab/>
      </w:r>
      <w:r>
        <w:rPr>
          <w:i/>
          <w:lang w:val="hu-HU"/>
        </w:rPr>
        <w:t>ОВ L 281, 10.11.1979 г., стр. 47—53.</w:t>
      </w:r>
    </w:p>
  </w:footnote>
  <w:footnote w:id="35">
    <w:p>
      <w:pPr>
        <w:pStyle w:val="FootnoteText"/>
        <w:rPr>
          <w:lang w:val="hu-HU"/>
        </w:rPr>
      </w:pPr>
      <w:r>
        <w:rPr>
          <w:rStyle w:val="FootnoteReference"/>
        </w:rPr>
        <w:footnoteRef/>
      </w:r>
      <w:r>
        <w:rPr>
          <w:lang w:val="hu-HU"/>
        </w:rPr>
        <w:tab/>
      </w:r>
      <w:r>
        <w:rPr>
          <w:i/>
          <w:lang w:val="hu-HU"/>
        </w:rPr>
        <w:t>ОВ L 376, 27.12.2006 г., стр. 14—20.</w:t>
      </w:r>
    </w:p>
  </w:footnote>
  <w:footnote w:id="36">
    <w:p>
      <w:pPr>
        <w:pStyle w:val="FootnoteText"/>
        <w:rPr>
          <w:lang w:val="hu-HU"/>
        </w:rPr>
      </w:pPr>
      <w:r>
        <w:rPr>
          <w:rStyle w:val="FootnoteReference"/>
        </w:rPr>
        <w:footnoteRef/>
      </w:r>
      <w:r>
        <w:rPr>
          <w:lang w:val="hu-HU"/>
        </w:rPr>
        <w:tab/>
      </w:r>
      <w:r>
        <w:rPr>
          <w:i/>
          <w:lang w:val="hu-HU"/>
        </w:rPr>
        <w:t>ОВ L 20, 26.1.1980 г., стр. 43—48.</w:t>
      </w:r>
    </w:p>
  </w:footnote>
  <w:footnote w:id="37">
    <w:p>
      <w:pPr>
        <w:pStyle w:val="FootnoteText"/>
        <w:rPr>
          <w:lang w:val="hu-HU"/>
        </w:rPr>
      </w:pPr>
      <w:r>
        <w:rPr>
          <w:rStyle w:val="FootnoteReference"/>
        </w:rPr>
        <w:footnoteRef/>
      </w:r>
      <w:r>
        <w:rPr>
          <w:lang w:val="hu-HU"/>
        </w:rPr>
        <w:tab/>
      </w:r>
      <w:r>
        <w:rPr>
          <w:i/>
          <w:lang w:val="hu-HU"/>
        </w:rPr>
        <w:t>ОВ L 81, 27.3.1982 г., стр. 29—34.</w:t>
      </w:r>
    </w:p>
  </w:footnote>
  <w:footnote w:id="38">
    <w:p>
      <w:pPr>
        <w:pStyle w:val="FootnoteText"/>
        <w:rPr>
          <w:lang w:val="hu-HU"/>
        </w:rPr>
      </w:pPr>
      <w:r>
        <w:rPr>
          <w:rStyle w:val="FootnoteReference"/>
        </w:rPr>
        <w:footnoteRef/>
      </w:r>
      <w:r>
        <w:rPr>
          <w:lang w:val="hu-HU"/>
        </w:rPr>
        <w:tab/>
      </w:r>
      <w:r>
        <w:rPr>
          <w:i/>
          <w:lang w:val="hu-HU"/>
        </w:rPr>
        <w:t>ОВ L 348, 24.12.2008 г., стр. 84—97.</w:t>
      </w:r>
    </w:p>
  </w:footnote>
  <w:footnote w:id="39">
    <w:p>
      <w:pPr>
        <w:pStyle w:val="FootnoteText"/>
        <w:rPr>
          <w:lang w:val="hu-HU"/>
        </w:rPr>
      </w:pPr>
      <w:r>
        <w:rPr>
          <w:rStyle w:val="FootnoteReference"/>
        </w:rPr>
        <w:footnoteRef/>
      </w:r>
      <w:r>
        <w:rPr>
          <w:lang w:val="hu-HU"/>
        </w:rPr>
        <w:tab/>
      </w:r>
      <w:r>
        <w:rPr>
          <w:rStyle w:val="Emphasis"/>
          <w:lang w:val="hu-HU"/>
        </w:rPr>
        <w:t>ОВ L 291 , 24.10.1983 г., стр. 0001—0008.</w:t>
      </w:r>
    </w:p>
  </w:footnote>
  <w:footnote w:id="40">
    <w:p>
      <w:pPr>
        <w:pStyle w:val="FootnoteText"/>
        <w:rPr>
          <w:lang w:val="hu-HU"/>
        </w:rPr>
      </w:pPr>
      <w:r>
        <w:rPr>
          <w:rStyle w:val="FootnoteReference"/>
        </w:rPr>
        <w:footnoteRef/>
      </w:r>
      <w:r>
        <w:rPr>
          <w:lang w:val="hu-HU"/>
        </w:rPr>
        <w:tab/>
      </w:r>
      <w:r>
        <w:rPr>
          <w:i/>
          <w:lang w:val="hu-HU"/>
        </w:rPr>
        <w:t>ОВ L 74, 17.3.1984 г., стр. 49—54.</w:t>
      </w:r>
    </w:p>
  </w:footnote>
  <w:footnote w:id="41">
    <w:p>
      <w:pPr>
        <w:pStyle w:val="FootnoteText"/>
        <w:rPr>
          <w:lang w:val="hu-HU"/>
        </w:rPr>
      </w:pPr>
      <w:r>
        <w:rPr>
          <w:rStyle w:val="FootnoteReference"/>
        </w:rPr>
        <w:footnoteRef/>
      </w:r>
      <w:r>
        <w:rPr>
          <w:lang w:val="hu-HU"/>
        </w:rPr>
        <w:tab/>
      </w:r>
      <w:r>
        <w:rPr>
          <w:i/>
          <w:lang w:val="hu-HU"/>
        </w:rPr>
        <w:t>ОВ L 274, 17.10.1984 г., стр. 11—17.</w:t>
      </w:r>
    </w:p>
  </w:footnote>
  <w:footnote w:id="42">
    <w:p>
      <w:pPr>
        <w:pStyle w:val="FootnoteText"/>
        <w:rPr>
          <w:lang w:val="hu-HU"/>
        </w:rPr>
      </w:pPr>
      <w:r>
        <w:rPr>
          <w:rStyle w:val="FootnoteReference"/>
        </w:rPr>
        <w:footnoteRef/>
      </w:r>
      <w:r>
        <w:rPr>
          <w:lang w:val="hu-HU"/>
        </w:rPr>
        <w:tab/>
      </w:r>
      <w:r>
        <w:rPr>
          <w:i/>
          <w:lang w:val="hu-HU"/>
        </w:rPr>
        <w:t>ОВ L 181, 4.7.1986 г., стр. 16—27.</w:t>
      </w:r>
    </w:p>
  </w:footnote>
  <w:footnote w:id="43">
    <w:p>
      <w:pPr>
        <w:pStyle w:val="FootnoteText"/>
        <w:rPr>
          <w:lang w:val="hu-HU"/>
        </w:rPr>
      </w:pPr>
      <w:r>
        <w:rPr>
          <w:rStyle w:val="FootnoteReference"/>
        </w:rPr>
        <w:footnoteRef/>
      </w:r>
      <w:r>
        <w:rPr>
          <w:lang w:val="hu-HU"/>
        </w:rPr>
        <w:tab/>
      </w:r>
      <w:r>
        <w:rPr>
          <w:rStyle w:val="Emphasis"/>
          <w:lang w:val="hu-HU"/>
        </w:rPr>
        <w:t>ОВ L 219 , 14.8.1990 г., стр. 0049—0057.</w:t>
      </w:r>
    </w:p>
  </w:footnote>
  <w:footnote w:id="44">
    <w:p>
      <w:pPr>
        <w:pStyle w:val="FootnoteText"/>
        <w:rPr>
          <w:lang w:val="hu-HU"/>
        </w:rPr>
      </w:pPr>
      <w:r>
        <w:rPr>
          <w:rStyle w:val="FootnoteReference"/>
        </w:rPr>
        <w:footnoteRef/>
      </w:r>
      <w:r>
        <w:rPr>
          <w:lang w:val="hu-HU"/>
        </w:rPr>
        <w:tab/>
      </w:r>
      <w:r>
        <w:rPr>
          <w:i/>
          <w:lang w:val="hu-HU"/>
        </w:rPr>
        <w:t>ОВ L 194, 25.7.1975 г., стр. 26—31.</w:t>
      </w:r>
    </w:p>
  </w:footnote>
  <w:footnote w:id="45">
    <w:p>
      <w:pPr>
        <w:pStyle w:val="FootnoteText"/>
        <w:rPr>
          <w:lang w:val="hu-HU"/>
        </w:rPr>
      </w:pPr>
      <w:r>
        <w:rPr>
          <w:rStyle w:val="FootnoteReference"/>
        </w:rPr>
        <w:footnoteRef/>
      </w:r>
      <w:r>
        <w:rPr>
          <w:lang w:val="hu-HU"/>
        </w:rPr>
        <w:tab/>
        <w:t>ОВ L 229, 30.8.1980 г., стр. 11—29.</w:t>
      </w:r>
    </w:p>
  </w:footnote>
  <w:footnote w:id="46">
    <w:p>
      <w:pPr>
        <w:pStyle w:val="FootnoteText"/>
        <w:rPr>
          <w:lang w:val="hu-HU"/>
        </w:rPr>
      </w:pPr>
      <w:r>
        <w:rPr>
          <w:rStyle w:val="FootnoteReference"/>
        </w:rPr>
        <w:footnoteRef/>
      </w:r>
      <w:r>
        <w:rPr>
          <w:lang w:val="hu-HU"/>
        </w:rPr>
        <w:tab/>
        <w:t xml:space="preserve">ОВ </w:t>
      </w:r>
      <w:r>
        <w:rPr>
          <w:sz w:val="18"/>
          <w:lang w:val="hu-HU"/>
        </w:rPr>
        <w:t>L 330, 5.12.1998 г., стр. 32—54.</w:t>
      </w:r>
    </w:p>
  </w:footnote>
  <w:footnote w:id="47">
    <w:p>
      <w:pPr>
        <w:pStyle w:val="FootnoteText"/>
        <w:rPr>
          <w:lang w:val="hu-HU"/>
        </w:rPr>
      </w:pPr>
      <w:r>
        <w:rPr>
          <w:rStyle w:val="FootnoteReference"/>
        </w:rPr>
        <w:footnoteRef/>
      </w:r>
      <w:r>
        <w:rPr>
          <w:lang w:val="hu-HU"/>
        </w:rPr>
        <w:tab/>
      </w:r>
      <w:r>
        <w:rPr>
          <w:rStyle w:val="Emphasis"/>
          <w:lang w:val="hu-HU"/>
        </w:rPr>
        <w:t>ОВ L 087 , 27.3.1985 г., стр. 0001—0007.</w:t>
      </w:r>
    </w:p>
  </w:footnote>
  <w:footnote w:id="48">
    <w:p>
      <w:pPr>
        <w:pStyle w:val="FootnoteText"/>
        <w:rPr>
          <w:lang w:val="hu-HU"/>
        </w:rPr>
      </w:pPr>
      <w:r>
        <w:rPr>
          <w:rStyle w:val="FootnoteReference"/>
        </w:rPr>
        <w:footnoteRef/>
      </w:r>
      <w:r>
        <w:rPr>
          <w:lang w:val="hu-HU"/>
        </w:rPr>
        <w:tab/>
      </w:r>
      <w:r>
        <w:rPr>
          <w:i/>
          <w:lang w:val="hu-HU"/>
        </w:rPr>
        <w:t>ОВ L 372, 31.12.1985 г., стр. 36.</w:t>
      </w:r>
    </w:p>
  </w:footnote>
  <w:footnote w:id="49">
    <w:p>
      <w:pPr>
        <w:pStyle w:val="FootnoteText"/>
        <w:rPr>
          <w:lang w:val="hu-HU"/>
        </w:rPr>
      </w:pPr>
      <w:r>
        <w:rPr>
          <w:rStyle w:val="FootnoteReference"/>
        </w:rPr>
        <w:footnoteRef/>
      </w:r>
      <w:r>
        <w:rPr>
          <w:lang w:val="hu-HU"/>
        </w:rPr>
        <w:tab/>
      </w:r>
      <w:r>
        <w:rPr>
          <w:i/>
          <w:lang w:val="hu-HU"/>
        </w:rPr>
        <w:t>ОВ L 307, 27.11.1975 г., стр. 22—24.</w:t>
      </w:r>
    </w:p>
  </w:footnote>
  <w:footnote w:id="50">
    <w:p>
      <w:pPr>
        <w:pStyle w:val="FootnoteText"/>
        <w:rPr>
          <w:lang w:val="hu-HU"/>
        </w:rPr>
      </w:pPr>
      <w:r>
        <w:rPr>
          <w:rStyle w:val="FootnoteReference"/>
        </w:rPr>
        <w:footnoteRef/>
      </w:r>
      <w:r>
        <w:rPr>
          <w:lang w:val="hu-HU"/>
        </w:rPr>
        <w:tab/>
      </w:r>
      <w:r>
        <w:rPr>
          <w:i/>
          <w:lang w:val="hu-HU"/>
        </w:rPr>
        <w:t>ОВ L 74, 27.3.1993 г., стр. 81—83.</w:t>
      </w:r>
    </w:p>
  </w:footnote>
  <w:footnote w:id="51">
    <w:p>
      <w:pPr>
        <w:pStyle w:val="FootnoteText"/>
        <w:rPr>
          <w:lang w:val="hu-HU"/>
        </w:rPr>
      </w:pPr>
      <w:r>
        <w:rPr>
          <w:rStyle w:val="FootnoteReference"/>
        </w:rPr>
        <w:footnoteRef/>
      </w:r>
      <w:r>
        <w:rPr>
          <w:lang w:val="hu-HU"/>
        </w:rPr>
        <w:tab/>
      </w:r>
      <w:r>
        <w:rPr>
          <w:i/>
          <w:lang w:val="hu-HU"/>
        </w:rPr>
        <w:t>ОВ L 188, 16.7.1984 г., стр. 20—25.</w:t>
      </w:r>
    </w:p>
  </w:footnote>
  <w:footnote w:id="52">
    <w:p>
      <w:pPr>
        <w:pStyle w:val="FootnoteText"/>
        <w:rPr>
          <w:lang w:val="hu-HU"/>
        </w:rPr>
      </w:pPr>
      <w:r>
        <w:rPr>
          <w:rStyle w:val="FootnoteReference"/>
        </w:rPr>
        <w:footnoteRef/>
      </w:r>
      <w:r>
        <w:rPr>
          <w:lang w:val="hu-HU"/>
        </w:rPr>
        <w:tab/>
      </w:r>
      <w:r>
        <w:rPr>
          <w:i/>
          <w:lang w:val="hu-HU"/>
        </w:rPr>
        <w:t>ОВ L 24, 29.1.2008 г., стр. 8—29.</w:t>
      </w:r>
    </w:p>
  </w:footnote>
  <w:footnote w:id="53">
    <w:p>
      <w:pPr>
        <w:pStyle w:val="FootnoteText"/>
        <w:rPr>
          <w:lang w:val="hu-HU"/>
        </w:rPr>
      </w:pPr>
      <w:r>
        <w:rPr>
          <w:rStyle w:val="FootnoteReference"/>
        </w:rPr>
        <w:footnoteRef/>
      </w:r>
      <w:r>
        <w:rPr>
          <w:lang w:val="hu-HU"/>
        </w:rPr>
        <w:tab/>
      </w:r>
      <w:r>
        <w:rPr>
          <w:i/>
          <w:lang w:val="hu-HU"/>
        </w:rPr>
        <w:t>ОВ L 334, 17.12.2010 г., стр. 17—119.</w:t>
      </w:r>
    </w:p>
  </w:footnote>
  <w:footnote w:id="54">
    <w:p>
      <w:pPr>
        <w:pStyle w:val="FootnoteText"/>
        <w:rPr>
          <w:lang w:val="hu-HU"/>
        </w:rPr>
      </w:pPr>
      <w:r>
        <w:rPr>
          <w:rStyle w:val="FootnoteReference"/>
        </w:rPr>
        <w:footnoteRef/>
      </w:r>
      <w:r>
        <w:rPr>
          <w:lang w:val="hu-HU"/>
        </w:rPr>
        <w:tab/>
      </w:r>
      <w:r>
        <w:rPr>
          <w:rStyle w:val="Emphasis"/>
          <w:lang w:val="hu-HU"/>
        </w:rPr>
        <w:t>ОВ L 229 , 30.8.1980 г., стр. 0030—0048.</w:t>
      </w:r>
    </w:p>
  </w:footnote>
  <w:footnote w:id="55">
    <w:p>
      <w:pPr>
        <w:pStyle w:val="FootnoteText"/>
        <w:rPr>
          <w:lang w:val="hu-HU"/>
        </w:rPr>
      </w:pPr>
      <w:r>
        <w:rPr>
          <w:rStyle w:val="FootnoteReference"/>
        </w:rPr>
        <w:footnoteRef/>
      </w:r>
      <w:r>
        <w:rPr>
          <w:lang w:val="hu-HU"/>
        </w:rPr>
        <w:tab/>
      </w:r>
      <w:r>
        <w:rPr>
          <w:i/>
          <w:lang w:val="hu-HU"/>
        </w:rPr>
        <w:t>ОВ L 163, 29.6.1999 г., стр. 41—60.</w:t>
      </w:r>
    </w:p>
  </w:footnote>
  <w:footnote w:id="56">
    <w:p>
      <w:pPr>
        <w:pStyle w:val="FootnoteText"/>
        <w:rPr>
          <w:lang w:val="hu-HU"/>
        </w:rPr>
      </w:pPr>
      <w:r>
        <w:rPr>
          <w:rStyle w:val="FootnoteReference"/>
        </w:rPr>
        <w:footnoteRef/>
      </w:r>
      <w:r>
        <w:rPr>
          <w:lang w:val="hu-HU"/>
        </w:rPr>
        <w:tab/>
      </w:r>
      <w:r>
        <w:rPr>
          <w:rStyle w:val="Emphasis"/>
          <w:lang w:val="hu-HU"/>
        </w:rPr>
        <w:t>ОВ L 378 , 31.12.1982 г., стр. 0015—0018.</w:t>
      </w:r>
    </w:p>
  </w:footnote>
  <w:footnote w:id="57">
    <w:p>
      <w:pPr>
        <w:pStyle w:val="FootnoteText"/>
        <w:rPr>
          <w:lang w:val="hu-HU"/>
        </w:rPr>
      </w:pPr>
      <w:r>
        <w:rPr>
          <w:rStyle w:val="FootnoteReference"/>
        </w:rPr>
        <w:footnoteRef/>
      </w:r>
      <w:r>
        <w:rPr>
          <w:lang w:val="hu-HU"/>
        </w:rPr>
        <w:tab/>
      </w:r>
      <w:r>
        <w:rPr>
          <w:rStyle w:val="Emphasis"/>
          <w:lang w:val="hu-HU"/>
        </w:rPr>
        <w:t>ОВ L 087, 27.3.1985 г., стр. 0001—0007.</w:t>
      </w:r>
    </w:p>
  </w:footnote>
  <w:footnote w:id="58">
    <w:p>
      <w:pPr>
        <w:pStyle w:val="FootnoteText"/>
        <w:rPr>
          <w:lang w:val="hu-HU"/>
        </w:rPr>
      </w:pPr>
      <w:r>
        <w:rPr>
          <w:rStyle w:val="FootnoteReference"/>
        </w:rPr>
        <w:footnoteRef/>
      </w:r>
      <w:r>
        <w:rPr>
          <w:lang w:val="hu-HU"/>
        </w:rPr>
        <w:tab/>
      </w:r>
      <w:r>
        <w:rPr>
          <w:i/>
          <w:lang w:val="hu-HU"/>
        </w:rPr>
        <w:t>ОВ L 372, 31.12.1985 г., стр. 36.</w:t>
      </w:r>
    </w:p>
  </w:footnote>
  <w:footnote w:id="59">
    <w:p>
      <w:pPr>
        <w:pStyle w:val="FootnoteText"/>
        <w:rPr>
          <w:lang w:val="hu-HU"/>
        </w:rPr>
      </w:pPr>
      <w:r>
        <w:rPr>
          <w:rStyle w:val="FootnoteReference"/>
        </w:rPr>
        <w:footnoteRef/>
      </w:r>
      <w:r>
        <w:rPr>
          <w:lang w:val="hu-HU"/>
        </w:rPr>
        <w:tab/>
      </w:r>
      <w:r>
        <w:rPr>
          <w:i/>
          <w:lang w:val="hu-HU"/>
        </w:rPr>
        <w:t>ОВ L 194, 25.7.1975 г., стр. 23—25.</w:t>
      </w:r>
    </w:p>
  </w:footnote>
  <w:footnote w:id="60">
    <w:p>
      <w:pPr>
        <w:pStyle w:val="FootnoteText"/>
        <w:rPr>
          <w:lang w:val="hu-HU"/>
        </w:rPr>
      </w:pPr>
      <w:r>
        <w:rPr>
          <w:rStyle w:val="FootnoteReference"/>
        </w:rPr>
        <w:footnoteRef/>
      </w:r>
      <w:r>
        <w:rPr>
          <w:lang w:val="hu-HU"/>
        </w:rPr>
        <w:tab/>
      </w:r>
      <w:r>
        <w:rPr>
          <w:i/>
          <w:lang w:val="hu-HU"/>
        </w:rPr>
        <w:t>ОВ L 312, 22.11.2008 г., стр. 3—30.</w:t>
      </w:r>
    </w:p>
  </w:footnote>
  <w:footnote w:id="61">
    <w:p>
      <w:pPr>
        <w:pStyle w:val="FootnoteText"/>
        <w:rPr>
          <w:lang w:val="hu-HU"/>
        </w:rPr>
      </w:pPr>
      <w:r>
        <w:rPr>
          <w:rStyle w:val="FootnoteReference"/>
        </w:rPr>
        <w:footnoteRef/>
      </w:r>
      <w:r>
        <w:rPr>
          <w:lang w:val="hu-HU"/>
        </w:rPr>
        <w:tab/>
        <w:t>ОВ L 194, 25.7.1975 г., стр. 39—41.</w:t>
      </w:r>
    </w:p>
  </w:footnote>
  <w:footnote w:id="62">
    <w:p>
      <w:pPr>
        <w:pStyle w:val="FootnoteText"/>
        <w:rPr>
          <w:lang w:val="hu-HU"/>
        </w:rPr>
      </w:pPr>
      <w:r>
        <w:rPr>
          <w:rStyle w:val="FootnoteReference"/>
        </w:rPr>
        <w:footnoteRef/>
      </w:r>
      <w:r>
        <w:rPr>
          <w:lang w:val="hu-HU"/>
        </w:rPr>
        <w:tab/>
      </w:r>
      <w:r>
        <w:rPr>
          <w:i/>
          <w:lang w:val="hu-HU"/>
        </w:rPr>
        <w:t>ОВ L 114, 27.4.2006 г., стр. 9—21.</w:t>
      </w:r>
    </w:p>
  </w:footnote>
  <w:footnote w:id="63">
    <w:p>
      <w:pPr>
        <w:pStyle w:val="FootnoteText"/>
        <w:rPr>
          <w:lang w:val="hu-HU"/>
        </w:rPr>
      </w:pPr>
      <w:r>
        <w:rPr>
          <w:rStyle w:val="FootnoteReference"/>
        </w:rPr>
        <w:footnoteRef/>
      </w:r>
      <w:r>
        <w:rPr>
          <w:lang w:val="hu-HU"/>
        </w:rPr>
        <w:tab/>
      </w:r>
      <w:r>
        <w:rPr>
          <w:rStyle w:val="Emphasis"/>
          <w:lang w:val="hu-HU"/>
        </w:rPr>
        <w:t>ОВ L 108, 26.4.1976 г., стр. 0041—0042.</w:t>
      </w:r>
    </w:p>
  </w:footnote>
  <w:footnote w:id="64">
    <w:p>
      <w:pPr>
        <w:pStyle w:val="FootnoteText"/>
        <w:rPr>
          <w:lang w:val="hu-HU"/>
        </w:rPr>
      </w:pPr>
      <w:r>
        <w:rPr>
          <w:rStyle w:val="FootnoteReference"/>
        </w:rPr>
        <w:footnoteRef/>
      </w:r>
      <w:r>
        <w:rPr>
          <w:lang w:val="hu-HU"/>
        </w:rPr>
        <w:tab/>
      </w:r>
      <w:r>
        <w:rPr>
          <w:i/>
          <w:lang w:val="hu-HU"/>
        </w:rPr>
        <w:t>ОВ L 243, 24.9.1996 г., стр. 31—35.</w:t>
      </w:r>
    </w:p>
  </w:footnote>
  <w:footnote w:id="65">
    <w:p>
      <w:pPr>
        <w:pStyle w:val="FootnoteText"/>
        <w:rPr>
          <w:lang w:val="hu-HU"/>
        </w:rPr>
      </w:pPr>
      <w:r>
        <w:rPr>
          <w:rStyle w:val="FootnoteReference"/>
        </w:rPr>
        <w:footnoteRef/>
      </w:r>
      <w:r>
        <w:rPr>
          <w:lang w:val="hu-HU"/>
        </w:rPr>
        <w:tab/>
      </w:r>
      <w:r>
        <w:rPr>
          <w:i/>
          <w:lang w:val="hu-HU"/>
        </w:rPr>
        <w:t>ОВ L 84, 31.3.1978 г., стр. 43—48.</w:t>
      </w:r>
    </w:p>
  </w:footnote>
  <w:footnote w:id="66">
    <w:p>
      <w:pPr>
        <w:pStyle w:val="FootnoteText"/>
        <w:rPr>
          <w:lang w:val="hu-HU"/>
        </w:rPr>
      </w:pPr>
      <w:r>
        <w:rPr>
          <w:rStyle w:val="FootnoteReference"/>
        </w:rPr>
        <w:footnoteRef/>
      </w:r>
      <w:r>
        <w:rPr>
          <w:lang w:val="hu-HU"/>
        </w:rPr>
        <w:tab/>
      </w:r>
      <w:r>
        <w:rPr>
          <w:rStyle w:val="Emphasis"/>
          <w:lang w:val="hu-HU"/>
        </w:rPr>
        <w:t>ОВ L 377, 31.12.1991 г., стр. 0020—0027.</w:t>
      </w:r>
    </w:p>
  </w:footnote>
  <w:footnote w:id="67">
    <w:p>
      <w:pPr>
        <w:pStyle w:val="FootnoteText"/>
        <w:rPr>
          <w:lang w:val="hu-HU"/>
        </w:rPr>
      </w:pPr>
      <w:r>
        <w:rPr>
          <w:rStyle w:val="FootnoteReference"/>
        </w:rPr>
        <w:footnoteRef/>
      </w:r>
      <w:r>
        <w:rPr>
          <w:lang w:val="hu-HU"/>
        </w:rPr>
        <w:tab/>
      </w:r>
      <w:r>
        <w:rPr>
          <w:i/>
          <w:lang w:val="hu-HU"/>
        </w:rPr>
        <w:t>ОВ L 326, 13.12.1984 г., стр. 31—41.</w:t>
      </w:r>
    </w:p>
  </w:footnote>
  <w:footnote w:id="68">
    <w:p>
      <w:pPr>
        <w:pStyle w:val="FootnoteText"/>
        <w:rPr>
          <w:lang w:val="hu-HU"/>
        </w:rPr>
      </w:pPr>
      <w:r>
        <w:rPr>
          <w:rStyle w:val="FootnoteReference"/>
        </w:rPr>
        <w:footnoteRef/>
      </w:r>
      <w:r>
        <w:rPr>
          <w:lang w:val="hu-HU"/>
        </w:rPr>
        <w:tab/>
      </w:r>
      <w:r>
        <w:rPr>
          <w:i/>
          <w:lang w:val="hu-HU"/>
        </w:rPr>
        <w:t>ОВ L 30, 6.2.1993 г., стр. 1—28.</w:t>
      </w:r>
    </w:p>
  </w:footnote>
  <w:footnote w:id="69">
    <w:p>
      <w:pPr>
        <w:pStyle w:val="FootnoteText"/>
        <w:rPr>
          <w:lang w:val="hu-HU"/>
        </w:rPr>
      </w:pPr>
      <w:r>
        <w:rPr>
          <w:rStyle w:val="FootnoteReference"/>
        </w:rPr>
        <w:footnoteRef/>
      </w:r>
      <w:r>
        <w:rPr>
          <w:lang w:val="hu-HU"/>
        </w:rPr>
        <w:tab/>
      </w:r>
      <w:r>
        <w:rPr>
          <w:i/>
          <w:lang w:val="hu-HU"/>
        </w:rPr>
        <w:t>ОВ L 190, 12.7.2006 г., стр. 1—98.</w:t>
      </w:r>
    </w:p>
  </w:footnote>
  <w:footnote w:id="70">
    <w:p>
      <w:pPr>
        <w:pStyle w:val="FootnoteText"/>
        <w:rPr>
          <w:lang w:val="hu-HU"/>
        </w:rPr>
      </w:pPr>
      <w:r>
        <w:rPr>
          <w:rStyle w:val="FootnoteReference"/>
        </w:rPr>
        <w:footnoteRef/>
      </w:r>
      <w:r>
        <w:rPr>
          <w:lang w:val="hu-HU"/>
        </w:rPr>
        <w:tab/>
      </w:r>
      <w:r>
        <w:rPr>
          <w:rStyle w:val="Emphasis"/>
          <w:lang w:val="hu-HU"/>
        </w:rPr>
        <w:t>ОВ L 176, 6.7.1985 г., стр. 0018—0021.</w:t>
      </w:r>
    </w:p>
  </w:footnote>
  <w:footnote w:id="71">
    <w:p>
      <w:pPr>
        <w:pStyle w:val="FootnoteText"/>
        <w:rPr>
          <w:lang w:val="hu-HU"/>
        </w:rPr>
      </w:pPr>
      <w:r>
        <w:rPr>
          <w:rStyle w:val="FootnoteReference"/>
        </w:rPr>
        <w:footnoteRef/>
      </w:r>
      <w:r>
        <w:rPr>
          <w:lang w:val="hu-HU"/>
        </w:rPr>
        <w:tab/>
      </w:r>
      <w:r>
        <w:rPr>
          <w:i/>
          <w:lang w:val="hu-HU"/>
        </w:rPr>
        <w:t>ОВ L 365, 31.12.1994 г., стр. 10—23.</w:t>
      </w:r>
    </w:p>
  </w:footnote>
  <w:footnote w:id="72">
    <w:p>
      <w:pPr>
        <w:pStyle w:val="FootnoteText"/>
        <w:rPr>
          <w:lang w:val="hu-HU"/>
        </w:rPr>
      </w:pPr>
      <w:r>
        <w:rPr>
          <w:rStyle w:val="FootnoteReference"/>
        </w:rPr>
        <w:footnoteRef/>
      </w:r>
      <w:r>
        <w:rPr>
          <w:lang w:val="hu-HU"/>
        </w:rPr>
        <w:tab/>
        <w:t>ОВ L 89, 25.3.2014 г., стр. 45—76.</w:t>
      </w:r>
    </w:p>
  </w:footnote>
  <w:footnote w:id="73">
    <w:p>
      <w:pPr>
        <w:pStyle w:val="FootnoteText"/>
        <w:rPr>
          <w:lang w:val="hu-HU"/>
        </w:rPr>
      </w:pPr>
      <w:r>
        <w:rPr>
          <w:rStyle w:val="FootnoteReference"/>
        </w:rPr>
        <w:footnoteRef/>
      </w:r>
      <w:r>
        <w:rPr>
          <w:lang w:val="hu-HU"/>
        </w:rPr>
        <w:tab/>
      </w:r>
      <w:hyperlink r:id="rId1">
        <w:r>
          <w:rPr>
            <w:lang w:val="hu-HU"/>
          </w:rPr>
          <w:t>ОВ L 126, 19.5.2005 г., стр. 43.</w:t>
        </w:r>
      </w:hyperlink>
    </w:p>
  </w:footnote>
  <w:footnote w:id="74">
    <w:p>
      <w:pPr>
        <w:pStyle w:val="FootnoteText"/>
        <w:rPr>
          <w:lang w:val="hu-HU"/>
        </w:rPr>
      </w:pPr>
      <w:r>
        <w:rPr>
          <w:rStyle w:val="FootnoteReference"/>
        </w:rPr>
        <w:footnoteRef/>
      </w:r>
      <w:r>
        <w:rPr>
          <w:lang w:val="hu-HU"/>
        </w:rPr>
        <w:tab/>
        <w:t>ОВ L 329, 25.11.2006 г., стр. 38—63.</w:t>
      </w:r>
    </w:p>
  </w:footnote>
  <w:footnote w:id="75">
    <w:p>
      <w:pPr>
        <w:pStyle w:val="FootnoteText"/>
        <w:rPr>
          <w:lang w:val="hu-HU"/>
        </w:rPr>
      </w:pPr>
      <w:r>
        <w:rPr>
          <w:rStyle w:val="FootnoteReference"/>
        </w:rPr>
        <w:footnoteRef/>
      </w:r>
      <w:r>
        <w:rPr>
          <w:lang w:val="hu-HU"/>
        </w:rPr>
        <w:tab/>
        <w:t>С(2012) 2384 окончателен.</w:t>
      </w:r>
    </w:p>
  </w:footnote>
  <w:footnote w:id="76">
    <w:p>
      <w:pPr>
        <w:pStyle w:val="FootnoteText"/>
        <w:rPr>
          <w:lang w:val="hu-HU"/>
        </w:rPr>
      </w:pPr>
      <w:r>
        <w:rPr>
          <w:rStyle w:val="FootnoteReference"/>
        </w:rPr>
        <w:footnoteRef/>
      </w:r>
      <w:r>
        <w:rPr>
          <w:lang w:val="hu-HU"/>
        </w:rPr>
        <w:tab/>
        <w:t>ОВ L 78, 16.3.2004 г., стр. 56—59.</w:t>
      </w:r>
    </w:p>
  </w:footnote>
  <w:footnote w:id="77">
    <w:p>
      <w:pPr>
        <w:pStyle w:val="FootnoteText"/>
        <w:rPr>
          <w:lang w:val="hu-HU"/>
        </w:rPr>
      </w:pPr>
      <w:r>
        <w:rPr>
          <w:rStyle w:val="FootnoteReference"/>
        </w:rPr>
        <w:footnoteRef/>
      </w:r>
      <w:r>
        <w:rPr>
          <w:lang w:val="hu-HU"/>
        </w:rPr>
        <w:tab/>
        <w:t>ОВ L 67, 7.3.2007 г., стр. 7—9.</w:t>
      </w:r>
    </w:p>
  </w:footnote>
  <w:footnote w:id="78">
    <w:p>
      <w:pPr>
        <w:pStyle w:val="FootnoteText"/>
        <w:rPr>
          <w:lang w:val="hu-HU"/>
        </w:rPr>
      </w:pPr>
      <w:r>
        <w:rPr>
          <w:rStyle w:val="FootnoteReference"/>
        </w:rPr>
        <w:footnoteRef/>
      </w:r>
      <w:r>
        <w:rPr>
          <w:lang w:val="hu-HU"/>
        </w:rPr>
        <w:tab/>
        <w:t>ОВ L 298, 25.11.2000 г., стр. 24—26.</w:t>
      </w:r>
    </w:p>
  </w:footnote>
  <w:footnote w:id="79">
    <w:p>
      <w:pPr>
        <w:pStyle w:val="FootnoteText"/>
        <w:rPr>
          <w:lang w:val="hu-HU"/>
        </w:rPr>
      </w:pPr>
      <w:r>
        <w:rPr>
          <w:rStyle w:val="FootnoteReference"/>
        </w:rPr>
        <w:footnoteRef/>
      </w:r>
      <w:r>
        <w:rPr>
          <w:lang w:val="hu-HU"/>
        </w:rPr>
        <w:tab/>
        <w:t>ОВ L 282, 26.10.2001 г., стр. 77—80.</w:t>
      </w:r>
    </w:p>
  </w:footnote>
  <w:footnote w:id="80">
    <w:p>
      <w:pPr>
        <w:pStyle w:val="FootnoteText"/>
        <w:ind w:left="0" w:firstLine="0"/>
        <w:rPr>
          <w:lang w:val="hu-HU"/>
        </w:rPr>
      </w:pPr>
      <w:r>
        <w:rPr>
          <w:rStyle w:val="FootnoteReference"/>
        </w:rPr>
        <w:footnoteRef/>
      </w:r>
      <w:r>
        <w:rPr>
          <w:lang w:val="hu-HU"/>
        </w:rPr>
        <w:tab/>
        <w:t>ОВ L 256, 19.9.1997 г., стр. 13—19.</w:t>
      </w:r>
    </w:p>
  </w:footnote>
  <w:footnote w:id="81">
    <w:p>
      <w:pPr>
        <w:pStyle w:val="FootnoteText"/>
        <w:rPr>
          <w:lang w:val="hu-HU"/>
        </w:rPr>
      </w:pPr>
      <w:r>
        <w:rPr>
          <w:rStyle w:val="FootnoteReference"/>
        </w:rPr>
        <w:footnoteRef/>
      </w:r>
      <w:r>
        <w:rPr>
          <w:lang w:val="hu-HU"/>
        </w:rPr>
        <w:tab/>
        <w:t>ОВ L 296, 17.11.1994 г., стр. 42—55.</w:t>
      </w:r>
    </w:p>
  </w:footnote>
  <w:footnote w:id="82">
    <w:p>
      <w:pPr>
        <w:pStyle w:val="FootnoteText"/>
        <w:rPr>
          <w:lang w:val="hu-HU"/>
        </w:rPr>
      </w:pPr>
      <w:r>
        <w:rPr>
          <w:rStyle w:val="FootnoteReference"/>
        </w:rPr>
        <w:footnoteRef/>
      </w:r>
      <w:r>
        <w:rPr>
          <w:lang w:val="hu-HU"/>
        </w:rPr>
        <w:tab/>
        <w:t>ОВ L 247, 24.9.2011 г., стр. 54—58.</w:t>
      </w:r>
    </w:p>
  </w:footnote>
  <w:footnote w:id="83">
    <w:p>
      <w:pPr>
        <w:pStyle w:val="FootnoteText"/>
        <w:rPr>
          <w:lang w:val="hu-HU"/>
        </w:rPr>
      </w:pPr>
      <w:r>
        <w:rPr>
          <w:rStyle w:val="FootnoteReference"/>
        </w:rPr>
        <w:footnoteRef/>
      </w:r>
      <w:r>
        <w:rPr>
          <w:lang w:val="hu-HU"/>
        </w:rPr>
        <w:tab/>
        <w:t>ОВ L 37, 11.2.2011 г., стр. 19—24.</w:t>
      </w:r>
    </w:p>
  </w:footnote>
  <w:footnote w:id="84">
    <w:p>
      <w:pPr>
        <w:pStyle w:val="FootnoteText"/>
        <w:rPr>
          <w:lang w:val="hu-HU"/>
        </w:rPr>
      </w:pPr>
      <w:r>
        <w:rPr>
          <w:rStyle w:val="FootnoteReference"/>
        </w:rPr>
        <w:footnoteRef/>
      </w:r>
      <w:r>
        <w:rPr>
          <w:lang w:val="hu-HU"/>
        </w:rPr>
        <w:tab/>
        <w:t>ОВ L 292, 10.11.2010 г., стр. 65—67.</w:t>
      </w:r>
    </w:p>
  </w:footnote>
  <w:footnote w:id="85">
    <w:p>
      <w:pPr>
        <w:pStyle w:val="FootnoteText"/>
        <w:rPr>
          <w:lang w:val="hu-HU"/>
        </w:rPr>
      </w:pPr>
      <w:r>
        <w:rPr>
          <w:rStyle w:val="FootnoteReference"/>
        </w:rPr>
        <w:footnoteRef/>
      </w:r>
      <w:r>
        <w:rPr>
          <w:lang w:val="hu-HU"/>
        </w:rPr>
        <w:tab/>
        <w:t>ОВ L 195, 27.7.2007 г., стр. 47—49.</w:t>
      </w:r>
    </w:p>
  </w:footnote>
  <w:footnote w:id="86">
    <w:p>
      <w:pPr>
        <w:pStyle w:val="FootnoteText"/>
        <w:rPr>
          <w:lang w:val="hu-HU"/>
        </w:rPr>
      </w:pPr>
      <w:r>
        <w:rPr>
          <w:rStyle w:val="FootnoteReference"/>
        </w:rPr>
        <w:footnoteRef/>
      </w:r>
      <w:r>
        <w:rPr>
          <w:lang w:val="hu-HU"/>
        </w:rPr>
        <w:tab/>
        <w:t>ОВ L 89, 5.4.2003 г., стр. 17—23.</w:t>
      </w:r>
    </w:p>
  </w:footnote>
  <w:footnote w:id="87">
    <w:p>
      <w:pPr>
        <w:pStyle w:val="FootnoteText"/>
        <w:rPr>
          <w:lang w:val="hu-HU"/>
        </w:rPr>
      </w:pPr>
      <w:r>
        <w:rPr>
          <w:rStyle w:val="FootnoteReference"/>
        </w:rPr>
        <w:footnoteRef/>
      </w:r>
      <w:r>
        <w:rPr>
          <w:lang w:val="hu-HU"/>
        </w:rPr>
        <w:tab/>
        <w:t>ОВ L 195, 24.7.2002 г., стр. 74—80.</w:t>
      </w:r>
    </w:p>
  </w:footnote>
  <w:footnote w:id="88">
    <w:p>
      <w:pPr>
        <w:pStyle w:val="FootnoteText"/>
        <w:rPr>
          <w:lang w:val="hu-HU"/>
        </w:rPr>
      </w:pPr>
      <w:r>
        <w:rPr>
          <w:rStyle w:val="FootnoteReference"/>
        </w:rPr>
        <w:footnoteRef/>
      </w:r>
      <w:r>
        <w:rPr>
          <w:lang w:val="hu-HU"/>
        </w:rPr>
        <w:tab/>
        <w:t>ОВ L 148, 15.6.1999 г., стр. 39—43.</w:t>
      </w:r>
    </w:p>
  </w:footnote>
  <w:footnote w:id="89">
    <w:p>
      <w:pPr>
        <w:pStyle w:val="FootnoteText"/>
        <w:rPr>
          <w:lang w:val="hu-HU"/>
        </w:rPr>
      </w:pPr>
      <w:r>
        <w:rPr>
          <w:rStyle w:val="FootnoteReference"/>
        </w:rPr>
        <w:footnoteRef/>
      </w:r>
      <w:r>
        <w:rPr>
          <w:lang w:val="hu-HU"/>
        </w:rPr>
        <w:tab/>
        <w:t>ОВ L 120, 8.5.1999 г., стр. 43—45.</w:t>
      </w:r>
    </w:p>
  </w:footnote>
  <w:footnote w:id="90">
    <w:p>
      <w:pPr>
        <w:pStyle w:val="FootnoteText"/>
        <w:rPr>
          <w:lang w:val="hu-HU"/>
        </w:rPr>
      </w:pPr>
      <w:r>
        <w:rPr>
          <w:rStyle w:val="FootnoteReference"/>
        </w:rPr>
        <w:footnoteRef/>
      </w:r>
      <w:r>
        <w:rPr>
          <w:lang w:val="hu-HU"/>
        </w:rPr>
        <w:tab/>
        <w:t>ОВ L 67, 7.3.1998 г., стр. 48—50.</w:t>
      </w:r>
    </w:p>
  </w:footnote>
  <w:footnote w:id="91">
    <w:p>
      <w:pPr>
        <w:pStyle w:val="FootnoteText"/>
        <w:rPr>
          <w:lang w:val="hu-HU"/>
        </w:rPr>
      </w:pPr>
      <w:r>
        <w:rPr>
          <w:rStyle w:val="FootnoteReference"/>
        </w:rPr>
        <w:footnoteRef/>
      </w:r>
      <w:r>
        <w:rPr>
          <w:lang w:val="hu-HU"/>
        </w:rPr>
        <w:tab/>
        <w:t>ОВ L 213, 22.8.1996 г., стр. 16—24.</w:t>
      </w:r>
    </w:p>
  </w:footnote>
  <w:footnote w:id="92">
    <w:p>
      <w:pPr>
        <w:pStyle w:val="FootnoteText"/>
        <w:rPr>
          <w:lang w:val="hu-HU"/>
        </w:rPr>
      </w:pPr>
      <w:r>
        <w:rPr>
          <w:rStyle w:val="FootnoteReference"/>
        </w:rPr>
        <w:footnoteRef/>
      </w:r>
      <w:r>
        <w:rPr>
          <w:lang w:val="hu-HU"/>
        </w:rPr>
        <w:tab/>
        <w:t>ОВ L 116, 11.5.1996 г., стр. 26—27.</w:t>
      </w:r>
    </w:p>
  </w:footnote>
  <w:footnote w:id="93">
    <w:p>
      <w:pPr>
        <w:pStyle w:val="FootnoteText"/>
        <w:rPr>
          <w:lang w:val="hu-HU"/>
        </w:rPr>
      </w:pPr>
      <w:r>
        <w:rPr>
          <w:rStyle w:val="FootnoteReference"/>
        </w:rPr>
        <w:footnoteRef/>
      </w:r>
      <w:r>
        <w:rPr>
          <w:lang w:val="hu-HU"/>
        </w:rPr>
        <w:tab/>
        <w:t>ОВ L 247, 27.8.1992 г., стр. 10—36.</w:t>
      </w:r>
    </w:p>
  </w:footnote>
  <w:footnote w:id="94">
    <w:p>
      <w:pPr>
        <w:pStyle w:val="FootnoteText"/>
        <w:rPr>
          <w:lang w:val="hu-HU"/>
        </w:rPr>
      </w:pPr>
      <w:r>
        <w:rPr>
          <w:rStyle w:val="FootnoteReference"/>
        </w:rPr>
        <w:footnoteRef/>
      </w:r>
      <w:r>
        <w:rPr>
          <w:lang w:val="hu-HU"/>
        </w:rPr>
        <w:tab/>
        <w:t>ОВ L 200, 24.8.1995 г., стр. 1—34.</w:t>
      </w:r>
    </w:p>
  </w:footnote>
  <w:footnote w:id="95">
    <w:p>
      <w:pPr>
        <w:pStyle w:val="FootnoteText"/>
        <w:rPr>
          <w:lang w:val="hu-HU"/>
        </w:rPr>
      </w:pPr>
      <w:r>
        <w:rPr>
          <w:rStyle w:val="FootnoteReference"/>
        </w:rPr>
        <w:footnoteRef/>
      </w:r>
      <w:r>
        <w:rPr>
          <w:lang w:val="hu-HU"/>
        </w:rPr>
        <w:tab/>
        <w:t>Вж. оценка на въздействието относно SEIS, SWD(2008)111 от 1 февруари 2008 г.</w:t>
      </w:r>
    </w:p>
  </w:footnote>
  <w:footnote w:id="96">
    <w:p>
      <w:pPr>
        <w:pStyle w:val="FootnoteText"/>
        <w:rPr>
          <w:lang w:val="hu-HU"/>
        </w:rPr>
      </w:pPr>
      <w:r>
        <w:rPr>
          <w:rStyle w:val="FootnoteReference"/>
        </w:rPr>
        <w:footnoteRef/>
      </w:r>
      <w:r>
        <w:rPr>
          <w:lang w:val="hu-HU"/>
        </w:rPr>
        <w:tab/>
        <w:t>http://ec.europa.eu/environment/legal/reporting/index_en.htm</w:t>
      </w:r>
    </w:p>
  </w:footnote>
  <w:footnote w:id="97">
    <w:p>
      <w:pPr>
        <w:pStyle w:val="FootnoteText"/>
        <w:rPr>
          <w:lang w:val="hu-HU"/>
        </w:rPr>
      </w:pPr>
      <w:r>
        <w:rPr>
          <w:rStyle w:val="FootnoteReference"/>
        </w:rPr>
        <w:footnoteRef/>
      </w:r>
      <w:r>
        <w:rPr>
          <w:lang w:val="hu-HU"/>
        </w:rPr>
        <w:tab/>
        <w:t xml:space="preserve">Регламент (ЕС) № 182/2011 на Европейския парламент и на Съвета от 16 февруари 2011 г. </w:t>
      </w:r>
    </w:p>
    <w:p>
      <w:pPr>
        <w:pStyle w:val="FootnoteText"/>
        <w:ind w:firstLine="0"/>
        <w:rPr>
          <w:lang w:val="hu-HU"/>
        </w:rPr>
      </w:pPr>
      <w:r>
        <w:rPr>
          <w:lang w:val="hu-HU"/>
        </w:rPr>
        <w:t>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13—18).</w:t>
      </w:r>
    </w:p>
  </w:footnote>
  <w:footnote w:id="98">
    <w:p>
      <w:pPr>
        <w:pStyle w:val="FootnoteText"/>
        <w:rPr>
          <w:lang w:val="hu-HU"/>
        </w:rPr>
      </w:pPr>
      <w:r>
        <w:rPr>
          <w:rStyle w:val="FootnoteReference"/>
        </w:rPr>
        <w:footnoteRef/>
      </w:r>
      <w:r>
        <w:rPr>
          <w:lang w:val="hu-HU"/>
        </w:rPr>
        <w:tab/>
        <w:t>Съобщение на Комисията до Европейския парламент, Съвета, Европейския икономически и социален комитет и Комитета на регионите „Затваряне на цикъла — план за действие на ЕС за кръговата икономика“, COM(2015) 614 final.</w:t>
      </w:r>
    </w:p>
  </w:footnote>
  <w:footnote w:id="99">
    <w:p>
      <w:pPr>
        <w:pStyle w:val="FootnoteText"/>
        <w:rPr>
          <w:lang w:val="hu-HU"/>
        </w:rPr>
      </w:pPr>
      <w:r>
        <w:rPr>
          <w:rStyle w:val="FootnoteReference"/>
        </w:rPr>
        <w:footnoteRef/>
      </w:r>
      <w:r>
        <w:rPr>
          <w:lang w:val="pt-PT"/>
        </w:rPr>
        <w:tab/>
        <w:t>COM(2015) 0337 final/2.</w:t>
      </w:r>
    </w:p>
  </w:footnote>
  <w:footnote w:id="100">
    <w:p>
      <w:pPr>
        <w:pStyle w:val="FootnoteText"/>
        <w:rPr>
          <w:lang w:val="pt-PT"/>
        </w:rPr>
      </w:pPr>
      <w:r>
        <w:rPr>
          <w:rStyle w:val="FootnoteReference"/>
        </w:rPr>
        <w:footnoteRef/>
      </w:r>
      <w:r>
        <w:rPr>
          <w:lang w:val="pt-PT"/>
        </w:rPr>
        <w:tab/>
      </w:r>
      <w:r>
        <w:t>ОВ</w:t>
      </w:r>
      <w:r>
        <w:rPr>
          <w:lang w:val="pt-PT"/>
        </w:rPr>
        <w:t xml:space="preserve"> C […], […] </w:t>
      </w:r>
      <w:r>
        <w:t>г</w:t>
      </w:r>
      <w:r>
        <w:rPr>
          <w:lang w:val="pt-PT"/>
        </w:rPr>
        <w:t xml:space="preserve">., </w:t>
      </w:r>
      <w:r>
        <w:t>стр</w:t>
      </w:r>
      <w:r>
        <w:rPr>
          <w:lang w:val="pt-PT"/>
        </w:rPr>
        <w:t>. […].</w:t>
      </w:r>
    </w:p>
  </w:footnote>
  <w:footnote w:id="101">
    <w:p>
      <w:pPr>
        <w:pStyle w:val="FootnoteText"/>
        <w:rPr>
          <w:lang w:val="pt-PT"/>
        </w:rPr>
      </w:pPr>
      <w:r>
        <w:rPr>
          <w:rStyle w:val="FootnoteReference"/>
        </w:rPr>
        <w:footnoteRef/>
      </w:r>
      <w:r>
        <w:rPr>
          <w:lang w:val="pt-PT"/>
        </w:rPr>
        <w:tab/>
      </w:r>
      <w:r>
        <w:t>ОВ</w:t>
      </w:r>
      <w:r>
        <w:rPr>
          <w:lang w:val="pt-PT"/>
        </w:rPr>
        <w:t xml:space="preserve"> C […], […] </w:t>
      </w:r>
      <w:r>
        <w:t>г</w:t>
      </w:r>
      <w:r>
        <w:rPr>
          <w:lang w:val="pt-PT"/>
        </w:rPr>
        <w:t xml:space="preserve">., </w:t>
      </w:r>
      <w:r>
        <w:t>стр</w:t>
      </w:r>
      <w:r>
        <w:rPr>
          <w:lang w:val="pt-PT"/>
        </w:rPr>
        <w:t>. […].</w:t>
      </w:r>
    </w:p>
  </w:footnote>
  <w:footnote w:id="102">
    <w:p>
      <w:pPr>
        <w:pStyle w:val="FootnoteText"/>
        <w:rPr>
          <w:lang w:val="pt-PT"/>
        </w:rPr>
      </w:pPr>
      <w:r>
        <w:rPr>
          <w:rStyle w:val="FootnoteReference"/>
        </w:rPr>
        <w:footnoteRef/>
      </w:r>
      <w:r>
        <w:rPr>
          <w:lang w:val="pt-PT"/>
        </w:rPr>
        <w:tab/>
      </w:r>
      <w:r>
        <w:t>Директива</w:t>
      </w:r>
      <w:r>
        <w:rPr>
          <w:lang w:val="pt-PT"/>
        </w:rPr>
        <w:t xml:space="preserve"> 86/278/</w:t>
      </w:r>
      <w:r>
        <w:t>ЕИО</w:t>
      </w:r>
      <w:r>
        <w:rPr>
          <w:lang w:val="pt-PT"/>
        </w:rPr>
        <w:t xml:space="preserve"> </w:t>
      </w:r>
      <w:r>
        <w:t>на</w:t>
      </w:r>
      <w:r>
        <w:rPr>
          <w:lang w:val="pt-PT"/>
        </w:rPr>
        <w:t xml:space="preserve"> </w:t>
      </w:r>
      <w:r>
        <w:t>Съвета</w:t>
      </w:r>
      <w:r>
        <w:rPr>
          <w:lang w:val="pt-PT"/>
        </w:rPr>
        <w:t xml:space="preserve"> </w:t>
      </w:r>
      <w:r>
        <w:t>от</w:t>
      </w:r>
      <w:r>
        <w:rPr>
          <w:lang w:val="pt-PT"/>
        </w:rPr>
        <w:t xml:space="preserve"> 12 </w:t>
      </w:r>
      <w:r>
        <w:t>юни</w:t>
      </w:r>
      <w:r>
        <w:rPr>
          <w:lang w:val="pt-PT"/>
        </w:rPr>
        <w:t xml:space="preserve"> 1986 </w:t>
      </w:r>
      <w:r>
        <w:t>г</w:t>
      </w:r>
      <w:r>
        <w:rPr>
          <w:lang w:val="pt-PT"/>
        </w:rPr>
        <w:t xml:space="preserve">. </w:t>
      </w:r>
      <w:r>
        <w:t>за</w:t>
      </w:r>
      <w:r>
        <w:rPr>
          <w:lang w:val="pt-PT"/>
        </w:rPr>
        <w:t xml:space="preserve"> </w:t>
      </w:r>
      <w:r>
        <w:t>опазване</w:t>
      </w:r>
      <w:r>
        <w:rPr>
          <w:lang w:val="pt-PT"/>
        </w:rPr>
        <w:t xml:space="preserve"> </w:t>
      </w:r>
      <w:r>
        <w:t>на</w:t>
      </w:r>
      <w:r>
        <w:rPr>
          <w:lang w:val="pt-PT"/>
        </w:rPr>
        <w:t xml:space="preserve"> </w:t>
      </w:r>
      <w:r>
        <w:t>околната</w:t>
      </w:r>
      <w:r>
        <w:rPr>
          <w:lang w:val="pt-PT"/>
        </w:rPr>
        <w:t xml:space="preserve"> </w:t>
      </w:r>
      <w:r>
        <w:t>среда</w:t>
      </w:r>
      <w:r>
        <w:rPr>
          <w:lang w:val="pt-PT"/>
        </w:rPr>
        <w:t xml:space="preserve">, </w:t>
      </w:r>
      <w:r>
        <w:t>и</w:t>
      </w:r>
      <w:r>
        <w:rPr>
          <w:lang w:val="pt-PT"/>
        </w:rPr>
        <w:t xml:space="preserve"> </w:t>
      </w:r>
      <w:r>
        <w:t>по</w:t>
      </w:r>
      <w:r>
        <w:rPr>
          <w:lang w:val="pt-PT"/>
        </w:rPr>
        <w:t>-</w:t>
      </w:r>
      <w:r>
        <w:t>специално</w:t>
      </w:r>
      <w:r>
        <w:rPr>
          <w:lang w:val="pt-PT"/>
        </w:rPr>
        <w:t xml:space="preserve"> </w:t>
      </w:r>
      <w:r>
        <w:t>на</w:t>
      </w:r>
      <w:r>
        <w:rPr>
          <w:lang w:val="pt-PT"/>
        </w:rPr>
        <w:t xml:space="preserve"> </w:t>
      </w:r>
      <w:r>
        <w:t>почвата</w:t>
      </w:r>
      <w:r>
        <w:rPr>
          <w:lang w:val="pt-PT"/>
        </w:rPr>
        <w:t xml:space="preserve">, </w:t>
      </w:r>
      <w:r>
        <w:t>при</w:t>
      </w:r>
      <w:r>
        <w:rPr>
          <w:lang w:val="pt-PT"/>
        </w:rPr>
        <w:t xml:space="preserve"> </w:t>
      </w:r>
      <w:r>
        <w:t>използване</w:t>
      </w:r>
      <w:r>
        <w:rPr>
          <w:lang w:val="pt-PT"/>
        </w:rPr>
        <w:t xml:space="preserve"> </w:t>
      </w:r>
      <w:r>
        <w:t>на</w:t>
      </w:r>
      <w:r>
        <w:rPr>
          <w:lang w:val="pt-PT"/>
        </w:rPr>
        <w:t xml:space="preserve"> </w:t>
      </w:r>
      <w:r>
        <w:t>утайки</w:t>
      </w:r>
      <w:r>
        <w:rPr>
          <w:lang w:val="pt-PT"/>
        </w:rPr>
        <w:t xml:space="preserve"> </w:t>
      </w:r>
      <w:r>
        <w:t>от</w:t>
      </w:r>
      <w:r>
        <w:rPr>
          <w:lang w:val="pt-PT"/>
        </w:rPr>
        <w:t xml:space="preserve"> </w:t>
      </w:r>
      <w:r>
        <w:t>отпадъчни</w:t>
      </w:r>
      <w:r>
        <w:rPr>
          <w:lang w:val="pt-PT"/>
        </w:rPr>
        <w:t xml:space="preserve"> </w:t>
      </w:r>
      <w:r>
        <w:t>води</w:t>
      </w:r>
      <w:r>
        <w:rPr>
          <w:lang w:val="pt-PT"/>
        </w:rPr>
        <w:t xml:space="preserve"> </w:t>
      </w:r>
      <w:r>
        <w:t>в</w:t>
      </w:r>
      <w:r>
        <w:rPr>
          <w:lang w:val="pt-PT"/>
        </w:rPr>
        <w:t xml:space="preserve"> </w:t>
      </w:r>
      <w:r>
        <w:t>земеделието</w:t>
      </w:r>
      <w:r>
        <w:rPr>
          <w:lang w:val="pt-PT"/>
        </w:rPr>
        <w:t xml:space="preserve"> </w:t>
      </w:r>
      <w:r>
        <w:rPr>
          <w:rStyle w:val="Emphasis"/>
          <w:i w:val="0"/>
          <w:lang w:val="pt-PT"/>
        </w:rPr>
        <w:t>(O</w:t>
      </w:r>
      <w:r>
        <w:rPr>
          <w:rStyle w:val="Emphasis"/>
          <w:i w:val="0"/>
        </w:rPr>
        <w:t>В</w:t>
      </w:r>
      <w:r>
        <w:rPr>
          <w:rStyle w:val="Emphasis"/>
          <w:i w:val="0"/>
          <w:lang w:val="pt-PT"/>
        </w:rPr>
        <w:t xml:space="preserve"> L 181, 4.7.1986 </w:t>
      </w:r>
      <w:r>
        <w:rPr>
          <w:rStyle w:val="Emphasis"/>
          <w:i w:val="0"/>
        </w:rPr>
        <w:t>г</w:t>
      </w:r>
      <w:r>
        <w:rPr>
          <w:rStyle w:val="Emphasis"/>
          <w:i w:val="0"/>
          <w:lang w:val="pt-PT"/>
        </w:rPr>
        <w:t xml:space="preserve">., </w:t>
      </w:r>
      <w:r>
        <w:rPr>
          <w:rStyle w:val="Emphasis"/>
          <w:i w:val="0"/>
        </w:rPr>
        <w:t>стр</w:t>
      </w:r>
      <w:r>
        <w:rPr>
          <w:rStyle w:val="Emphasis"/>
          <w:i w:val="0"/>
          <w:lang w:val="pt-PT"/>
        </w:rPr>
        <w:t>. 6).</w:t>
      </w:r>
    </w:p>
  </w:footnote>
  <w:footnote w:id="103">
    <w:p>
      <w:pPr>
        <w:pStyle w:val="FootnoteText"/>
        <w:rPr>
          <w:lang w:val="pt-PT"/>
        </w:rPr>
      </w:pPr>
      <w:r>
        <w:rPr>
          <w:rStyle w:val="FootnoteReference"/>
        </w:rPr>
        <w:footnoteRef/>
      </w:r>
      <w:r>
        <w:rPr>
          <w:lang w:val="pt-PT"/>
        </w:rPr>
        <w:tab/>
      </w:r>
      <w:r>
        <w:t>Директива</w:t>
      </w:r>
      <w:r>
        <w:rPr>
          <w:lang w:val="pt-PT"/>
        </w:rPr>
        <w:t xml:space="preserve"> 87/217/</w:t>
      </w:r>
      <w:r>
        <w:t>ЕИО</w:t>
      </w:r>
      <w:r>
        <w:rPr>
          <w:lang w:val="pt-PT"/>
        </w:rPr>
        <w:t xml:space="preserve"> </w:t>
      </w:r>
      <w:r>
        <w:t>на</w:t>
      </w:r>
      <w:r>
        <w:rPr>
          <w:lang w:val="pt-PT"/>
        </w:rPr>
        <w:t xml:space="preserve"> </w:t>
      </w:r>
      <w:r>
        <w:t>Съвета</w:t>
      </w:r>
      <w:r>
        <w:rPr>
          <w:lang w:val="pt-PT"/>
        </w:rPr>
        <w:t xml:space="preserve"> </w:t>
      </w:r>
      <w:r>
        <w:t>от</w:t>
      </w:r>
      <w:r>
        <w:rPr>
          <w:lang w:val="pt-PT"/>
        </w:rPr>
        <w:t xml:space="preserve"> 19 </w:t>
      </w:r>
      <w:r>
        <w:t>март</w:t>
      </w:r>
      <w:r>
        <w:rPr>
          <w:lang w:val="pt-PT"/>
        </w:rPr>
        <w:t xml:space="preserve"> 1987 </w:t>
      </w:r>
      <w:r>
        <w:t>г</w:t>
      </w:r>
      <w:r>
        <w:rPr>
          <w:lang w:val="pt-PT"/>
        </w:rPr>
        <w:t xml:space="preserve">. </w:t>
      </w:r>
      <w:r>
        <w:t>относно</w:t>
      </w:r>
      <w:r>
        <w:rPr>
          <w:lang w:val="pt-PT"/>
        </w:rPr>
        <w:t xml:space="preserve"> </w:t>
      </w:r>
      <w:r>
        <w:t>предотвратяването</w:t>
      </w:r>
      <w:r>
        <w:rPr>
          <w:lang w:val="pt-PT"/>
        </w:rPr>
        <w:t xml:space="preserve"> </w:t>
      </w:r>
      <w:r>
        <w:t>и</w:t>
      </w:r>
      <w:r>
        <w:rPr>
          <w:lang w:val="pt-PT"/>
        </w:rPr>
        <w:t xml:space="preserve"> </w:t>
      </w:r>
      <w:r>
        <w:t>намаляването</w:t>
      </w:r>
      <w:r>
        <w:rPr>
          <w:lang w:val="pt-PT"/>
        </w:rPr>
        <w:t xml:space="preserve"> </w:t>
      </w:r>
      <w:r>
        <w:t>на</w:t>
      </w:r>
      <w:r>
        <w:rPr>
          <w:lang w:val="pt-PT"/>
        </w:rPr>
        <w:t xml:space="preserve"> </w:t>
      </w:r>
      <w:r>
        <w:t>замърсяването</w:t>
      </w:r>
      <w:r>
        <w:rPr>
          <w:lang w:val="pt-PT"/>
        </w:rPr>
        <w:t xml:space="preserve"> </w:t>
      </w:r>
      <w:r>
        <w:t>на</w:t>
      </w:r>
      <w:r>
        <w:rPr>
          <w:lang w:val="pt-PT"/>
        </w:rPr>
        <w:t xml:space="preserve"> </w:t>
      </w:r>
      <w:r>
        <w:t>околната</w:t>
      </w:r>
      <w:r>
        <w:rPr>
          <w:lang w:val="pt-PT"/>
        </w:rPr>
        <w:t xml:space="preserve"> </w:t>
      </w:r>
      <w:r>
        <w:t>среда</w:t>
      </w:r>
      <w:r>
        <w:rPr>
          <w:lang w:val="pt-PT"/>
        </w:rPr>
        <w:t xml:space="preserve"> </w:t>
      </w:r>
      <w:r>
        <w:t>с</w:t>
      </w:r>
      <w:r>
        <w:rPr>
          <w:lang w:val="pt-PT"/>
        </w:rPr>
        <w:t xml:space="preserve"> </w:t>
      </w:r>
      <w:r>
        <w:t>азбест</w:t>
      </w:r>
      <w:r>
        <w:rPr>
          <w:lang w:val="pt-PT"/>
        </w:rPr>
        <w:t xml:space="preserve"> </w:t>
      </w:r>
      <w:r>
        <w:rPr>
          <w:rStyle w:val="Emphasis"/>
          <w:i w:val="0"/>
          <w:lang w:val="pt-PT"/>
        </w:rPr>
        <w:t>(</w:t>
      </w:r>
      <w:r>
        <w:rPr>
          <w:rStyle w:val="Emphasis"/>
          <w:i w:val="0"/>
        </w:rPr>
        <w:t>ОВ</w:t>
      </w:r>
      <w:r>
        <w:rPr>
          <w:rStyle w:val="Emphasis"/>
          <w:i w:val="0"/>
          <w:lang w:val="pt-PT"/>
        </w:rPr>
        <w:t xml:space="preserve"> L 85, 28.3.1987 </w:t>
      </w:r>
      <w:r>
        <w:rPr>
          <w:rStyle w:val="Emphasis"/>
          <w:i w:val="0"/>
        </w:rPr>
        <w:t>г</w:t>
      </w:r>
      <w:r>
        <w:rPr>
          <w:rStyle w:val="Emphasis"/>
          <w:i w:val="0"/>
          <w:lang w:val="pt-PT"/>
        </w:rPr>
        <w:t xml:space="preserve">., </w:t>
      </w:r>
      <w:r>
        <w:rPr>
          <w:rStyle w:val="Emphasis"/>
          <w:i w:val="0"/>
        </w:rPr>
        <w:t>стр</w:t>
      </w:r>
      <w:r>
        <w:rPr>
          <w:rStyle w:val="Emphasis"/>
          <w:i w:val="0"/>
          <w:lang w:val="pt-PT"/>
        </w:rPr>
        <w:t>. 40).</w:t>
      </w:r>
    </w:p>
  </w:footnote>
  <w:footnote w:id="104">
    <w:p>
      <w:pPr>
        <w:pStyle w:val="FootnoteText"/>
        <w:rPr>
          <w:lang w:val="pt-PT"/>
        </w:rPr>
      </w:pPr>
      <w:r>
        <w:rPr>
          <w:rStyle w:val="FootnoteReference"/>
        </w:rPr>
        <w:footnoteRef/>
      </w:r>
      <w:r>
        <w:rPr>
          <w:lang w:val="pt-PT"/>
        </w:rPr>
        <w:tab/>
      </w:r>
      <w:r>
        <w:t>Директива</w:t>
      </w:r>
      <w:r>
        <w:rPr>
          <w:lang w:val="pt-PT"/>
        </w:rPr>
        <w:t xml:space="preserve"> 91/692/</w:t>
      </w:r>
      <w:r>
        <w:t>ЕИО</w:t>
      </w:r>
      <w:r>
        <w:rPr>
          <w:lang w:val="pt-PT"/>
        </w:rPr>
        <w:t xml:space="preserve"> </w:t>
      </w:r>
      <w:r>
        <w:t>на</w:t>
      </w:r>
      <w:r>
        <w:rPr>
          <w:lang w:val="pt-PT"/>
        </w:rPr>
        <w:t xml:space="preserve"> </w:t>
      </w:r>
      <w:r>
        <w:t>Съвета</w:t>
      </w:r>
      <w:r>
        <w:rPr>
          <w:lang w:val="pt-PT"/>
        </w:rPr>
        <w:t xml:space="preserve"> </w:t>
      </w:r>
      <w:r>
        <w:t>от</w:t>
      </w:r>
      <w:r>
        <w:rPr>
          <w:lang w:val="pt-PT"/>
        </w:rPr>
        <w:t xml:space="preserve"> 23 </w:t>
      </w:r>
      <w:r>
        <w:t>декември</w:t>
      </w:r>
      <w:r>
        <w:rPr>
          <w:lang w:val="pt-PT"/>
        </w:rPr>
        <w:t xml:space="preserve"> 1991 </w:t>
      </w:r>
      <w:r>
        <w:t>г</w:t>
      </w:r>
      <w:r>
        <w:rPr>
          <w:lang w:val="pt-PT"/>
        </w:rPr>
        <w:t xml:space="preserve">. </w:t>
      </w:r>
      <w:r>
        <w:t>относно</w:t>
      </w:r>
      <w:r>
        <w:rPr>
          <w:lang w:val="pt-PT"/>
        </w:rPr>
        <w:t xml:space="preserve"> </w:t>
      </w:r>
      <w:r>
        <w:t>стандартизиране</w:t>
      </w:r>
      <w:r>
        <w:rPr>
          <w:lang w:val="pt-PT"/>
        </w:rPr>
        <w:t xml:space="preserve"> </w:t>
      </w:r>
      <w:r>
        <w:t>и</w:t>
      </w:r>
      <w:r>
        <w:rPr>
          <w:lang w:val="pt-PT"/>
        </w:rPr>
        <w:t xml:space="preserve"> </w:t>
      </w:r>
      <w:r>
        <w:t>рационализиране</w:t>
      </w:r>
      <w:r>
        <w:rPr>
          <w:lang w:val="pt-PT"/>
        </w:rPr>
        <w:t xml:space="preserve"> </w:t>
      </w:r>
      <w:r>
        <w:t>на</w:t>
      </w:r>
      <w:r>
        <w:rPr>
          <w:lang w:val="pt-PT"/>
        </w:rPr>
        <w:t xml:space="preserve"> </w:t>
      </w:r>
      <w:r>
        <w:t>докладите</w:t>
      </w:r>
      <w:r>
        <w:rPr>
          <w:lang w:val="pt-PT"/>
        </w:rPr>
        <w:t xml:space="preserve"> </w:t>
      </w:r>
      <w:r>
        <w:t>за</w:t>
      </w:r>
      <w:r>
        <w:rPr>
          <w:lang w:val="pt-PT"/>
        </w:rPr>
        <w:t xml:space="preserve"> </w:t>
      </w:r>
      <w:r>
        <w:t>прилагане</w:t>
      </w:r>
      <w:r>
        <w:rPr>
          <w:lang w:val="pt-PT"/>
        </w:rPr>
        <w:t xml:space="preserve"> </w:t>
      </w:r>
      <w:r>
        <w:t>на</w:t>
      </w:r>
      <w:r>
        <w:rPr>
          <w:lang w:val="pt-PT"/>
        </w:rPr>
        <w:t xml:space="preserve"> </w:t>
      </w:r>
      <w:r>
        <w:t>някои</w:t>
      </w:r>
      <w:r>
        <w:rPr>
          <w:lang w:val="pt-PT"/>
        </w:rPr>
        <w:t xml:space="preserve"> </w:t>
      </w:r>
      <w:r>
        <w:t>директиви</w:t>
      </w:r>
      <w:r>
        <w:rPr>
          <w:lang w:val="pt-PT"/>
        </w:rPr>
        <w:t xml:space="preserve">, </w:t>
      </w:r>
      <w:r>
        <w:t>свързани</w:t>
      </w:r>
      <w:r>
        <w:rPr>
          <w:lang w:val="pt-PT"/>
        </w:rPr>
        <w:t xml:space="preserve"> </w:t>
      </w:r>
      <w:r>
        <w:t>с</w:t>
      </w:r>
      <w:r>
        <w:rPr>
          <w:lang w:val="pt-PT"/>
        </w:rPr>
        <w:t xml:space="preserve"> </w:t>
      </w:r>
      <w:r>
        <w:t>околната</w:t>
      </w:r>
      <w:r>
        <w:rPr>
          <w:lang w:val="pt-PT"/>
        </w:rPr>
        <w:t xml:space="preserve"> </w:t>
      </w:r>
      <w:r>
        <w:t>среда</w:t>
      </w:r>
      <w:r>
        <w:rPr>
          <w:lang w:val="pt-PT"/>
        </w:rPr>
        <w:t xml:space="preserve"> (</w:t>
      </w:r>
      <w:r>
        <w:t>ОВ</w:t>
      </w:r>
      <w:r>
        <w:rPr>
          <w:lang w:val="pt-PT"/>
        </w:rPr>
        <w:t xml:space="preserve"> L 377, 31.12.1991 </w:t>
      </w:r>
      <w:r>
        <w:t>г</w:t>
      </w:r>
      <w:r>
        <w:rPr>
          <w:lang w:val="pt-PT"/>
        </w:rPr>
        <w:t xml:space="preserve">., </w:t>
      </w:r>
      <w:r>
        <w:t>стр</w:t>
      </w:r>
      <w:r>
        <w:rPr>
          <w:lang w:val="pt-PT"/>
        </w:rPr>
        <w:t>. 48).</w:t>
      </w:r>
    </w:p>
  </w:footnote>
  <w:footnote w:id="105">
    <w:p>
      <w:pPr>
        <w:pStyle w:val="FootnoteText"/>
        <w:rPr>
          <w:lang w:val="pt-PT"/>
        </w:rPr>
      </w:pPr>
      <w:r>
        <w:rPr>
          <w:rStyle w:val="FootnoteReference"/>
        </w:rPr>
        <w:footnoteRef/>
      </w:r>
      <w:r>
        <w:rPr>
          <w:lang w:val="pt-PT"/>
        </w:rPr>
        <w:tab/>
      </w:r>
      <w:r>
        <w:t>Директива</w:t>
      </w:r>
      <w:r>
        <w:rPr>
          <w:lang w:val="pt-PT"/>
        </w:rPr>
        <w:t xml:space="preserve"> 94/63/E</w:t>
      </w:r>
      <w:r>
        <w:t>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20 </w:t>
      </w:r>
      <w:r>
        <w:t>декември</w:t>
      </w:r>
      <w:r>
        <w:rPr>
          <w:lang w:val="pt-PT"/>
        </w:rPr>
        <w:t xml:space="preserve"> 1994 </w:t>
      </w:r>
      <w:r>
        <w:t>г</w:t>
      </w:r>
      <w:r>
        <w:rPr>
          <w:lang w:val="pt-PT"/>
        </w:rPr>
        <w:t xml:space="preserve">. </w:t>
      </w:r>
      <w:r>
        <w:t>относно</w:t>
      </w:r>
      <w:r>
        <w:rPr>
          <w:lang w:val="pt-PT"/>
        </w:rPr>
        <w:t xml:space="preserve"> </w:t>
      </w:r>
      <w:r>
        <w:t>ограничаването</w:t>
      </w:r>
      <w:r>
        <w:rPr>
          <w:lang w:val="pt-PT"/>
        </w:rPr>
        <w:t xml:space="preserve"> </w:t>
      </w:r>
      <w:r>
        <w:t>на</w:t>
      </w:r>
      <w:r>
        <w:rPr>
          <w:lang w:val="pt-PT"/>
        </w:rPr>
        <w:t xml:space="preserve"> </w:t>
      </w:r>
      <w:r>
        <w:t>емисиите</w:t>
      </w:r>
      <w:r>
        <w:rPr>
          <w:lang w:val="pt-PT"/>
        </w:rPr>
        <w:t xml:space="preserve"> </w:t>
      </w:r>
      <w:r>
        <w:t>на</w:t>
      </w:r>
      <w:r>
        <w:rPr>
          <w:lang w:val="pt-PT"/>
        </w:rPr>
        <w:t xml:space="preserve"> </w:t>
      </w:r>
      <w:r>
        <w:t>летливите</w:t>
      </w:r>
      <w:r>
        <w:rPr>
          <w:lang w:val="pt-PT"/>
        </w:rPr>
        <w:t xml:space="preserve"> </w:t>
      </w:r>
      <w:r>
        <w:t>органични</w:t>
      </w:r>
      <w:r>
        <w:rPr>
          <w:lang w:val="pt-PT"/>
        </w:rPr>
        <w:t xml:space="preserve"> </w:t>
      </w:r>
      <w:r>
        <w:t>съединения</w:t>
      </w:r>
      <w:r>
        <w:rPr>
          <w:lang w:val="pt-PT"/>
        </w:rPr>
        <w:t xml:space="preserve"> (</w:t>
      </w:r>
      <w:r>
        <w:t>ЛОС</w:t>
      </w:r>
      <w:r>
        <w:rPr>
          <w:lang w:val="pt-PT"/>
        </w:rPr>
        <w:t xml:space="preserve">), </w:t>
      </w:r>
      <w:r>
        <w:t>изпускани</w:t>
      </w:r>
      <w:r>
        <w:rPr>
          <w:lang w:val="pt-PT"/>
        </w:rPr>
        <w:t xml:space="preserve"> </w:t>
      </w:r>
      <w:r>
        <w:t>при</w:t>
      </w:r>
      <w:r>
        <w:rPr>
          <w:lang w:val="pt-PT"/>
        </w:rPr>
        <w:t xml:space="preserve"> </w:t>
      </w:r>
      <w:r>
        <w:t>съхранението</w:t>
      </w:r>
      <w:r>
        <w:rPr>
          <w:lang w:val="pt-PT"/>
        </w:rPr>
        <w:t xml:space="preserve"> </w:t>
      </w:r>
      <w:r>
        <w:t>и</w:t>
      </w:r>
      <w:r>
        <w:rPr>
          <w:lang w:val="pt-PT"/>
        </w:rPr>
        <w:t xml:space="preserve"> </w:t>
      </w:r>
      <w:r>
        <w:t>превоза</w:t>
      </w:r>
      <w:r>
        <w:rPr>
          <w:lang w:val="pt-PT"/>
        </w:rPr>
        <w:t xml:space="preserve"> </w:t>
      </w:r>
      <w:r>
        <w:t>на</w:t>
      </w:r>
      <w:r>
        <w:rPr>
          <w:lang w:val="pt-PT"/>
        </w:rPr>
        <w:t xml:space="preserve"> </w:t>
      </w:r>
      <w:r>
        <w:t>бензини</w:t>
      </w:r>
      <w:r>
        <w:rPr>
          <w:lang w:val="pt-PT"/>
        </w:rPr>
        <w:t xml:space="preserve"> </w:t>
      </w:r>
      <w:r>
        <w:t>от</w:t>
      </w:r>
      <w:r>
        <w:rPr>
          <w:lang w:val="pt-PT"/>
        </w:rPr>
        <w:t xml:space="preserve"> </w:t>
      </w:r>
      <w:r>
        <w:t>терминали</w:t>
      </w:r>
      <w:r>
        <w:rPr>
          <w:lang w:val="pt-PT"/>
        </w:rPr>
        <w:t xml:space="preserve"> </w:t>
      </w:r>
      <w:r>
        <w:t>до</w:t>
      </w:r>
      <w:r>
        <w:rPr>
          <w:lang w:val="pt-PT"/>
        </w:rPr>
        <w:t xml:space="preserve"> </w:t>
      </w:r>
      <w:r>
        <w:t>бензиностанции</w:t>
      </w:r>
      <w:r>
        <w:rPr>
          <w:lang w:val="pt-PT"/>
        </w:rPr>
        <w:t xml:space="preserve"> (O</w:t>
      </w:r>
      <w:r>
        <w:t>В</w:t>
      </w:r>
      <w:r>
        <w:rPr>
          <w:lang w:val="pt-PT"/>
        </w:rPr>
        <w:t xml:space="preserve"> L 365, 31.12.1994 </w:t>
      </w:r>
      <w:r>
        <w:t>г</w:t>
      </w:r>
      <w:r>
        <w:rPr>
          <w:lang w:val="pt-PT"/>
        </w:rPr>
        <w:t xml:space="preserve">., </w:t>
      </w:r>
      <w:r>
        <w:t>стр</w:t>
      </w:r>
      <w:r>
        <w:rPr>
          <w:lang w:val="pt-PT"/>
        </w:rPr>
        <w:t>. 24).</w:t>
      </w:r>
    </w:p>
  </w:footnote>
  <w:footnote w:id="106">
    <w:p>
      <w:pPr>
        <w:pStyle w:val="FootnoteText"/>
        <w:rPr>
          <w:lang w:val="pt-PT"/>
        </w:rPr>
      </w:pPr>
      <w:r>
        <w:rPr>
          <w:rStyle w:val="FootnoteReference"/>
        </w:rPr>
        <w:footnoteRef/>
      </w:r>
      <w:r>
        <w:rPr>
          <w:lang w:val="pt-PT"/>
        </w:rPr>
        <w:tab/>
      </w:r>
      <w:r>
        <w:t>Директива</w:t>
      </w:r>
      <w:r>
        <w:rPr>
          <w:lang w:val="pt-PT"/>
        </w:rPr>
        <w:t xml:space="preserve"> 2000/60/E</w:t>
      </w:r>
      <w:r>
        <w:t>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23 </w:t>
      </w:r>
      <w:r>
        <w:t>октомври</w:t>
      </w:r>
      <w:r>
        <w:rPr>
          <w:lang w:val="pt-PT"/>
        </w:rPr>
        <w:t xml:space="preserve"> 2000 </w:t>
      </w:r>
      <w:r>
        <w:t>г</w:t>
      </w:r>
      <w:r>
        <w:rPr>
          <w:lang w:val="pt-PT"/>
        </w:rPr>
        <w:t xml:space="preserve">. </w:t>
      </w:r>
      <w:r>
        <w:t>за</w:t>
      </w:r>
      <w:r>
        <w:rPr>
          <w:lang w:val="pt-PT"/>
        </w:rPr>
        <w:t xml:space="preserve"> </w:t>
      </w:r>
      <w:r>
        <w:t>установяване</w:t>
      </w:r>
      <w:r>
        <w:rPr>
          <w:lang w:val="pt-PT"/>
        </w:rPr>
        <w:t xml:space="preserve"> </w:t>
      </w:r>
      <w:r>
        <w:t>на</w:t>
      </w:r>
      <w:r>
        <w:rPr>
          <w:lang w:val="pt-PT"/>
        </w:rPr>
        <w:t xml:space="preserve"> </w:t>
      </w:r>
      <w:r>
        <w:t>рамка</w:t>
      </w:r>
      <w:r>
        <w:rPr>
          <w:lang w:val="pt-PT"/>
        </w:rPr>
        <w:t xml:space="preserve"> </w:t>
      </w:r>
      <w:r>
        <w:t>за</w:t>
      </w:r>
      <w:r>
        <w:rPr>
          <w:lang w:val="pt-PT"/>
        </w:rPr>
        <w:t xml:space="preserve"> </w:t>
      </w:r>
      <w:r>
        <w:t>действията</w:t>
      </w:r>
      <w:r>
        <w:rPr>
          <w:lang w:val="pt-PT"/>
        </w:rPr>
        <w:t xml:space="preserve"> </w:t>
      </w:r>
      <w:r>
        <w:t>на</w:t>
      </w:r>
      <w:r>
        <w:rPr>
          <w:lang w:val="pt-PT"/>
        </w:rPr>
        <w:t xml:space="preserve"> </w:t>
      </w:r>
      <w:r>
        <w:t>Общността</w:t>
      </w:r>
      <w:r>
        <w:rPr>
          <w:lang w:val="pt-PT"/>
        </w:rPr>
        <w:t xml:space="preserve"> </w:t>
      </w:r>
      <w:r>
        <w:t>в</w:t>
      </w:r>
      <w:r>
        <w:rPr>
          <w:lang w:val="pt-PT"/>
        </w:rPr>
        <w:t xml:space="preserve"> </w:t>
      </w:r>
      <w:r>
        <w:t>областта</w:t>
      </w:r>
      <w:r>
        <w:rPr>
          <w:lang w:val="pt-PT"/>
        </w:rPr>
        <w:t xml:space="preserve"> </w:t>
      </w:r>
      <w:r>
        <w:t>на</w:t>
      </w:r>
      <w:r>
        <w:rPr>
          <w:lang w:val="pt-PT"/>
        </w:rPr>
        <w:t xml:space="preserve"> </w:t>
      </w:r>
      <w:r>
        <w:t>политиката</w:t>
      </w:r>
      <w:r>
        <w:rPr>
          <w:lang w:val="pt-PT"/>
        </w:rPr>
        <w:t xml:space="preserve"> </w:t>
      </w:r>
      <w:r>
        <w:t>за</w:t>
      </w:r>
      <w:r>
        <w:rPr>
          <w:lang w:val="pt-PT"/>
        </w:rPr>
        <w:t xml:space="preserve"> </w:t>
      </w:r>
      <w:r>
        <w:t>водите</w:t>
      </w:r>
      <w:r>
        <w:rPr>
          <w:lang w:val="pt-PT"/>
        </w:rPr>
        <w:t xml:space="preserve"> (O</w:t>
      </w:r>
      <w:r>
        <w:t>В</w:t>
      </w:r>
      <w:r>
        <w:rPr>
          <w:lang w:val="pt-PT"/>
        </w:rPr>
        <w:t xml:space="preserve"> L 327, 22.12.2000 </w:t>
      </w:r>
      <w:r>
        <w:t>г</w:t>
      </w:r>
      <w:r>
        <w:rPr>
          <w:lang w:val="pt-PT"/>
        </w:rPr>
        <w:t xml:space="preserve">., </w:t>
      </w:r>
      <w:r>
        <w:t>стр</w:t>
      </w:r>
      <w:r>
        <w:rPr>
          <w:lang w:val="pt-PT"/>
        </w:rPr>
        <w:t>. 1).</w:t>
      </w:r>
    </w:p>
  </w:footnote>
  <w:footnote w:id="107">
    <w:p>
      <w:pPr>
        <w:pStyle w:val="FootnoteText"/>
        <w:rPr>
          <w:lang w:val="pt-PT"/>
        </w:rPr>
      </w:pPr>
      <w:r>
        <w:rPr>
          <w:rStyle w:val="FootnoteReference"/>
        </w:rPr>
        <w:footnoteRef/>
      </w:r>
      <w:r>
        <w:rPr>
          <w:lang w:val="pt-PT"/>
        </w:rPr>
        <w:tab/>
      </w:r>
      <w:r>
        <w:t>Директива</w:t>
      </w:r>
      <w:r>
        <w:rPr>
          <w:lang w:val="pt-PT"/>
        </w:rPr>
        <w:t xml:space="preserve"> 2010/75/</w:t>
      </w:r>
      <w:r>
        <w:t>ЕС</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24 </w:t>
      </w:r>
      <w:r>
        <w:t>ноември</w:t>
      </w:r>
      <w:r>
        <w:rPr>
          <w:lang w:val="pt-PT"/>
        </w:rPr>
        <w:t xml:space="preserve"> 2010 </w:t>
      </w:r>
      <w:r>
        <w:t>г</w:t>
      </w:r>
      <w:r>
        <w:rPr>
          <w:lang w:val="pt-PT"/>
        </w:rPr>
        <w:t xml:space="preserve">. </w:t>
      </w:r>
      <w:r>
        <w:t>относно</w:t>
      </w:r>
      <w:r>
        <w:rPr>
          <w:lang w:val="pt-PT"/>
        </w:rPr>
        <w:t xml:space="preserve"> </w:t>
      </w:r>
      <w:r>
        <w:t>емисиите</w:t>
      </w:r>
      <w:r>
        <w:rPr>
          <w:lang w:val="pt-PT"/>
        </w:rPr>
        <w:t xml:space="preserve"> </w:t>
      </w:r>
      <w:r>
        <w:t>от</w:t>
      </w:r>
      <w:r>
        <w:rPr>
          <w:lang w:val="pt-PT"/>
        </w:rPr>
        <w:t xml:space="preserve"> </w:t>
      </w:r>
      <w:r>
        <w:t>промишлеността</w:t>
      </w:r>
      <w:r>
        <w:rPr>
          <w:lang w:val="pt-PT"/>
        </w:rPr>
        <w:t xml:space="preserve"> (</w:t>
      </w:r>
      <w:r>
        <w:t>комплексно</w:t>
      </w:r>
      <w:r>
        <w:rPr>
          <w:lang w:val="pt-PT"/>
        </w:rPr>
        <w:t xml:space="preserve"> </w:t>
      </w:r>
      <w:r>
        <w:t>предотвратяване</w:t>
      </w:r>
      <w:r>
        <w:rPr>
          <w:lang w:val="pt-PT"/>
        </w:rPr>
        <w:t xml:space="preserve"> </w:t>
      </w:r>
      <w:r>
        <w:t>и</w:t>
      </w:r>
      <w:r>
        <w:rPr>
          <w:lang w:val="pt-PT"/>
        </w:rPr>
        <w:t xml:space="preserve"> </w:t>
      </w:r>
      <w:r>
        <w:t>контрол</w:t>
      </w:r>
      <w:r>
        <w:rPr>
          <w:lang w:val="pt-PT"/>
        </w:rPr>
        <w:t xml:space="preserve"> </w:t>
      </w:r>
      <w:r>
        <w:t>на</w:t>
      </w:r>
      <w:r>
        <w:rPr>
          <w:lang w:val="pt-PT"/>
        </w:rPr>
        <w:t xml:space="preserve"> </w:t>
      </w:r>
      <w:r>
        <w:t>замърсяването</w:t>
      </w:r>
      <w:r>
        <w:rPr>
          <w:lang w:val="pt-PT"/>
        </w:rPr>
        <w:t>) (</w:t>
      </w:r>
      <w:r>
        <w:t>ОВ</w:t>
      </w:r>
      <w:r>
        <w:rPr>
          <w:lang w:val="pt-PT"/>
        </w:rPr>
        <w:t xml:space="preserve"> L 334, 17.12.2010 </w:t>
      </w:r>
      <w:r>
        <w:t>г</w:t>
      </w:r>
      <w:r>
        <w:rPr>
          <w:lang w:val="pt-PT"/>
        </w:rPr>
        <w:t xml:space="preserve">., </w:t>
      </w:r>
      <w:r>
        <w:t>стр</w:t>
      </w:r>
      <w:r>
        <w:rPr>
          <w:lang w:val="pt-PT"/>
        </w:rPr>
        <w:t>. 17).</w:t>
      </w:r>
    </w:p>
  </w:footnote>
  <w:footnote w:id="108">
    <w:p>
      <w:pPr>
        <w:pStyle w:val="FootnoteText"/>
        <w:rPr>
          <w:lang w:val="lv-LV"/>
        </w:rPr>
      </w:pPr>
      <w:r>
        <w:rPr>
          <w:rStyle w:val="FootnoteReference"/>
        </w:rPr>
        <w:footnoteRef/>
      </w:r>
      <w:r>
        <w:rPr>
          <w:lang w:val="pt-PT"/>
        </w:rPr>
        <w:tab/>
      </w:r>
      <w:r>
        <w:t>Директива</w:t>
      </w:r>
      <w:r>
        <w:rPr>
          <w:lang w:val="pt-PT"/>
        </w:rPr>
        <w:t xml:space="preserve"> 2007/2/E</w:t>
      </w:r>
      <w:r>
        <w:t>О</w:t>
      </w:r>
      <w:r>
        <w:rPr>
          <w:lang w:val="pt-PT"/>
        </w:rPr>
        <w:t xml:space="preserve"> </w:t>
      </w:r>
      <w:r>
        <w:t>на</w:t>
      </w:r>
      <w:r>
        <w:rPr>
          <w:lang w:val="pt-PT"/>
        </w:rPr>
        <w:t xml:space="preserve"> </w:t>
      </w:r>
      <w:r>
        <w:t>Европейския</w:t>
      </w:r>
      <w:r>
        <w:rPr>
          <w:lang w:val="pt-PT"/>
        </w:rPr>
        <w:t xml:space="preserve"> </w:t>
      </w:r>
      <w:r>
        <w:t>парламент</w:t>
      </w:r>
      <w:r>
        <w:rPr>
          <w:lang w:val="pt-PT"/>
        </w:rPr>
        <w:t xml:space="preserve"> </w:t>
      </w:r>
      <w:r>
        <w:t>и</w:t>
      </w:r>
      <w:r>
        <w:rPr>
          <w:lang w:val="pt-PT"/>
        </w:rPr>
        <w:t xml:space="preserve"> </w:t>
      </w:r>
      <w:r>
        <w:t>на</w:t>
      </w:r>
      <w:r>
        <w:rPr>
          <w:lang w:val="pt-PT"/>
        </w:rPr>
        <w:t xml:space="preserve"> </w:t>
      </w:r>
      <w:r>
        <w:t>Съвета</w:t>
      </w:r>
      <w:r>
        <w:rPr>
          <w:lang w:val="pt-PT"/>
        </w:rPr>
        <w:t xml:space="preserve"> </w:t>
      </w:r>
      <w:r>
        <w:t>от</w:t>
      </w:r>
      <w:r>
        <w:rPr>
          <w:lang w:val="pt-PT"/>
        </w:rPr>
        <w:t xml:space="preserve"> 14 </w:t>
      </w:r>
      <w:r>
        <w:t>март</w:t>
      </w:r>
      <w:r>
        <w:rPr>
          <w:lang w:val="pt-PT"/>
        </w:rPr>
        <w:t xml:space="preserve"> 2007 </w:t>
      </w:r>
      <w:r>
        <w:t>г</w:t>
      </w:r>
      <w:r>
        <w:rPr>
          <w:lang w:val="pt-PT"/>
        </w:rPr>
        <w:t xml:space="preserve">. </w:t>
      </w:r>
      <w:r>
        <w:t>за</w:t>
      </w:r>
      <w:r>
        <w:rPr>
          <w:lang w:val="pt-PT"/>
        </w:rPr>
        <w:t xml:space="preserve"> </w:t>
      </w:r>
      <w:r>
        <w:t>създаване</w:t>
      </w:r>
      <w:r>
        <w:rPr>
          <w:lang w:val="pt-PT"/>
        </w:rPr>
        <w:t xml:space="preserve"> </w:t>
      </w:r>
      <w:r>
        <w:t>на</w:t>
      </w:r>
      <w:r>
        <w:rPr>
          <w:lang w:val="pt-PT"/>
        </w:rPr>
        <w:t xml:space="preserve"> </w:t>
      </w:r>
      <w:r>
        <w:t>инфраструктура</w:t>
      </w:r>
      <w:r>
        <w:rPr>
          <w:lang w:val="pt-PT"/>
        </w:rPr>
        <w:t xml:space="preserve"> </w:t>
      </w:r>
      <w:r>
        <w:t>за</w:t>
      </w:r>
      <w:r>
        <w:rPr>
          <w:lang w:val="pt-PT"/>
        </w:rPr>
        <w:t xml:space="preserve"> </w:t>
      </w:r>
      <w:r>
        <w:t>пространствена</w:t>
      </w:r>
      <w:r>
        <w:rPr>
          <w:lang w:val="pt-PT"/>
        </w:rPr>
        <w:t xml:space="preserve"> </w:t>
      </w:r>
      <w:r>
        <w:t>информация</w:t>
      </w:r>
      <w:r>
        <w:rPr>
          <w:lang w:val="pt-PT"/>
        </w:rPr>
        <w:t xml:space="preserve"> </w:t>
      </w:r>
      <w:r>
        <w:t>в</w:t>
      </w:r>
      <w:r>
        <w:rPr>
          <w:lang w:val="pt-PT"/>
        </w:rPr>
        <w:t xml:space="preserve"> </w:t>
      </w:r>
      <w:r>
        <w:t>Европейската</w:t>
      </w:r>
      <w:r>
        <w:rPr>
          <w:lang w:val="pt-PT"/>
        </w:rPr>
        <w:t xml:space="preserve"> </w:t>
      </w:r>
      <w:r>
        <w:t>общност</w:t>
      </w:r>
      <w:r>
        <w:rPr>
          <w:lang w:val="pt-PT"/>
        </w:rPr>
        <w:t xml:space="preserve"> (INSPIRE) (</w:t>
      </w:r>
      <w:r>
        <w:t>ОВ</w:t>
      </w:r>
      <w:r>
        <w:rPr>
          <w:lang w:val="pt-PT"/>
        </w:rPr>
        <w:t xml:space="preserve"> L 108, 25.4.2007 </w:t>
      </w:r>
      <w:r>
        <w:t>г</w:t>
      </w:r>
      <w:r>
        <w:rPr>
          <w:lang w:val="pt-PT"/>
        </w:rPr>
        <w:t xml:space="preserve">., </w:t>
      </w:r>
      <w:r>
        <w:t>стр</w:t>
      </w:r>
      <w:r>
        <w:rPr>
          <w:lang w:val="pt-PT"/>
        </w:rPr>
        <w:t>. 1).</w:t>
      </w:r>
    </w:p>
  </w:footnote>
  <w:footnote w:id="109">
    <w:p>
      <w:pPr>
        <w:pStyle w:val="FootnoteText"/>
        <w:rPr>
          <w:lang w:val="lv-LV"/>
        </w:rPr>
      </w:pPr>
      <w:r>
        <w:rPr>
          <w:rStyle w:val="FootnoteReference"/>
        </w:rPr>
        <w:footnoteRef/>
      </w:r>
      <w:r>
        <w:rPr>
          <w:lang w:val="lv-LV"/>
        </w:rPr>
        <w:tab/>
        <w:t>COM(2008) 46 от 1 февруари 2008 г.</w:t>
      </w:r>
    </w:p>
  </w:footnote>
  <w:footnote w:id="110">
    <w:p>
      <w:pPr>
        <w:pStyle w:val="FootnoteText"/>
        <w:rPr>
          <w:lang w:val="lv-LV"/>
        </w:rPr>
      </w:pPr>
      <w:r>
        <w:rPr>
          <w:rStyle w:val="FootnoteReference"/>
        </w:rPr>
        <w:footnoteRef/>
      </w:r>
      <w:r>
        <w:rPr>
          <w:lang w:val="lv-LV"/>
        </w:rPr>
        <w:tab/>
        <w:t>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(ОВ L 396, 30.12.2006 г., стр. 1).</w:t>
      </w:r>
    </w:p>
  </w:footnote>
  <w:footnote w:id="111">
    <w:p>
      <w:pPr>
        <w:pStyle w:val="FootnoteText"/>
        <w:rPr>
          <w:lang w:val="lv-LV"/>
        </w:rPr>
      </w:pPr>
      <w:r>
        <w:rPr>
          <w:rStyle w:val="FootnoteReference"/>
        </w:rPr>
        <w:footnoteRef/>
      </w:r>
      <w:r>
        <w:rPr>
          <w:lang w:val="lv-LV"/>
        </w:rPr>
        <w:tab/>
        <w:t>Директива 94/62/ЕО на Европейския парламент и на Съвета от 20 декември 1994 г. относно опаковките и отпадъците от опаковки (ОВ L 365, 31.12.1994 г., стр. 10).</w:t>
      </w:r>
    </w:p>
  </w:footnote>
  <w:footnote w:id="112">
    <w:p>
      <w:pPr>
        <w:pStyle w:val="FootnoteText"/>
        <w:rPr>
          <w:lang w:val="lv-LV"/>
        </w:rPr>
      </w:pPr>
      <w:r>
        <w:rPr>
          <w:rStyle w:val="FootnoteReference"/>
        </w:rPr>
        <w:footnoteRef/>
      </w:r>
      <w:r>
        <w:rPr>
          <w:lang w:val="lv-LV"/>
        </w:rPr>
        <w:tab/>
        <w:t>Директива 1999/31/ЕО на Съвета от 26 април 1999 г. относно депонирането на отпадъци (ОВ L 182, 16.7.1999 г., стр. 1).</w:t>
      </w:r>
    </w:p>
  </w:footnote>
  <w:footnote w:id="113">
    <w:p>
      <w:pPr>
        <w:pStyle w:val="FootnoteText"/>
        <w:rPr>
          <w:lang w:val="lv-LV"/>
        </w:rPr>
      </w:pPr>
      <w:r>
        <w:rPr>
          <w:rStyle w:val="FootnoteReference"/>
        </w:rPr>
        <w:footnoteRef/>
      </w:r>
      <w:r>
        <w:rPr>
          <w:lang w:val="lv-LV"/>
        </w:rPr>
        <w:tab/>
        <w:t>Директива 2000/53/ЕО на Европейския парламент и на Съвета от 18 септември 2000 г. относно излезлите от употреба превозни средства (ОВ L 269, 21.10.2000 г., стр. 34).</w:t>
      </w:r>
    </w:p>
  </w:footnote>
  <w:footnote w:id="114">
    <w:p>
      <w:pPr>
        <w:pStyle w:val="FootnoteText"/>
        <w:rPr>
          <w:lang w:val="hu-HU"/>
        </w:rPr>
      </w:pPr>
      <w:r>
        <w:rPr>
          <w:rStyle w:val="FootnoteReference"/>
        </w:rPr>
        <w:footnoteRef/>
      </w:r>
      <w:r>
        <w:rPr>
          <w:lang w:val="lv-LV"/>
        </w:rPr>
        <w:tab/>
        <w:t>Директива 2003/87/ЕО на Европейския парламент и на Съвета от 13 октомври 2003 г. за установяване на схема за търговия с квоти за емисии на парникови газове в рамките на Общността и за изменение на Директива 96/61/ЕО на Съвета (ОВ L 275, 25.10.2003 г., стр. 32).</w:t>
      </w:r>
    </w:p>
  </w:footnote>
  <w:footnote w:id="115">
    <w:p>
      <w:pPr>
        <w:pStyle w:val="FootnoteText"/>
        <w:rPr>
          <w:lang w:val="hu-HU"/>
        </w:rPr>
      </w:pPr>
      <w:r>
        <w:rPr>
          <w:rStyle w:val="FootnoteReference"/>
        </w:rPr>
        <w:footnoteRef/>
      </w:r>
      <w:r>
        <w:rPr>
          <w:lang w:val="hu-HU"/>
        </w:rPr>
        <w:tab/>
        <w:t>Директива 2008/98/ЕО на Европейския парламент и на Съвета от 19 ноември 2008 г. относно отпадъците и за отмяна на определени директиви (ОВ L 312, 22.11.2008 г., стр. 3).</w:t>
      </w:r>
    </w:p>
  </w:footnote>
  <w:footnote w:id="116">
    <w:p>
      <w:pPr>
        <w:pStyle w:val="FootnoteText"/>
        <w:rPr>
          <w:lang w:val="hu-HU"/>
        </w:rPr>
      </w:pPr>
      <w:r>
        <w:rPr>
          <w:rStyle w:val="FootnoteReference"/>
        </w:rPr>
        <w:footnoteRef/>
      </w:r>
      <w:r>
        <w:rPr>
          <w:lang w:val="hu-HU"/>
        </w:rPr>
        <w:tab/>
        <w:t>Директива 2009/31/ЕО на Европейския парламент и на Съвета от 23 април 2009 г. относно съхранението на въглероден диоксид в геоложки формации и за изменение на Директива 85/337/ЕИО на Съвета, директиви 2000/60/ЕО, 2001/80/ЕО, 2004/35/ЕО, 2006/12/ЕО и 2008/1/ЕО, и Регламент (ЕО) № 1013/2006 на Европейския парламент и на Съвета (ОВ L 275, 25.10.2003 г., стр. 32).</w:t>
      </w:r>
    </w:p>
  </w:footnote>
  <w:footnote w:id="117">
    <w:p>
      <w:pPr>
        <w:pStyle w:val="FootnoteText"/>
        <w:rPr>
          <w:lang w:val="hu-HU"/>
        </w:rPr>
      </w:pPr>
      <w:r>
        <w:rPr>
          <w:rStyle w:val="FootnoteReference"/>
        </w:rPr>
        <w:footnoteRef/>
      </w:r>
      <w:r>
        <w:rPr>
          <w:lang w:val="hu-HU"/>
        </w:rPr>
        <w:tab/>
        <w:t>Регламент (ЕС) № 1257/2013 на Европейския парламент и на Съвета от 20 ноември 2013 г. относно рециклирането на кораби и за изменение на Регламент (ЕО) № 1013/2006 и Директива 2009/16/ЕО (ОВ L 330, 10.12.2013 г., стp. 1).</w:t>
      </w:r>
    </w:p>
  </w:footnote>
  <w:footnote w:id="118">
    <w:p>
      <w:pPr>
        <w:pStyle w:val="FootnoteText"/>
        <w:rPr>
          <w:lang w:val="pt-PT"/>
        </w:rPr>
      </w:pPr>
      <w:r>
        <w:rPr>
          <w:rStyle w:val="FootnoteReference"/>
        </w:rPr>
        <w:footnoteRef/>
      </w:r>
      <w:r>
        <w:rPr>
          <w:lang w:val="pt-PT"/>
        </w:rPr>
        <w:tab/>
        <w:t xml:space="preserve">COM(2015) 614 final </w:t>
      </w:r>
      <w:r>
        <w:t>от</w:t>
      </w:r>
      <w:r>
        <w:rPr>
          <w:lang w:val="pt-PT"/>
        </w:rPr>
        <w:t xml:space="preserve"> 2 </w:t>
      </w:r>
      <w:r>
        <w:t>декември</w:t>
      </w:r>
      <w:r>
        <w:rPr>
          <w:lang w:val="pt-PT"/>
        </w:rPr>
        <w:t xml:space="preserve"> 2015 </w:t>
      </w:r>
      <w:r>
        <w:t>г</w:t>
      </w:r>
      <w:r>
        <w:rPr>
          <w:lang w:val="pt-PT"/>
        </w:rPr>
        <w:t>.</w:t>
      </w:r>
    </w:p>
  </w:footnote>
  <w:footnote w:id="119">
    <w:p>
      <w:pPr>
        <w:pStyle w:val="FootnoteText"/>
      </w:pPr>
      <w:r>
        <w:rPr>
          <w:rStyle w:val="FootnoteReference"/>
        </w:rPr>
        <w:footnoteRef/>
      </w:r>
      <w:r>
        <w:rPr>
          <w:lang w:val="pt-PT"/>
        </w:rPr>
        <w:tab/>
      </w:r>
      <w:r>
        <w:t>СОМ</w:t>
      </w:r>
      <w:r>
        <w:rPr>
          <w:lang w:val="pt-PT"/>
        </w:rPr>
        <w:t>(2015) 595 final</w:t>
      </w:r>
      <w:r>
        <w:t>.</w:t>
      </w:r>
    </w:p>
  </w:footnote>
  <w:footnote w:id="120">
    <w:p>
      <w:pPr>
        <w:pStyle w:val="FootnoteText"/>
      </w:pPr>
      <w:r>
        <w:rPr>
          <w:rStyle w:val="FootnoteReference"/>
        </w:rPr>
        <w:footnoteRef/>
      </w:r>
      <w:r>
        <w:rPr>
          <w:lang w:val="pt-PT"/>
        </w:rPr>
        <w:tab/>
      </w:r>
      <w:r>
        <w:t>СОМ</w:t>
      </w:r>
      <w:r>
        <w:rPr>
          <w:lang w:val="pt-PT"/>
        </w:rPr>
        <w:t>(2015) 593 final</w:t>
      </w:r>
      <w:r>
        <w:t>.</w:t>
      </w:r>
    </w:p>
  </w:footnote>
  <w:footnote w:id="121">
    <w:p>
      <w:pPr>
        <w:pStyle w:val="FootnoteText"/>
      </w:pPr>
      <w:r>
        <w:rPr>
          <w:rStyle w:val="FootnoteReference"/>
        </w:rPr>
        <w:footnoteRef/>
      </w:r>
      <w:r>
        <w:rPr>
          <w:lang w:val="pt-PT"/>
        </w:rPr>
        <w:tab/>
      </w:r>
      <w:r>
        <w:t>СОМ</w:t>
      </w:r>
      <w:r>
        <w:rPr>
          <w:lang w:val="pt-PT"/>
        </w:rPr>
        <w:t>(2015) 594 final</w:t>
      </w:r>
      <w:r>
        <w:t>.</w:t>
      </w:r>
    </w:p>
  </w:footnote>
  <w:footnote w:id="122">
    <w:p>
      <w:pPr>
        <w:pStyle w:val="FootnoteText"/>
        <w:rPr>
          <w:lang w:val="pt-PT"/>
        </w:rPr>
      </w:pPr>
      <w:r>
        <w:rPr>
          <w:rStyle w:val="FootnoteReference"/>
        </w:rPr>
        <w:footnoteRef/>
      </w:r>
      <w:r>
        <w:tab/>
        <w:t>COM(2015) 596 final;</w:t>
      </w:r>
      <w:r>
        <w:rPr>
          <w:rFonts w:ascii="Lucida Sans Unicode" w:hAnsi="Lucida Sans Unicode"/>
          <w:color w:val="444444"/>
          <w:sz w:val="19"/>
        </w:rPr>
        <w:t xml:space="preserve"> </w:t>
      </w:r>
      <w:r>
        <w:t>COM/2015/0337.</w:t>
      </w:r>
    </w:p>
  </w:footnote>
  <w:footnote w:id="123">
    <w:p>
      <w:pPr>
        <w:pStyle w:val="FootnoteText"/>
        <w:rPr>
          <w:lang w:val="pt-PT"/>
        </w:rPr>
      </w:pPr>
      <w:r>
        <w:rPr>
          <w:rStyle w:val="FootnoteReference"/>
        </w:rPr>
        <w:footnoteRef/>
      </w:r>
      <w:r>
        <w:tab/>
        <w:t>COM/2015/0337.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2606B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3673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834EB1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391C38E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F44E7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F9494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CF43626"/>
    <w:lvl w:ilvl="0">
      <w:start w:val="1"/>
      <w:numFmt w:val="decimal"/>
      <w:pStyle w:val="ListNumber"/>
      <w:lvlText w:val="%1."/>
      <w:lvlJc w:val="left"/>
      <w:pPr>
        <w:tabs>
          <w:tab w:val="num" w:pos="360"/>
        </w:tabs>
        <w:ind w:left="360" w:hanging="360"/>
      </w:pPr>
    </w:lvl>
  </w:abstractNum>
  <w:abstractNum w:abstractNumId="7">
    <w:nsid w:val="FFFFFF89"/>
    <w:multiLevelType w:val="singleLevel"/>
    <w:tmpl w:val="2A1AB34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3DD12CB4"/>
    <w:multiLevelType w:val="hybridMultilevel"/>
    <w:tmpl w:val="6B70125C"/>
    <w:lvl w:ilvl="0" w:tplc="96BE6DCA">
      <w:start w:val="1"/>
      <w:numFmt w:val="bullet"/>
      <w:lvlText w:val=""/>
      <w:lvlJc w:val="left"/>
      <w:pPr>
        <w:ind w:left="72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6777592"/>
    <w:multiLevelType w:val="hybridMultilevel"/>
    <w:tmpl w:val="86C6FDEA"/>
    <w:lvl w:ilvl="0" w:tplc="9E128954">
      <w:start w:val="1"/>
      <w:numFmt w:val="bullet"/>
      <w:lvlText w:val=""/>
      <w:lvlJc w:val="left"/>
      <w:pPr>
        <w:ind w:left="785" w:hanging="360"/>
      </w:pPr>
      <w:rPr>
        <w:rFonts w:ascii="Wingdings" w:hAnsi="Wingdings" w:hint="default"/>
        <w:sz w:val="32"/>
        <w:szCs w:val="32"/>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AA4A4E"/>
    <w:multiLevelType w:val="hybridMultilevel"/>
    <w:tmpl w:val="F6E416BE"/>
    <w:lvl w:ilvl="0" w:tplc="F258B910">
      <w:start w:val="1"/>
      <w:numFmt w:val="bullet"/>
      <w:lvlText w:val=""/>
      <w:lvlJc w:val="left"/>
      <w:pPr>
        <w:ind w:left="720" w:hanging="360"/>
      </w:pPr>
      <w:rPr>
        <w:rFonts w:ascii="Wingdings" w:hAnsi="Wingdings" w:hint="default"/>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3"/>
  </w:num>
  <w:num w:numId="10">
    <w:abstractNumId w:val="16"/>
  </w:num>
  <w:num w:numId="11">
    <w:abstractNumId w:val="12"/>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num>
  <w:num w:numId="15">
    <w:abstractNumId w:val="20"/>
  </w:num>
  <w:num w:numId="16">
    <w:abstractNumId w:val="13"/>
  </w:num>
  <w:num w:numId="17">
    <w:abstractNumId w:val="22"/>
  </w:num>
  <w:num w:numId="18">
    <w:abstractNumId w:val="11"/>
  </w:num>
  <w:num w:numId="19">
    <w:abstractNumId w:val="14"/>
  </w:num>
  <w:num w:numId="20">
    <w:abstractNumId w:val="9"/>
  </w:num>
  <w:num w:numId="21">
    <w:abstractNumId w:val="21"/>
  </w:num>
  <w:num w:numId="22">
    <w:abstractNumId w:val="8"/>
  </w:num>
  <w:num w:numId="23">
    <w:abstractNumId w:val="15"/>
  </w:num>
  <w:num w:numId="24">
    <w:abstractNumId w:val="18"/>
  </w:num>
  <w:num w:numId="25">
    <w:abstractNumId w:val="19"/>
  </w:num>
  <w:num w:numId="26">
    <w:abstractNumId w:val="10"/>
  </w:num>
  <w:num w:numId="27">
    <w:abstractNumId w:val="17"/>
  </w:num>
  <w:num w:numId="28">
    <w:abstractNumId w:val="24"/>
  </w:num>
  <w:num w:numId="29">
    <w:abstractNumId w:val="20"/>
  </w:num>
  <w:num w:numId="30">
    <w:abstractNumId w:val="13"/>
  </w:num>
  <w:num w:numId="31">
    <w:abstractNumId w:val="22"/>
  </w:num>
  <w:num w:numId="32">
    <w:abstractNumId w:val="11"/>
  </w:num>
  <w:num w:numId="33">
    <w:abstractNumId w:val="14"/>
  </w:num>
  <w:num w:numId="34">
    <w:abstractNumId w:val="9"/>
  </w:num>
  <w:num w:numId="35">
    <w:abstractNumId w:val="21"/>
  </w:num>
  <w:num w:numId="36">
    <w:abstractNumId w:val="8"/>
  </w:num>
  <w:num w:numId="37">
    <w:abstractNumId w:val="15"/>
  </w:num>
  <w:num w:numId="38">
    <w:abstractNumId w:val="18"/>
  </w:num>
  <w:num w:numId="39">
    <w:abstractNumId w:val="19"/>
  </w:num>
  <w:num w:numId="40">
    <w:abstractNumId w:val="10"/>
  </w:num>
  <w:num w:numId="41">
    <w:abstractNumId w:val="17"/>
  </w:num>
  <w:num w:numId="42">
    <w:abstractNumId w:val="24"/>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am">
    <w15:presenceInfo w15:providerId="None" w15:userId="ada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2"/>
  <w:hideSpellingErrors/>
  <w:hideGrammaticalErrors/>
  <w:attachedTemplate r:id="rId1"/>
  <w:revisionView w:markup="0"/>
  <w:doNotTrackFormatting/>
  <w:defaultTabStop w:val="720"/>
  <w:drawingGridHorizontalSpacing w:val="120"/>
  <w:displayHorizontalDrawingGridEvery w:val="2"/>
  <w:characterSpacingControl w:val="doNotCompress"/>
  <w:hdrShapeDefaults>
    <o:shapedefaults v:ext="edit" spidmax="13312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27 17:35:5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FigNum" w:val="1"/>
    <w:docVar w:name="LW_CONFIDENCE" w:val=" "/>
    <w:docVar w:name="LW_CONST_RESTREINT_UE" w:val="RESTREINT UE"/>
    <w:docVar w:name="LW_CORRIGENDUM" w:val="&lt;UNUSED&gt;"/>
    <w:docVar w:name="LW_COVERPAGE_GUID" w:val="248ED08E4C03489F8AFC1112B4AF9AEB"/>
    <w:docVar w:name="LW_CROSSREFERENCE" w:val="&lt;UNUSED&gt;"/>
    <w:docVar w:name="LW_DocType" w:val="COM"/>
    <w:docVar w:name="LW_EMISSION" w:val="15.12.2016"/>
    <w:docVar w:name="LW_EMISSION_ISODATE" w:val="2016-12-15"/>
    <w:docVar w:name="LW_EMISSION_LOCATION" w:val="BRX"/>
    <w:docVar w:name="LW_EMISSION_PREFIX" w:val="Брюксел, "/>
    <w:docVar w:name="LW_EMISSION_SUFFIX" w:val=" \u1075?."/>
    <w:docVar w:name="LW_ID_DOCMODEL" w:val="SJ-025"/>
    <w:docVar w:name="LW_ID_DOCSIGNATURE" w:val="SJ-025"/>
    <w:docVar w:name="LW_ID_DOCSTRUCTURE" w:val="COM/PL/ORG"/>
    <w:docVar w:name="LW_ID_DOCTYPE" w:val="SJ-025"/>
    <w:docVar w:name="LW_ID_STATUT" w:val="SJ-025"/>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394"/>
    <w:docVar w:name="LW_REF.II.NEW.CP_YEAR" w:val="2016"/>
    <w:docVar w:name="LW_REF.INST.NEW" w:val="COM"/>
    <w:docVar w:name="LW_REF.INST.NEW_ADOPTED" w:val="final"/>
    <w:docVar w:name="LW_REF.INST.NEW_TEXT" w:val="(2016) 789"/>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87/217/\u1045?\u1048?\u1054? \u1085?\u1072? \u1057?\u1098?\u1074?\u1077?\u1090?\u1072?, \u1044?\u1080?\u1088?\u1077?\u1082?\u1090?\u1080?\u1074?\u1072? 2003/87/\u1045?\u1054? \u1085?\u1072? \u1045?\u1074?\u1088?\u1086?\u1087?\u1077?\u1081?\u1089?\u1082?\u1080?\u1103? \u1087?\u1072?\u1088?\u1083?\u1072?\u1084?\u1077?\u1085?\u1090? \u1080? \u1085?\u1072? \u1057?\u1098?\u1074?\u1077?\u1090?\u1072?, \u1044?\u1080?\u1088?\u1077?\u1082?\u1090?\u1080?\u1074?\u1072? 2009/31/\u1045?\u1054? \u1085?\u1072? \u1045?\u1074?\u1088?\u1086?\u1087?\u1077?\u1081?\u1089?\u1082?\u1080?\u1103? \u1087?\u1072?\u1088?\u1083?\u1072?\u1084?\u1077?\u1085?\u1090? \u1080? \u1085?\u1072? \u1057?\u1098?\u1074?\u1077?\u1090?\u1072?, \u1056?\u1077?\u1075?\u1083?\u1072?\u1084?\u1077?\u1085?\u1090? (\u1045?\u1057?) \u8470? 1257/2013 \u1085?\u1072? \u1045?\u1074?\u1088?\u1086?\u1087?\u1077?\u1081?\u1089?\u1082?\u1080?\u1103? \u1087?\u1072?\u1088?\u1083?\u1072?\u1084?\u1077?\u1085?\u1090? \u1080? \u1085?\u1072? \u1057?\u1098?\u1074?\u1077?\u1090?\u1072?, \u1044?\u1080?\u1088?\u1077?\u1082?\u1090?\u1080?\u1074?\u1072? 86/278/\u1045?\u1048?\u1054? \u1085?\u1072? \u1057?\u1098?\u1074?\u1077?\u1090?\u1072? \u1080? \u1044?\u1080?\u1088?\u1077?\u1082?\u1090?\u1080?\u1074?\u1072? 94/63/\u1045?\u1054? \u1085?\u1072? \u1057?\u1098?\u1074?\u1077?\u1090?\u1072? \u1087?\u1086? \u1086?\u1090?\u1085?\u1086?\u1096?\u1077?\u1085?\u1080?\u1077? \u1085?\u1072? \u1087?\u1088?\u1086?\u1094?\u1077?\u1076?\u1091?\u1088?\u1085?\u1080?\u1090?\u1077? \u1087?\u1088?\u1072?\u1074?\u1080?\u1083?\u1072? \u1087?\u1088?\u1080? \u1076?\u1086?\u1082?\u1083?\u1072?\u1076?\u1074?\u1072?\u1085?\u1077?\u1090?\u1086? \u1074? \u1086?\u1073?\u1083?\u1072?\u1089?\u1090?\u1090?\u1072? \u1085?\u1072? \u1086?\u1082?\u1086?\u1083?\u1085?\u1072?\u1090?\u1072? \u1089?\u1088?\u1077?\u1076?\u1072? \u1080? \u1079?\u1072? \u1086?\u1090?\u1084?\u1103?\u1085?\u1072? \u1085?\u1072? \u1044?\u1080?\u1088?\u1077?\u1082?\u1090?\u1080?\u1074?\u1072? 91/692/\u1045?\u1048?\u1054? \u1085?\u1072? \u1057?\u1098?\u1074?\u1077?\u1090?\u1072? "/>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3312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Text">
    <w:name w:val="annotation text"/>
    <w:basedOn w:val="Normal"/>
    <w:link w:val="CommentTextChar"/>
    <w:uiPriority w:val="99"/>
    <w:unhideWhenUsed/>
    <w:rPr>
      <w:rFonts w:eastAsia="Times New Roman"/>
      <w:sz w:val="20"/>
      <w:szCs w:val="20"/>
    </w:rPr>
  </w:style>
  <w:style w:type="character" w:customStyle="1" w:styleId="CommentTextChar">
    <w:name w:val="Comment Text Char"/>
    <w:link w:val="CommentText"/>
    <w:uiPriority w:val="99"/>
    <w:rPr>
      <w:rFonts w:ascii="Times New Roman" w:eastAsia="Times New Roman" w:hAnsi="Times New Roman"/>
    </w:rPr>
  </w:style>
  <w:style w:type="character" w:customStyle="1" w:styleId="italic1">
    <w:name w:val="italic1"/>
    <w:rPr>
      <w:i/>
      <w:iCs/>
    </w:rPr>
  </w:style>
  <w:style w:type="character" w:styleId="Hyperlink">
    <w:name w:val="Hyperlink"/>
    <w:uiPriority w:val="99"/>
    <w:unhideWhenUsed/>
    <w:rPr>
      <w:strike w:val="0"/>
      <w:dstrike w:val="0"/>
      <w:color w:val="3366CC"/>
      <w:u w:val="none"/>
      <w:effect w:val="none"/>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uiPriority w:val="99"/>
    <w:semiHidden/>
    <w:unhideWhenUsed/>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ps">
    <w:name w:val="hps"/>
  </w:style>
  <w:style w:type="character" w:styleId="Strong">
    <w:name w:val="Strong"/>
    <w:uiPriority w:val="22"/>
    <w:qFormat/>
    <w:rPr>
      <w:b/>
      <w:bCs/>
    </w:rPr>
  </w:style>
  <w:style w:type="paragraph" w:styleId="Revision">
    <w:name w:val="Revision"/>
    <w:hidden/>
    <w:uiPriority w:val="99"/>
    <w:semiHidden/>
    <w:rPr>
      <w:rFonts w:ascii="Times New Roman" w:hAnsi="Times New Roman"/>
      <w:sz w:val="24"/>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doc-ti">
    <w:name w:val="doc-ti"/>
    <w:basedOn w:val="Normal"/>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jc w:val="left"/>
    </w:pPr>
    <w:rPr>
      <w:rFonts w:ascii="Calibri" w:hAnsi="Calibri"/>
      <w:sz w:val="22"/>
    </w:rPr>
  </w:style>
  <w:style w:type="paragraph" w:styleId="ListNumber5">
    <w:name w:val="List Number 5"/>
    <w:basedOn w:val="Normal"/>
    <w:pPr>
      <w:tabs>
        <w:tab w:val="num" w:pos="1492"/>
      </w:tabs>
      <w:spacing w:before="0" w:after="240"/>
      <w:ind w:left="1492" w:hanging="360"/>
    </w:pPr>
    <w:rPr>
      <w:rFonts w:eastAsia="Times New Roman"/>
      <w:szCs w:val="20"/>
    </w:rPr>
  </w:style>
  <w:style w:type="character" w:styleId="Emphasis">
    <w:name w:val="Emphasis"/>
    <w:uiPriority w:val="20"/>
    <w:qFormat/>
    <w:rPr>
      <w:i/>
      <w:iCs/>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apple-converted-space">
    <w:name w:val="apple-converted-space"/>
  </w:style>
  <w:style w:type="paragraph" w:customStyle="1" w:styleId="Footnote">
    <w:name w:val="Footnote"/>
    <w:basedOn w:val="Default"/>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0"/>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annotation reference"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ommentText">
    <w:name w:val="annotation text"/>
    <w:basedOn w:val="Normal"/>
    <w:link w:val="CommentTextChar"/>
    <w:uiPriority w:val="99"/>
    <w:unhideWhenUsed/>
    <w:rPr>
      <w:rFonts w:eastAsia="Times New Roman"/>
      <w:sz w:val="20"/>
      <w:szCs w:val="20"/>
    </w:rPr>
  </w:style>
  <w:style w:type="character" w:customStyle="1" w:styleId="CommentTextChar">
    <w:name w:val="Comment Text Char"/>
    <w:link w:val="CommentText"/>
    <w:uiPriority w:val="99"/>
    <w:rPr>
      <w:rFonts w:ascii="Times New Roman" w:eastAsia="Times New Roman" w:hAnsi="Times New Roman"/>
    </w:rPr>
  </w:style>
  <w:style w:type="character" w:customStyle="1" w:styleId="italic1">
    <w:name w:val="italic1"/>
    <w:rPr>
      <w:i/>
      <w:iCs/>
    </w:rPr>
  </w:style>
  <w:style w:type="character" w:styleId="Hyperlink">
    <w:name w:val="Hyperlink"/>
    <w:uiPriority w:val="99"/>
    <w:unhideWhenUsed/>
    <w:rPr>
      <w:strike w:val="0"/>
      <w:dstrike w:val="0"/>
      <w:color w:val="3366CC"/>
      <w:u w:val="none"/>
      <w:effect w:val="none"/>
    </w:rPr>
  </w:style>
  <w:style w:type="paragraph" w:styleId="Caption">
    <w:name w:val="caption"/>
    <w:basedOn w:val="Normal"/>
    <w:next w:val="Normal"/>
    <w:uiPriority w:val="35"/>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nhideWhenUsed/>
    <w:rPr>
      <w:sz w:val="16"/>
      <w:szCs w:val="16"/>
    </w:rPr>
  </w:style>
  <w:style w:type="paragraph" w:styleId="CommentSubject">
    <w:name w:val="annotation subject"/>
    <w:basedOn w:val="CommentText"/>
    <w:next w:val="CommentText"/>
    <w:link w:val="CommentSubjectChar"/>
    <w:uiPriority w:val="99"/>
    <w:semiHidden/>
    <w:unhideWhenUsed/>
    <w:rPr>
      <w:rFonts w:eastAsia="Calibri"/>
      <w:b/>
      <w:bCs/>
    </w:rPr>
  </w:style>
  <w:style w:type="character" w:customStyle="1" w:styleId="CommentSubjectChar">
    <w:name w:val="Comment Subject Char"/>
    <w:link w:val="CommentSubject"/>
    <w:uiPriority w:val="99"/>
    <w:semiHidden/>
    <w:rPr>
      <w:rFonts w:ascii="Times New Roman" w:eastAsia="Times New Roman" w:hAnsi="Times New Roman"/>
      <w:b/>
      <w:bC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hps">
    <w:name w:val="hps"/>
  </w:style>
  <w:style w:type="character" w:styleId="Strong">
    <w:name w:val="Strong"/>
    <w:uiPriority w:val="22"/>
    <w:qFormat/>
    <w:rPr>
      <w:b/>
      <w:bCs/>
    </w:rPr>
  </w:style>
  <w:style w:type="paragraph" w:styleId="Revision">
    <w:name w:val="Revision"/>
    <w:hidden/>
    <w:uiPriority w:val="99"/>
    <w:semiHidden/>
    <w:rPr>
      <w:rFonts w:ascii="Times New Roman" w:hAnsi="Times New Roman"/>
      <w:sz w:val="24"/>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customStyle="1" w:styleId="doc-ti">
    <w:name w:val="doc-ti"/>
    <w:basedOn w:val="Normal"/>
    <w:pPr>
      <w:spacing w:before="100" w:beforeAutospacing="1" w:after="100" w:afterAutospacing="1"/>
      <w:jc w:val="left"/>
    </w:pPr>
    <w:rPr>
      <w:rFonts w:eastAsia="Times New Roman"/>
      <w:szCs w:val="24"/>
    </w:rPr>
  </w:style>
  <w:style w:type="paragraph" w:styleId="ListParagraph">
    <w:name w:val="List Paragraph"/>
    <w:basedOn w:val="Normal"/>
    <w:uiPriority w:val="34"/>
    <w:qFormat/>
    <w:pPr>
      <w:spacing w:before="0" w:after="0"/>
      <w:ind w:left="720"/>
      <w:jc w:val="left"/>
    </w:pPr>
    <w:rPr>
      <w:rFonts w:ascii="Calibri" w:hAnsi="Calibri"/>
      <w:sz w:val="22"/>
    </w:rPr>
  </w:style>
  <w:style w:type="paragraph" w:styleId="ListNumber5">
    <w:name w:val="List Number 5"/>
    <w:basedOn w:val="Normal"/>
    <w:pPr>
      <w:tabs>
        <w:tab w:val="num" w:pos="1492"/>
      </w:tabs>
      <w:spacing w:before="0" w:after="240"/>
      <w:ind w:left="1492" w:hanging="360"/>
    </w:pPr>
    <w:rPr>
      <w:rFonts w:eastAsia="Times New Roman"/>
      <w:szCs w:val="20"/>
    </w:rPr>
  </w:style>
  <w:style w:type="character" w:styleId="Emphasis">
    <w:name w:val="Emphasis"/>
    <w:uiPriority w:val="20"/>
    <w:qFormat/>
    <w:rPr>
      <w:i/>
      <w:iCs/>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apple-converted-space">
    <w:name w:val="apple-converted-space"/>
  </w:style>
  <w:style w:type="paragraph" w:customStyle="1" w:styleId="Footnote">
    <w:name w:val="Footnote"/>
    <w:basedOn w:val="Default"/>
  </w:style>
  <w:style w:type="paragraph" w:customStyle="1" w:styleId="Point1">
    <w:name w:val="Point 1"/>
    <w:basedOn w:val="Normal"/>
    <w:pPr>
      <w:ind w:left="1417" w:hanging="567"/>
    </w:p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0">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0"/>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5103">
      <w:bodyDiv w:val="1"/>
      <w:marLeft w:val="0"/>
      <w:marRight w:val="0"/>
      <w:marTop w:val="0"/>
      <w:marBottom w:val="0"/>
      <w:divBdr>
        <w:top w:val="none" w:sz="0" w:space="0" w:color="auto"/>
        <w:left w:val="none" w:sz="0" w:space="0" w:color="auto"/>
        <w:bottom w:val="none" w:sz="0" w:space="0" w:color="auto"/>
        <w:right w:val="none" w:sz="0" w:space="0" w:color="auto"/>
      </w:divBdr>
    </w:div>
    <w:div w:id="57484103">
      <w:bodyDiv w:val="1"/>
      <w:marLeft w:val="0"/>
      <w:marRight w:val="0"/>
      <w:marTop w:val="0"/>
      <w:marBottom w:val="0"/>
      <w:divBdr>
        <w:top w:val="none" w:sz="0" w:space="0" w:color="auto"/>
        <w:left w:val="none" w:sz="0" w:space="0" w:color="auto"/>
        <w:bottom w:val="none" w:sz="0" w:space="0" w:color="auto"/>
        <w:right w:val="none" w:sz="0" w:space="0" w:color="auto"/>
      </w:divBdr>
    </w:div>
    <w:div w:id="277370787">
      <w:bodyDiv w:val="1"/>
      <w:marLeft w:val="0"/>
      <w:marRight w:val="0"/>
      <w:marTop w:val="0"/>
      <w:marBottom w:val="0"/>
      <w:divBdr>
        <w:top w:val="none" w:sz="0" w:space="0" w:color="auto"/>
        <w:left w:val="none" w:sz="0" w:space="0" w:color="auto"/>
        <w:bottom w:val="none" w:sz="0" w:space="0" w:color="auto"/>
        <w:right w:val="none" w:sz="0" w:space="0" w:color="auto"/>
      </w:divBdr>
    </w:div>
    <w:div w:id="300187257">
      <w:bodyDiv w:val="1"/>
      <w:marLeft w:val="0"/>
      <w:marRight w:val="0"/>
      <w:marTop w:val="0"/>
      <w:marBottom w:val="0"/>
      <w:divBdr>
        <w:top w:val="none" w:sz="0" w:space="0" w:color="auto"/>
        <w:left w:val="none" w:sz="0" w:space="0" w:color="auto"/>
        <w:bottom w:val="none" w:sz="0" w:space="0" w:color="auto"/>
        <w:right w:val="none" w:sz="0" w:space="0" w:color="auto"/>
      </w:divBdr>
    </w:div>
    <w:div w:id="329330129">
      <w:bodyDiv w:val="1"/>
      <w:marLeft w:val="0"/>
      <w:marRight w:val="0"/>
      <w:marTop w:val="0"/>
      <w:marBottom w:val="0"/>
      <w:divBdr>
        <w:top w:val="none" w:sz="0" w:space="0" w:color="auto"/>
        <w:left w:val="none" w:sz="0" w:space="0" w:color="auto"/>
        <w:bottom w:val="none" w:sz="0" w:space="0" w:color="auto"/>
        <w:right w:val="none" w:sz="0" w:space="0" w:color="auto"/>
      </w:divBdr>
    </w:div>
    <w:div w:id="405803063">
      <w:bodyDiv w:val="1"/>
      <w:marLeft w:val="0"/>
      <w:marRight w:val="0"/>
      <w:marTop w:val="0"/>
      <w:marBottom w:val="0"/>
      <w:divBdr>
        <w:top w:val="none" w:sz="0" w:space="0" w:color="auto"/>
        <w:left w:val="none" w:sz="0" w:space="0" w:color="auto"/>
        <w:bottom w:val="none" w:sz="0" w:space="0" w:color="auto"/>
        <w:right w:val="none" w:sz="0" w:space="0" w:color="auto"/>
      </w:divBdr>
    </w:div>
    <w:div w:id="508524333">
      <w:bodyDiv w:val="1"/>
      <w:marLeft w:val="0"/>
      <w:marRight w:val="0"/>
      <w:marTop w:val="0"/>
      <w:marBottom w:val="0"/>
      <w:divBdr>
        <w:top w:val="none" w:sz="0" w:space="0" w:color="auto"/>
        <w:left w:val="none" w:sz="0" w:space="0" w:color="auto"/>
        <w:bottom w:val="none" w:sz="0" w:space="0" w:color="auto"/>
        <w:right w:val="none" w:sz="0" w:space="0" w:color="auto"/>
      </w:divBdr>
    </w:div>
    <w:div w:id="579949505">
      <w:bodyDiv w:val="1"/>
      <w:marLeft w:val="0"/>
      <w:marRight w:val="0"/>
      <w:marTop w:val="0"/>
      <w:marBottom w:val="0"/>
      <w:divBdr>
        <w:top w:val="none" w:sz="0" w:space="0" w:color="auto"/>
        <w:left w:val="none" w:sz="0" w:space="0" w:color="auto"/>
        <w:bottom w:val="none" w:sz="0" w:space="0" w:color="auto"/>
        <w:right w:val="none" w:sz="0" w:space="0" w:color="auto"/>
      </w:divBdr>
    </w:div>
    <w:div w:id="589242266">
      <w:bodyDiv w:val="1"/>
      <w:marLeft w:val="0"/>
      <w:marRight w:val="0"/>
      <w:marTop w:val="0"/>
      <w:marBottom w:val="0"/>
      <w:divBdr>
        <w:top w:val="none" w:sz="0" w:space="0" w:color="auto"/>
        <w:left w:val="none" w:sz="0" w:space="0" w:color="auto"/>
        <w:bottom w:val="none" w:sz="0" w:space="0" w:color="auto"/>
        <w:right w:val="none" w:sz="0" w:space="0" w:color="auto"/>
      </w:divBdr>
    </w:div>
    <w:div w:id="606735209">
      <w:bodyDiv w:val="1"/>
      <w:marLeft w:val="0"/>
      <w:marRight w:val="0"/>
      <w:marTop w:val="0"/>
      <w:marBottom w:val="0"/>
      <w:divBdr>
        <w:top w:val="none" w:sz="0" w:space="0" w:color="auto"/>
        <w:left w:val="none" w:sz="0" w:space="0" w:color="auto"/>
        <w:bottom w:val="none" w:sz="0" w:space="0" w:color="auto"/>
        <w:right w:val="none" w:sz="0" w:space="0" w:color="auto"/>
      </w:divBdr>
    </w:div>
    <w:div w:id="608390196">
      <w:bodyDiv w:val="1"/>
      <w:marLeft w:val="0"/>
      <w:marRight w:val="0"/>
      <w:marTop w:val="0"/>
      <w:marBottom w:val="0"/>
      <w:divBdr>
        <w:top w:val="none" w:sz="0" w:space="0" w:color="auto"/>
        <w:left w:val="none" w:sz="0" w:space="0" w:color="auto"/>
        <w:bottom w:val="none" w:sz="0" w:space="0" w:color="auto"/>
        <w:right w:val="none" w:sz="0" w:space="0" w:color="auto"/>
      </w:divBdr>
      <w:divsChild>
        <w:div w:id="1084033259">
          <w:marLeft w:val="0"/>
          <w:marRight w:val="0"/>
          <w:marTop w:val="0"/>
          <w:marBottom w:val="0"/>
          <w:divBdr>
            <w:top w:val="none" w:sz="0" w:space="0" w:color="auto"/>
            <w:left w:val="none" w:sz="0" w:space="0" w:color="auto"/>
            <w:bottom w:val="none" w:sz="0" w:space="0" w:color="auto"/>
            <w:right w:val="none" w:sz="0" w:space="0" w:color="auto"/>
          </w:divBdr>
        </w:div>
      </w:divsChild>
    </w:div>
    <w:div w:id="760568173">
      <w:bodyDiv w:val="1"/>
      <w:marLeft w:val="0"/>
      <w:marRight w:val="0"/>
      <w:marTop w:val="0"/>
      <w:marBottom w:val="0"/>
      <w:divBdr>
        <w:top w:val="none" w:sz="0" w:space="0" w:color="auto"/>
        <w:left w:val="none" w:sz="0" w:space="0" w:color="auto"/>
        <w:bottom w:val="none" w:sz="0" w:space="0" w:color="auto"/>
        <w:right w:val="none" w:sz="0" w:space="0" w:color="auto"/>
      </w:divBdr>
    </w:div>
    <w:div w:id="785004800">
      <w:bodyDiv w:val="1"/>
      <w:marLeft w:val="0"/>
      <w:marRight w:val="0"/>
      <w:marTop w:val="0"/>
      <w:marBottom w:val="0"/>
      <w:divBdr>
        <w:top w:val="none" w:sz="0" w:space="0" w:color="auto"/>
        <w:left w:val="none" w:sz="0" w:space="0" w:color="auto"/>
        <w:bottom w:val="none" w:sz="0" w:space="0" w:color="auto"/>
        <w:right w:val="none" w:sz="0" w:space="0" w:color="auto"/>
      </w:divBdr>
    </w:div>
    <w:div w:id="875123139">
      <w:bodyDiv w:val="1"/>
      <w:marLeft w:val="0"/>
      <w:marRight w:val="0"/>
      <w:marTop w:val="0"/>
      <w:marBottom w:val="0"/>
      <w:divBdr>
        <w:top w:val="none" w:sz="0" w:space="0" w:color="auto"/>
        <w:left w:val="none" w:sz="0" w:space="0" w:color="auto"/>
        <w:bottom w:val="none" w:sz="0" w:space="0" w:color="auto"/>
        <w:right w:val="none" w:sz="0" w:space="0" w:color="auto"/>
      </w:divBdr>
    </w:div>
    <w:div w:id="942035642">
      <w:bodyDiv w:val="1"/>
      <w:marLeft w:val="0"/>
      <w:marRight w:val="0"/>
      <w:marTop w:val="0"/>
      <w:marBottom w:val="0"/>
      <w:divBdr>
        <w:top w:val="none" w:sz="0" w:space="0" w:color="auto"/>
        <w:left w:val="none" w:sz="0" w:space="0" w:color="auto"/>
        <w:bottom w:val="none" w:sz="0" w:space="0" w:color="auto"/>
        <w:right w:val="none" w:sz="0" w:space="0" w:color="auto"/>
      </w:divBdr>
    </w:div>
    <w:div w:id="974136699">
      <w:bodyDiv w:val="1"/>
      <w:marLeft w:val="0"/>
      <w:marRight w:val="0"/>
      <w:marTop w:val="0"/>
      <w:marBottom w:val="0"/>
      <w:divBdr>
        <w:top w:val="none" w:sz="0" w:space="0" w:color="auto"/>
        <w:left w:val="none" w:sz="0" w:space="0" w:color="auto"/>
        <w:bottom w:val="none" w:sz="0" w:space="0" w:color="auto"/>
        <w:right w:val="none" w:sz="0" w:space="0" w:color="auto"/>
      </w:divBdr>
      <w:divsChild>
        <w:div w:id="72120557">
          <w:marLeft w:val="0"/>
          <w:marRight w:val="0"/>
          <w:marTop w:val="0"/>
          <w:marBottom w:val="0"/>
          <w:divBdr>
            <w:top w:val="none" w:sz="0" w:space="0" w:color="auto"/>
            <w:left w:val="none" w:sz="0" w:space="0" w:color="auto"/>
            <w:bottom w:val="none" w:sz="0" w:space="0" w:color="auto"/>
            <w:right w:val="none" w:sz="0" w:space="0" w:color="auto"/>
          </w:divBdr>
          <w:divsChild>
            <w:div w:id="888612126">
              <w:marLeft w:val="0"/>
              <w:marRight w:val="0"/>
              <w:marTop w:val="150"/>
              <w:marBottom w:val="0"/>
              <w:divBdr>
                <w:top w:val="none" w:sz="0" w:space="0" w:color="auto"/>
                <w:left w:val="none" w:sz="0" w:space="0" w:color="auto"/>
                <w:bottom w:val="none" w:sz="0" w:space="0" w:color="auto"/>
                <w:right w:val="none" w:sz="0" w:space="0" w:color="auto"/>
              </w:divBdr>
              <w:divsChild>
                <w:div w:id="1762528635">
                  <w:marLeft w:val="0"/>
                  <w:marRight w:val="0"/>
                  <w:marTop w:val="0"/>
                  <w:marBottom w:val="0"/>
                  <w:divBdr>
                    <w:top w:val="none" w:sz="0" w:space="0" w:color="auto"/>
                    <w:left w:val="none" w:sz="0" w:space="0" w:color="auto"/>
                    <w:bottom w:val="none" w:sz="0" w:space="0" w:color="auto"/>
                    <w:right w:val="none" w:sz="0" w:space="0" w:color="auto"/>
                  </w:divBdr>
                  <w:divsChild>
                    <w:div w:id="462777207">
                      <w:marLeft w:val="0"/>
                      <w:marRight w:val="0"/>
                      <w:marTop w:val="0"/>
                      <w:marBottom w:val="0"/>
                      <w:divBdr>
                        <w:top w:val="none" w:sz="0" w:space="0" w:color="auto"/>
                        <w:left w:val="none" w:sz="0" w:space="0" w:color="auto"/>
                        <w:bottom w:val="none" w:sz="0" w:space="0" w:color="auto"/>
                        <w:right w:val="none" w:sz="0" w:space="0" w:color="auto"/>
                      </w:divBdr>
                      <w:divsChild>
                        <w:div w:id="1172987805">
                          <w:marLeft w:val="0"/>
                          <w:marRight w:val="0"/>
                          <w:marTop w:val="0"/>
                          <w:marBottom w:val="0"/>
                          <w:divBdr>
                            <w:top w:val="none" w:sz="0" w:space="0" w:color="auto"/>
                            <w:left w:val="none" w:sz="0" w:space="0" w:color="auto"/>
                            <w:bottom w:val="none" w:sz="0" w:space="0" w:color="auto"/>
                            <w:right w:val="none" w:sz="0" w:space="0" w:color="auto"/>
                          </w:divBdr>
                          <w:divsChild>
                            <w:div w:id="285737349">
                              <w:marLeft w:val="0"/>
                              <w:marRight w:val="0"/>
                              <w:marTop w:val="0"/>
                              <w:marBottom w:val="0"/>
                              <w:divBdr>
                                <w:top w:val="none" w:sz="0" w:space="0" w:color="auto"/>
                                <w:left w:val="none" w:sz="0" w:space="0" w:color="auto"/>
                                <w:bottom w:val="none" w:sz="0" w:space="0" w:color="auto"/>
                                <w:right w:val="none" w:sz="0" w:space="0" w:color="auto"/>
                              </w:divBdr>
                              <w:divsChild>
                                <w:div w:id="830753297">
                                  <w:marLeft w:val="0"/>
                                  <w:marRight w:val="0"/>
                                  <w:marTop w:val="0"/>
                                  <w:marBottom w:val="0"/>
                                  <w:divBdr>
                                    <w:top w:val="none" w:sz="0" w:space="0" w:color="auto"/>
                                    <w:left w:val="none" w:sz="0" w:space="0" w:color="auto"/>
                                    <w:bottom w:val="none" w:sz="0" w:space="0" w:color="auto"/>
                                    <w:right w:val="none" w:sz="0" w:space="0" w:color="auto"/>
                                  </w:divBdr>
                                  <w:divsChild>
                                    <w:div w:id="1351105725">
                                      <w:marLeft w:val="0"/>
                                      <w:marRight w:val="0"/>
                                      <w:marTop w:val="0"/>
                                      <w:marBottom w:val="0"/>
                                      <w:divBdr>
                                        <w:top w:val="none" w:sz="0" w:space="0" w:color="auto"/>
                                        <w:left w:val="none" w:sz="0" w:space="0" w:color="auto"/>
                                        <w:bottom w:val="none" w:sz="0" w:space="0" w:color="auto"/>
                                        <w:right w:val="none" w:sz="0" w:space="0" w:color="auto"/>
                                      </w:divBdr>
                                      <w:divsChild>
                                        <w:div w:id="545871362">
                                          <w:marLeft w:val="0"/>
                                          <w:marRight w:val="0"/>
                                          <w:marTop w:val="0"/>
                                          <w:marBottom w:val="0"/>
                                          <w:divBdr>
                                            <w:top w:val="none" w:sz="0" w:space="0" w:color="auto"/>
                                            <w:left w:val="none" w:sz="0" w:space="0" w:color="auto"/>
                                            <w:bottom w:val="none" w:sz="0" w:space="0" w:color="auto"/>
                                            <w:right w:val="none" w:sz="0" w:space="0" w:color="auto"/>
                                          </w:divBdr>
                                        </w:div>
                                        <w:div w:id="1014069203">
                                          <w:marLeft w:val="0"/>
                                          <w:marRight w:val="0"/>
                                          <w:marTop w:val="0"/>
                                          <w:marBottom w:val="0"/>
                                          <w:divBdr>
                                            <w:top w:val="none" w:sz="0" w:space="0" w:color="auto"/>
                                            <w:left w:val="none" w:sz="0" w:space="0" w:color="auto"/>
                                            <w:bottom w:val="none" w:sz="0" w:space="0" w:color="auto"/>
                                            <w:right w:val="none" w:sz="0" w:space="0" w:color="auto"/>
                                          </w:divBdr>
                                        </w:div>
                                        <w:div w:id="49114985">
                                          <w:marLeft w:val="0"/>
                                          <w:marRight w:val="0"/>
                                          <w:marTop w:val="0"/>
                                          <w:marBottom w:val="0"/>
                                          <w:divBdr>
                                            <w:top w:val="none" w:sz="0" w:space="0" w:color="auto"/>
                                            <w:left w:val="none" w:sz="0" w:space="0" w:color="auto"/>
                                            <w:bottom w:val="none" w:sz="0" w:space="0" w:color="auto"/>
                                            <w:right w:val="none" w:sz="0" w:space="0" w:color="auto"/>
                                          </w:divBdr>
                                        </w:div>
                                        <w:div w:id="10377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0126166">
      <w:bodyDiv w:val="1"/>
      <w:marLeft w:val="0"/>
      <w:marRight w:val="0"/>
      <w:marTop w:val="0"/>
      <w:marBottom w:val="0"/>
      <w:divBdr>
        <w:top w:val="none" w:sz="0" w:space="0" w:color="auto"/>
        <w:left w:val="none" w:sz="0" w:space="0" w:color="auto"/>
        <w:bottom w:val="none" w:sz="0" w:space="0" w:color="auto"/>
        <w:right w:val="none" w:sz="0" w:space="0" w:color="auto"/>
      </w:divBdr>
    </w:div>
    <w:div w:id="1123231126">
      <w:bodyDiv w:val="1"/>
      <w:marLeft w:val="0"/>
      <w:marRight w:val="0"/>
      <w:marTop w:val="0"/>
      <w:marBottom w:val="0"/>
      <w:divBdr>
        <w:top w:val="none" w:sz="0" w:space="0" w:color="auto"/>
        <w:left w:val="none" w:sz="0" w:space="0" w:color="auto"/>
        <w:bottom w:val="none" w:sz="0" w:space="0" w:color="auto"/>
        <w:right w:val="none" w:sz="0" w:space="0" w:color="auto"/>
      </w:divBdr>
    </w:div>
    <w:div w:id="1227381373">
      <w:bodyDiv w:val="1"/>
      <w:marLeft w:val="0"/>
      <w:marRight w:val="0"/>
      <w:marTop w:val="0"/>
      <w:marBottom w:val="0"/>
      <w:divBdr>
        <w:top w:val="none" w:sz="0" w:space="0" w:color="auto"/>
        <w:left w:val="none" w:sz="0" w:space="0" w:color="auto"/>
        <w:bottom w:val="none" w:sz="0" w:space="0" w:color="auto"/>
        <w:right w:val="none" w:sz="0" w:space="0" w:color="auto"/>
      </w:divBdr>
    </w:div>
    <w:div w:id="1295408798">
      <w:bodyDiv w:val="1"/>
      <w:marLeft w:val="0"/>
      <w:marRight w:val="0"/>
      <w:marTop w:val="0"/>
      <w:marBottom w:val="0"/>
      <w:divBdr>
        <w:top w:val="none" w:sz="0" w:space="0" w:color="auto"/>
        <w:left w:val="none" w:sz="0" w:space="0" w:color="auto"/>
        <w:bottom w:val="none" w:sz="0" w:space="0" w:color="auto"/>
        <w:right w:val="none" w:sz="0" w:space="0" w:color="auto"/>
      </w:divBdr>
    </w:div>
    <w:div w:id="1400521186">
      <w:bodyDiv w:val="1"/>
      <w:marLeft w:val="0"/>
      <w:marRight w:val="0"/>
      <w:marTop w:val="0"/>
      <w:marBottom w:val="0"/>
      <w:divBdr>
        <w:top w:val="none" w:sz="0" w:space="0" w:color="auto"/>
        <w:left w:val="none" w:sz="0" w:space="0" w:color="auto"/>
        <w:bottom w:val="none" w:sz="0" w:space="0" w:color="auto"/>
        <w:right w:val="none" w:sz="0" w:space="0" w:color="auto"/>
      </w:divBdr>
      <w:divsChild>
        <w:div w:id="483398743">
          <w:marLeft w:val="0"/>
          <w:marRight w:val="0"/>
          <w:marTop w:val="0"/>
          <w:marBottom w:val="0"/>
          <w:divBdr>
            <w:top w:val="none" w:sz="0" w:space="0" w:color="auto"/>
            <w:left w:val="none" w:sz="0" w:space="0" w:color="auto"/>
            <w:bottom w:val="none" w:sz="0" w:space="0" w:color="auto"/>
            <w:right w:val="none" w:sz="0" w:space="0" w:color="auto"/>
          </w:divBdr>
          <w:divsChild>
            <w:div w:id="1746491182">
              <w:marLeft w:val="0"/>
              <w:marRight w:val="0"/>
              <w:marTop w:val="0"/>
              <w:marBottom w:val="0"/>
              <w:divBdr>
                <w:top w:val="none" w:sz="0" w:space="0" w:color="auto"/>
                <w:left w:val="none" w:sz="0" w:space="0" w:color="auto"/>
                <w:bottom w:val="none" w:sz="0" w:space="0" w:color="auto"/>
                <w:right w:val="none" w:sz="0" w:space="0" w:color="auto"/>
              </w:divBdr>
              <w:divsChild>
                <w:div w:id="1928733718">
                  <w:marLeft w:val="0"/>
                  <w:marRight w:val="0"/>
                  <w:marTop w:val="0"/>
                  <w:marBottom w:val="0"/>
                  <w:divBdr>
                    <w:top w:val="none" w:sz="0" w:space="0" w:color="auto"/>
                    <w:left w:val="none" w:sz="0" w:space="0" w:color="auto"/>
                    <w:bottom w:val="none" w:sz="0" w:space="0" w:color="auto"/>
                    <w:right w:val="none" w:sz="0" w:space="0" w:color="auto"/>
                  </w:divBdr>
                  <w:divsChild>
                    <w:div w:id="681006139">
                      <w:marLeft w:val="1"/>
                      <w:marRight w:val="1"/>
                      <w:marTop w:val="0"/>
                      <w:marBottom w:val="0"/>
                      <w:divBdr>
                        <w:top w:val="none" w:sz="0" w:space="0" w:color="auto"/>
                        <w:left w:val="none" w:sz="0" w:space="0" w:color="auto"/>
                        <w:bottom w:val="none" w:sz="0" w:space="0" w:color="auto"/>
                        <w:right w:val="none" w:sz="0" w:space="0" w:color="auto"/>
                      </w:divBdr>
                      <w:divsChild>
                        <w:div w:id="1429081767">
                          <w:marLeft w:val="0"/>
                          <w:marRight w:val="0"/>
                          <w:marTop w:val="0"/>
                          <w:marBottom w:val="0"/>
                          <w:divBdr>
                            <w:top w:val="none" w:sz="0" w:space="0" w:color="auto"/>
                            <w:left w:val="none" w:sz="0" w:space="0" w:color="auto"/>
                            <w:bottom w:val="none" w:sz="0" w:space="0" w:color="auto"/>
                            <w:right w:val="none" w:sz="0" w:space="0" w:color="auto"/>
                          </w:divBdr>
                          <w:divsChild>
                            <w:div w:id="1770464901">
                              <w:marLeft w:val="0"/>
                              <w:marRight w:val="0"/>
                              <w:marTop w:val="0"/>
                              <w:marBottom w:val="360"/>
                              <w:divBdr>
                                <w:top w:val="none" w:sz="0" w:space="0" w:color="auto"/>
                                <w:left w:val="none" w:sz="0" w:space="0" w:color="auto"/>
                                <w:bottom w:val="none" w:sz="0" w:space="0" w:color="auto"/>
                                <w:right w:val="none" w:sz="0" w:space="0" w:color="auto"/>
                              </w:divBdr>
                              <w:divsChild>
                                <w:div w:id="1093015803">
                                  <w:marLeft w:val="0"/>
                                  <w:marRight w:val="0"/>
                                  <w:marTop w:val="0"/>
                                  <w:marBottom w:val="0"/>
                                  <w:divBdr>
                                    <w:top w:val="none" w:sz="0" w:space="0" w:color="auto"/>
                                    <w:left w:val="none" w:sz="0" w:space="0" w:color="auto"/>
                                    <w:bottom w:val="none" w:sz="0" w:space="0" w:color="auto"/>
                                    <w:right w:val="none" w:sz="0" w:space="0" w:color="auto"/>
                                  </w:divBdr>
                                  <w:divsChild>
                                    <w:div w:id="15973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7262263">
      <w:bodyDiv w:val="1"/>
      <w:marLeft w:val="0"/>
      <w:marRight w:val="0"/>
      <w:marTop w:val="0"/>
      <w:marBottom w:val="0"/>
      <w:divBdr>
        <w:top w:val="none" w:sz="0" w:space="0" w:color="auto"/>
        <w:left w:val="none" w:sz="0" w:space="0" w:color="auto"/>
        <w:bottom w:val="none" w:sz="0" w:space="0" w:color="auto"/>
        <w:right w:val="none" w:sz="0" w:space="0" w:color="auto"/>
      </w:divBdr>
    </w:div>
    <w:div w:id="1477990944">
      <w:bodyDiv w:val="1"/>
      <w:marLeft w:val="0"/>
      <w:marRight w:val="0"/>
      <w:marTop w:val="0"/>
      <w:marBottom w:val="0"/>
      <w:divBdr>
        <w:top w:val="none" w:sz="0" w:space="0" w:color="auto"/>
        <w:left w:val="none" w:sz="0" w:space="0" w:color="auto"/>
        <w:bottom w:val="none" w:sz="0" w:space="0" w:color="auto"/>
        <w:right w:val="none" w:sz="0" w:space="0" w:color="auto"/>
      </w:divBdr>
      <w:divsChild>
        <w:div w:id="1637174983">
          <w:marLeft w:val="0"/>
          <w:marRight w:val="0"/>
          <w:marTop w:val="0"/>
          <w:marBottom w:val="0"/>
          <w:divBdr>
            <w:top w:val="none" w:sz="0" w:space="0" w:color="auto"/>
            <w:left w:val="none" w:sz="0" w:space="0" w:color="auto"/>
            <w:bottom w:val="none" w:sz="0" w:space="0" w:color="auto"/>
            <w:right w:val="none" w:sz="0" w:space="0" w:color="auto"/>
          </w:divBdr>
          <w:divsChild>
            <w:div w:id="1873346779">
              <w:marLeft w:val="0"/>
              <w:marRight w:val="0"/>
              <w:marTop w:val="0"/>
              <w:marBottom w:val="0"/>
              <w:divBdr>
                <w:top w:val="none" w:sz="0" w:space="0" w:color="auto"/>
                <w:left w:val="none" w:sz="0" w:space="0" w:color="auto"/>
                <w:bottom w:val="none" w:sz="0" w:space="0" w:color="auto"/>
                <w:right w:val="none" w:sz="0" w:space="0" w:color="auto"/>
              </w:divBdr>
              <w:divsChild>
                <w:div w:id="1852717116">
                  <w:marLeft w:val="0"/>
                  <w:marRight w:val="0"/>
                  <w:marTop w:val="0"/>
                  <w:marBottom w:val="0"/>
                  <w:divBdr>
                    <w:top w:val="none" w:sz="0" w:space="0" w:color="auto"/>
                    <w:left w:val="none" w:sz="0" w:space="0" w:color="auto"/>
                    <w:bottom w:val="none" w:sz="0" w:space="0" w:color="auto"/>
                    <w:right w:val="none" w:sz="0" w:space="0" w:color="auto"/>
                  </w:divBdr>
                  <w:divsChild>
                    <w:div w:id="936795812">
                      <w:marLeft w:val="1"/>
                      <w:marRight w:val="1"/>
                      <w:marTop w:val="0"/>
                      <w:marBottom w:val="0"/>
                      <w:divBdr>
                        <w:top w:val="none" w:sz="0" w:space="0" w:color="auto"/>
                        <w:left w:val="none" w:sz="0" w:space="0" w:color="auto"/>
                        <w:bottom w:val="none" w:sz="0" w:space="0" w:color="auto"/>
                        <w:right w:val="none" w:sz="0" w:space="0" w:color="auto"/>
                      </w:divBdr>
                      <w:divsChild>
                        <w:div w:id="740058240">
                          <w:marLeft w:val="0"/>
                          <w:marRight w:val="0"/>
                          <w:marTop w:val="0"/>
                          <w:marBottom w:val="0"/>
                          <w:divBdr>
                            <w:top w:val="none" w:sz="0" w:space="0" w:color="auto"/>
                            <w:left w:val="none" w:sz="0" w:space="0" w:color="auto"/>
                            <w:bottom w:val="none" w:sz="0" w:space="0" w:color="auto"/>
                            <w:right w:val="none" w:sz="0" w:space="0" w:color="auto"/>
                          </w:divBdr>
                          <w:divsChild>
                            <w:div w:id="2139106135">
                              <w:marLeft w:val="0"/>
                              <w:marRight w:val="0"/>
                              <w:marTop w:val="0"/>
                              <w:marBottom w:val="0"/>
                              <w:divBdr>
                                <w:top w:val="none" w:sz="0" w:space="0" w:color="auto"/>
                                <w:left w:val="none" w:sz="0" w:space="0" w:color="auto"/>
                                <w:bottom w:val="none" w:sz="0" w:space="0" w:color="auto"/>
                                <w:right w:val="none" w:sz="0" w:space="0" w:color="auto"/>
                              </w:divBdr>
                              <w:divsChild>
                                <w:div w:id="642655611">
                                  <w:marLeft w:val="0"/>
                                  <w:marRight w:val="0"/>
                                  <w:marTop w:val="0"/>
                                  <w:marBottom w:val="360"/>
                                  <w:divBdr>
                                    <w:top w:val="none" w:sz="0" w:space="0" w:color="auto"/>
                                    <w:left w:val="none" w:sz="0" w:space="0" w:color="auto"/>
                                    <w:bottom w:val="none" w:sz="0" w:space="0" w:color="auto"/>
                                    <w:right w:val="none" w:sz="0" w:space="0" w:color="auto"/>
                                  </w:divBdr>
                                  <w:divsChild>
                                    <w:div w:id="1350369511">
                                      <w:marLeft w:val="0"/>
                                      <w:marRight w:val="0"/>
                                      <w:marTop w:val="0"/>
                                      <w:marBottom w:val="0"/>
                                      <w:divBdr>
                                        <w:top w:val="none" w:sz="0" w:space="0" w:color="auto"/>
                                        <w:left w:val="none" w:sz="0" w:space="0" w:color="auto"/>
                                        <w:bottom w:val="none" w:sz="0" w:space="0" w:color="auto"/>
                                        <w:right w:val="none" w:sz="0" w:space="0" w:color="auto"/>
                                      </w:divBdr>
                                      <w:divsChild>
                                        <w:div w:id="29302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754751">
      <w:bodyDiv w:val="1"/>
      <w:marLeft w:val="0"/>
      <w:marRight w:val="0"/>
      <w:marTop w:val="0"/>
      <w:marBottom w:val="0"/>
      <w:divBdr>
        <w:top w:val="none" w:sz="0" w:space="0" w:color="auto"/>
        <w:left w:val="none" w:sz="0" w:space="0" w:color="auto"/>
        <w:bottom w:val="none" w:sz="0" w:space="0" w:color="auto"/>
        <w:right w:val="none" w:sz="0" w:space="0" w:color="auto"/>
      </w:divBdr>
    </w:div>
    <w:div w:id="1522621227">
      <w:bodyDiv w:val="1"/>
      <w:marLeft w:val="0"/>
      <w:marRight w:val="0"/>
      <w:marTop w:val="0"/>
      <w:marBottom w:val="0"/>
      <w:divBdr>
        <w:top w:val="none" w:sz="0" w:space="0" w:color="auto"/>
        <w:left w:val="none" w:sz="0" w:space="0" w:color="auto"/>
        <w:bottom w:val="none" w:sz="0" w:space="0" w:color="auto"/>
        <w:right w:val="none" w:sz="0" w:space="0" w:color="auto"/>
      </w:divBdr>
    </w:div>
    <w:div w:id="1547067390">
      <w:bodyDiv w:val="1"/>
      <w:marLeft w:val="0"/>
      <w:marRight w:val="0"/>
      <w:marTop w:val="0"/>
      <w:marBottom w:val="0"/>
      <w:divBdr>
        <w:top w:val="none" w:sz="0" w:space="0" w:color="auto"/>
        <w:left w:val="none" w:sz="0" w:space="0" w:color="auto"/>
        <w:bottom w:val="none" w:sz="0" w:space="0" w:color="auto"/>
        <w:right w:val="none" w:sz="0" w:space="0" w:color="auto"/>
      </w:divBdr>
    </w:div>
    <w:div w:id="1570918462">
      <w:bodyDiv w:val="1"/>
      <w:marLeft w:val="0"/>
      <w:marRight w:val="0"/>
      <w:marTop w:val="0"/>
      <w:marBottom w:val="0"/>
      <w:divBdr>
        <w:top w:val="none" w:sz="0" w:space="0" w:color="auto"/>
        <w:left w:val="none" w:sz="0" w:space="0" w:color="auto"/>
        <w:bottom w:val="none" w:sz="0" w:space="0" w:color="auto"/>
        <w:right w:val="none" w:sz="0" w:space="0" w:color="auto"/>
      </w:divBdr>
      <w:divsChild>
        <w:div w:id="2114863992">
          <w:marLeft w:val="0"/>
          <w:marRight w:val="0"/>
          <w:marTop w:val="0"/>
          <w:marBottom w:val="0"/>
          <w:divBdr>
            <w:top w:val="none" w:sz="0" w:space="0" w:color="auto"/>
            <w:left w:val="none" w:sz="0" w:space="0" w:color="auto"/>
            <w:bottom w:val="none" w:sz="0" w:space="0" w:color="auto"/>
            <w:right w:val="none" w:sz="0" w:space="0" w:color="auto"/>
          </w:divBdr>
        </w:div>
      </w:divsChild>
    </w:div>
    <w:div w:id="1784574892">
      <w:bodyDiv w:val="1"/>
      <w:marLeft w:val="0"/>
      <w:marRight w:val="0"/>
      <w:marTop w:val="0"/>
      <w:marBottom w:val="0"/>
      <w:divBdr>
        <w:top w:val="none" w:sz="0" w:space="0" w:color="auto"/>
        <w:left w:val="none" w:sz="0" w:space="0" w:color="auto"/>
        <w:bottom w:val="none" w:sz="0" w:space="0" w:color="auto"/>
        <w:right w:val="none" w:sz="0" w:space="0" w:color="auto"/>
      </w:divBdr>
    </w:div>
    <w:div w:id="1849638911">
      <w:bodyDiv w:val="1"/>
      <w:marLeft w:val="0"/>
      <w:marRight w:val="0"/>
      <w:marTop w:val="0"/>
      <w:marBottom w:val="0"/>
      <w:divBdr>
        <w:top w:val="none" w:sz="0" w:space="0" w:color="auto"/>
        <w:left w:val="none" w:sz="0" w:space="0" w:color="auto"/>
        <w:bottom w:val="none" w:sz="0" w:space="0" w:color="auto"/>
        <w:right w:val="none" w:sz="0" w:space="0" w:color="auto"/>
      </w:divBdr>
    </w:div>
    <w:div w:id="1882667281">
      <w:bodyDiv w:val="1"/>
      <w:marLeft w:val="0"/>
      <w:marRight w:val="0"/>
      <w:marTop w:val="0"/>
      <w:marBottom w:val="0"/>
      <w:divBdr>
        <w:top w:val="none" w:sz="0" w:space="0" w:color="auto"/>
        <w:left w:val="none" w:sz="0" w:space="0" w:color="auto"/>
        <w:bottom w:val="none" w:sz="0" w:space="0" w:color="auto"/>
        <w:right w:val="none" w:sz="0" w:space="0" w:color="auto"/>
      </w:divBdr>
      <w:divsChild>
        <w:div w:id="1157957902">
          <w:marLeft w:val="0"/>
          <w:marRight w:val="0"/>
          <w:marTop w:val="0"/>
          <w:marBottom w:val="0"/>
          <w:divBdr>
            <w:top w:val="none" w:sz="0" w:space="0" w:color="auto"/>
            <w:left w:val="none" w:sz="0" w:space="0" w:color="auto"/>
            <w:bottom w:val="none" w:sz="0" w:space="0" w:color="auto"/>
            <w:right w:val="none" w:sz="0" w:space="0" w:color="auto"/>
          </w:divBdr>
          <w:divsChild>
            <w:div w:id="1959794081">
              <w:marLeft w:val="0"/>
              <w:marRight w:val="0"/>
              <w:marTop w:val="0"/>
              <w:marBottom w:val="0"/>
              <w:divBdr>
                <w:top w:val="none" w:sz="0" w:space="0" w:color="auto"/>
                <w:left w:val="none" w:sz="0" w:space="0" w:color="auto"/>
                <w:bottom w:val="none" w:sz="0" w:space="0" w:color="auto"/>
                <w:right w:val="none" w:sz="0" w:space="0" w:color="auto"/>
              </w:divBdr>
              <w:divsChild>
                <w:div w:id="1153987779">
                  <w:marLeft w:val="0"/>
                  <w:marRight w:val="0"/>
                  <w:marTop w:val="0"/>
                  <w:marBottom w:val="0"/>
                  <w:divBdr>
                    <w:top w:val="none" w:sz="0" w:space="0" w:color="auto"/>
                    <w:left w:val="none" w:sz="0" w:space="0" w:color="auto"/>
                    <w:bottom w:val="none" w:sz="0" w:space="0" w:color="auto"/>
                    <w:right w:val="none" w:sz="0" w:space="0" w:color="auto"/>
                  </w:divBdr>
                  <w:divsChild>
                    <w:div w:id="841821993">
                      <w:marLeft w:val="1"/>
                      <w:marRight w:val="1"/>
                      <w:marTop w:val="0"/>
                      <w:marBottom w:val="0"/>
                      <w:divBdr>
                        <w:top w:val="none" w:sz="0" w:space="0" w:color="auto"/>
                        <w:left w:val="none" w:sz="0" w:space="0" w:color="auto"/>
                        <w:bottom w:val="none" w:sz="0" w:space="0" w:color="auto"/>
                        <w:right w:val="none" w:sz="0" w:space="0" w:color="auto"/>
                      </w:divBdr>
                      <w:divsChild>
                        <w:div w:id="800535717">
                          <w:marLeft w:val="0"/>
                          <w:marRight w:val="0"/>
                          <w:marTop w:val="0"/>
                          <w:marBottom w:val="0"/>
                          <w:divBdr>
                            <w:top w:val="none" w:sz="0" w:space="0" w:color="auto"/>
                            <w:left w:val="none" w:sz="0" w:space="0" w:color="auto"/>
                            <w:bottom w:val="none" w:sz="0" w:space="0" w:color="auto"/>
                            <w:right w:val="none" w:sz="0" w:space="0" w:color="auto"/>
                          </w:divBdr>
                          <w:divsChild>
                            <w:div w:id="1030103047">
                              <w:marLeft w:val="0"/>
                              <w:marRight w:val="0"/>
                              <w:marTop w:val="0"/>
                              <w:marBottom w:val="360"/>
                              <w:divBdr>
                                <w:top w:val="none" w:sz="0" w:space="0" w:color="auto"/>
                                <w:left w:val="none" w:sz="0" w:space="0" w:color="auto"/>
                                <w:bottom w:val="none" w:sz="0" w:space="0" w:color="auto"/>
                                <w:right w:val="none" w:sz="0" w:space="0" w:color="auto"/>
                              </w:divBdr>
                              <w:divsChild>
                                <w:div w:id="1180238539">
                                  <w:marLeft w:val="0"/>
                                  <w:marRight w:val="0"/>
                                  <w:marTop w:val="0"/>
                                  <w:marBottom w:val="0"/>
                                  <w:divBdr>
                                    <w:top w:val="none" w:sz="0" w:space="0" w:color="auto"/>
                                    <w:left w:val="none" w:sz="0" w:space="0" w:color="auto"/>
                                    <w:bottom w:val="none" w:sz="0" w:space="0" w:color="auto"/>
                                    <w:right w:val="none" w:sz="0" w:space="0" w:color="auto"/>
                                  </w:divBdr>
                                  <w:divsChild>
                                    <w:div w:id="18366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472510">
      <w:bodyDiv w:val="1"/>
      <w:marLeft w:val="0"/>
      <w:marRight w:val="0"/>
      <w:marTop w:val="0"/>
      <w:marBottom w:val="0"/>
      <w:divBdr>
        <w:top w:val="none" w:sz="0" w:space="0" w:color="auto"/>
        <w:left w:val="none" w:sz="0" w:space="0" w:color="auto"/>
        <w:bottom w:val="none" w:sz="0" w:space="0" w:color="auto"/>
        <w:right w:val="none" w:sz="0" w:space="0" w:color="auto"/>
      </w:divBdr>
    </w:div>
    <w:div w:id="1945529647">
      <w:bodyDiv w:val="1"/>
      <w:marLeft w:val="0"/>
      <w:marRight w:val="0"/>
      <w:marTop w:val="0"/>
      <w:marBottom w:val="0"/>
      <w:divBdr>
        <w:top w:val="none" w:sz="0" w:space="0" w:color="auto"/>
        <w:left w:val="none" w:sz="0" w:space="0" w:color="auto"/>
        <w:bottom w:val="none" w:sz="0" w:space="0" w:color="auto"/>
        <w:right w:val="none" w:sz="0" w:space="0" w:color="auto"/>
      </w:divBdr>
      <w:divsChild>
        <w:div w:id="1253663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1975863330">
      <w:bodyDiv w:val="1"/>
      <w:marLeft w:val="0"/>
      <w:marRight w:val="0"/>
      <w:marTop w:val="0"/>
      <w:marBottom w:val="0"/>
      <w:divBdr>
        <w:top w:val="none" w:sz="0" w:space="0" w:color="auto"/>
        <w:left w:val="none" w:sz="0" w:space="0" w:color="auto"/>
        <w:bottom w:val="none" w:sz="0" w:space="0" w:color="auto"/>
        <w:right w:val="none" w:sz="0" w:space="0" w:color="auto"/>
      </w:divBdr>
      <w:divsChild>
        <w:div w:id="336615763">
          <w:marLeft w:val="0"/>
          <w:marRight w:val="0"/>
          <w:marTop w:val="0"/>
          <w:marBottom w:val="0"/>
          <w:divBdr>
            <w:top w:val="none" w:sz="0" w:space="0" w:color="auto"/>
            <w:left w:val="none" w:sz="0" w:space="0" w:color="auto"/>
            <w:bottom w:val="none" w:sz="0" w:space="0" w:color="auto"/>
            <w:right w:val="none" w:sz="0" w:space="0" w:color="auto"/>
          </w:divBdr>
          <w:divsChild>
            <w:div w:id="1929072206">
              <w:marLeft w:val="0"/>
              <w:marRight w:val="0"/>
              <w:marTop w:val="0"/>
              <w:marBottom w:val="0"/>
              <w:divBdr>
                <w:top w:val="none" w:sz="0" w:space="0" w:color="auto"/>
                <w:left w:val="none" w:sz="0" w:space="0" w:color="auto"/>
                <w:bottom w:val="none" w:sz="0" w:space="0" w:color="auto"/>
                <w:right w:val="none" w:sz="0" w:space="0" w:color="auto"/>
              </w:divBdr>
              <w:divsChild>
                <w:div w:id="142704205">
                  <w:marLeft w:val="0"/>
                  <w:marRight w:val="0"/>
                  <w:marTop w:val="0"/>
                  <w:marBottom w:val="0"/>
                  <w:divBdr>
                    <w:top w:val="none" w:sz="0" w:space="0" w:color="auto"/>
                    <w:left w:val="none" w:sz="0" w:space="0" w:color="auto"/>
                    <w:bottom w:val="none" w:sz="0" w:space="0" w:color="auto"/>
                    <w:right w:val="none" w:sz="0" w:space="0" w:color="auto"/>
                  </w:divBdr>
                  <w:divsChild>
                    <w:div w:id="1028020497">
                      <w:marLeft w:val="1"/>
                      <w:marRight w:val="1"/>
                      <w:marTop w:val="0"/>
                      <w:marBottom w:val="0"/>
                      <w:divBdr>
                        <w:top w:val="none" w:sz="0" w:space="0" w:color="auto"/>
                        <w:left w:val="none" w:sz="0" w:space="0" w:color="auto"/>
                        <w:bottom w:val="none" w:sz="0" w:space="0" w:color="auto"/>
                        <w:right w:val="none" w:sz="0" w:space="0" w:color="auto"/>
                      </w:divBdr>
                      <w:divsChild>
                        <w:div w:id="1966111157">
                          <w:marLeft w:val="0"/>
                          <w:marRight w:val="0"/>
                          <w:marTop w:val="0"/>
                          <w:marBottom w:val="0"/>
                          <w:divBdr>
                            <w:top w:val="none" w:sz="0" w:space="0" w:color="auto"/>
                            <w:left w:val="none" w:sz="0" w:space="0" w:color="auto"/>
                            <w:bottom w:val="none" w:sz="0" w:space="0" w:color="auto"/>
                            <w:right w:val="none" w:sz="0" w:space="0" w:color="auto"/>
                          </w:divBdr>
                          <w:divsChild>
                            <w:div w:id="2090075259">
                              <w:marLeft w:val="0"/>
                              <w:marRight w:val="0"/>
                              <w:marTop w:val="0"/>
                              <w:marBottom w:val="360"/>
                              <w:divBdr>
                                <w:top w:val="none" w:sz="0" w:space="0" w:color="auto"/>
                                <w:left w:val="none" w:sz="0" w:space="0" w:color="auto"/>
                                <w:bottom w:val="none" w:sz="0" w:space="0" w:color="auto"/>
                                <w:right w:val="none" w:sz="0" w:space="0" w:color="auto"/>
                              </w:divBdr>
                              <w:divsChild>
                                <w:div w:id="1049762037">
                                  <w:marLeft w:val="0"/>
                                  <w:marRight w:val="0"/>
                                  <w:marTop w:val="0"/>
                                  <w:marBottom w:val="0"/>
                                  <w:divBdr>
                                    <w:top w:val="none" w:sz="0" w:space="0" w:color="auto"/>
                                    <w:left w:val="none" w:sz="0" w:space="0" w:color="auto"/>
                                    <w:bottom w:val="none" w:sz="0" w:space="0" w:color="auto"/>
                                    <w:right w:val="none" w:sz="0" w:space="0" w:color="auto"/>
                                  </w:divBdr>
                                  <w:divsChild>
                                    <w:div w:id="176418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000299">
      <w:bodyDiv w:val="1"/>
      <w:marLeft w:val="0"/>
      <w:marRight w:val="0"/>
      <w:marTop w:val="0"/>
      <w:marBottom w:val="0"/>
      <w:divBdr>
        <w:top w:val="none" w:sz="0" w:space="0" w:color="auto"/>
        <w:left w:val="none" w:sz="0" w:space="0" w:color="auto"/>
        <w:bottom w:val="none" w:sz="0" w:space="0" w:color="auto"/>
        <w:right w:val="none" w:sz="0" w:space="0" w:color="auto"/>
      </w:divBdr>
    </w:div>
    <w:div w:id="2038963934">
      <w:bodyDiv w:val="1"/>
      <w:marLeft w:val="0"/>
      <w:marRight w:val="0"/>
      <w:marTop w:val="0"/>
      <w:marBottom w:val="0"/>
      <w:divBdr>
        <w:top w:val="none" w:sz="0" w:space="0" w:color="auto"/>
        <w:left w:val="none" w:sz="0" w:space="0" w:color="auto"/>
        <w:bottom w:val="none" w:sz="0" w:space="0" w:color="auto"/>
        <w:right w:val="none" w:sz="0" w:space="0" w:color="auto"/>
      </w:divBdr>
    </w:div>
    <w:div w:id="2067295354">
      <w:bodyDiv w:val="1"/>
      <w:marLeft w:val="0"/>
      <w:marRight w:val="0"/>
      <w:marTop w:val="0"/>
      <w:marBottom w:val="0"/>
      <w:divBdr>
        <w:top w:val="none" w:sz="0" w:space="0" w:color="auto"/>
        <w:left w:val="none" w:sz="0" w:space="0" w:color="auto"/>
        <w:bottom w:val="none" w:sz="0" w:space="0" w:color="auto"/>
        <w:right w:val="none" w:sz="0" w:space="0" w:color="auto"/>
      </w:divBdr>
      <w:divsChild>
        <w:div w:id="845704143">
          <w:marLeft w:val="0"/>
          <w:marRight w:val="0"/>
          <w:marTop w:val="0"/>
          <w:marBottom w:val="0"/>
          <w:divBdr>
            <w:top w:val="none" w:sz="0" w:space="0" w:color="auto"/>
            <w:left w:val="none" w:sz="0" w:space="0" w:color="auto"/>
            <w:bottom w:val="none" w:sz="0" w:space="0" w:color="auto"/>
            <w:right w:val="none" w:sz="0" w:space="0" w:color="auto"/>
          </w:divBdr>
          <w:divsChild>
            <w:div w:id="905264280">
              <w:marLeft w:val="0"/>
              <w:marRight w:val="0"/>
              <w:marTop w:val="150"/>
              <w:marBottom w:val="0"/>
              <w:divBdr>
                <w:top w:val="none" w:sz="0" w:space="0" w:color="auto"/>
                <w:left w:val="none" w:sz="0" w:space="0" w:color="auto"/>
                <w:bottom w:val="none" w:sz="0" w:space="0" w:color="auto"/>
                <w:right w:val="none" w:sz="0" w:space="0" w:color="auto"/>
              </w:divBdr>
              <w:divsChild>
                <w:div w:id="935867387">
                  <w:marLeft w:val="0"/>
                  <w:marRight w:val="0"/>
                  <w:marTop w:val="0"/>
                  <w:marBottom w:val="0"/>
                  <w:divBdr>
                    <w:top w:val="none" w:sz="0" w:space="0" w:color="auto"/>
                    <w:left w:val="none" w:sz="0" w:space="0" w:color="auto"/>
                    <w:bottom w:val="none" w:sz="0" w:space="0" w:color="auto"/>
                    <w:right w:val="none" w:sz="0" w:space="0" w:color="auto"/>
                  </w:divBdr>
                  <w:divsChild>
                    <w:div w:id="1185248636">
                      <w:marLeft w:val="0"/>
                      <w:marRight w:val="0"/>
                      <w:marTop w:val="0"/>
                      <w:marBottom w:val="0"/>
                      <w:divBdr>
                        <w:top w:val="none" w:sz="0" w:space="0" w:color="auto"/>
                        <w:left w:val="none" w:sz="0" w:space="0" w:color="auto"/>
                        <w:bottom w:val="none" w:sz="0" w:space="0" w:color="auto"/>
                        <w:right w:val="none" w:sz="0" w:space="0" w:color="auto"/>
                      </w:divBdr>
                      <w:divsChild>
                        <w:div w:id="1915358931">
                          <w:marLeft w:val="0"/>
                          <w:marRight w:val="0"/>
                          <w:marTop w:val="0"/>
                          <w:marBottom w:val="0"/>
                          <w:divBdr>
                            <w:top w:val="none" w:sz="0" w:space="0" w:color="auto"/>
                            <w:left w:val="none" w:sz="0" w:space="0" w:color="auto"/>
                            <w:bottom w:val="none" w:sz="0" w:space="0" w:color="auto"/>
                            <w:right w:val="none" w:sz="0" w:space="0" w:color="auto"/>
                          </w:divBdr>
                          <w:divsChild>
                            <w:div w:id="2018536081">
                              <w:marLeft w:val="0"/>
                              <w:marRight w:val="0"/>
                              <w:marTop w:val="0"/>
                              <w:marBottom w:val="0"/>
                              <w:divBdr>
                                <w:top w:val="none" w:sz="0" w:space="0" w:color="auto"/>
                                <w:left w:val="none" w:sz="0" w:space="0" w:color="auto"/>
                                <w:bottom w:val="none" w:sz="0" w:space="0" w:color="auto"/>
                                <w:right w:val="none" w:sz="0" w:space="0" w:color="auto"/>
                              </w:divBdr>
                              <w:divsChild>
                                <w:div w:id="419790673">
                                  <w:marLeft w:val="0"/>
                                  <w:marRight w:val="0"/>
                                  <w:marTop w:val="0"/>
                                  <w:marBottom w:val="0"/>
                                  <w:divBdr>
                                    <w:top w:val="none" w:sz="0" w:space="0" w:color="auto"/>
                                    <w:left w:val="none" w:sz="0" w:space="0" w:color="auto"/>
                                    <w:bottom w:val="none" w:sz="0" w:space="0" w:color="auto"/>
                                    <w:right w:val="none" w:sz="0" w:space="0" w:color="auto"/>
                                  </w:divBdr>
                                  <w:divsChild>
                                    <w:div w:id="1528063334">
                                      <w:marLeft w:val="0"/>
                                      <w:marRight w:val="0"/>
                                      <w:marTop w:val="0"/>
                                      <w:marBottom w:val="0"/>
                                      <w:divBdr>
                                        <w:top w:val="none" w:sz="0" w:space="0" w:color="auto"/>
                                        <w:left w:val="none" w:sz="0" w:space="0" w:color="auto"/>
                                        <w:bottom w:val="none" w:sz="0" w:space="0" w:color="auto"/>
                                        <w:right w:val="none" w:sz="0" w:space="0" w:color="auto"/>
                                      </w:divBdr>
                                      <w:divsChild>
                                        <w:div w:id="1117410230">
                                          <w:marLeft w:val="0"/>
                                          <w:marRight w:val="0"/>
                                          <w:marTop w:val="0"/>
                                          <w:marBottom w:val="0"/>
                                          <w:divBdr>
                                            <w:top w:val="none" w:sz="0" w:space="0" w:color="auto"/>
                                            <w:left w:val="none" w:sz="0" w:space="0" w:color="auto"/>
                                            <w:bottom w:val="none" w:sz="0" w:space="0" w:color="auto"/>
                                            <w:right w:val="none" w:sz="0" w:space="0" w:color="auto"/>
                                          </w:divBdr>
                                        </w:div>
                                        <w:div w:id="2061904550">
                                          <w:marLeft w:val="0"/>
                                          <w:marRight w:val="0"/>
                                          <w:marTop w:val="0"/>
                                          <w:marBottom w:val="0"/>
                                          <w:divBdr>
                                            <w:top w:val="none" w:sz="0" w:space="0" w:color="auto"/>
                                            <w:left w:val="none" w:sz="0" w:space="0" w:color="auto"/>
                                            <w:bottom w:val="none" w:sz="0" w:space="0" w:color="auto"/>
                                            <w:right w:val="none" w:sz="0" w:space="0" w:color="auto"/>
                                          </w:divBdr>
                                        </w:div>
                                        <w:div w:id="1137256731">
                                          <w:marLeft w:val="0"/>
                                          <w:marRight w:val="0"/>
                                          <w:marTop w:val="0"/>
                                          <w:marBottom w:val="0"/>
                                          <w:divBdr>
                                            <w:top w:val="none" w:sz="0" w:space="0" w:color="auto"/>
                                            <w:left w:val="none" w:sz="0" w:space="0" w:color="auto"/>
                                            <w:bottom w:val="none" w:sz="0" w:space="0" w:color="auto"/>
                                            <w:right w:val="none" w:sz="0" w:space="0" w:color="auto"/>
                                          </w:divBdr>
                                        </w:div>
                                        <w:div w:id="65885355">
                                          <w:marLeft w:val="0"/>
                                          <w:marRight w:val="0"/>
                                          <w:marTop w:val="0"/>
                                          <w:marBottom w:val="0"/>
                                          <w:divBdr>
                                            <w:top w:val="none" w:sz="0" w:space="0" w:color="auto"/>
                                            <w:left w:val="none" w:sz="0" w:space="0" w:color="auto"/>
                                            <w:bottom w:val="none" w:sz="0" w:space="0" w:color="auto"/>
                                            <w:right w:val="none" w:sz="0" w:space="0" w:color="auto"/>
                                          </w:divBdr>
                                        </w:div>
                                        <w:div w:id="890111999">
                                          <w:marLeft w:val="0"/>
                                          <w:marRight w:val="0"/>
                                          <w:marTop w:val="0"/>
                                          <w:marBottom w:val="0"/>
                                          <w:divBdr>
                                            <w:top w:val="none" w:sz="0" w:space="0" w:color="auto"/>
                                            <w:left w:val="none" w:sz="0" w:space="0" w:color="auto"/>
                                            <w:bottom w:val="none" w:sz="0" w:space="0" w:color="auto"/>
                                            <w:right w:val="none" w:sz="0" w:space="0" w:color="auto"/>
                                          </w:divBdr>
                                        </w:div>
                                        <w:div w:id="1453476915">
                                          <w:marLeft w:val="0"/>
                                          <w:marRight w:val="0"/>
                                          <w:marTop w:val="0"/>
                                          <w:marBottom w:val="0"/>
                                          <w:divBdr>
                                            <w:top w:val="none" w:sz="0" w:space="0" w:color="auto"/>
                                            <w:left w:val="none" w:sz="0" w:space="0" w:color="auto"/>
                                            <w:bottom w:val="none" w:sz="0" w:space="0" w:color="auto"/>
                                            <w:right w:val="none" w:sz="0" w:space="0" w:color="auto"/>
                                          </w:divBdr>
                                        </w:div>
                                        <w:div w:id="1801918719">
                                          <w:marLeft w:val="0"/>
                                          <w:marRight w:val="0"/>
                                          <w:marTop w:val="0"/>
                                          <w:marBottom w:val="0"/>
                                          <w:divBdr>
                                            <w:top w:val="none" w:sz="0" w:space="0" w:color="auto"/>
                                            <w:left w:val="none" w:sz="0" w:space="0" w:color="auto"/>
                                            <w:bottom w:val="none" w:sz="0" w:space="0" w:color="auto"/>
                                            <w:right w:val="none" w:sz="0" w:space="0" w:color="auto"/>
                                          </w:divBdr>
                                        </w:div>
                                        <w:div w:id="2128161424">
                                          <w:marLeft w:val="0"/>
                                          <w:marRight w:val="0"/>
                                          <w:marTop w:val="0"/>
                                          <w:marBottom w:val="0"/>
                                          <w:divBdr>
                                            <w:top w:val="none" w:sz="0" w:space="0" w:color="auto"/>
                                            <w:left w:val="none" w:sz="0" w:space="0" w:color="auto"/>
                                            <w:bottom w:val="none" w:sz="0" w:space="0" w:color="auto"/>
                                            <w:right w:val="none" w:sz="0" w:space="0" w:color="auto"/>
                                          </w:divBdr>
                                        </w:div>
                                        <w:div w:id="2004775382">
                                          <w:marLeft w:val="0"/>
                                          <w:marRight w:val="0"/>
                                          <w:marTop w:val="0"/>
                                          <w:marBottom w:val="0"/>
                                          <w:divBdr>
                                            <w:top w:val="none" w:sz="0" w:space="0" w:color="auto"/>
                                            <w:left w:val="none" w:sz="0" w:space="0" w:color="auto"/>
                                            <w:bottom w:val="none" w:sz="0" w:space="0" w:color="auto"/>
                                            <w:right w:val="none" w:sz="0" w:space="0" w:color="auto"/>
                                          </w:divBdr>
                                        </w:div>
                                        <w:div w:id="1398283141">
                                          <w:marLeft w:val="0"/>
                                          <w:marRight w:val="0"/>
                                          <w:marTop w:val="0"/>
                                          <w:marBottom w:val="0"/>
                                          <w:divBdr>
                                            <w:top w:val="none" w:sz="0" w:space="0" w:color="auto"/>
                                            <w:left w:val="none" w:sz="0" w:space="0" w:color="auto"/>
                                            <w:bottom w:val="none" w:sz="0" w:space="0" w:color="auto"/>
                                            <w:right w:val="none" w:sz="0" w:space="0" w:color="auto"/>
                                          </w:divBdr>
                                        </w:div>
                                        <w:div w:id="11676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75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AUTO/?uri=OJ:L:2005:126:T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92956-6C0D-4D71-A5C0-1741763A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29</Pages>
  <Words>7683</Words>
  <Characters>42724</Characters>
  <Application>Microsoft Office Word</Application>
  <DocSecurity>0</DocSecurity>
  <Lines>1068</Lines>
  <Paragraphs>347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Manager/>
  <Company/>
  <LinksUpToDate>false</LinksUpToDate>
  <CharactersWithSpaces>50060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2016-10-19T10:14:00Z</cp:lastPrinted>
  <dcterms:created xsi:type="dcterms:W3CDTF">2017-01-23T11:20:00Z</dcterms:created>
  <dcterms:modified xsi:type="dcterms:W3CDTF">2017-01-27T16:35:00Z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SJ-025</vt:lpwstr>
  </property>
  <property fmtid="{D5CDD505-2E9C-101B-9397-08002B2CF9AE}" pid="10" name="_NewReviewCycle">
    <vt:lpwstr/>
  </property>
  <property fmtid="{D5CDD505-2E9C-101B-9397-08002B2CF9AE}" pid="11" name="DQCStatus">
    <vt:lpwstr>Green (DQC version 03)</vt:lpwstr>
  </property>
</Properties>
</file>