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EC7EA61EA424D3289C8706FE7120B39" style="width:450.75pt;height:407.25pt">
            <v:imagedata r:id="rId7" o:title=""/>
          </v:shape>
        </w:pict>
      </w:r>
    </w:p>
    <w:bookmarkEnd w:id="0"/>
    <w:p>
      <w:p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spacing w:before="0" w:line="276" w:lineRule="auto"/>
        <w:jc w:val="right"/>
        <w:rPr>
          <w:b/>
          <w:u w:val="single"/>
        </w:rPr>
      </w:pPr>
      <w:bookmarkStart w:id="1" w:name="_GoBack"/>
      <w:bookmarkEnd w:id="1"/>
      <w:r>
        <w:rPr>
          <w:b/>
          <w:u w:val="single"/>
        </w:rPr>
        <w:lastRenderedPageBreak/>
        <w:t>Annex 1</w:t>
      </w:r>
    </w:p>
    <w:p>
      <w:pPr>
        <w:spacing w:before="0" w:after="0" w:line="276" w:lineRule="auto"/>
        <w:jc w:val="center"/>
        <w:rPr>
          <w:b/>
          <w:u w:val="single"/>
        </w:rPr>
      </w:pPr>
    </w:p>
    <w:p>
      <w:pPr>
        <w:spacing w:before="0" w:line="276" w:lineRule="auto"/>
        <w:jc w:val="center"/>
      </w:pPr>
      <w:r>
        <w:rPr>
          <w:b/>
        </w:rPr>
        <w:t>Composition of Expert Groups and number of meetings held during the implementation period of the second EU Work Plan for Sport (2014 – 2017)</w:t>
      </w:r>
    </w:p>
    <w:p>
      <w:pPr>
        <w:spacing w:before="0" w:after="0" w:line="276" w:lineRule="auto"/>
        <w:jc w:val="center"/>
      </w:pPr>
    </w:p>
    <w:tbl>
      <w:tblPr>
        <w:tblStyle w:val="TableGrid"/>
        <w:tblW w:w="0" w:type="auto"/>
        <w:tblInd w:w="120" w:type="dxa"/>
        <w:tblLook w:val="04A0" w:firstRow="1" w:lastRow="0" w:firstColumn="1" w:lastColumn="0" w:noHBand="0" w:noVBand="1"/>
      </w:tblPr>
      <w:tblGrid>
        <w:gridCol w:w="2508"/>
        <w:gridCol w:w="1920"/>
        <w:gridCol w:w="1920"/>
        <w:gridCol w:w="1920"/>
      </w:tblGrid>
      <w:tr>
        <w:tc>
          <w:tcPr>
            <w:tcW w:w="2508" w:type="dxa"/>
          </w:tcPr>
          <w:p>
            <w:pPr>
              <w:rPr>
                <w:b/>
              </w:rPr>
            </w:pPr>
            <w:r>
              <w:rPr>
                <w:b/>
              </w:rPr>
              <w:t>Expert Group</w:t>
            </w:r>
          </w:p>
        </w:tc>
        <w:tc>
          <w:tcPr>
            <w:tcW w:w="1920" w:type="dxa"/>
          </w:tcPr>
          <w:p>
            <w:pPr>
              <w:jc w:val="center"/>
              <w:rPr>
                <w:b/>
              </w:rPr>
            </w:pPr>
            <w:r>
              <w:rPr>
                <w:b/>
              </w:rPr>
              <w:t>Member States</w:t>
            </w:r>
          </w:p>
        </w:tc>
        <w:tc>
          <w:tcPr>
            <w:tcW w:w="1920" w:type="dxa"/>
          </w:tcPr>
          <w:p>
            <w:pPr>
              <w:jc w:val="center"/>
              <w:rPr>
                <w:b/>
              </w:rPr>
            </w:pPr>
            <w:r>
              <w:rPr>
                <w:b/>
              </w:rPr>
              <w:t>Observers</w:t>
            </w:r>
          </w:p>
        </w:tc>
        <w:tc>
          <w:tcPr>
            <w:tcW w:w="1920" w:type="dxa"/>
          </w:tcPr>
          <w:p>
            <w:pPr>
              <w:jc w:val="center"/>
              <w:rPr>
                <w:b/>
              </w:rPr>
            </w:pPr>
            <w:r>
              <w:rPr>
                <w:b/>
              </w:rPr>
              <w:t>No. of meetings</w:t>
            </w:r>
          </w:p>
        </w:tc>
      </w:tr>
      <w:tr>
        <w:tc>
          <w:tcPr>
            <w:tcW w:w="2508" w:type="dxa"/>
          </w:tcPr>
          <w:p>
            <w:pPr>
              <w:spacing w:before="60" w:after="60"/>
            </w:pPr>
            <w:r>
              <w:t>Match-fixing</w:t>
            </w:r>
          </w:p>
        </w:tc>
        <w:tc>
          <w:tcPr>
            <w:tcW w:w="1920" w:type="dxa"/>
          </w:tcPr>
          <w:p>
            <w:pPr>
              <w:spacing w:before="60" w:after="60"/>
              <w:jc w:val="center"/>
            </w:pPr>
            <w:r>
              <w:t>24</w:t>
            </w:r>
          </w:p>
        </w:tc>
        <w:tc>
          <w:tcPr>
            <w:tcW w:w="1920" w:type="dxa"/>
          </w:tcPr>
          <w:p>
            <w:pPr>
              <w:spacing w:before="60" w:after="60"/>
              <w:jc w:val="center"/>
            </w:pPr>
            <w:r>
              <w:t>24</w:t>
            </w:r>
          </w:p>
        </w:tc>
        <w:tc>
          <w:tcPr>
            <w:tcW w:w="1920" w:type="dxa"/>
          </w:tcPr>
          <w:p>
            <w:pPr>
              <w:spacing w:before="60" w:after="60"/>
              <w:jc w:val="center"/>
            </w:pPr>
            <w:r>
              <w:t>5</w:t>
            </w:r>
          </w:p>
        </w:tc>
      </w:tr>
      <w:tr>
        <w:tc>
          <w:tcPr>
            <w:tcW w:w="2508" w:type="dxa"/>
          </w:tcPr>
          <w:p>
            <w:pPr>
              <w:spacing w:before="60" w:after="60"/>
            </w:pPr>
            <w:r>
              <w:t>Good Governance</w:t>
            </w:r>
          </w:p>
        </w:tc>
        <w:tc>
          <w:tcPr>
            <w:tcW w:w="1920" w:type="dxa"/>
          </w:tcPr>
          <w:p>
            <w:pPr>
              <w:spacing w:before="60" w:after="60"/>
              <w:jc w:val="center"/>
            </w:pPr>
            <w:r>
              <w:t>24</w:t>
            </w:r>
          </w:p>
        </w:tc>
        <w:tc>
          <w:tcPr>
            <w:tcW w:w="1920" w:type="dxa"/>
          </w:tcPr>
          <w:p>
            <w:pPr>
              <w:spacing w:before="60" w:after="60"/>
              <w:jc w:val="center"/>
            </w:pPr>
            <w:r>
              <w:t>26</w:t>
            </w:r>
          </w:p>
        </w:tc>
        <w:tc>
          <w:tcPr>
            <w:tcW w:w="1920" w:type="dxa"/>
          </w:tcPr>
          <w:p>
            <w:pPr>
              <w:spacing w:before="60" w:after="60"/>
              <w:jc w:val="center"/>
            </w:pPr>
            <w:r>
              <w:t>7</w:t>
            </w:r>
          </w:p>
        </w:tc>
      </w:tr>
      <w:tr>
        <w:tc>
          <w:tcPr>
            <w:tcW w:w="2508" w:type="dxa"/>
          </w:tcPr>
          <w:p>
            <w:pPr>
              <w:spacing w:before="60" w:after="60"/>
            </w:pPr>
            <w:r>
              <w:t>Economic Dimension</w:t>
            </w:r>
          </w:p>
        </w:tc>
        <w:tc>
          <w:tcPr>
            <w:tcW w:w="1920" w:type="dxa"/>
          </w:tcPr>
          <w:p>
            <w:pPr>
              <w:spacing w:before="60" w:after="60"/>
              <w:jc w:val="center"/>
            </w:pPr>
            <w:r>
              <w:t>25</w:t>
            </w:r>
          </w:p>
        </w:tc>
        <w:tc>
          <w:tcPr>
            <w:tcW w:w="1920" w:type="dxa"/>
          </w:tcPr>
          <w:p>
            <w:pPr>
              <w:spacing w:before="60" w:after="60"/>
              <w:jc w:val="center"/>
            </w:pPr>
            <w:r>
              <w:t>24</w:t>
            </w:r>
          </w:p>
        </w:tc>
        <w:tc>
          <w:tcPr>
            <w:tcW w:w="1920" w:type="dxa"/>
          </w:tcPr>
          <w:p>
            <w:pPr>
              <w:spacing w:before="60" w:after="60"/>
              <w:jc w:val="center"/>
            </w:pPr>
            <w:r>
              <w:t>4</w:t>
            </w:r>
          </w:p>
        </w:tc>
      </w:tr>
      <w:tr>
        <w:tc>
          <w:tcPr>
            <w:tcW w:w="2508" w:type="dxa"/>
          </w:tcPr>
          <w:p>
            <w:pPr>
              <w:spacing w:before="60" w:after="60"/>
            </w:pPr>
            <w:r>
              <w:t>HEPA</w:t>
            </w:r>
          </w:p>
        </w:tc>
        <w:tc>
          <w:tcPr>
            <w:tcW w:w="1920" w:type="dxa"/>
          </w:tcPr>
          <w:p>
            <w:pPr>
              <w:spacing w:before="60" w:after="60"/>
              <w:jc w:val="center"/>
            </w:pPr>
            <w:r>
              <w:t>28</w:t>
            </w:r>
          </w:p>
        </w:tc>
        <w:tc>
          <w:tcPr>
            <w:tcW w:w="1920" w:type="dxa"/>
          </w:tcPr>
          <w:p>
            <w:pPr>
              <w:spacing w:before="60" w:after="60"/>
              <w:jc w:val="center"/>
            </w:pPr>
            <w:r>
              <w:t>17</w:t>
            </w:r>
          </w:p>
        </w:tc>
        <w:tc>
          <w:tcPr>
            <w:tcW w:w="1920" w:type="dxa"/>
          </w:tcPr>
          <w:p>
            <w:pPr>
              <w:spacing w:before="60" w:after="60"/>
              <w:jc w:val="center"/>
            </w:pPr>
            <w:r>
              <w:t>5</w:t>
            </w:r>
          </w:p>
        </w:tc>
      </w:tr>
      <w:tr>
        <w:tc>
          <w:tcPr>
            <w:tcW w:w="2508" w:type="dxa"/>
          </w:tcPr>
          <w:p>
            <w:pPr>
              <w:spacing w:before="60" w:after="60"/>
              <w:jc w:val="left"/>
            </w:pPr>
            <w:r>
              <w:t>Human Resources Development in Sport</w:t>
            </w:r>
          </w:p>
        </w:tc>
        <w:tc>
          <w:tcPr>
            <w:tcW w:w="1920" w:type="dxa"/>
          </w:tcPr>
          <w:p>
            <w:pPr>
              <w:spacing w:before="60" w:after="60"/>
              <w:jc w:val="center"/>
            </w:pPr>
            <w:r>
              <w:t>26</w:t>
            </w:r>
          </w:p>
        </w:tc>
        <w:tc>
          <w:tcPr>
            <w:tcW w:w="1920" w:type="dxa"/>
          </w:tcPr>
          <w:p>
            <w:pPr>
              <w:spacing w:before="60" w:after="60"/>
              <w:jc w:val="center"/>
            </w:pPr>
            <w:r>
              <w:t>15</w:t>
            </w:r>
          </w:p>
        </w:tc>
        <w:tc>
          <w:tcPr>
            <w:tcW w:w="1920" w:type="dxa"/>
          </w:tcPr>
          <w:p>
            <w:pPr>
              <w:spacing w:before="60" w:after="60"/>
              <w:jc w:val="center"/>
            </w:pPr>
            <w:r>
              <w:t>7</w:t>
            </w:r>
          </w:p>
        </w:tc>
      </w:tr>
    </w:tbl>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jc w:val="right"/>
        <w:rPr>
          <w:b/>
          <w:u w:val="single"/>
        </w:rPr>
      </w:pPr>
      <w:r>
        <w:rPr>
          <w:b/>
          <w:u w:val="single"/>
        </w:rPr>
        <w:t>Annex 2</w:t>
      </w:r>
    </w:p>
    <w:p>
      <w:pPr>
        <w:spacing w:before="240" w:line="276" w:lineRule="auto"/>
        <w:jc w:val="center"/>
        <w:rPr>
          <w:b/>
        </w:rPr>
      </w:pPr>
      <w:r>
        <w:rPr>
          <w:b/>
        </w:rPr>
        <w:t xml:space="preserve">Status of delivered outputs under the second EU Work Plan for Sport (2014 – 2017) </w:t>
      </w:r>
    </w:p>
    <w:p>
      <w:pPr>
        <w:spacing w:before="240" w:line="276" w:lineRule="auto"/>
        <w:jc w:val="center"/>
        <w:rPr>
          <w:b/>
        </w:rPr>
      </w:pPr>
      <w:r>
        <w:rPr>
          <w:b/>
        </w:rPr>
        <w:t>(by October 2016)</w:t>
      </w:r>
    </w:p>
    <w:tbl>
      <w:tblPr>
        <w:tblStyle w:val="TableGrid"/>
        <w:tblW w:w="0" w:type="auto"/>
        <w:tblLayout w:type="fixed"/>
        <w:tblLook w:val="04A0" w:firstRow="1" w:lastRow="0" w:firstColumn="1" w:lastColumn="0" w:noHBand="0" w:noVBand="1"/>
      </w:tblPr>
      <w:tblGrid>
        <w:gridCol w:w="534"/>
        <w:gridCol w:w="3054"/>
        <w:gridCol w:w="1560"/>
        <w:gridCol w:w="960"/>
        <w:gridCol w:w="1320"/>
        <w:gridCol w:w="1680"/>
      </w:tblGrid>
      <w:tr>
        <w:trPr>
          <w:cantSplit/>
          <w:tblHeader/>
        </w:trPr>
        <w:tc>
          <w:tcPr>
            <w:tcW w:w="534" w:type="dxa"/>
          </w:tcPr>
          <w:p>
            <w:pPr>
              <w:jc w:val="center"/>
            </w:pPr>
          </w:p>
        </w:tc>
        <w:tc>
          <w:tcPr>
            <w:tcW w:w="3054" w:type="dxa"/>
          </w:tcPr>
          <w:p>
            <w:pPr>
              <w:jc w:val="center"/>
              <w:rPr>
                <w:b/>
                <w:sz w:val="22"/>
                <w:szCs w:val="22"/>
              </w:rPr>
            </w:pPr>
            <w:r>
              <w:rPr>
                <w:b/>
                <w:sz w:val="22"/>
                <w:szCs w:val="22"/>
              </w:rPr>
              <w:t>Output</w:t>
            </w:r>
          </w:p>
        </w:tc>
        <w:tc>
          <w:tcPr>
            <w:tcW w:w="1560" w:type="dxa"/>
          </w:tcPr>
          <w:p>
            <w:pPr>
              <w:jc w:val="center"/>
              <w:rPr>
                <w:b/>
                <w:sz w:val="22"/>
                <w:szCs w:val="22"/>
              </w:rPr>
            </w:pPr>
            <w:r>
              <w:rPr>
                <w:b/>
                <w:sz w:val="22"/>
                <w:szCs w:val="22"/>
              </w:rPr>
              <w:t>Working Structure in Charge</w:t>
            </w:r>
          </w:p>
        </w:tc>
        <w:tc>
          <w:tcPr>
            <w:tcW w:w="960" w:type="dxa"/>
          </w:tcPr>
          <w:p>
            <w:pPr>
              <w:jc w:val="center"/>
              <w:rPr>
                <w:b/>
                <w:sz w:val="22"/>
                <w:szCs w:val="22"/>
              </w:rPr>
            </w:pPr>
            <w:r>
              <w:rPr>
                <w:b/>
                <w:sz w:val="22"/>
                <w:szCs w:val="22"/>
              </w:rPr>
              <w:t>Target Date</w:t>
            </w:r>
          </w:p>
        </w:tc>
        <w:tc>
          <w:tcPr>
            <w:tcW w:w="1320" w:type="dxa"/>
          </w:tcPr>
          <w:p>
            <w:pPr>
              <w:jc w:val="center"/>
              <w:rPr>
                <w:b/>
                <w:sz w:val="22"/>
                <w:szCs w:val="22"/>
              </w:rPr>
            </w:pPr>
            <w:r>
              <w:rPr>
                <w:b/>
                <w:sz w:val="22"/>
                <w:szCs w:val="22"/>
              </w:rPr>
              <w:t>Status</w:t>
            </w:r>
          </w:p>
        </w:tc>
        <w:tc>
          <w:tcPr>
            <w:tcW w:w="1680" w:type="dxa"/>
          </w:tcPr>
          <w:p>
            <w:pPr>
              <w:jc w:val="center"/>
              <w:rPr>
                <w:b/>
                <w:sz w:val="22"/>
                <w:szCs w:val="22"/>
              </w:rPr>
            </w:pPr>
            <w:r>
              <w:rPr>
                <w:b/>
                <w:sz w:val="22"/>
                <w:szCs w:val="22"/>
              </w:rPr>
              <w:t>Presentation to the Working Party on Sport (WPS)</w:t>
            </w:r>
          </w:p>
        </w:tc>
      </w:tr>
      <w:tr>
        <w:trPr>
          <w:cantSplit/>
          <w:trHeight w:val="1729"/>
          <w:tblHeader/>
        </w:trPr>
        <w:tc>
          <w:tcPr>
            <w:tcW w:w="534" w:type="dxa"/>
          </w:tcPr>
          <w:p>
            <w:pPr>
              <w:spacing w:before="60" w:after="60"/>
            </w:pPr>
            <w:r>
              <w:t>1</w:t>
            </w:r>
          </w:p>
        </w:tc>
        <w:tc>
          <w:tcPr>
            <w:tcW w:w="3054" w:type="dxa"/>
          </w:tcPr>
          <w:p>
            <w:pPr>
              <w:spacing w:before="60" w:after="60"/>
              <w:jc w:val="left"/>
            </w:pPr>
            <w:r>
              <w:t xml:space="preserve">Exchange of best practices and peer learning based on the Expert Group recommendations on prevention of doping in recreational sport (delivered during the first Work Plan for Sport) </w:t>
            </w:r>
          </w:p>
        </w:tc>
        <w:tc>
          <w:tcPr>
            <w:tcW w:w="1560" w:type="dxa"/>
          </w:tcPr>
          <w:p>
            <w:pPr>
              <w:spacing w:before="60" w:after="60"/>
              <w:jc w:val="left"/>
            </w:pPr>
            <w:r>
              <w:t>Directors General for Sport</w:t>
            </w:r>
          </w:p>
        </w:tc>
        <w:tc>
          <w:tcPr>
            <w:tcW w:w="960" w:type="dxa"/>
          </w:tcPr>
          <w:p>
            <w:pPr>
              <w:spacing w:before="60" w:after="60"/>
              <w:jc w:val="left"/>
            </w:pPr>
            <w:r>
              <w:t>2nd half 2015</w:t>
            </w:r>
          </w:p>
        </w:tc>
        <w:tc>
          <w:tcPr>
            <w:tcW w:w="1320" w:type="dxa"/>
          </w:tcPr>
          <w:p>
            <w:pPr>
              <w:spacing w:before="60" w:after="60"/>
              <w:jc w:val="left"/>
            </w:pPr>
            <w:r>
              <w:t>Completed</w:t>
            </w:r>
          </w:p>
        </w:tc>
        <w:tc>
          <w:tcPr>
            <w:tcW w:w="1680" w:type="dxa"/>
          </w:tcPr>
          <w:p>
            <w:pPr>
              <w:spacing w:before="60" w:after="60"/>
              <w:jc w:val="left"/>
            </w:pPr>
            <w:r>
              <w:t>Presented to WPS on 09/04/2015</w:t>
            </w:r>
          </w:p>
        </w:tc>
      </w:tr>
      <w:tr>
        <w:trPr>
          <w:cantSplit/>
          <w:tblHeader/>
        </w:trPr>
        <w:tc>
          <w:tcPr>
            <w:tcW w:w="534" w:type="dxa"/>
          </w:tcPr>
          <w:p>
            <w:pPr>
              <w:spacing w:before="60" w:after="60"/>
            </w:pPr>
            <w:r>
              <w:t>2</w:t>
            </w:r>
          </w:p>
        </w:tc>
        <w:tc>
          <w:tcPr>
            <w:tcW w:w="3054" w:type="dxa"/>
          </w:tcPr>
          <w:p>
            <w:pPr>
              <w:spacing w:before="60" w:after="60"/>
              <w:jc w:val="left"/>
            </w:pPr>
            <w:r>
              <w:t>Exchange of best practices regarding the fight against match-fixing, in particular on a possible Commission Recommendation on best practices in the prevention and combatting of betting-related match-fixing, followed by a report on state of play</w:t>
            </w:r>
          </w:p>
        </w:tc>
        <w:tc>
          <w:tcPr>
            <w:tcW w:w="1560" w:type="dxa"/>
          </w:tcPr>
          <w:p>
            <w:pPr>
              <w:spacing w:before="60" w:after="60"/>
              <w:jc w:val="left"/>
            </w:pPr>
            <w:r>
              <w:t>Expert Group on Match Fixing</w:t>
            </w:r>
          </w:p>
        </w:tc>
        <w:tc>
          <w:tcPr>
            <w:tcW w:w="960" w:type="dxa"/>
          </w:tcPr>
          <w:p>
            <w:pPr>
              <w:spacing w:before="60" w:after="60"/>
              <w:jc w:val="left"/>
            </w:pPr>
            <w:r>
              <w:t>1st half 2016</w:t>
            </w:r>
          </w:p>
        </w:tc>
        <w:tc>
          <w:tcPr>
            <w:tcW w:w="1320" w:type="dxa"/>
          </w:tcPr>
          <w:p>
            <w:pPr>
              <w:spacing w:before="60" w:after="60"/>
              <w:jc w:val="left"/>
            </w:pPr>
            <w:r>
              <w:t>Completed</w:t>
            </w:r>
          </w:p>
        </w:tc>
        <w:tc>
          <w:tcPr>
            <w:tcW w:w="1680" w:type="dxa"/>
          </w:tcPr>
          <w:p>
            <w:pPr>
              <w:spacing w:before="60" w:after="60"/>
              <w:jc w:val="left"/>
            </w:pPr>
            <w:r>
              <w:t>Presented to WPS on 05/12/2016</w:t>
            </w:r>
          </w:p>
        </w:tc>
      </w:tr>
      <w:tr>
        <w:trPr>
          <w:cantSplit/>
          <w:tblHeader/>
        </w:trPr>
        <w:tc>
          <w:tcPr>
            <w:tcW w:w="534" w:type="dxa"/>
          </w:tcPr>
          <w:p>
            <w:pPr>
              <w:spacing w:before="60" w:after="60"/>
            </w:pPr>
            <w:r>
              <w:t>3</w:t>
            </w:r>
          </w:p>
        </w:tc>
        <w:tc>
          <w:tcPr>
            <w:tcW w:w="3054" w:type="dxa"/>
          </w:tcPr>
          <w:p>
            <w:pPr>
              <w:spacing w:before="60" w:after="60"/>
              <w:jc w:val="left"/>
            </w:pPr>
            <w:r>
              <w:t>Preparation of Expert Group recommendations to protect young athletes and safeguard children's rights in sport</w:t>
            </w:r>
          </w:p>
        </w:tc>
        <w:tc>
          <w:tcPr>
            <w:tcW w:w="1560" w:type="dxa"/>
          </w:tcPr>
          <w:p>
            <w:pPr>
              <w:spacing w:before="60" w:after="60"/>
              <w:jc w:val="left"/>
            </w:pPr>
            <w:r>
              <w:t>Expert Group on Good Governance</w:t>
            </w:r>
          </w:p>
        </w:tc>
        <w:tc>
          <w:tcPr>
            <w:tcW w:w="960" w:type="dxa"/>
          </w:tcPr>
          <w:p>
            <w:pPr>
              <w:spacing w:before="60" w:after="60"/>
              <w:jc w:val="left"/>
            </w:pPr>
            <w:r>
              <w:t>1st half 2016</w:t>
            </w:r>
          </w:p>
        </w:tc>
        <w:tc>
          <w:tcPr>
            <w:tcW w:w="1320" w:type="dxa"/>
          </w:tcPr>
          <w:p>
            <w:pPr>
              <w:spacing w:before="60" w:after="60"/>
              <w:jc w:val="left"/>
            </w:pPr>
            <w:r>
              <w:t>Completed</w:t>
            </w:r>
          </w:p>
        </w:tc>
        <w:tc>
          <w:tcPr>
            <w:tcW w:w="1680" w:type="dxa"/>
          </w:tcPr>
          <w:p>
            <w:pPr>
              <w:spacing w:before="60" w:after="60"/>
              <w:jc w:val="left"/>
            </w:pPr>
            <w:r>
              <w:t>Presented to WPS on 02/09/2016</w:t>
            </w:r>
          </w:p>
        </w:tc>
      </w:tr>
      <w:tr>
        <w:trPr>
          <w:cantSplit/>
          <w:tblHeader/>
        </w:trPr>
        <w:tc>
          <w:tcPr>
            <w:tcW w:w="534" w:type="dxa"/>
          </w:tcPr>
          <w:p>
            <w:pPr>
              <w:spacing w:before="60" w:after="60"/>
            </w:pPr>
            <w:r>
              <w:t>4</w:t>
            </w:r>
          </w:p>
        </w:tc>
        <w:tc>
          <w:tcPr>
            <w:tcW w:w="3054" w:type="dxa"/>
          </w:tcPr>
          <w:p>
            <w:pPr>
              <w:spacing w:before="60" w:after="60"/>
              <w:jc w:val="left"/>
            </w:pPr>
            <w:r>
              <w:t>Preparation of guiding principles relating to democracy, human rights and labour rights, in particular in the context of the awarding procedure of major sport events, possibly followed by a pledge board.</w:t>
            </w:r>
          </w:p>
        </w:tc>
        <w:tc>
          <w:tcPr>
            <w:tcW w:w="1560" w:type="dxa"/>
          </w:tcPr>
          <w:p>
            <w:pPr>
              <w:spacing w:before="60" w:after="60"/>
              <w:jc w:val="left"/>
            </w:pPr>
            <w:r>
              <w:t>Expert Group on Good Governance</w:t>
            </w:r>
          </w:p>
        </w:tc>
        <w:tc>
          <w:tcPr>
            <w:tcW w:w="960" w:type="dxa"/>
          </w:tcPr>
          <w:p>
            <w:pPr>
              <w:spacing w:before="60" w:after="60"/>
              <w:jc w:val="left"/>
            </w:pPr>
            <w:r>
              <w:t>2nd half 2015</w:t>
            </w:r>
          </w:p>
        </w:tc>
        <w:tc>
          <w:tcPr>
            <w:tcW w:w="1320" w:type="dxa"/>
          </w:tcPr>
          <w:p>
            <w:pPr>
              <w:spacing w:before="60" w:after="60"/>
              <w:jc w:val="left"/>
            </w:pPr>
            <w:r>
              <w:t>Completed</w:t>
            </w:r>
          </w:p>
        </w:tc>
        <w:tc>
          <w:tcPr>
            <w:tcW w:w="1680" w:type="dxa"/>
          </w:tcPr>
          <w:p>
            <w:pPr>
              <w:spacing w:before="60" w:after="60"/>
              <w:jc w:val="left"/>
            </w:pPr>
            <w:r>
              <w:t>Presented to WPS on 15/01/2016</w:t>
            </w:r>
          </w:p>
        </w:tc>
      </w:tr>
      <w:tr>
        <w:trPr>
          <w:cantSplit/>
          <w:tblHeader/>
        </w:trPr>
        <w:tc>
          <w:tcPr>
            <w:tcW w:w="534" w:type="dxa"/>
          </w:tcPr>
          <w:p>
            <w:pPr>
              <w:spacing w:before="60" w:after="60"/>
            </w:pPr>
            <w:r>
              <w:t>5</w:t>
            </w:r>
          </w:p>
        </w:tc>
        <w:tc>
          <w:tcPr>
            <w:tcW w:w="3054" w:type="dxa"/>
          </w:tcPr>
          <w:p>
            <w:pPr>
              <w:spacing w:before="60" w:after="60"/>
              <w:jc w:val="left"/>
            </w:pPr>
            <w:r>
              <w:t>Promotion of existing good governance principles, possibly followed by a pledge board</w:t>
            </w:r>
          </w:p>
        </w:tc>
        <w:tc>
          <w:tcPr>
            <w:tcW w:w="1560" w:type="dxa"/>
          </w:tcPr>
          <w:p>
            <w:pPr>
              <w:spacing w:before="60" w:after="60"/>
              <w:jc w:val="left"/>
            </w:pPr>
            <w:r>
              <w:t>Expert Group on Good Governance</w:t>
            </w:r>
          </w:p>
        </w:tc>
        <w:tc>
          <w:tcPr>
            <w:tcW w:w="960" w:type="dxa"/>
          </w:tcPr>
          <w:p>
            <w:pPr>
              <w:spacing w:before="60" w:after="60"/>
              <w:jc w:val="left"/>
            </w:pPr>
            <w:r>
              <w:t>2nd half 2015</w:t>
            </w:r>
          </w:p>
        </w:tc>
        <w:tc>
          <w:tcPr>
            <w:tcW w:w="1320" w:type="dxa"/>
          </w:tcPr>
          <w:p>
            <w:pPr>
              <w:spacing w:before="60" w:after="60"/>
              <w:jc w:val="left"/>
            </w:pPr>
            <w:r>
              <w:t>Completed</w:t>
            </w:r>
          </w:p>
        </w:tc>
        <w:tc>
          <w:tcPr>
            <w:tcW w:w="1680" w:type="dxa"/>
          </w:tcPr>
          <w:p>
            <w:pPr>
              <w:spacing w:before="60" w:after="60"/>
              <w:jc w:val="left"/>
            </w:pPr>
            <w:r>
              <w:t>Presented to WPS on 02/09/2016</w:t>
            </w:r>
          </w:p>
        </w:tc>
      </w:tr>
      <w:tr>
        <w:trPr>
          <w:cantSplit/>
          <w:tblHeader/>
        </w:trPr>
        <w:tc>
          <w:tcPr>
            <w:tcW w:w="534" w:type="dxa"/>
          </w:tcPr>
          <w:p>
            <w:pPr>
              <w:spacing w:before="60" w:after="60"/>
            </w:pPr>
            <w:r>
              <w:t>6</w:t>
            </w:r>
          </w:p>
        </w:tc>
        <w:tc>
          <w:tcPr>
            <w:tcW w:w="3054" w:type="dxa"/>
          </w:tcPr>
          <w:p>
            <w:pPr>
              <w:spacing w:before="60" w:after="60"/>
              <w:jc w:val="left"/>
            </w:pPr>
            <w:r>
              <w:t>Preparation of Expert Group recommendations or guidelines on gender equality in sport, possibly followed by a pledge board</w:t>
            </w:r>
          </w:p>
        </w:tc>
        <w:tc>
          <w:tcPr>
            <w:tcW w:w="1560" w:type="dxa"/>
          </w:tcPr>
          <w:p>
            <w:pPr>
              <w:spacing w:before="60" w:after="60"/>
              <w:jc w:val="left"/>
            </w:pPr>
            <w:r>
              <w:t>Expert Group on Good Governance</w:t>
            </w:r>
          </w:p>
        </w:tc>
        <w:tc>
          <w:tcPr>
            <w:tcW w:w="960" w:type="dxa"/>
          </w:tcPr>
          <w:p>
            <w:pPr>
              <w:spacing w:before="60" w:after="60"/>
              <w:jc w:val="left"/>
            </w:pPr>
            <w:r>
              <w:t>2nd half 2015</w:t>
            </w:r>
          </w:p>
        </w:tc>
        <w:tc>
          <w:tcPr>
            <w:tcW w:w="1320" w:type="dxa"/>
          </w:tcPr>
          <w:p>
            <w:pPr>
              <w:spacing w:before="60" w:after="60"/>
              <w:jc w:val="left"/>
            </w:pPr>
            <w:r>
              <w:t>Completed</w:t>
            </w:r>
          </w:p>
        </w:tc>
        <w:tc>
          <w:tcPr>
            <w:tcW w:w="1680" w:type="dxa"/>
          </w:tcPr>
          <w:p>
            <w:pPr>
              <w:spacing w:before="60" w:after="60"/>
              <w:jc w:val="left"/>
            </w:pPr>
            <w:r>
              <w:t>Presented to WPS on 15/02/2016</w:t>
            </w:r>
          </w:p>
        </w:tc>
      </w:tr>
      <w:tr>
        <w:trPr>
          <w:cantSplit/>
          <w:tblHeader/>
        </w:trPr>
        <w:tc>
          <w:tcPr>
            <w:tcW w:w="534" w:type="dxa"/>
          </w:tcPr>
          <w:p>
            <w:pPr>
              <w:spacing w:before="60" w:after="60"/>
            </w:pPr>
            <w:r>
              <w:t>7</w:t>
            </w:r>
          </w:p>
        </w:tc>
        <w:tc>
          <w:tcPr>
            <w:tcW w:w="3054" w:type="dxa"/>
          </w:tcPr>
          <w:p>
            <w:pPr>
              <w:spacing w:before="60" w:after="60"/>
              <w:jc w:val="left"/>
            </w:pPr>
            <w:r>
              <w:t>Preparation of Expert Group recommendations to measure the economic benefits of sport in the EU based on the ongoing work to promote the set-up of SSAs in the Member States</w:t>
            </w:r>
          </w:p>
        </w:tc>
        <w:tc>
          <w:tcPr>
            <w:tcW w:w="1560" w:type="dxa"/>
          </w:tcPr>
          <w:p>
            <w:pPr>
              <w:spacing w:before="60" w:after="60"/>
              <w:jc w:val="left"/>
            </w:pPr>
            <w:r>
              <w:t>Expert Group on Economic Dimension</w:t>
            </w:r>
          </w:p>
        </w:tc>
        <w:tc>
          <w:tcPr>
            <w:tcW w:w="960" w:type="dxa"/>
          </w:tcPr>
          <w:p>
            <w:pPr>
              <w:spacing w:before="60" w:after="60"/>
              <w:jc w:val="left"/>
            </w:pPr>
            <w:r>
              <w:t>2nd half 2015</w:t>
            </w:r>
          </w:p>
        </w:tc>
        <w:tc>
          <w:tcPr>
            <w:tcW w:w="1320" w:type="dxa"/>
          </w:tcPr>
          <w:p>
            <w:pPr>
              <w:spacing w:before="60" w:after="60"/>
              <w:jc w:val="left"/>
            </w:pPr>
            <w:r>
              <w:t>Completed</w:t>
            </w:r>
          </w:p>
        </w:tc>
        <w:tc>
          <w:tcPr>
            <w:tcW w:w="1680" w:type="dxa"/>
          </w:tcPr>
          <w:p>
            <w:pPr>
              <w:spacing w:before="60" w:after="60"/>
              <w:jc w:val="left"/>
            </w:pPr>
            <w:r>
              <w:t>Presented to WPS on 25/04/2016</w:t>
            </w:r>
          </w:p>
        </w:tc>
      </w:tr>
      <w:tr>
        <w:trPr>
          <w:cantSplit/>
          <w:tblHeader/>
        </w:trPr>
        <w:tc>
          <w:tcPr>
            <w:tcW w:w="534" w:type="dxa"/>
          </w:tcPr>
          <w:p>
            <w:pPr>
              <w:spacing w:before="60" w:after="60"/>
            </w:pPr>
            <w:r>
              <w:t>8</w:t>
            </w:r>
          </w:p>
        </w:tc>
        <w:tc>
          <w:tcPr>
            <w:tcW w:w="3054" w:type="dxa"/>
          </w:tcPr>
          <w:p>
            <w:pPr>
              <w:spacing w:before="60" w:after="60"/>
              <w:jc w:val="left"/>
            </w:pPr>
            <w:r>
              <w:t>Preparation of Expert Group recommendations on major sport events, in particular on legacy aspects with a focus on social, economic and environmental sustainability</w:t>
            </w:r>
          </w:p>
        </w:tc>
        <w:tc>
          <w:tcPr>
            <w:tcW w:w="1560" w:type="dxa"/>
          </w:tcPr>
          <w:p>
            <w:pPr>
              <w:spacing w:before="60" w:after="60"/>
              <w:jc w:val="left"/>
            </w:pPr>
            <w:r>
              <w:t>Expert Group on Economic Dimension</w:t>
            </w:r>
          </w:p>
        </w:tc>
        <w:tc>
          <w:tcPr>
            <w:tcW w:w="960" w:type="dxa"/>
          </w:tcPr>
          <w:p>
            <w:pPr>
              <w:spacing w:before="60" w:after="60"/>
              <w:jc w:val="left"/>
            </w:pPr>
            <w:r>
              <w:t>2nd half 2015</w:t>
            </w:r>
          </w:p>
        </w:tc>
        <w:tc>
          <w:tcPr>
            <w:tcW w:w="1320" w:type="dxa"/>
          </w:tcPr>
          <w:p>
            <w:pPr>
              <w:spacing w:before="60" w:after="60"/>
              <w:jc w:val="left"/>
            </w:pPr>
            <w:r>
              <w:t>Completed</w:t>
            </w:r>
          </w:p>
        </w:tc>
        <w:tc>
          <w:tcPr>
            <w:tcW w:w="1680" w:type="dxa"/>
          </w:tcPr>
          <w:p>
            <w:pPr>
              <w:spacing w:before="60" w:after="60"/>
              <w:jc w:val="left"/>
            </w:pPr>
            <w:r>
              <w:t>Presented to WPS on 15/01/2016</w:t>
            </w:r>
          </w:p>
        </w:tc>
      </w:tr>
      <w:tr>
        <w:trPr>
          <w:cantSplit/>
          <w:tblHeader/>
        </w:trPr>
        <w:tc>
          <w:tcPr>
            <w:tcW w:w="534" w:type="dxa"/>
          </w:tcPr>
          <w:p>
            <w:pPr>
              <w:spacing w:before="60" w:after="60"/>
            </w:pPr>
            <w:r>
              <w:t>9</w:t>
            </w:r>
          </w:p>
        </w:tc>
        <w:tc>
          <w:tcPr>
            <w:tcW w:w="3054" w:type="dxa"/>
          </w:tcPr>
          <w:p>
            <w:pPr>
              <w:spacing w:before="60" w:after="60"/>
              <w:jc w:val="left"/>
            </w:pPr>
            <w:r>
              <w:t>Preparation of practical guidance on how to encourage transparent and long-term investment in sport, including EU funding, based inter alia on 2012 recommendations on sustainable financing of sport, including state aid</w:t>
            </w:r>
          </w:p>
        </w:tc>
        <w:tc>
          <w:tcPr>
            <w:tcW w:w="1560" w:type="dxa"/>
          </w:tcPr>
          <w:p>
            <w:pPr>
              <w:spacing w:before="60" w:after="60"/>
              <w:jc w:val="left"/>
            </w:pPr>
            <w:r>
              <w:t>Expert Group on Economic Dimension</w:t>
            </w:r>
          </w:p>
        </w:tc>
        <w:tc>
          <w:tcPr>
            <w:tcW w:w="960" w:type="dxa"/>
          </w:tcPr>
          <w:p>
            <w:pPr>
              <w:spacing w:before="60" w:after="60"/>
              <w:jc w:val="left"/>
            </w:pPr>
            <w:r>
              <w:t>1st half 2016</w:t>
            </w:r>
          </w:p>
        </w:tc>
        <w:tc>
          <w:tcPr>
            <w:tcW w:w="1320" w:type="dxa"/>
          </w:tcPr>
          <w:p>
            <w:pPr>
              <w:spacing w:before="60" w:after="60"/>
              <w:jc w:val="left"/>
            </w:pPr>
            <w:r>
              <w:t>Completed</w:t>
            </w:r>
          </w:p>
        </w:tc>
        <w:tc>
          <w:tcPr>
            <w:tcW w:w="1680" w:type="dxa"/>
          </w:tcPr>
          <w:p>
            <w:pPr>
              <w:spacing w:before="60" w:after="60"/>
              <w:jc w:val="left"/>
            </w:pPr>
            <w:r>
              <w:t>Presented to WPS on 24/10/2016</w:t>
            </w:r>
          </w:p>
        </w:tc>
      </w:tr>
      <w:tr>
        <w:trPr>
          <w:cantSplit/>
          <w:tblHeader/>
        </w:trPr>
        <w:tc>
          <w:tcPr>
            <w:tcW w:w="534" w:type="dxa"/>
          </w:tcPr>
          <w:p>
            <w:pPr>
              <w:spacing w:before="60" w:after="60"/>
            </w:pPr>
            <w:r>
              <w:t>10</w:t>
            </w:r>
          </w:p>
        </w:tc>
        <w:tc>
          <w:tcPr>
            <w:tcW w:w="3054" w:type="dxa"/>
          </w:tcPr>
          <w:p>
            <w:pPr>
              <w:spacing w:before="60" w:after="60"/>
              <w:jc w:val="left"/>
            </w:pPr>
            <w:r>
              <w:t>Preparation of Expert Group recommendations to encourage physical education in schools, including motor skills in early childhood, and to create valuable interactions with the sport sector, local authorities and the private sector</w:t>
            </w:r>
          </w:p>
        </w:tc>
        <w:tc>
          <w:tcPr>
            <w:tcW w:w="1560" w:type="dxa"/>
          </w:tcPr>
          <w:p>
            <w:pPr>
              <w:spacing w:before="60" w:after="60"/>
              <w:jc w:val="left"/>
            </w:pPr>
            <w:r>
              <w:t>Expert Group on HEPA</w:t>
            </w:r>
          </w:p>
        </w:tc>
        <w:tc>
          <w:tcPr>
            <w:tcW w:w="960" w:type="dxa"/>
          </w:tcPr>
          <w:p>
            <w:pPr>
              <w:spacing w:before="60" w:after="60"/>
              <w:jc w:val="left"/>
            </w:pPr>
            <w:r>
              <w:t>1st half 2015</w:t>
            </w:r>
          </w:p>
        </w:tc>
        <w:tc>
          <w:tcPr>
            <w:tcW w:w="1320" w:type="dxa"/>
          </w:tcPr>
          <w:p>
            <w:pPr>
              <w:spacing w:before="60" w:after="60"/>
              <w:jc w:val="left"/>
            </w:pPr>
            <w:r>
              <w:t>Completed</w:t>
            </w:r>
          </w:p>
        </w:tc>
        <w:tc>
          <w:tcPr>
            <w:tcW w:w="1680" w:type="dxa"/>
          </w:tcPr>
          <w:p>
            <w:pPr>
              <w:spacing w:before="60" w:after="60"/>
              <w:jc w:val="left"/>
            </w:pPr>
            <w:r>
              <w:t>Presented to WPS on 06/07/2015</w:t>
            </w:r>
          </w:p>
        </w:tc>
      </w:tr>
      <w:tr>
        <w:trPr>
          <w:cantSplit/>
          <w:tblHeader/>
        </w:trPr>
        <w:tc>
          <w:tcPr>
            <w:tcW w:w="534" w:type="dxa"/>
          </w:tcPr>
          <w:p>
            <w:pPr>
              <w:spacing w:before="60" w:after="60"/>
            </w:pPr>
            <w:r>
              <w:t>11</w:t>
            </w:r>
          </w:p>
        </w:tc>
        <w:tc>
          <w:tcPr>
            <w:tcW w:w="3054" w:type="dxa"/>
          </w:tcPr>
          <w:p>
            <w:pPr>
              <w:spacing w:before="60" w:after="60"/>
              <w:jc w:val="left"/>
            </w:pPr>
            <w:r>
              <w:t>Coordination of the implementation of the Council Recommendation on HEPA</w:t>
            </w:r>
          </w:p>
        </w:tc>
        <w:tc>
          <w:tcPr>
            <w:tcW w:w="1560" w:type="dxa"/>
          </w:tcPr>
          <w:p>
            <w:pPr>
              <w:spacing w:before="60" w:after="60"/>
              <w:jc w:val="left"/>
            </w:pPr>
            <w:r>
              <w:t>Expert Group on HEPA</w:t>
            </w:r>
          </w:p>
        </w:tc>
        <w:tc>
          <w:tcPr>
            <w:tcW w:w="960" w:type="dxa"/>
          </w:tcPr>
          <w:p>
            <w:pPr>
              <w:spacing w:before="60" w:after="60"/>
              <w:jc w:val="left"/>
            </w:pPr>
            <w:r>
              <w:t>2nd half 2016</w:t>
            </w:r>
          </w:p>
        </w:tc>
        <w:tc>
          <w:tcPr>
            <w:tcW w:w="1320" w:type="dxa"/>
          </w:tcPr>
          <w:p>
            <w:pPr>
              <w:spacing w:before="60" w:after="60"/>
              <w:jc w:val="left"/>
            </w:pPr>
            <w:r>
              <w:t>Completed</w:t>
            </w:r>
          </w:p>
        </w:tc>
        <w:tc>
          <w:tcPr>
            <w:tcW w:w="1680" w:type="dxa"/>
          </w:tcPr>
          <w:p>
            <w:pPr>
              <w:spacing w:before="60" w:after="60"/>
              <w:jc w:val="left"/>
            </w:pPr>
            <w:r>
              <w:t>Presented to WPS on 24/10/2016</w:t>
            </w:r>
          </w:p>
        </w:tc>
      </w:tr>
      <w:tr>
        <w:trPr>
          <w:cantSplit/>
          <w:tblHeader/>
        </w:trPr>
        <w:tc>
          <w:tcPr>
            <w:tcW w:w="534" w:type="dxa"/>
          </w:tcPr>
          <w:p>
            <w:pPr>
              <w:spacing w:before="60" w:after="60"/>
            </w:pPr>
            <w:r>
              <w:t>12</w:t>
            </w:r>
          </w:p>
        </w:tc>
        <w:tc>
          <w:tcPr>
            <w:tcW w:w="3054" w:type="dxa"/>
          </w:tcPr>
          <w:p>
            <w:pPr>
              <w:spacing w:before="60" w:after="60"/>
              <w:jc w:val="left"/>
            </w:pPr>
            <w:r>
              <w:t>Preparation of Expert Group recommendations to encourage volunteering in sport, including best practices on legal and fiscal mechanisms</w:t>
            </w:r>
          </w:p>
        </w:tc>
        <w:tc>
          <w:tcPr>
            <w:tcW w:w="1560" w:type="dxa"/>
          </w:tcPr>
          <w:p>
            <w:pPr>
              <w:spacing w:before="60" w:after="60"/>
              <w:jc w:val="left"/>
            </w:pPr>
            <w:r>
              <w:t>Expert Group Human Resources Development in Sport</w:t>
            </w:r>
          </w:p>
        </w:tc>
        <w:tc>
          <w:tcPr>
            <w:tcW w:w="960" w:type="dxa"/>
          </w:tcPr>
          <w:p>
            <w:pPr>
              <w:spacing w:before="60" w:after="60"/>
              <w:jc w:val="left"/>
            </w:pPr>
            <w:r>
              <w:t>2nd half 2015</w:t>
            </w:r>
          </w:p>
        </w:tc>
        <w:tc>
          <w:tcPr>
            <w:tcW w:w="1320" w:type="dxa"/>
          </w:tcPr>
          <w:p>
            <w:pPr>
              <w:spacing w:before="60" w:after="60"/>
              <w:jc w:val="left"/>
            </w:pPr>
            <w:r>
              <w:t>Completed</w:t>
            </w:r>
          </w:p>
        </w:tc>
        <w:tc>
          <w:tcPr>
            <w:tcW w:w="1680" w:type="dxa"/>
          </w:tcPr>
          <w:p>
            <w:pPr>
              <w:spacing w:before="60" w:after="60"/>
              <w:jc w:val="left"/>
            </w:pPr>
            <w:r>
              <w:t>Presented to WPS on 04/11/2016</w:t>
            </w:r>
          </w:p>
        </w:tc>
      </w:tr>
      <w:tr>
        <w:trPr>
          <w:cantSplit/>
          <w:tblHeader/>
        </w:trPr>
        <w:tc>
          <w:tcPr>
            <w:tcW w:w="534" w:type="dxa"/>
          </w:tcPr>
          <w:p>
            <w:pPr>
              <w:spacing w:before="60" w:after="60"/>
            </w:pPr>
            <w:r>
              <w:t>13</w:t>
            </w:r>
          </w:p>
        </w:tc>
        <w:tc>
          <w:tcPr>
            <w:tcW w:w="3054" w:type="dxa"/>
          </w:tcPr>
          <w:p>
            <w:pPr>
              <w:spacing w:before="60" w:after="60"/>
              <w:jc w:val="left"/>
            </w:pPr>
            <w:r>
              <w:t>Exchange of best practices and report on the state of play concerning the inclusion of sport qualifications in NQFs with a reference to EQF</w:t>
            </w:r>
          </w:p>
        </w:tc>
        <w:tc>
          <w:tcPr>
            <w:tcW w:w="1560" w:type="dxa"/>
          </w:tcPr>
          <w:p>
            <w:pPr>
              <w:spacing w:before="60" w:after="60"/>
              <w:jc w:val="left"/>
            </w:pPr>
            <w:r>
              <w:t>Expert Group Human Resources Development in Sport</w:t>
            </w:r>
          </w:p>
        </w:tc>
        <w:tc>
          <w:tcPr>
            <w:tcW w:w="960" w:type="dxa"/>
          </w:tcPr>
          <w:p>
            <w:pPr>
              <w:spacing w:before="60" w:after="60"/>
              <w:jc w:val="left"/>
            </w:pPr>
            <w:r>
              <w:t>2nd half 2016</w:t>
            </w:r>
          </w:p>
        </w:tc>
        <w:tc>
          <w:tcPr>
            <w:tcW w:w="1320" w:type="dxa"/>
          </w:tcPr>
          <w:p>
            <w:pPr>
              <w:spacing w:before="60" w:after="60"/>
              <w:jc w:val="left"/>
            </w:pPr>
            <w:r>
              <w:t>In progress</w:t>
            </w:r>
          </w:p>
        </w:tc>
        <w:tc>
          <w:tcPr>
            <w:tcW w:w="1680" w:type="dxa"/>
          </w:tcPr>
          <w:p>
            <w:pPr>
              <w:spacing w:before="60" w:after="60"/>
              <w:jc w:val="left"/>
            </w:pPr>
            <w:r>
              <w:t>To be presented to the WPS</w:t>
            </w:r>
          </w:p>
        </w:tc>
      </w:tr>
      <w:tr>
        <w:trPr>
          <w:cantSplit/>
          <w:tblHeader/>
        </w:trPr>
        <w:tc>
          <w:tcPr>
            <w:tcW w:w="534" w:type="dxa"/>
          </w:tcPr>
          <w:p>
            <w:pPr>
              <w:spacing w:before="60" w:after="60"/>
            </w:pPr>
            <w:r>
              <w:t>14</w:t>
            </w:r>
          </w:p>
        </w:tc>
        <w:tc>
          <w:tcPr>
            <w:tcW w:w="3054" w:type="dxa"/>
          </w:tcPr>
          <w:p>
            <w:pPr>
              <w:spacing w:before="60" w:after="60"/>
              <w:jc w:val="left"/>
            </w:pPr>
            <w:r>
              <w:t>Preparation of Expert Group recommendations on the contribution of sport to the employability of young people, including young professional sportsmen and women, and the creation of jobs in the sport and sport-related labour market</w:t>
            </w:r>
          </w:p>
        </w:tc>
        <w:tc>
          <w:tcPr>
            <w:tcW w:w="1560" w:type="dxa"/>
          </w:tcPr>
          <w:p>
            <w:pPr>
              <w:spacing w:before="60" w:after="60"/>
              <w:jc w:val="left"/>
            </w:pPr>
            <w:r>
              <w:t>Expert Group Human Resources Development in Sport</w:t>
            </w:r>
          </w:p>
        </w:tc>
        <w:tc>
          <w:tcPr>
            <w:tcW w:w="960" w:type="dxa"/>
          </w:tcPr>
          <w:p>
            <w:pPr>
              <w:spacing w:before="60" w:after="60"/>
              <w:jc w:val="left"/>
            </w:pPr>
            <w:r>
              <w:t>2nd half 2016</w:t>
            </w:r>
          </w:p>
        </w:tc>
        <w:tc>
          <w:tcPr>
            <w:tcW w:w="1320" w:type="dxa"/>
          </w:tcPr>
          <w:p>
            <w:pPr>
              <w:spacing w:before="60" w:after="60"/>
              <w:jc w:val="left"/>
            </w:pPr>
            <w:r>
              <w:t>In progress</w:t>
            </w:r>
          </w:p>
        </w:tc>
        <w:tc>
          <w:tcPr>
            <w:tcW w:w="1680" w:type="dxa"/>
          </w:tcPr>
          <w:p>
            <w:pPr>
              <w:spacing w:before="60" w:after="60"/>
              <w:jc w:val="left"/>
            </w:pPr>
            <w:r>
              <w:t>To be presented to the WPS</w:t>
            </w:r>
          </w:p>
        </w:tc>
      </w:tr>
      <w:tr>
        <w:trPr>
          <w:cantSplit/>
          <w:tblHeader/>
        </w:trPr>
        <w:tc>
          <w:tcPr>
            <w:tcW w:w="534" w:type="dxa"/>
          </w:tcPr>
          <w:p>
            <w:pPr>
              <w:spacing w:before="60" w:after="60"/>
            </w:pPr>
            <w:r>
              <w:t>15</w:t>
            </w:r>
          </w:p>
        </w:tc>
        <w:tc>
          <w:tcPr>
            <w:tcW w:w="3054" w:type="dxa"/>
          </w:tcPr>
          <w:p>
            <w:pPr>
              <w:spacing w:before="60" w:after="60"/>
              <w:jc w:val="left"/>
            </w:pPr>
            <w:r>
              <w:t>Preparation of practical guidance on compliance of national qualifications with international qualification standards of international sport federation</w:t>
            </w:r>
          </w:p>
        </w:tc>
        <w:tc>
          <w:tcPr>
            <w:tcW w:w="1560" w:type="dxa"/>
          </w:tcPr>
          <w:p>
            <w:pPr>
              <w:spacing w:before="60" w:after="60"/>
              <w:jc w:val="left"/>
            </w:pPr>
            <w:r>
              <w:t>Expert Group Human Resources Development in Sport</w:t>
            </w:r>
          </w:p>
        </w:tc>
        <w:tc>
          <w:tcPr>
            <w:tcW w:w="960" w:type="dxa"/>
          </w:tcPr>
          <w:p>
            <w:pPr>
              <w:spacing w:before="60" w:after="60"/>
              <w:jc w:val="left"/>
            </w:pPr>
            <w:r>
              <w:t>2nd half 2015</w:t>
            </w:r>
          </w:p>
        </w:tc>
        <w:tc>
          <w:tcPr>
            <w:tcW w:w="1320" w:type="dxa"/>
          </w:tcPr>
          <w:p>
            <w:pPr>
              <w:spacing w:before="60" w:after="60"/>
              <w:jc w:val="left"/>
            </w:pPr>
            <w:r>
              <w:t>Completed</w:t>
            </w:r>
          </w:p>
        </w:tc>
        <w:tc>
          <w:tcPr>
            <w:tcW w:w="1680" w:type="dxa"/>
          </w:tcPr>
          <w:p>
            <w:pPr>
              <w:spacing w:before="60" w:after="60"/>
              <w:jc w:val="left"/>
            </w:pPr>
            <w:r>
              <w:t>Presented to WPS on 05/12/2016</w:t>
            </w:r>
          </w:p>
        </w:tc>
      </w:tr>
      <w:tr>
        <w:trPr>
          <w:cantSplit/>
          <w:tblHeader/>
        </w:trPr>
        <w:tc>
          <w:tcPr>
            <w:tcW w:w="534" w:type="dxa"/>
          </w:tcPr>
          <w:p>
            <w:pPr>
              <w:spacing w:before="60" w:after="60"/>
            </w:pPr>
            <w:r>
              <w:t>16</w:t>
            </w:r>
          </w:p>
        </w:tc>
        <w:tc>
          <w:tcPr>
            <w:tcW w:w="3054" w:type="dxa"/>
          </w:tcPr>
          <w:p>
            <w:pPr>
              <w:spacing w:before="60" w:after="60"/>
              <w:jc w:val="left"/>
            </w:pPr>
            <w:r>
              <w:t>Preparation of a report on state of play concerning the implementation of the EU Guidelines on Dual Careers</w:t>
            </w:r>
          </w:p>
        </w:tc>
        <w:tc>
          <w:tcPr>
            <w:tcW w:w="1560" w:type="dxa"/>
          </w:tcPr>
          <w:p>
            <w:pPr>
              <w:spacing w:before="60" w:after="60"/>
              <w:jc w:val="left"/>
            </w:pPr>
            <w:r>
              <w:t>Expert Group Human Resources Development in Sport</w:t>
            </w:r>
          </w:p>
        </w:tc>
        <w:tc>
          <w:tcPr>
            <w:tcW w:w="960" w:type="dxa"/>
          </w:tcPr>
          <w:p>
            <w:pPr>
              <w:spacing w:before="60" w:after="60"/>
              <w:jc w:val="left"/>
            </w:pPr>
            <w:r>
              <w:t>1st half 2017</w:t>
            </w:r>
          </w:p>
        </w:tc>
        <w:tc>
          <w:tcPr>
            <w:tcW w:w="1320" w:type="dxa"/>
          </w:tcPr>
          <w:p>
            <w:pPr>
              <w:spacing w:before="60" w:after="60"/>
              <w:jc w:val="left"/>
            </w:pPr>
            <w:r>
              <w:t>In progress</w:t>
            </w:r>
          </w:p>
        </w:tc>
        <w:tc>
          <w:tcPr>
            <w:tcW w:w="1680" w:type="dxa"/>
          </w:tcPr>
          <w:p>
            <w:pPr>
              <w:spacing w:before="60" w:after="60"/>
              <w:jc w:val="left"/>
            </w:pPr>
            <w:r>
              <w:t>To be presented to the WPS</w:t>
            </w:r>
          </w:p>
        </w:tc>
      </w:tr>
    </w:tbl>
    <w:p>
      <w:pPr>
        <w:spacing w:line="276" w:lineRule="auto"/>
      </w:pPr>
    </w:p>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78622200"/>
      <w:docPartObj>
        <w:docPartGallery w:val="Page Numbers (Bottom of Page)"/>
        <w:docPartUnique/>
      </w:docPartObj>
    </w:sdtPr>
    <w:sdtEndPr>
      <w:rPr>
        <w:noProof/>
      </w:rPr>
    </w:sdtEndPr>
    <w:sdtContent>
      <w:p>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2"/>
    <w:docVar w:name="LW_CONFIDENCE" w:val=" "/>
    <w:docVar w:name="LW_CONST_RESTREINT_UE" w:val="RESTREINT UE"/>
    <w:docVar w:name="LW_CORRIGENDUM" w:val="&lt;UNUSED&gt;"/>
    <w:docVar w:name="LW_COVERPAGE_GUID" w:val="3EC7EA61EA424D3289C8706FE7120B39"/>
    <w:docVar w:name="LW_CROSSREFERENCE" w:val="&lt;UNUSED&gt;"/>
    <w:docVar w:name="LW_DocType" w:val="NORMAL"/>
    <w:docVar w:name="LW_EMISSION" w:val="20.1.2017"/>
    <w:docVar w:name="LW_EMISSION_ISODATE" w:val="2017-01-2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the implementation and relevance of the European Union_x000b_Work Plan for Sport 2014-2017"/>
    <w:docVar w:name="LW_PART_NBR" w:val="&lt;UNUSED&gt;"/>
    <w:docVar w:name="LW_PART_NBR_TOTAL" w:val="&lt;UNUSED&gt;"/>
    <w:docVar w:name="LW_REF.INST.NEW" w:val="COM"/>
    <w:docVar w:name="LW_REF.INST.NEW_ADOPTED" w:val="final"/>
    <w:docVar w:name="LW_REF.INST.NEW_TEXT" w:val="(2017) 22"/>
    <w:docVar w:name="LW_REF.INTERNE" w:val="&lt;UNUSED&gt;"/>
    <w:docVar w:name="LW_SUPERTITRE" w:val="&lt;UNUSED&gt;"/>
    <w:docVar w:name="LW_TITRE.OBJ.CP" w:val="&lt;UNUSED&gt;"/>
    <w:docVar w:name="LW_TYPE.DOC.CP" w:val="ANNEXES_x000b_"/>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noProof/>
      <w:sz w:val="24"/>
      <w:szCs w:val="24"/>
      <w:lang w:eastAsia="de-DE"/>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noProof/>
      <w:sz w:val="24"/>
      <w:szCs w:val="24"/>
      <w:lang w:eastAsia="de-D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val="0"/>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rPr>
      <w:noProof w:val="0"/>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noProof/>
      <w:sz w:val="24"/>
      <w:szCs w:val="24"/>
      <w:lang w:eastAsia="de-DE"/>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noProof/>
      <w:sz w:val="24"/>
      <w:szCs w:val="24"/>
      <w:lang w:eastAsia="de-D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val="0"/>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rPr>
      <w:noProof w:val="0"/>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731</Words>
  <Characters>3939</Characters>
  <Application>Microsoft Office Word</Application>
  <DocSecurity>0</DocSecurity>
  <Lines>358</Lines>
  <Paragraphs>155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LAUBACH Liliane (PMO)</dc:creator>
  <cp:lastModifiedBy>DIGIT/A3</cp:lastModifiedBy>
  <cp:revision>8</cp:revision>
  <dcterms:created xsi:type="dcterms:W3CDTF">2016-12-12T13:07:00Z</dcterms:created>
  <dcterms:modified xsi:type="dcterms:W3CDTF">2017-01-20T08:52:00Z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