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A2C6C546F06434A93F92308571D4B0A" style="width:450.8pt;height:433.55pt">
            <v:imagedata r:id="rId7" o:title=""/>
          </v:shape>
        </w:pict>
      </w:r>
    </w:p>
    <w:bookmarkEnd w:id="0"/>
    <w:p>
      <w:pPr>
        <w:sectPr>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pPr>
        <w:spacing w:before="0" w:line="276" w:lineRule="auto"/>
        <w:jc w:val="right"/>
        <w:rPr>
          <w:b/>
          <w:u w:val="single"/>
        </w:rPr>
      </w:pPr>
      <w:bookmarkStart w:id="1" w:name="_GoBack"/>
      <w:bookmarkEnd w:id="1"/>
      <w:r>
        <w:rPr>
          <w:b/>
          <w:u w:val="single"/>
        </w:rPr>
        <w:lastRenderedPageBreak/>
        <w:t>Annexe 1</w:t>
      </w:r>
    </w:p>
    <w:p>
      <w:pPr>
        <w:spacing w:before="0" w:after="0" w:line="276" w:lineRule="auto"/>
        <w:jc w:val="center"/>
        <w:rPr>
          <w:b/>
          <w:u w:val="single"/>
        </w:rPr>
      </w:pPr>
    </w:p>
    <w:p>
      <w:pPr>
        <w:spacing w:before="0" w:line="276" w:lineRule="auto"/>
        <w:jc w:val="center"/>
      </w:pPr>
      <w:r>
        <w:rPr>
          <w:b/>
        </w:rPr>
        <w:t>Composition des groupes d’experts et nombre de réunions tenues pendant la période de mise en œuvre du deuxième plan de travail de l'UE en faveur du sport (2014-2017)</w:t>
      </w:r>
    </w:p>
    <w:p>
      <w:pPr>
        <w:spacing w:before="0" w:after="0" w:line="276" w:lineRule="auto"/>
        <w:jc w:val="center"/>
      </w:pPr>
    </w:p>
    <w:tbl>
      <w:tblPr>
        <w:tblStyle w:val="TableGrid"/>
        <w:tblW w:w="0" w:type="auto"/>
        <w:tblInd w:w="120" w:type="dxa"/>
        <w:tblLook w:val="04A0" w:firstRow="1" w:lastRow="0" w:firstColumn="1" w:lastColumn="0" w:noHBand="0" w:noVBand="1"/>
      </w:tblPr>
      <w:tblGrid>
        <w:gridCol w:w="2508"/>
        <w:gridCol w:w="1920"/>
        <w:gridCol w:w="1920"/>
        <w:gridCol w:w="1920"/>
      </w:tblGrid>
      <w:tr>
        <w:tc>
          <w:tcPr>
            <w:tcW w:w="2508" w:type="dxa"/>
          </w:tcPr>
          <w:p>
            <w:pPr>
              <w:rPr>
                <w:b/>
              </w:rPr>
            </w:pPr>
            <w:r>
              <w:rPr>
                <w:b/>
              </w:rPr>
              <w:t>Groupe d’experts</w:t>
            </w:r>
          </w:p>
        </w:tc>
        <w:tc>
          <w:tcPr>
            <w:tcW w:w="1920" w:type="dxa"/>
          </w:tcPr>
          <w:p>
            <w:pPr>
              <w:jc w:val="center"/>
              <w:rPr>
                <w:b/>
              </w:rPr>
            </w:pPr>
            <w:r>
              <w:rPr>
                <w:b/>
              </w:rPr>
              <w:t>États membres</w:t>
            </w:r>
          </w:p>
        </w:tc>
        <w:tc>
          <w:tcPr>
            <w:tcW w:w="1920" w:type="dxa"/>
          </w:tcPr>
          <w:p>
            <w:pPr>
              <w:jc w:val="center"/>
              <w:rPr>
                <w:b/>
              </w:rPr>
            </w:pPr>
            <w:r>
              <w:rPr>
                <w:b/>
              </w:rPr>
              <w:t>Observateurs</w:t>
            </w:r>
          </w:p>
        </w:tc>
        <w:tc>
          <w:tcPr>
            <w:tcW w:w="1920" w:type="dxa"/>
          </w:tcPr>
          <w:p>
            <w:pPr>
              <w:jc w:val="center"/>
              <w:rPr>
                <w:b/>
              </w:rPr>
            </w:pPr>
            <w:r>
              <w:rPr>
                <w:b/>
              </w:rPr>
              <w:t>Nombre de réunions</w:t>
            </w:r>
          </w:p>
        </w:tc>
      </w:tr>
      <w:tr>
        <w:tc>
          <w:tcPr>
            <w:tcW w:w="2508" w:type="dxa"/>
          </w:tcPr>
          <w:p>
            <w:pPr>
              <w:spacing w:before="60" w:after="60"/>
            </w:pPr>
            <w:r>
              <w:t>Trucage de matchs</w:t>
            </w:r>
          </w:p>
        </w:tc>
        <w:tc>
          <w:tcPr>
            <w:tcW w:w="1920" w:type="dxa"/>
          </w:tcPr>
          <w:p>
            <w:pPr>
              <w:spacing w:before="60" w:after="60"/>
              <w:jc w:val="center"/>
            </w:pPr>
            <w:r>
              <w:t>24</w:t>
            </w:r>
          </w:p>
        </w:tc>
        <w:tc>
          <w:tcPr>
            <w:tcW w:w="1920" w:type="dxa"/>
          </w:tcPr>
          <w:p>
            <w:pPr>
              <w:spacing w:before="60" w:after="60"/>
              <w:jc w:val="center"/>
            </w:pPr>
            <w:r>
              <w:t>24</w:t>
            </w:r>
          </w:p>
        </w:tc>
        <w:tc>
          <w:tcPr>
            <w:tcW w:w="1920" w:type="dxa"/>
          </w:tcPr>
          <w:p>
            <w:pPr>
              <w:spacing w:before="60" w:after="60"/>
              <w:jc w:val="center"/>
            </w:pPr>
            <w:r>
              <w:t>5</w:t>
            </w:r>
          </w:p>
        </w:tc>
      </w:tr>
      <w:tr>
        <w:tc>
          <w:tcPr>
            <w:tcW w:w="2508" w:type="dxa"/>
          </w:tcPr>
          <w:p>
            <w:pPr>
              <w:spacing w:before="60" w:after="60"/>
            </w:pPr>
            <w:r>
              <w:t>Bonne gouvernance</w:t>
            </w:r>
          </w:p>
        </w:tc>
        <w:tc>
          <w:tcPr>
            <w:tcW w:w="1920" w:type="dxa"/>
          </w:tcPr>
          <w:p>
            <w:pPr>
              <w:spacing w:before="60" w:after="60"/>
              <w:jc w:val="center"/>
            </w:pPr>
            <w:r>
              <w:t>24</w:t>
            </w:r>
          </w:p>
        </w:tc>
        <w:tc>
          <w:tcPr>
            <w:tcW w:w="1920" w:type="dxa"/>
          </w:tcPr>
          <w:p>
            <w:pPr>
              <w:spacing w:before="60" w:after="60"/>
              <w:jc w:val="center"/>
            </w:pPr>
            <w:r>
              <w:t>26</w:t>
            </w:r>
          </w:p>
        </w:tc>
        <w:tc>
          <w:tcPr>
            <w:tcW w:w="1920" w:type="dxa"/>
          </w:tcPr>
          <w:p>
            <w:pPr>
              <w:spacing w:before="60" w:after="60"/>
              <w:jc w:val="center"/>
            </w:pPr>
            <w:r>
              <w:t>7</w:t>
            </w:r>
          </w:p>
        </w:tc>
      </w:tr>
      <w:tr>
        <w:tc>
          <w:tcPr>
            <w:tcW w:w="2508" w:type="dxa"/>
          </w:tcPr>
          <w:p>
            <w:pPr>
              <w:spacing w:before="60" w:after="60"/>
            </w:pPr>
            <w:r>
              <w:t>Dimension économique</w:t>
            </w:r>
          </w:p>
        </w:tc>
        <w:tc>
          <w:tcPr>
            <w:tcW w:w="1920" w:type="dxa"/>
          </w:tcPr>
          <w:p>
            <w:pPr>
              <w:spacing w:before="60" w:after="60"/>
              <w:jc w:val="center"/>
            </w:pPr>
            <w:r>
              <w:t>25</w:t>
            </w:r>
          </w:p>
        </w:tc>
        <w:tc>
          <w:tcPr>
            <w:tcW w:w="1920" w:type="dxa"/>
          </w:tcPr>
          <w:p>
            <w:pPr>
              <w:spacing w:before="60" w:after="60"/>
              <w:jc w:val="center"/>
            </w:pPr>
            <w:r>
              <w:t>24</w:t>
            </w:r>
          </w:p>
        </w:tc>
        <w:tc>
          <w:tcPr>
            <w:tcW w:w="1920" w:type="dxa"/>
          </w:tcPr>
          <w:p>
            <w:pPr>
              <w:spacing w:before="60" w:after="60"/>
              <w:jc w:val="center"/>
            </w:pPr>
            <w:r>
              <w:t>4</w:t>
            </w:r>
          </w:p>
        </w:tc>
      </w:tr>
      <w:tr>
        <w:tc>
          <w:tcPr>
            <w:tcW w:w="2508" w:type="dxa"/>
          </w:tcPr>
          <w:p>
            <w:pPr>
              <w:spacing w:before="60" w:after="60"/>
            </w:pPr>
            <w:r>
              <w:t>APBS</w:t>
            </w:r>
          </w:p>
        </w:tc>
        <w:tc>
          <w:tcPr>
            <w:tcW w:w="1920" w:type="dxa"/>
          </w:tcPr>
          <w:p>
            <w:pPr>
              <w:spacing w:before="60" w:after="60"/>
              <w:jc w:val="center"/>
            </w:pPr>
            <w:r>
              <w:t>28</w:t>
            </w:r>
          </w:p>
        </w:tc>
        <w:tc>
          <w:tcPr>
            <w:tcW w:w="1920" w:type="dxa"/>
          </w:tcPr>
          <w:p>
            <w:pPr>
              <w:spacing w:before="60" w:after="60"/>
              <w:jc w:val="center"/>
            </w:pPr>
            <w:r>
              <w:t>17</w:t>
            </w:r>
          </w:p>
        </w:tc>
        <w:tc>
          <w:tcPr>
            <w:tcW w:w="1920" w:type="dxa"/>
          </w:tcPr>
          <w:p>
            <w:pPr>
              <w:spacing w:before="60" w:after="60"/>
              <w:jc w:val="center"/>
            </w:pPr>
            <w:r>
              <w:t>5</w:t>
            </w:r>
          </w:p>
        </w:tc>
      </w:tr>
      <w:tr>
        <w:tc>
          <w:tcPr>
            <w:tcW w:w="2508" w:type="dxa"/>
          </w:tcPr>
          <w:p>
            <w:pPr>
              <w:spacing w:before="60" w:after="60"/>
              <w:jc w:val="left"/>
            </w:pPr>
            <w:r>
              <w:t>Développement des ressources humaines dans le sport</w:t>
            </w:r>
          </w:p>
        </w:tc>
        <w:tc>
          <w:tcPr>
            <w:tcW w:w="1920" w:type="dxa"/>
          </w:tcPr>
          <w:p>
            <w:pPr>
              <w:spacing w:before="60" w:after="60"/>
              <w:jc w:val="center"/>
            </w:pPr>
            <w:r>
              <w:t>26</w:t>
            </w:r>
          </w:p>
        </w:tc>
        <w:tc>
          <w:tcPr>
            <w:tcW w:w="1920" w:type="dxa"/>
          </w:tcPr>
          <w:p>
            <w:pPr>
              <w:spacing w:before="60" w:after="60"/>
              <w:jc w:val="center"/>
            </w:pPr>
            <w:r>
              <w:t>15</w:t>
            </w:r>
          </w:p>
        </w:tc>
        <w:tc>
          <w:tcPr>
            <w:tcW w:w="1920" w:type="dxa"/>
          </w:tcPr>
          <w:p>
            <w:pPr>
              <w:spacing w:before="60" w:after="60"/>
              <w:jc w:val="center"/>
            </w:pPr>
            <w:r>
              <w:t>7</w:t>
            </w:r>
          </w:p>
        </w:tc>
      </w:tr>
    </w:tbl>
    <w:p>
      <w:pPr>
        <w:spacing w:line="276" w:lineRule="auto"/>
        <w:rPr>
          <w:b/>
          <w:u w:val="single"/>
        </w:rPr>
      </w:pPr>
    </w:p>
    <w:p>
      <w:pPr>
        <w:spacing w:line="276" w:lineRule="auto"/>
        <w:rPr>
          <w:b/>
          <w:u w:val="single"/>
        </w:rPr>
      </w:pPr>
    </w:p>
    <w:p>
      <w:pPr>
        <w:spacing w:line="276" w:lineRule="auto"/>
        <w:rPr>
          <w:b/>
          <w:u w:val="single"/>
        </w:rPr>
      </w:pPr>
    </w:p>
    <w:p>
      <w:pPr>
        <w:spacing w:line="276" w:lineRule="auto"/>
        <w:rPr>
          <w:b/>
          <w:u w:val="single"/>
        </w:rPr>
      </w:pPr>
    </w:p>
    <w:p>
      <w:pPr>
        <w:spacing w:line="276" w:lineRule="auto"/>
        <w:rPr>
          <w:b/>
          <w:u w:val="single"/>
        </w:rPr>
      </w:pPr>
    </w:p>
    <w:p>
      <w:pPr>
        <w:spacing w:line="276" w:lineRule="auto"/>
        <w:rPr>
          <w:b/>
          <w:u w:val="single"/>
        </w:rPr>
      </w:pPr>
    </w:p>
    <w:p>
      <w:pPr>
        <w:spacing w:line="276" w:lineRule="auto"/>
        <w:rPr>
          <w:b/>
          <w:u w:val="single"/>
        </w:rPr>
      </w:pPr>
    </w:p>
    <w:p>
      <w:pPr>
        <w:spacing w:line="276" w:lineRule="auto"/>
        <w:rPr>
          <w:b/>
          <w:u w:val="single"/>
        </w:rPr>
      </w:pPr>
    </w:p>
    <w:p>
      <w:pPr>
        <w:spacing w:line="276" w:lineRule="auto"/>
        <w:rPr>
          <w:b/>
          <w:u w:val="single"/>
        </w:rPr>
      </w:pPr>
    </w:p>
    <w:p>
      <w:pPr>
        <w:spacing w:line="276" w:lineRule="auto"/>
        <w:rPr>
          <w:b/>
          <w:u w:val="single"/>
        </w:rPr>
      </w:pPr>
    </w:p>
    <w:p>
      <w:pPr>
        <w:spacing w:line="276" w:lineRule="auto"/>
        <w:rPr>
          <w:b/>
          <w:u w:val="single"/>
        </w:rPr>
      </w:pPr>
    </w:p>
    <w:p>
      <w:pPr>
        <w:spacing w:line="276" w:lineRule="auto"/>
        <w:rPr>
          <w:b/>
          <w:u w:val="single"/>
        </w:rPr>
      </w:pPr>
    </w:p>
    <w:p>
      <w:pPr>
        <w:spacing w:line="276" w:lineRule="auto"/>
        <w:rPr>
          <w:b/>
          <w:u w:val="single"/>
        </w:rPr>
      </w:pPr>
    </w:p>
    <w:p>
      <w:pPr>
        <w:spacing w:line="276" w:lineRule="auto"/>
        <w:rPr>
          <w:b/>
          <w:u w:val="single"/>
        </w:rPr>
      </w:pPr>
    </w:p>
    <w:p>
      <w:pPr>
        <w:spacing w:line="276" w:lineRule="auto"/>
        <w:rPr>
          <w:b/>
          <w:u w:val="single"/>
        </w:rPr>
      </w:pPr>
    </w:p>
    <w:p>
      <w:pPr>
        <w:spacing w:line="276" w:lineRule="auto"/>
        <w:rPr>
          <w:b/>
          <w:u w:val="single"/>
        </w:rPr>
      </w:pPr>
    </w:p>
    <w:p>
      <w:pPr>
        <w:spacing w:line="276" w:lineRule="auto"/>
        <w:rPr>
          <w:b/>
          <w:u w:val="single"/>
        </w:rPr>
      </w:pPr>
    </w:p>
    <w:p>
      <w:pPr>
        <w:spacing w:line="276" w:lineRule="auto"/>
        <w:rPr>
          <w:b/>
          <w:u w:val="single"/>
        </w:rPr>
      </w:pPr>
    </w:p>
    <w:p>
      <w:pPr>
        <w:spacing w:line="276" w:lineRule="auto"/>
        <w:rPr>
          <w:b/>
          <w:u w:val="single"/>
        </w:rPr>
      </w:pPr>
    </w:p>
    <w:p>
      <w:pPr>
        <w:spacing w:line="276" w:lineRule="auto"/>
        <w:rPr>
          <w:b/>
          <w:u w:val="single"/>
        </w:rPr>
      </w:pPr>
    </w:p>
    <w:p>
      <w:pPr>
        <w:spacing w:line="276" w:lineRule="auto"/>
        <w:jc w:val="right"/>
        <w:rPr>
          <w:b/>
          <w:u w:val="single"/>
        </w:rPr>
      </w:pPr>
      <w:r>
        <w:rPr>
          <w:b/>
          <w:u w:val="single"/>
        </w:rPr>
        <w:t>Annexe 2</w:t>
      </w:r>
    </w:p>
    <w:p>
      <w:pPr>
        <w:spacing w:before="240" w:line="276" w:lineRule="auto"/>
        <w:jc w:val="center"/>
        <w:rPr>
          <w:b/>
        </w:rPr>
      </w:pPr>
      <w:r>
        <w:rPr>
          <w:b/>
        </w:rPr>
        <w:t>Statut des résultats obtenus dans le cadre du deuxième plan de travail de l'UE en faveur du sport (2014-2017)</w:t>
      </w:r>
    </w:p>
    <w:p>
      <w:pPr>
        <w:spacing w:before="240" w:line="276" w:lineRule="auto"/>
        <w:jc w:val="center"/>
        <w:rPr>
          <w:b/>
        </w:rPr>
      </w:pPr>
      <w:r>
        <w:rPr>
          <w:b/>
        </w:rPr>
        <w:t>(en octobre 2016)</w:t>
      </w:r>
    </w:p>
    <w:tbl>
      <w:tblPr>
        <w:tblStyle w:val="TableGrid"/>
        <w:tblW w:w="0" w:type="auto"/>
        <w:tblLayout w:type="fixed"/>
        <w:tblLook w:val="04A0" w:firstRow="1" w:lastRow="0" w:firstColumn="1" w:lastColumn="0" w:noHBand="0" w:noVBand="1"/>
      </w:tblPr>
      <w:tblGrid>
        <w:gridCol w:w="534"/>
        <w:gridCol w:w="2814"/>
        <w:gridCol w:w="1800"/>
        <w:gridCol w:w="1197"/>
        <w:gridCol w:w="1203"/>
        <w:gridCol w:w="1560"/>
      </w:tblGrid>
      <w:tr>
        <w:trPr>
          <w:cantSplit/>
          <w:tblHeader/>
        </w:trPr>
        <w:tc>
          <w:tcPr>
            <w:tcW w:w="534" w:type="dxa"/>
          </w:tcPr>
          <w:p>
            <w:pPr>
              <w:jc w:val="center"/>
            </w:pPr>
          </w:p>
        </w:tc>
        <w:tc>
          <w:tcPr>
            <w:tcW w:w="2814" w:type="dxa"/>
          </w:tcPr>
          <w:p>
            <w:pPr>
              <w:jc w:val="center"/>
              <w:rPr>
                <w:b/>
                <w:sz w:val="22"/>
                <w:szCs w:val="22"/>
              </w:rPr>
            </w:pPr>
            <w:r>
              <w:rPr>
                <w:b/>
                <w:sz w:val="22"/>
              </w:rPr>
              <w:t>Résultat</w:t>
            </w:r>
          </w:p>
        </w:tc>
        <w:tc>
          <w:tcPr>
            <w:tcW w:w="1800" w:type="dxa"/>
          </w:tcPr>
          <w:p>
            <w:pPr>
              <w:jc w:val="center"/>
              <w:rPr>
                <w:b/>
                <w:sz w:val="22"/>
                <w:szCs w:val="22"/>
              </w:rPr>
            </w:pPr>
            <w:r>
              <w:rPr>
                <w:b/>
                <w:sz w:val="22"/>
              </w:rPr>
              <w:t>Structure de travail responsable</w:t>
            </w:r>
          </w:p>
        </w:tc>
        <w:tc>
          <w:tcPr>
            <w:tcW w:w="1197" w:type="dxa"/>
          </w:tcPr>
          <w:p>
            <w:pPr>
              <w:jc w:val="center"/>
              <w:rPr>
                <w:b/>
                <w:sz w:val="22"/>
                <w:szCs w:val="22"/>
              </w:rPr>
            </w:pPr>
            <w:r>
              <w:rPr>
                <w:b/>
                <w:sz w:val="22"/>
              </w:rPr>
              <w:t>Date cible</w:t>
            </w:r>
          </w:p>
        </w:tc>
        <w:tc>
          <w:tcPr>
            <w:tcW w:w="1203" w:type="dxa"/>
          </w:tcPr>
          <w:p>
            <w:pPr>
              <w:jc w:val="center"/>
              <w:rPr>
                <w:b/>
                <w:sz w:val="22"/>
                <w:szCs w:val="22"/>
              </w:rPr>
            </w:pPr>
            <w:r>
              <w:rPr>
                <w:b/>
                <w:sz w:val="22"/>
              </w:rPr>
              <w:t>Statut</w:t>
            </w:r>
          </w:p>
        </w:tc>
        <w:tc>
          <w:tcPr>
            <w:tcW w:w="1560" w:type="dxa"/>
          </w:tcPr>
          <w:p>
            <w:pPr>
              <w:jc w:val="center"/>
              <w:rPr>
                <w:b/>
                <w:sz w:val="22"/>
                <w:szCs w:val="22"/>
              </w:rPr>
            </w:pPr>
            <w:r>
              <w:rPr>
                <w:b/>
                <w:sz w:val="22"/>
              </w:rPr>
              <w:t>Présentation au groupe «Sport»</w:t>
            </w:r>
          </w:p>
        </w:tc>
      </w:tr>
      <w:tr>
        <w:trPr>
          <w:cantSplit/>
          <w:trHeight w:val="1729"/>
          <w:tblHeader/>
        </w:trPr>
        <w:tc>
          <w:tcPr>
            <w:tcW w:w="534" w:type="dxa"/>
          </w:tcPr>
          <w:p>
            <w:pPr>
              <w:spacing w:before="60" w:after="60"/>
            </w:pPr>
            <w:r>
              <w:t>1</w:t>
            </w:r>
          </w:p>
        </w:tc>
        <w:tc>
          <w:tcPr>
            <w:tcW w:w="2814" w:type="dxa"/>
          </w:tcPr>
          <w:p>
            <w:pPr>
              <w:spacing w:before="60" w:after="60"/>
              <w:jc w:val="left"/>
            </w:pPr>
            <w:r>
              <w:t>Échange de bonnes pratiques et apprentissage par les pairs, sur la base des recommandations du groupe d'experts concernant la prévention du dopage dans le sport de loisir (formulées dans le cadre du premier plan de travail en faveur du sport)</w:t>
            </w:r>
          </w:p>
        </w:tc>
        <w:tc>
          <w:tcPr>
            <w:tcW w:w="1800" w:type="dxa"/>
          </w:tcPr>
          <w:p>
            <w:pPr>
              <w:spacing w:before="60" w:after="60"/>
              <w:jc w:val="left"/>
            </w:pPr>
            <w:r>
              <w:t>Directeurs généraux chargés du sport</w:t>
            </w:r>
          </w:p>
        </w:tc>
        <w:tc>
          <w:tcPr>
            <w:tcW w:w="1197" w:type="dxa"/>
          </w:tcPr>
          <w:p>
            <w:pPr>
              <w:spacing w:before="60" w:after="60"/>
              <w:jc w:val="left"/>
            </w:pPr>
            <w:r>
              <w:t>2</w:t>
            </w:r>
            <w:r>
              <w:rPr>
                <w:vertAlign w:val="superscript"/>
              </w:rPr>
              <w:t>e</w:t>
            </w:r>
            <w:r>
              <w:t xml:space="preserve"> semestre 2015</w:t>
            </w:r>
          </w:p>
        </w:tc>
        <w:tc>
          <w:tcPr>
            <w:tcW w:w="1203" w:type="dxa"/>
          </w:tcPr>
          <w:p>
            <w:pPr>
              <w:spacing w:before="60" w:after="60"/>
              <w:jc w:val="left"/>
            </w:pPr>
            <w:r>
              <w:t>Réalisé</w:t>
            </w:r>
          </w:p>
        </w:tc>
        <w:tc>
          <w:tcPr>
            <w:tcW w:w="1560" w:type="dxa"/>
          </w:tcPr>
          <w:p>
            <w:pPr>
              <w:spacing w:before="60" w:after="60"/>
              <w:jc w:val="left"/>
            </w:pPr>
            <w:r>
              <w:t>Présenté au groupe «Sport» le 9.4.2015</w:t>
            </w:r>
          </w:p>
        </w:tc>
      </w:tr>
      <w:tr>
        <w:trPr>
          <w:cantSplit/>
          <w:tblHeader/>
        </w:trPr>
        <w:tc>
          <w:tcPr>
            <w:tcW w:w="534" w:type="dxa"/>
          </w:tcPr>
          <w:p>
            <w:pPr>
              <w:spacing w:before="60" w:after="60"/>
            </w:pPr>
            <w:r>
              <w:t>2</w:t>
            </w:r>
          </w:p>
        </w:tc>
        <w:tc>
          <w:tcPr>
            <w:tcW w:w="2814" w:type="dxa"/>
          </w:tcPr>
          <w:p>
            <w:pPr>
              <w:spacing w:before="60" w:after="60"/>
              <w:jc w:val="left"/>
            </w:pPr>
            <w:r>
              <w:t>Échange de bonnes pratiques en matière de lutte contre le trucage de matchs, en vue notamment de l'élaboration éventuelle d'une recommandation de la Commission relative aux bonnes pratiques en matière de prévention et de lutte contre le trucage de matchs lié aux paris, suivie d'un rapport sur l'état du dossier</w:t>
            </w:r>
          </w:p>
        </w:tc>
        <w:tc>
          <w:tcPr>
            <w:tcW w:w="1800" w:type="dxa"/>
          </w:tcPr>
          <w:p>
            <w:pPr>
              <w:spacing w:before="60" w:after="60"/>
              <w:jc w:val="left"/>
            </w:pPr>
            <w:r>
              <w:t>Groupe d’experts «trucage de matchs»</w:t>
            </w:r>
          </w:p>
        </w:tc>
        <w:tc>
          <w:tcPr>
            <w:tcW w:w="1197" w:type="dxa"/>
          </w:tcPr>
          <w:p>
            <w:pPr>
              <w:spacing w:before="60" w:after="60"/>
              <w:jc w:val="left"/>
            </w:pPr>
            <w:r>
              <w:t>1</w:t>
            </w:r>
            <w:r>
              <w:rPr>
                <w:vertAlign w:val="superscript"/>
              </w:rPr>
              <w:t>er</w:t>
            </w:r>
            <w:r>
              <w:t xml:space="preserve"> semestre 2016</w:t>
            </w:r>
          </w:p>
        </w:tc>
        <w:tc>
          <w:tcPr>
            <w:tcW w:w="1203" w:type="dxa"/>
          </w:tcPr>
          <w:p>
            <w:pPr>
              <w:spacing w:before="60" w:after="60"/>
              <w:jc w:val="left"/>
            </w:pPr>
            <w:r>
              <w:t>Réalisé</w:t>
            </w:r>
          </w:p>
        </w:tc>
        <w:tc>
          <w:tcPr>
            <w:tcW w:w="1560" w:type="dxa"/>
          </w:tcPr>
          <w:p>
            <w:pPr>
              <w:spacing w:before="60" w:after="60"/>
              <w:jc w:val="left"/>
            </w:pPr>
            <w:r>
              <w:t>Présenté au groupe «Sport» le 5.12.2016</w:t>
            </w:r>
          </w:p>
        </w:tc>
      </w:tr>
      <w:tr>
        <w:trPr>
          <w:cantSplit/>
          <w:tblHeader/>
        </w:trPr>
        <w:tc>
          <w:tcPr>
            <w:tcW w:w="534" w:type="dxa"/>
          </w:tcPr>
          <w:p>
            <w:pPr>
              <w:spacing w:before="60" w:after="60"/>
            </w:pPr>
            <w:r>
              <w:t>3</w:t>
            </w:r>
          </w:p>
        </w:tc>
        <w:tc>
          <w:tcPr>
            <w:tcW w:w="2814" w:type="dxa"/>
          </w:tcPr>
          <w:p>
            <w:pPr>
              <w:spacing w:before="60" w:after="60"/>
              <w:jc w:val="left"/>
            </w:pPr>
            <w:r>
              <w:t>Élaboration de recommandations du groupe d’experts visant la protection des jeunes athlètes et la sauvegarde des droits des enfants dans le sport</w:t>
            </w:r>
          </w:p>
        </w:tc>
        <w:tc>
          <w:tcPr>
            <w:tcW w:w="1800" w:type="dxa"/>
          </w:tcPr>
          <w:p>
            <w:pPr>
              <w:spacing w:before="60" w:after="60"/>
              <w:jc w:val="left"/>
            </w:pPr>
            <w:r>
              <w:t>Groupe d’experts «bonne gouvernance»</w:t>
            </w:r>
          </w:p>
        </w:tc>
        <w:tc>
          <w:tcPr>
            <w:tcW w:w="1197" w:type="dxa"/>
          </w:tcPr>
          <w:p>
            <w:pPr>
              <w:spacing w:before="60" w:after="60"/>
              <w:jc w:val="left"/>
            </w:pPr>
            <w:r>
              <w:t>1</w:t>
            </w:r>
            <w:r>
              <w:rPr>
                <w:vertAlign w:val="superscript"/>
              </w:rPr>
              <w:t>er</w:t>
            </w:r>
            <w:r>
              <w:t xml:space="preserve"> semestre 2016</w:t>
            </w:r>
          </w:p>
        </w:tc>
        <w:tc>
          <w:tcPr>
            <w:tcW w:w="1203" w:type="dxa"/>
          </w:tcPr>
          <w:p>
            <w:pPr>
              <w:spacing w:before="60" w:after="60"/>
              <w:jc w:val="left"/>
            </w:pPr>
            <w:r>
              <w:t>Réalisé</w:t>
            </w:r>
          </w:p>
        </w:tc>
        <w:tc>
          <w:tcPr>
            <w:tcW w:w="1560" w:type="dxa"/>
          </w:tcPr>
          <w:p>
            <w:pPr>
              <w:spacing w:before="60" w:after="60"/>
              <w:jc w:val="left"/>
            </w:pPr>
            <w:r>
              <w:t>Présenté au groupe «Sport» le 2.9.2016</w:t>
            </w:r>
          </w:p>
        </w:tc>
      </w:tr>
      <w:tr>
        <w:trPr>
          <w:cantSplit/>
          <w:tblHeader/>
        </w:trPr>
        <w:tc>
          <w:tcPr>
            <w:tcW w:w="534" w:type="dxa"/>
          </w:tcPr>
          <w:p>
            <w:pPr>
              <w:spacing w:before="60" w:after="60"/>
            </w:pPr>
            <w:r>
              <w:lastRenderedPageBreak/>
              <w:t>4</w:t>
            </w:r>
          </w:p>
        </w:tc>
        <w:tc>
          <w:tcPr>
            <w:tcW w:w="2814" w:type="dxa"/>
          </w:tcPr>
          <w:p>
            <w:pPr>
              <w:spacing w:before="60" w:after="60"/>
              <w:jc w:val="left"/>
            </w:pPr>
            <w:r>
              <w:t>Élaboration de principes directeurs relatifs à la démocratie, aux droits de l'homme et aux droits du travail, notamment dans le cadre des procédures d'attribution des grandes manifestations sportives, suivie si possible de l'établissement d'une liste d'engagements</w:t>
            </w:r>
          </w:p>
        </w:tc>
        <w:tc>
          <w:tcPr>
            <w:tcW w:w="1800" w:type="dxa"/>
          </w:tcPr>
          <w:p>
            <w:pPr>
              <w:spacing w:before="60" w:after="60"/>
              <w:jc w:val="left"/>
            </w:pPr>
            <w:r>
              <w:t>Groupe d’experts «bonne gouvernance»</w:t>
            </w:r>
          </w:p>
        </w:tc>
        <w:tc>
          <w:tcPr>
            <w:tcW w:w="1197" w:type="dxa"/>
          </w:tcPr>
          <w:p>
            <w:pPr>
              <w:spacing w:before="60" w:after="60"/>
              <w:jc w:val="left"/>
            </w:pPr>
            <w:r>
              <w:t>2</w:t>
            </w:r>
            <w:r>
              <w:rPr>
                <w:vertAlign w:val="superscript"/>
              </w:rPr>
              <w:t>e</w:t>
            </w:r>
            <w:r>
              <w:t xml:space="preserve"> semestre 2015</w:t>
            </w:r>
          </w:p>
        </w:tc>
        <w:tc>
          <w:tcPr>
            <w:tcW w:w="1203" w:type="dxa"/>
          </w:tcPr>
          <w:p>
            <w:pPr>
              <w:spacing w:before="60" w:after="60"/>
              <w:jc w:val="left"/>
            </w:pPr>
            <w:r>
              <w:t>Réalisé</w:t>
            </w:r>
          </w:p>
        </w:tc>
        <w:tc>
          <w:tcPr>
            <w:tcW w:w="1560" w:type="dxa"/>
          </w:tcPr>
          <w:p>
            <w:pPr>
              <w:spacing w:before="60" w:after="60"/>
              <w:jc w:val="left"/>
            </w:pPr>
            <w:r>
              <w:t>Présenté au groupe «Sport» le 15.1.2016</w:t>
            </w:r>
          </w:p>
        </w:tc>
      </w:tr>
      <w:tr>
        <w:trPr>
          <w:cantSplit/>
          <w:tblHeader/>
        </w:trPr>
        <w:tc>
          <w:tcPr>
            <w:tcW w:w="534" w:type="dxa"/>
          </w:tcPr>
          <w:p>
            <w:pPr>
              <w:spacing w:before="60" w:after="60"/>
            </w:pPr>
            <w:r>
              <w:t>5</w:t>
            </w:r>
          </w:p>
        </w:tc>
        <w:tc>
          <w:tcPr>
            <w:tcW w:w="2814" w:type="dxa"/>
          </w:tcPr>
          <w:p>
            <w:pPr>
              <w:spacing w:before="60" w:after="60"/>
              <w:jc w:val="left"/>
            </w:pPr>
            <w:r>
              <w:t>Promotion des principes existants en matière de bonne gouvernance, suivie si possible de l'établissement d'une liste d'engagements</w:t>
            </w:r>
          </w:p>
        </w:tc>
        <w:tc>
          <w:tcPr>
            <w:tcW w:w="1800" w:type="dxa"/>
          </w:tcPr>
          <w:p>
            <w:pPr>
              <w:spacing w:before="60" w:after="60"/>
              <w:jc w:val="left"/>
            </w:pPr>
            <w:r>
              <w:t>Groupe d’experts «bonne gouvernance»</w:t>
            </w:r>
          </w:p>
        </w:tc>
        <w:tc>
          <w:tcPr>
            <w:tcW w:w="1197" w:type="dxa"/>
          </w:tcPr>
          <w:p>
            <w:pPr>
              <w:spacing w:before="60" w:after="60"/>
              <w:jc w:val="left"/>
            </w:pPr>
            <w:r>
              <w:t>2</w:t>
            </w:r>
            <w:r>
              <w:rPr>
                <w:vertAlign w:val="superscript"/>
              </w:rPr>
              <w:t>e</w:t>
            </w:r>
            <w:r>
              <w:t xml:space="preserve"> semestre 2015</w:t>
            </w:r>
          </w:p>
        </w:tc>
        <w:tc>
          <w:tcPr>
            <w:tcW w:w="1203" w:type="dxa"/>
          </w:tcPr>
          <w:p>
            <w:pPr>
              <w:spacing w:before="60" w:after="60"/>
              <w:jc w:val="left"/>
            </w:pPr>
            <w:r>
              <w:t>Réalisé</w:t>
            </w:r>
          </w:p>
        </w:tc>
        <w:tc>
          <w:tcPr>
            <w:tcW w:w="1560" w:type="dxa"/>
          </w:tcPr>
          <w:p>
            <w:pPr>
              <w:spacing w:before="60" w:after="60"/>
              <w:jc w:val="left"/>
            </w:pPr>
            <w:r>
              <w:t>Présenté au groupe «Sport» le 2.9.2016</w:t>
            </w:r>
          </w:p>
        </w:tc>
      </w:tr>
      <w:tr>
        <w:trPr>
          <w:cantSplit/>
          <w:tblHeader/>
        </w:trPr>
        <w:tc>
          <w:tcPr>
            <w:tcW w:w="534" w:type="dxa"/>
          </w:tcPr>
          <w:p>
            <w:pPr>
              <w:spacing w:before="60" w:after="60"/>
            </w:pPr>
            <w:r>
              <w:t>6</w:t>
            </w:r>
          </w:p>
        </w:tc>
        <w:tc>
          <w:tcPr>
            <w:tcW w:w="2814" w:type="dxa"/>
          </w:tcPr>
          <w:p>
            <w:pPr>
              <w:spacing w:before="60" w:after="60"/>
              <w:jc w:val="left"/>
            </w:pPr>
            <w:r>
              <w:t>Élaboration de recommandations ou de lignes directrices du groupe d'experts en matière d'égalité hommes-femmes dans le sport, suivie si possible de l'établissement d'une liste d'engagements</w:t>
            </w:r>
          </w:p>
        </w:tc>
        <w:tc>
          <w:tcPr>
            <w:tcW w:w="1800" w:type="dxa"/>
          </w:tcPr>
          <w:p>
            <w:pPr>
              <w:spacing w:before="60" w:after="60"/>
              <w:jc w:val="left"/>
            </w:pPr>
            <w:r>
              <w:t>Groupe d’experts «bonne gouvernance»</w:t>
            </w:r>
          </w:p>
        </w:tc>
        <w:tc>
          <w:tcPr>
            <w:tcW w:w="1197" w:type="dxa"/>
          </w:tcPr>
          <w:p>
            <w:pPr>
              <w:spacing w:before="60" w:after="60"/>
              <w:jc w:val="left"/>
            </w:pPr>
            <w:r>
              <w:t>2</w:t>
            </w:r>
            <w:r>
              <w:rPr>
                <w:vertAlign w:val="superscript"/>
              </w:rPr>
              <w:t>e</w:t>
            </w:r>
            <w:r>
              <w:t xml:space="preserve"> semestre 2015</w:t>
            </w:r>
          </w:p>
        </w:tc>
        <w:tc>
          <w:tcPr>
            <w:tcW w:w="1203" w:type="dxa"/>
          </w:tcPr>
          <w:p>
            <w:pPr>
              <w:spacing w:before="60" w:after="60"/>
              <w:jc w:val="left"/>
            </w:pPr>
            <w:r>
              <w:t>Réalisé</w:t>
            </w:r>
          </w:p>
        </w:tc>
        <w:tc>
          <w:tcPr>
            <w:tcW w:w="1560" w:type="dxa"/>
          </w:tcPr>
          <w:p>
            <w:pPr>
              <w:spacing w:before="60" w:after="60"/>
              <w:jc w:val="left"/>
            </w:pPr>
            <w:r>
              <w:t>Présenté au groupe «Sport» le 15.2.2016</w:t>
            </w:r>
          </w:p>
        </w:tc>
      </w:tr>
      <w:tr>
        <w:trPr>
          <w:cantSplit/>
          <w:tblHeader/>
        </w:trPr>
        <w:tc>
          <w:tcPr>
            <w:tcW w:w="534" w:type="dxa"/>
          </w:tcPr>
          <w:p>
            <w:pPr>
              <w:spacing w:before="60" w:after="60"/>
            </w:pPr>
            <w:r>
              <w:t>7</w:t>
            </w:r>
          </w:p>
        </w:tc>
        <w:tc>
          <w:tcPr>
            <w:tcW w:w="2814" w:type="dxa"/>
          </w:tcPr>
          <w:p>
            <w:pPr>
              <w:spacing w:before="60" w:after="60"/>
              <w:jc w:val="left"/>
            </w:pPr>
            <w:r>
              <w:t>Élaboration de recommandations du groupe d'experts visant à mesurer les avantages économiques du sport dans l'UE sur la base des travaux en cours pour promouvoir la création de comptes satellites du sport dans les États membres</w:t>
            </w:r>
          </w:p>
        </w:tc>
        <w:tc>
          <w:tcPr>
            <w:tcW w:w="1800" w:type="dxa"/>
          </w:tcPr>
          <w:p>
            <w:pPr>
              <w:spacing w:before="60" w:after="60"/>
              <w:jc w:val="left"/>
            </w:pPr>
            <w:r>
              <w:t>Groupe d’experts «dimension économique»</w:t>
            </w:r>
          </w:p>
        </w:tc>
        <w:tc>
          <w:tcPr>
            <w:tcW w:w="1197" w:type="dxa"/>
          </w:tcPr>
          <w:p>
            <w:pPr>
              <w:spacing w:before="60" w:after="60"/>
              <w:jc w:val="left"/>
            </w:pPr>
            <w:r>
              <w:t>2</w:t>
            </w:r>
            <w:r>
              <w:rPr>
                <w:vertAlign w:val="superscript"/>
              </w:rPr>
              <w:t>e</w:t>
            </w:r>
            <w:r>
              <w:t xml:space="preserve"> semestre 2015</w:t>
            </w:r>
          </w:p>
        </w:tc>
        <w:tc>
          <w:tcPr>
            <w:tcW w:w="1203" w:type="dxa"/>
          </w:tcPr>
          <w:p>
            <w:pPr>
              <w:spacing w:before="60" w:after="60"/>
              <w:jc w:val="left"/>
            </w:pPr>
            <w:r>
              <w:t>Réalisé</w:t>
            </w:r>
          </w:p>
        </w:tc>
        <w:tc>
          <w:tcPr>
            <w:tcW w:w="1560" w:type="dxa"/>
          </w:tcPr>
          <w:p>
            <w:pPr>
              <w:spacing w:before="60" w:after="60"/>
              <w:jc w:val="left"/>
            </w:pPr>
            <w:r>
              <w:t>Présenté au groupe «Sport» le 25.4.2016</w:t>
            </w:r>
          </w:p>
        </w:tc>
      </w:tr>
      <w:tr>
        <w:trPr>
          <w:cantSplit/>
          <w:tblHeader/>
        </w:trPr>
        <w:tc>
          <w:tcPr>
            <w:tcW w:w="534" w:type="dxa"/>
          </w:tcPr>
          <w:p>
            <w:pPr>
              <w:spacing w:before="60" w:after="60"/>
            </w:pPr>
            <w:r>
              <w:lastRenderedPageBreak/>
              <w:t>8</w:t>
            </w:r>
          </w:p>
        </w:tc>
        <w:tc>
          <w:tcPr>
            <w:tcW w:w="2814" w:type="dxa"/>
          </w:tcPr>
          <w:p>
            <w:pPr>
              <w:spacing w:before="60" w:after="60"/>
              <w:jc w:val="left"/>
            </w:pPr>
            <w:r>
              <w:t>Élaboration de recommandations du groupe d'experts sur les grandes manifestations sportives, notamment sur des aspects liés à leurs retombées positives, en mettant l'accent sur la viabilité sociale, économique et environnementale</w:t>
            </w:r>
          </w:p>
        </w:tc>
        <w:tc>
          <w:tcPr>
            <w:tcW w:w="1800" w:type="dxa"/>
          </w:tcPr>
          <w:p>
            <w:pPr>
              <w:spacing w:before="60" w:after="60"/>
              <w:jc w:val="left"/>
            </w:pPr>
            <w:r>
              <w:t>Groupe d’experts «dimension économique»</w:t>
            </w:r>
          </w:p>
        </w:tc>
        <w:tc>
          <w:tcPr>
            <w:tcW w:w="1197" w:type="dxa"/>
          </w:tcPr>
          <w:p>
            <w:pPr>
              <w:spacing w:before="60" w:after="60"/>
              <w:jc w:val="left"/>
            </w:pPr>
            <w:r>
              <w:t>2</w:t>
            </w:r>
            <w:r>
              <w:rPr>
                <w:vertAlign w:val="superscript"/>
              </w:rPr>
              <w:t>e</w:t>
            </w:r>
            <w:r>
              <w:t xml:space="preserve"> semestre 2015</w:t>
            </w:r>
          </w:p>
        </w:tc>
        <w:tc>
          <w:tcPr>
            <w:tcW w:w="1203" w:type="dxa"/>
          </w:tcPr>
          <w:p>
            <w:pPr>
              <w:spacing w:before="60" w:after="60"/>
              <w:jc w:val="left"/>
            </w:pPr>
            <w:r>
              <w:t>Réalisé</w:t>
            </w:r>
          </w:p>
        </w:tc>
        <w:tc>
          <w:tcPr>
            <w:tcW w:w="1560" w:type="dxa"/>
          </w:tcPr>
          <w:p>
            <w:pPr>
              <w:spacing w:before="60" w:after="60"/>
              <w:jc w:val="left"/>
            </w:pPr>
            <w:r>
              <w:t>Présenté au groupe «Sport» le 15.1.2016</w:t>
            </w:r>
          </w:p>
        </w:tc>
      </w:tr>
      <w:tr>
        <w:trPr>
          <w:cantSplit/>
          <w:tblHeader/>
        </w:trPr>
        <w:tc>
          <w:tcPr>
            <w:tcW w:w="534" w:type="dxa"/>
          </w:tcPr>
          <w:p>
            <w:pPr>
              <w:spacing w:before="60" w:after="60"/>
            </w:pPr>
            <w:r>
              <w:t>9</w:t>
            </w:r>
          </w:p>
        </w:tc>
        <w:tc>
          <w:tcPr>
            <w:tcW w:w="2814" w:type="dxa"/>
          </w:tcPr>
          <w:p>
            <w:pPr>
              <w:spacing w:before="60" w:after="60"/>
              <w:jc w:val="left"/>
            </w:pPr>
            <w:r>
              <w:t>Élaboration de conseils pratiques sur la manière d'encourager les investissements transparents et à long terme dans le sport, y compris le financement de l'UE, sur la base, notamment, des recommandations de 2012 sur le financement durable du sport, y compris par des aides d'État</w:t>
            </w:r>
          </w:p>
        </w:tc>
        <w:tc>
          <w:tcPr>
            <w:tcW w:w="1800" w:type="dxa"/>
          </w:tcPr>
          <w:p>
            <w:pPr>
              <w:spacing w:before="60" w:after="60"/>
              <w:jc w:val="left"/>
            </w:pPr>
            <w:r>
              <w:t>Groupe d’experts «dimension économique»</w:t>
            </w:r>
          </w:p>
        </w:tc>
        <w:tc>
          <w:tcPr>
            <w:tcW w:w="1197" w:type="dxa"/>
          </w:tcPr>
          <w:p>
            <w:pPr>
              <w:spacing w:before="60" w:after="60"/>
              <w:jc w:val="left"/>
            </w:pPr>
            <w:r>
              <w:t>1</w:t>
            </w:r>
            <w:r>
              <w:rPr>
                <w:vertAlign w:val="superscript"/>
              </w:rPr>
              <w:t>er</w:t>
            </w:r>
            <w:r>
              <w:t xml:space="preserve"> semestre 2016</w:t>
            </w:r>
          </w:p>
        </w:tc>
        <w:tc>
          <w:tcPr>
            <w:tcW w:w="1203" w:type="dxa"/>
          </w:tcPr>
          <w:p>
            <w:pPr>
              <w:spacing w:before="60" w:after="60"/>
              <w:jc w:val="left"/>
            </w:pPr>
            <w:r>
              <w:t>Réalisé</w:t>
            </w:r>
          </w:p>
        </w:tc>
        <w:tc>
          <w:tcPr>
            <w:tcW w:w="1560" w:type="dxa"/>
          </w:tcPr>
          <w:p>
            <w:pPr>
              <w:spacing w:before="60" w:after="60"/>
              <w:jc w:val="left"/>
            </w:pPr>
            <w:r>
              <w:t>Présenté au groupe «Sport» le 24.10.2016</w:t>
            </w:r>
          </w:p>
        </w:tc>
      </w:tr>
      <w:tr>
        <w:trPr>
          <w:cantSplit/>
          <w:tblHeader/>
        </w:trPr>
        <w:tc>
          <w:tcPr>
            <w:tcW w:w="534" w:type="dxa"/>
          </w:tcPr>
          <w:p>
            <w:pPr>
              <w:spacing w:before="60" w:after="60"/>
            </w:pPr>
            <w:r>
              <w:t>10</w:t>
            </w:r>
          </w:p>
        </w:tc>
        <w:tc>
          <w:tcPr>
            <w:tcW w:w="2814" w:type="dxa"/>
          </w:tcPr>
          <w:p>
            <w:pPr>
              <w:spacing w:before="60" w:after="60"/>
              <w:jc w:val="left"/>
            </w:pPr>
            <w:r>
              <w:t>Élaboration de recommandations du groupe d'experts visant à encourager l'éducation physique à l'école, notamment la motricité dès la petite enfance, et à établir de précieuses interactions avec le secteur du sport, les pouvoirs locaux et le secteur privé</w:t>
            </w:r>
          </w:p>
        </w:tc>
        <w:tc>
          <w:tcPr>
            <w:tcW w:w="1800" w:type="dxa"/>
          </w:tcPr>
          <w:p>
            <w:pPr>
              <w:spacing w:before="60" w:after="60"/>
              <w:jc w:val="left"/>
            </w:pPr>
            <w:r>
              <w:t>Groupe d’experts «APBS»</w:t>
            </w:r>
          </w:p>
        </w:tc>
        <w:tc>
          <w:tcPr>
            <w:tcW w:w="1197" w:type="dxa"/>
          </w:tcPr>
          <w:p>
            <w:pPr>
              <w:spacing w:before="60" w:after="60"/>
              <w:jc w:val="left"/>
            </w:pPr>
            <w:r>
              <w:t>1</w:t>
            </w:r>
            <w:r>
              <w:rPr>
                <w:vertAlign w:val="superscript"/>
              </w:rPr>
              <w:t>er</w:t>
            </w:r>
            <w:r>
              <w:t xml:space="preserve"> semestre 2015</w:t>
            </w:r>
          </w:p>
        </w:tc>
        <w:tc>
          <w:tcPr>
            <w:tcW w:w="1203" w:type="dxa"/>
          </w:tcPr>
          <w:p>
            <w:pPr>
              <w:spacing w:before="60" w:after="60"/>
              <w:jc w:val="left"/>
            </w:pPr>
            <w:r>
              <w:t>Réalisé</w:t>
            </w:r>
          </w:p>
        </w:tc>
        <w:tc>
          <w:tcPr>
            <w:tcW w:w="1560" w:type="dxa"/>
          </w:tcPr>
          <w:p>
            <w:pPr>
              <w:spacing w:before="60" w:after="60"/>
              <w:jc w:val="left"/>
            </w:pPr>
            <w:r>
              <w:t>Présenté au groupe «Sport» le 6.7.2015</w:t>
            </w:r>
          </w:p>
        </w:tc>
      </w:tr>
      <w:tr>
        <w:trPr>
          <w:cantSplit/>
          <w:tblHeader/>
        </w:trPr>
        <w:tc>
          <w:tcPr>
            <w:tcW w:w="534" w:type="dxa"/>
          </w:tcPr>
          <w:p>
            <w:pPr>
              <w:spacing w:before="60" w:after="60"/>
            </w:pPr>
            <w:r>
              <w:t>11</w:t>
            </w:r>
          </w:p>
        </w:tc>
        <w:tc>
          <w:tcPr>
            <w:tcW w:w="2814" w:type="dxa"/>
          </w:tcPr>
          <w:p>
            <w:pPr>
              <w:spacing w:before="60" w:after="60"/>
              <w:jc w:val="left"/>
            </w:pPr>
            <w:r>
              <w:t>Coordination de la mise en œuvre de la recommandation du Conseil sur la pratique d’une activité physique bienfaisante pour la santé</w:t>
            </w:r>
          </w:p>
        </w:tc>
        <w:tc>
          <w:tcPr>
            <w:tcW w:w="1800" w:type="dxa"/>
          </w:tcPr>
          <w:p>
            <w:pPr>
              <w:spacing w:before="60" w:after="60"/>
              <w:jc w:val="left"/>
            </w:pPr>
            <w:r>
              <w:t>Groupe d’experts «APBS»</w:t>
            </w:r>
          </w:p>
        </w:tc>
        <w:tc>
          <w:tcPr>
            <w:tcW w:w="1197" w:type="dxa"/>
          </w:tcPr>
          <w:p>
            <w:pPr>
              <w:spacing w:before="60" w:after="60"/>
              <w:jc w:val="left"/>
            </w:pPr>
            <w:r>
              <w:t>2</w:t>
            </w:r>
            <w:r>
              <w:rPr>
                <w:vertAlign w:val="superscript"/>
              </w:rPr>
              <w:t>e</w:t>
            </w:r>
            <w:r>
              <w:t xml:space="preserve"> semestre 2016</w:t>
            </w:r>
          </w:p>
        </w:tc>
        <w:tc>
          <w:tcPr>
            <w:tcW w:w="1203" w:type="dxa"/>
          </w:tcPr>
          <w:p>
            <w:pPr>
              <w:spacing w:before="60" w:after="60"/>
              <w:jc w:val="left"/>
            </w:pPr>
            <w:r>
              <w:t>Réalisé</w:t>
            </w:r>
          </w:p>
        </w:tc>
        <w:tc>
          <w:tcPr>
            <w:tcW w:w="1560" w:type="dxa"/>
          </w:tcPr>
          <w:p>
            <w:pPr>
              <w:spacing w:before="60" w:after="60"/>
              <w:jc w:val="left"/>
            </w:pPr>
            <w:r>
              <w:t>Présenté au groupe «Sport» le 24.10.2016</w:t>
            </w:r>
          </w:p>
        </w:tc>
      </w:tr>
      <w:tr>
        <w:trPr>
          <w:cantSplit/>
          <w:tblHeader/>
        </w:trPr>
        <w:tc>
          <w:tcPr>
            <w:tcW w:w="534" w:type="dxa"/>
          </w:tcPr>
          <w:p>
            <w:pPr>
              <w:spacing w:before="60" w:after="60"/>
            </w:pPr>
            <w:r>
              <w:lastRenderedPageBreak/>
              <w:t>12</w:t>
            </w:r>
          </w:p>
        </w:tc>
        <w:tc>
          <w:tcPr>
            <w:tcW w:w="2814" w:type="dxa"/>
          </w:tcPr>
          <w:p>
            <w:pPr>
              <w:spacing w:before="60" w:after="60"/>
              <w:jc w:val="left"/>
            </w:pPr>
            <w:r>
              <w:t>Élaboration de recommandations du groupe d'experts visant à encourager le bénévolat dans le sport, notamment les bonnes pratiques liées aux mécanismes juridiques et fiscaux</w:t>
            </w:r>
          </w:p>
        </w:tc>
        <w:tc>
          <w:tcPr>
            <w:tcW w:w="1800" w:type="dxa"/>
          </w:tcPr>
          <w:p>
            <w:pPr>
              <w:spacing w:before="60" w:after="60"/>
              <w:ind w:right="-171"/>
              <w:jc w:val="left"/>
            </w:pPr>
            <w:r>
              <w:t>Groupe d'experts «Développement des ressources humaines dans le sport»</w:t>
            </w:r>
          </w:p>
        </w:tc>
        <w:tc>
          <w:tcPr>
            <w:tcW w:w="1197" w:type="dxa"/>
          </w:tcPr>
          <w:p>
            <w:pPr>
              <w:spacing w:before="60" w:after="60"/>
              <w:ind w:right="-108"/>
              <w:jc w:val="left"/>
            </w:pPr>
            <w:r>
              <w:t>2</w:t>
            </w:r>
            <w:r>
              <w:rPr>
                <w:vertAlign w:val="superscript"/>
              </w:rPr>
              <w:t>e</w:t>
            </w:r>
            <w:r>
              <w:t xml:space="preserve"> semestre 2015</w:t>
            </w:r>
          </w:p>
        </w:tc>
        <w:tc>
          <w:tcPr>
            <w:tcW w:w="1203" w:type="dxa"/>
          </w:tcPr>
          <w:p>
            <w:pPr>
              <w:spacing w:before="60" w:after="60"/>
              <w:jc w:val="left"/>
            </w:pPr>
            <w:r>
              <w:t>Réalisé</w:t>
            </w:r>
          </w:p>
        </w:tc>
        <w:tc>
          <w:tcPr>
            <w:tcW w:w="1560" w:type="dxa"/>
          </w:tcPr>
          <w:p>
            <w:pPr>
              <w:spacing w:before="60" w:after="60"/>
              <w:jc w:val="left"/>
            </w:pPr>
            <w:r>
              <w:t>Présenté au groupe «Sport» le 4.11.2016</w:t>
            </w:r>
          </w:p>
        </w:tc>
      </w:tr>
      <w:tr>
        <w:trPr>
          <w:cantSplit/>
          <w:tblHeader/>
        </w:trPr>
        <w:tc>
          <w:tcPr>
            <w:tcW w:w="534" w:type="dxa"/>
          </w:tcPr>
          <w:p>
            <w:pPr>
              <w:spacing w:before="60" w:after="60"/>
            </w:pPr>
            <w:r>
              <w:t>13</w:t>
            </w:r>
          </w:p>
        </w:tc>
        <w:tc>
          <w:tcPr>
            <w:tcW w:w="2814" w:type="dxa"/>
          </w:tcPr>
          <w:p>
            <w:pPr>
              <w:spacing w:before="60" w:after="60"/>
              <w:jc w:val="left"/>
            </w:pPr>
            <w:r>
              <w:t>Échange de bonnes pratiques et rapport sur l'état du dossier relatif à l'inclusion des certifications liées au sport dans les cadres nationaux de certification en tenant compte du cadre européen des certifications</w:t>
            </w:r>
          </w:p>
        </w:tc>
        <w:tc>
          <w:tcPr>
            <w:tcW w:w="1800" w:type="dxa"/>
          </w:tcPr>
          <w:p>
            <w:pPr>
              <w:spacing w:before="60" w:after="60"/>
              <w:ind w:right="-171"/>
              <w:jc w:val="left"/>
            </w:pPr>
            <w:r>
              <w:t>Groupe d'experts «Développement des ressources humaines dans le sport»</w:t>
            </w:r>
          </w:p>
        </w:tc>
        <w:tc>
          <w:tcPr>
            <w:tcW w:w="1197" w:type="dxa"/>
          </w:tcPr>
          <w:p>
            <w:pPr>
              <w:spacing w:before="60" w:after="60"/>
              <w:ind w:right="-108"/>
              <w:jc w:val="left"/>
            </w:pPr>
            <w:r>
              <w:t>2</w:t>
            </w:r>
            <w:r>
              <w:rPr>
                <w:vertAlign w:val="superscript"/>
              </w:rPr>
              <w:t>e</w:t>
            </w:r>
            <w:r>
              <w:t xml:space="preserve"> semestre 2016</w:t>
            </w:r>
          </w:p>
        </w:tc>
        <w:tc>
          <w:tcPr>
            <w:tcW w:w="1203" w:type="dxa"/>
          </w:tcPr>
          <w:p>
            <w:pPr>
              <w:spacing w:before="60" w:after="60"/>
              <w:jc w:val="left"/>
            </w:pPr>
            <w:r>
              <w:t>En cours</w:t>
            </w:r>
          </w:p>
        </w:tc>
        <w:tc>
          <w:tcPr>
            <w:tcW w:w="1560" w:type="dxa"/>
          </w:tcPr>
          <w:p>
            <w:pPr>
              <w:spacing w:before="60" w:after="60"/>
              <w:jc w:val="left"/>
            </w:pPr>
            <w:r>
              <w:t>À présenter au groupe «Sport»</w:t>
            </w:r>
          </w:p>
        </w:tc>
      </w:tr>
      <w:tr>
        <w:trPr>
          <w:cantSplit/>
          <w:tblHeader/>
        </w:trPr>
        <w:tc>
          <w:tcPr>
            <w:tcW w:w="534" w:type="dxa"/>
          </w:tcPr>
          <w:p>
            <w:pPr>
              <w:spacing w:before="60" w:after="60"/>
            </w:pPr>
            <w:r>
              <w:t>14</w:t>
            </w:r>
          </w:p>
        </w:tc>
        <w:tc>
          <w:tcPr>
            <w:tcW w:w="2814" w:type="dxa"/>
          </w:tcPr>
          <w:p>
            <w:pPr>
              <w:spacing w:before="60" w:after="60"/>
              <w:jc w:val="left"/>
            </w:pPr>
            <w:r>
              <w:t>Élaboration de recommandations du groupe d'experts sur la contribution du sport à l'employabilité des jeunes, notamment des jeunes sportifs professionnels des deux sexes, et sur la création d'emplois dans le sport et le marché du travail lié au sport</w:t>
            </w:r>
          </w:p>
        </w:tc>
        <w:tc>
          <w:tcPr>
            <w:tcW w:w="1800" w:type="dxa"/>
          </w:tcPr>
          <w:p>
            <w:pPr>
              <w:spacing w:before="60" w:after="60"/>
              <w:ind w:right="-171"/>
              <w:jc w:val="left"/>
            </w:pPr>
            <w:r>
              <w:t>Groupe d'experts «Développement des ressources humaines dans le sport»</w:t>
            </w:r>
          </w:p>
        </w:tc>
        <w:tc>
          <w:tcPr>
            <w:tcW w:w="1197" w:type="dxa"/>
          </w:tcPr>
          <w:p>
            <w:pPr>
              <w:spacing w:before="60" w:after="60"/>
              <w:ind w:right="-108"/>
              <w:jc w:val="left"/>
            </w:pPr>
            <w:r>
              <w:t>2</w:t>
            </w:r>
            <w:r>
              <w:rPr>
                <w:vertAlign w:val="superscript"/>
              </w:rPr>
              <w:t>e</w:t>
            </w:r>
            <w:r>
              <w:t xml:space="preserve"> semestre 2016</w:t>
            </w:r>
          </w:p>
        </w:tc>
        <w:tc>
          <w:tcPr>
            <w:tcW w:w="1203" w:type="dxa"/>
          </w:tcPr>
          <w:p>
            <w:pPr>
              <w:spacing w:before="60" w:after="60"/>
              <w:jc w:val="left"/>
            </w:pPr>
            <w:r>
              <w:t>En cours</w:t>
            </w:r>
          </w:p>
        </w:tc>
        <w:tc>
          <w:tcPr>
            <w:tcW w:w="1560" w:type="dxa"/>
          </w:tcPr>
          <w:p>
            <w:pPr>
              <w:spacing w:before="60" w:after="60"/>
              <w:jc w:val="left"/>
            </w:pPr>
            <w:r>
              <w:t>À présenter au groupe «Sport»</w:t>
            </w:r>
          </w:p>
        </w:tc>
      </w:tr>
      <w:tr>
        <w:trPr>
          <w:cantSplit/>
          <w:tblHeader/>
        </w:trPr>
        <w:tc>
          <w:tcPr>
            <w:tcW w:w="534" w:type="dxa"/>
          </w:tcPr>
          <w:p>
            <w:pPr>
              <w:spacing w:before="60" w:after="60"/>
            </w:pPr>
            <w:r>
              <w:t>15</w:t>
            </w:r>
          </w:p>
        </w:tc>
        <w:tc>
          <w:tcPr>
            <w:tcW w:w="2814" w:type="dxa"/>
          </w:tcPr>
          <w:p>
            <w:pPr>
              <w:spacing w:before="60" w:after="60"/>
              <w:jc w:val="left"/>
            </w:pPr>
            <w:r>
              <w:t>Élaboration de conseils pratiques sur la conformité des certifications nationales aux normes internationales de certification des fédérations sportives internationales</w:t>
            </w:r>
          </w:p>
        </w:tc>
        <w:tc>
          <w:tcPr>
            <w:tcW w:w="1800" w:type="dxa"/>
          </w:tcPr>
          <w:p>
            <w:pPr>
              <w:spacing w:before="60" w:after="60"/>
              <w:ind w:right="-171"/>
              <w:jc w:val="left"/>
            </w:pPr>
            <w:r>
              <w:t>Groupe d'experts «Développement des ressources humaines dans le sport»</w:t>
            </w:r>
          </w:p>
        </w:tc>
        <w:tc>
          <w:tcPr>
            <w:tcW w:w="1197" w:type="dxa"/>
          </w:tcPr>
          <w:p>
            <w:pPr>
              <w:spacing w:before="60" w:after="60"/>
              <w:ind w:right="-108"/>
              <w:jc w:val="left"/>
            </w:pPr>
            <w:r>
              <w:t>2</w:t>
            </w:r>
            <w:r>
              <w:rPr>
                <w:vertAlign w:val="superscript"/>
              </w:rPr>
              <w:t>e</w:t>
            </w:r>
            <w:r>
              <w:t xml:space="preserve"> semestre 2015</w:t>
            </w:r>
          </w:p>
        </w:tc>
        <w:tc>
          <w:tcPr>
            <w:tcW w:w="1203" w:type="dxa"/>
          </w:tcPr>
          <w:p>
            <w:pPr>
              <w:spacing w:before="60" w:after="60"/>
              <w:jc w:val="left"/>
            </w:pPr>
            <w:r>
              <w:t>Réalisé</w:t>
            </w:r>
          </w:p>
        </w:tc>
        <w:tc>
          <w:tcPr>
            <w:tcW w:w="1560" w:type="dxa"/>
          </w:tcPr>
          <w:p>
            <w:pPr>
              <w:spacing w:before="60" w:after="60"/>
              <w:jc w:val="left"/>
            </w:pPr>
            <w:r>
              <w:t>Présenté au groupe «Sport» le 5.12.2016</w:t>
            </w:r>
          </w:p>
        </w:tc>
      </w:tr>
      <w:tr>
        <w:trPr>
          <w:cantSplit/>
          <w:tblHeader/>
        </w:trPr>
        <w:tc>
          <w:tcPr>
            <w:tcW w:w="534" w:type="dxa"/>
          </w:tcPr>
          <w:p>
            <w:pPr>
              <w:spacing w:before="60" w:after="60"/>
            </w:pPr>
            <w:r>
              <w:t>16</w:t>
            </w:r>
          </w:p>
        </w:tc>
        <w:tc>
          <w:tcPr>
            <w:tcW w:w="2814" w:type="dxa"/>
          </w:tcPr>
          <w:p>
            <w:pPr>
              <w:spacing w:before="60" w:after="60"/>
              <w:jc w:val="left"/>
            </w:pPr>
            <w:r>
              <w:t>Élaboration d'un rapport sur l'état du dossier relatif à la mise en œuvre des lignes directrices de l'UE sur la double carrière des athlètes</w:t>
            </w:r>
          </w:p>
        </w:tc>
        <w:tc>
          <w:tcPr>
            <w:tcW w:w="1800" w:type="dxa"/>
          </w:tcPr>
          <w:p>
            <w:pPr>
              <w:spacing w:before="60" w:after="60"/>
              <w:ind w:right="-171"/>
              <w:jc w:val="left"/>
            </w:pPr>
            <w:r>
              <w:t>Groupe d'experts «Développement des ressources humaines dans le sport»</w:t>
            </w:r>
          </w:p>
        </w:tc>
        <w:tc>
          <w:tcPr>
            <w:tcW w:w="1197" w:type="dxa"/>
          </w:tcPr>
          <w:p>
            <w:pPr>
              <w:spacing w:before="60" w:after="60"/>
              <w:ind w:right="-108"/>
              <w:jc w:val="left"/>
            </w:pPr>
            <w:r>
              <w:t>1</w:t>
            </w:r>
            <w:r>
              <w:rPr>
                <w:vertAlign w:val="superscript"/>
              </w:rPr>
              <w:t>er</w:t>
            </w:r>
            <w:r>
              <w:t xml:space="preserve"> semestre 2017</w:t>
            </w:r>
          </w:p>
        </w:tc>
        <w:tc>
          <w:tcPr>
            <w:tcW w:w="1203" w:type="dxa"/>
          </w:tcPr>
          <w:p>
            <w:pPr>
              <w:spacing w:before="60" w:after="60"/>
              <w:jc w:val="left"/>
            </w:pPr>
            <w:r>
              <w:t>En cours</w:t>
            </w:r>
          </w:p>
        </w:tc>
        <w:tc>
          <w:tcPr>
            <w:tcW w:w="1560" w:type="dxa"/>
          </w:tcPr>
          <w:p>
            <w:pPr>
              <w:spacing w:before="60" w:after="60"/>
              <w:jc w:val="left"/>
            </w:pPr>
            <w:r>
              <w:t>À présenter au groupe «Sport»</w:t>
            </w:r>
          </w:p>
        </w:tc>
      </w:tr>
    </w:tbl>
    <w:p>
      <w:pPr>
        <w:spacing w:line="276" w:lineRule="auto"/>
      </w:pPr>
    </w:p>
    <w:p/>
    <w:sectPr>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178622200"/>
      <w:docPartObj>
        <w:docPartGallery w:val="Page Numbers (Bottom of Page)"/>
        <w:docPartUnique/>
      </w:docPartObj>
    </w:sdtPr>
    <w:sdtEndPr>
      <w:rPr>
        <w:noProof/>
      </w:rPr>
    </w:sdtEndPr>
    <w:sdtContent>
      <w:p>
        <w:pPr>
          <w:pStyle w:val="Footer"/>
          <w:jc w:val="center"/>
        </w:pPr>
        <w:r>
          <w:rPr>
            <w:noProof w:val="0"/>
          </w:rPr>
          <w:fldChar w:fldCharType="begin"/>
        </w:r>
        <w:r>
          <w:instrText xml:space="preserve"> PAGE   \* MERGEFORMAT </w:instrText>
        </w:r>
        <w:r>
          <w:rPr>
            <w:noProof w:val="0"/>
          </w:rPr>
          <w:fldChar w:fldCharType="separate"/>
        </w:r>
        <w:r>
          <w:t>1</w:t>
        </w:r>
        <w:r>
          <w:fldChar w:fldCharType="end"/>
        </w:r>
      </w:p>
    </w:sdtContent>
  </w:sdt>
  <w:p>
    <w:pPr>
      <w:pStyle w:val="Footer"/>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8"/>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u"/>
    <w:docVar w:name="LW_ANNEX_NBR_FIRST" w:val="1"/>
    <w:docVar w:name="LW_ANNEX_NBR_LAST" w:val="2"/>
    <w:docVar w:name="LW_CONFIDENCE" w:val=" "/>
    <w:docVar w:name="LW_CONST_RESTREINT_UE" w:val="RESTREINT UE"/>
    <w:docVar w:name="LW_CORRIGENDUM" w:val="&lt;UNUSED&gt;"/>
    <w:docVar w:name="LW_COVERPAGE_GUID" w:val="3A2C6C546F06434A93F92308571D4B0A"/>
    <w:docVar w:name="LW_CROSSREFERENCE" w:val="&lt;UNUSED&gt;"/>
    <w:docVar w:name="LW_DocType" w:val="NORMAL"/>
    <w:docVar w:name="LW_EMISSION" w:val="20.1.2017"/>
    <w:docVar w:name="LW_EMISSION_ISODATE" w:val="2017-01-20"/>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sur la mise en \u339?uvre et la pertinence du plan de travail_x000b_de l\u8217?Union européenne en faveur du sport pour 2014-2017 _x000b_"/>
    <w:docVar w:name="LW_PART_NBR" w:val="&lt;UNUSED&gt;"/>
    <w:docVar w:name="LW_PART_NBR_TOTAL" w:val="&lt;UNUSED&gt;"/>
    <w:docVar w:name="LW_REF.INST.NEW" w:val="COM"/>
    <w:docVar w:name="LW_REF.INST.NEW_ADOPTED" w:val="final"/>
    <w:docVar w:name="LW_REF.INST.NEW_TEXT" w:val="(2017) 22"/>
    <w:docVar w:name="LW_REF.INTERNE" w:val="&lt;UNUSED&gt;"/>
    <w:docVar w:name="LW_SUPERTITRE" w:val="&lt;UNUSED&gt;"/>
    <w:docVar w:name="LW_TITRE.OBJ.CP" w:val="&lt;UNUSED&gt;"/>
    <w:docVar w:name="LW_TYPE.DOC.CP" w:val="ANNEXES_x000b_"/>
    <w:docVar w:name="LW_TYPEACTEPRINCIPAL.CP" w:val="RAPPORT DE LA COMMISSION AU PARLEMENT EUROPÉEN, AU CONSEIL, AU COMITÉ ÉCONOMIQUE ET SOCIAL EUROPÉEN ET AU_x000b_COMITÉ DES RÉGIONS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noProo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noProof/>
      <w:sz w:val="24"/>
      <w:szCs w:val="24"/>
      <w:lang w:eastAsia="fr-FR"/>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noProof/>
      <w:sz w:val="24"/>
      <w:szCs w:val="24"/>
      <w:lang w:eastAsia="fr-FR"/>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noProof w:val="0"/>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noProof w:val="0"/>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before="0"/>
    </w:pPr>
    <w:rPr>
      <w:noProof w:val="0"/>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noProof/>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noProo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noProof/>
      <w:sz w:val="24"/>
      <w:szCs w:val="24"/>
      <w:lang w:eastAsia="fr-FR"/>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noProof/>
      <w:sz w:val="24"/>
      <w:szCs w:val="24"/>
      <w:lang w:eastAsia="fr-FR"/>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noProof w:val="0"/>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noProof w:val="0"/>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before="0"/>
    </w:pPr>
    <w:rPr>
      <w:noProof w:val="0"/>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noProof/>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874</Words>
  <Characters>4956</Characters>
  <Application>Microsoft Office Word</Application>
  <DocSecurity>0</DocSecurity>
  <Lines>450</Lines>
  <Paragraphs>153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LAUBACH Liliane (PMO)</dc:creator>
  <cp:lastModifiedBy>DIGIT/A3</cp:lastModifiedBy>
  <cp:revision>15</cp:revision>
  <dcterms:created xsi:type="dcterms:W3CDTF">2016-12-12T13:07:00Z</dcterms:created>
  <dcterms:modified xsi:type="dcterms:W3CDTF">2017-01-20T08:52:00Z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2</vt:lpwstr>
  </property>
  <property fmtid="{D5CDD505-2E9C-101B-9397-08002B2CF9AE}" pid="4" name="Part">
    <vt:lpwstr>&lt;UNUSED&gt;</vt:lpwstr>
  </property>
  <property fmtid="{D5CDD505-2E9C-101B-9397-08002B2CF9AE}" pid="5" name="Total parts">
    <vt:lpwstr>&lt;UNUSED&gt;</vt:lpwstr>
  </property>
  <property fmtid="{D5CDD505-2E9C-101B-9397-08002B2CF9AE}" pid="6" name="DocStatus">
    <vt:lpwstr>Green</vt:lpwstr>
  </property>
  <property fmtid="{D5CDD505-2E9C-101B-9397-08002B2CF9AE}" pid="7" name="Classification">
    <vt:lpwstr> </vt:lpwstr>
  </property>
</Properties>
</file>