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4AF6BA4F10948C6A9BA23C8296449C7" style="width:450.75pt;height:409.5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Обобщена оценка на въздействието</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Оценка на въздействието на предложението за въвеждане на проверка за пропорционалност за регулирането на професии</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А. Необходимост от действие</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c>
          <w:tcPr>
            <w:tcW w:w="10188" w:type="dxa"/>
            <w:tcBorders>
              <w:bottom w:val="single" w:sz="4" w:space="0" w:color="auto"/>
            </w:tcBorders>
            <w:shd w:val="clear" w:color="auto" w:fill="auto"/>
          </w:tcPr>
          <w:p>
            <w:pPr>
              <w:jc w:val="both"/>
              <w:rPr>
                <w:rFonts w:ascii="Tahoma" w:hAnsi="Tahoma" w:cs="Tahoma"/>
                <w:noProof/>
                <w:sz w:val="22"/>
                <w:szCs w:val="22"/>
              </w:rPr>
            </w:pPr>
            <w:r>
              <w:rPr>
                <w:rFonts w:ascii="Tahoma" w:hAnsi="Tahoma"/>
                <w:noProof/>
                <w:sz w:val="22"/>
              </w:rPr>
              <w:t xml:space="preserve">При наличието на около 5600 регулирани професии в ЕС, които засягат пряко голяма част от европейската работна сила, непропорционалното регулиране представлява значителна пречка за единния пазар на услуги и води до широкомащабни отрицателни икономически ефекти. Регулаторните решения често се вземат в отсъствието на задълбочен анализ или прозрачни процедури. Съгласно Директивата относно професионалните квалификации държавите членки са длъжни да оценят пропорционалността на своите регулации, но не се предвижда общ набор от критерии за провеждане на такава оценка или за предотвратяване на приемането на непропорционални мерки.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jc w:val="both"/>
              <w:rPr>
                <w:rFonts w:ascii="Tahoma" w:hAnsi="Tahoma" w:cs="Tahoma"/>
                <w:bCs/>
                <w:noProof/>
                <w:sz w:val="22"/>
                <w:szCs w:val="22"/>
              </w:rPr>
            </w:pPr>
            <w:r>
              <w:rPr>
                <w:rFonts w:ascii="Tahoma" w:hAnsi="Tahoma"/>
                <w:noProof/>
                <w:sz w:val="22"/>
              </w:rPr>
              <w:t>Целта е да се пояснят минималните критерии чрез създаване на прозрачна и предвидима рамка за държавите членки за целите на оценката на пропорционалността преди приемането на нова регулация. Инициативата е насочена към предотвратяване на приемането на непропорционални мерки чрез:</w:t>
            </w:r>
          </w:p>
          <w:p>
            <w:pPr>
              <w:numPr>
                <w:ilvl w:val="0"/>
                <w:numId w:val="1"/>
              </w:numPr>
              <w:jc w:val="both"/>
              <w:rPr>
                <w:rFonts w:ascii="Tahoma" w:hAnsi="Tahoma" w:cs="Tahoma"/>
                <w:bCs/>
                <w:noProof/>
                <w:sz w:val="22"/>
                <w:szCs w:val="22"/>
              </w:rPr>
            </w:pPr>
            <w:r>
              <w:rPr>
                <w:rFonts w:ascii="Tahoma" w:hAnsi="Tahoma"/>
                <w:noProof/>
                <w:sz w:val="22"/>
              </w:rPr>
              <w:t>повишаване на обективността, всеобхватността и съпоставимостта на проверките на пропорционалността;</w:t>
            </w:r>
          </w:p>
          <w:p>
            <w:pPr>
              <w:numPr>
                <w:ilvl w:val="0"/>
                <w:numId w:val="1"/>
              </w:numPr>
              <w:jc w:val="both"/>
              <w:rPr>
                <w:rFonts w:ascii="Tahoma" w:hAnsi="Tahoma" w:cs="Tahoma"/>
                <w:bCs/>
                <w:noProof/>
                <w:sz w:val="22"/>
                <w:szCs w:val="22"/>
              </w:rPr>
            </w:pPr>
            <w:r>
              <w:rPr>
                <w:rFonts w:ascii="Tahoma" w:hAnsi="Tahoma"/>
                <w:noProof/>
                <w:sz w:val="22"/>
              </w:rPr>
              <w:t xml:space="preserve">гарантиране, че правилата се прилагат еднакво от всички национални органи; </w:t>
            </w:r>
          </w:p>
          <w:p>
            <w:pPr>
              <w:numPr>
                <w:ilvl w:val="0"/>
                <w:numId w:val="1"/>
              </w:numPr>
              <w:jc w:val="both"/>
              <w:rPr>
                <w:rFonts w:ascii="Tahoma" w:hAnsi="Tahoma" w:cs="Tahoma"/>
                <w:bCs/>
                <w:noProof/>
                <w:sz w:val="22"/>
                <w:szCs w:val="22"/>
              </w:rPr>
            </w:pPr>
            <w:r>
              <w:rPr>
                <w:rFonts w:ascii="Tahoma" w:hAnsi="Tahoma"/>
                <w:noProof/>
                <w:sz w:val="22"/>
              </w:rPr>
              <w:t xml:space="preserve">изискване на категорични доказателства и участие на заинтересованите страни в създаването на политики; </w:t>
            </w:r>
          </w:p>
          <w:p>
            <w:pPr>
              <w:numPr>
                <w:ilvl w:val="0"/>
                <w:numId w:val="1"/>
              </w:numPr>
              <w:jc w:val="both"/>
              <w:rPr>
                <w:rFonts w:ascii="Tahoma" w:hAnsi="Tahoma" w:cs="Tahoma"/>
                <w:bCs/>
                <w:noProof/>
                <w:sz w:val="22"/>
                <w:szCs w:val="22"/>
              </w:rPr>
            </w:pPr>
            <w:r>
              <w:rPr>
                <w:rFonts w:ascii="Tahoma" w:hAnsi="Tahoma"/>
                <w:noProof/>
                <w:sz w:val="22"/>
              </w:rPr>
              <w:t>стимулиране на иновациите, като същевременно се гарантира, че правилата са осъвременени на базата на периодични прегледи;</w:t>
            </w:r>
          </w:p>
          <w:p>
            <w:pPr>
              <w:jc w:val="both"/>
              <w:rPr>
                <w:rFonts w:ascii="Tahoma" w:hAnsi="Tahoma" w:cs="Tahoma"/>
                <w:noProof/>
                <w:sz w:val="22"/>
                <w:szCs w:val="22"/>
              </w:rPr>
            </w:pPr>
            <w:r>
              <w:rPr>
                <w:rFonts w:ascii="Tahoma" w:hAnsi="Tahoma"/>
                <w:noProof/>
                <w:sz w:val="22"/>
              </w:rPr>
              <w:t xml:space="preserve">           създаване на условия за публично оповестяване на анализа, като така се позволява извършването на партньорски проверки.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действията на равнището на ЕС?</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2"/>
                <w:szCs w:val="22"/>
              </w:rPr>
            </w:pPr>
            <w:r>
              <w:rPr>
                <w:rFonts w:ascii="Tahoma" w:hAnsi="Tahoma"/>
                <w:noProof/>
                <w:sz w:val="22"/>
              </w:rPr>
              <w:t xml:space="preserve">Настоящият неравномерен контрол на регулирането на професиите се отразява отрицателно на единния пазар, предоставянето на услуги и на мобилността на специалистите. Самостоятелните действия на държавите членки няма да гарантират съгласувана правна рамка на ЕС и няма да решат съществуващите проблеми, пред които са изправени националните органи. Целите на действието биха могли да бъдат постигнати с по-голям успех на равнището на ЕС поради неговия мащаб и ефекти чрез въвеждането на общ и сравним европейски механизъм за оценка. С оглед на честите промени в регулирането на професиите, без предприемане на действие на ЕС съществува риск от увеличаване на разликата между държавите, които вече прилагат добри регулаторни практики, и държавите, които не го правят, като така ще се задълбочат несъответствията в качеството на регулирането. Това в крайна сметка оказва отрицателен ефект върху достъпа до съответната професия и има отрицателни последици за мобилността и икономическите резултати.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 са разгледани? Има ли предпочитан вариант? Защо?</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2"/>
                <w:szCs w:val="22"/>
              </w:rPr>
            </w:pPr>
            <w:r>
              <w:rPr>
                <w:rFonts w:ascii="Tahoma" w:hAnsi="Tahoma"/>
                <w:noProof/>
                <w:sz w:val="22"/>
              </w:rPr>
              <w:t>Бяха разгледани 3 варианта на политиката: 1) Насоките и задълбоченият обмен на информация между органите биха могли да подпомогнат държавите членки при провеждането на проверки за пропорционалност, но въздействието им ще бъде твърде ограничено. Въвеждането на общоевропейска проверка за пропорционалност за регулираните професии може да включва няколко варианта. Биха могли да се определят минимални критерии за извършване на проверки на пропорционалността, основани на и допълващи съдебната практика, и да се осигури прозрачност в оценките на държавите членки посредством обвързващ инструмент (2а) или чрез препоръка (2б). Освен това биха могли да се включат допълнителни процедурни аспекти, например обществени консултации и периодични прегледи, за да се гарантира, че проверките на пропорционалността се извършват по обективен и независим начин, така че да се гарантират всеобхватни оценки във всички сектори на дейност (в това отношение има два подварианта — 3а, директива на ЕС, и 3б, препоръка). Макар че вариантите не се изключват взаимно, предпочитаният вариант е 3а, тъй като той ще позволи да се намерят най-адекватни решения на проблемите на всички равнища на регулиране (предварителен ефект) и да се генерират най-много ползи.</w:t>
            </w:r>
          </w:p>
          <w:p>
            <w:pPr>
              <w:spacing w:before="60"/>
              <w:jc w:val="both"/>
              <w:rPr>
                <w:rFonts w:ascii="Tahoma" w:hAnsi="Tahoma" w:cs="Tahoma"/>
                <w:noProof/>
                <w:sz w:val="22"/>
                <w:szCs w:val="22"/>
              </w:rPr>
            </w:pP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tc>
          <w:tcPr>
            <w:tcW w:w="10188" w:type="dxa"/>
            <w:shd w:val="clear" w:color="auto" w:fill="auto"/>
          </w:tcPr>
          <w:p>
            <w:pPr>
              <w:jc w:val="both"/>
              <w:rPr>
                <w:rFonts w:ascii="Tahoma" w:hAnsi="Tahoma" w:cs="Tahoma"/>
                <w:noProof/>
                <w:sz w:val="22"/>
                <w:szCs w:val="22"/>
              </w:rPr>
            </w:pPr>
            <w:r>
              <w:rPr>
                <w:rFonts w:ascii="Tahoma" w:hAnsi="Tahoma"/>
                <w:noProof/>
                <w:sz w:val="22"/>
              </w:rPr>
              <w:t>Сред заинтересованите страни е налице широк консенсус по това, че следва да се предприеме действие на равнището на ЕС, за да се внесе яснота и да се въведе общ подход по отношение на проверките за пропорционалност, както и широка подкрепа за това инструментът да бъде задължителен.</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Tahoma" w:hAnsi="Tahoma" w:cs="Tahoma"/>
                <w:i/>
                <w:noProof/>
                <w:sz w:val="22"/>
                <w:szCs w:val="22"/>
              </w:rPr>
            </w:pPr>
            <w:r>
              <w:rPr>
                <w:rFonts w:ascii="Tahoma" w:hAnsi="Tahoma"/>
                <w:noProof/>
                <w:sz w:val="22"/>
              </w:rPr>
              <w:t>Ползите за специалистите, потребителите и публичните администрации се изразяват в осигуряване на по-добро регулиране, като не се допуска приемането на непропорционални правила. Директивата ще гарантира, че държавите членки извършват проверката за пропорционалност по еднакъв начин, така че да се избегне разпокъсаност на единния пазар. Вариантът, имаш обвързващ характер, създава гаранции за обективен предварителен анализ, яснота и споделяне на информация с цел насърчаване на надеждни и всеобхватни проверки, които доказват устойчивостта на окончателните решения. С предпочитания вариант ще се повиши доверието и ще се стимулират иновациите и технологичните развития чрез редовни прегледи на националното регулиране на професиите.</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spacing w:after="200" w:line="276" w:lineRule="auto"/>
              <w:jc w:val="both"/>
              <w:rPr>
                <w:rFonts w:ascii="Tahoma" w:eastAsiaTheme="minorHAnsi" w:hAnsi="Tahoma" w:cs="Tahoma"/>
                <w:noProof/>
                <w:sz w:val="22"/>
                <w:szCs w:val="22"/>
              </w:rPr>
            </w:pPr>
            <w:r>
              <w:rPr>
                <w:rFonts w:ascii="Tahoma" w:eastAsiaTheme="minorHAnsi" w:hAnsi="Tahoma"/>
                <w:noProof/>
                <w:sz w:val="22"/>
              </w:rPr>
              <w:t>Разходите във връзка с оценките на пропорционалността като цяло произтичат най-вече от досегашните задължения, определени в Директивата относно професионалните квалификации и съдебната практика, и поради това не представляват нови допълнителни административни разходи. При все това разширеният обхват с включването на процедурни аспекти като обществени консултации може да доведе до повишаване на разходите и натовареността на публичните органи. От друга страна предпочитаният вариант ще окаже положително въздействие върху единния пазар за професионални услуги и ще спомогне да се избегнат непропорционални регулаторни пречки във всички сектори на дейност по последователен начин. Очаква се той да насърчи социалната и икономическата интеграция, особено за младите квалифицирани работници.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 ще бъдат засегнати предприятията, малките и средните предприятия и микропредприятията? </w:t>
            </w:r>
          </w:p>
        </w:tc>
      </w:tr>
      <w:tr>
        <w:tc>
          <w:tcPr>
            <w:tcW w:w="10188" w:type="dxa"/>
            <w:tcBorders>
              <w:bottom w:val="single" w:sz="4" w:space="0" w:color="auto"/>
            </w:tcBorders>
            <w:shd w:val="clear" w:color="auto" w:fill="auto"/>
          </w:tcPr>
          <w:p>
            <w:pPr>
              <w:spacing w:before="60" w:after="60"/>
              <w:jc w:val="both"/>
              <w:rPr>
                <w:rFonts w:ascii="Tahoma" w:hAnsi="Tahoma" w:cs="Tahoma"/>
                <w:i/>
                <w:noProof/>
                <w:sz w:val="22"/>
                <w:szCs w:val="22"/>
              </w:rPr>
            </w:pPr>
            <w:r>
              <w:rPr>
                <w:rFonts w:ascii="Tahoma" w:hAnsi="Tahoma"/>
                <w:noProof/>
                <w:sz w:val="22"/>
              </w:rPr>
              <w:t xml:space="preserve">Вариантът не води до никакви задължения за специалистите и бизнеса. Напротив, предотвратяването на ненужна тежест следва да бъде от полза за тях.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отражение върху националните бюджети и администрации?</w:t>
            </w:r>
          </w:p>
        </w:tc>
      </w:tr>
      <w:tr>
        <w:tc>
          <w:tcPr>
            <w:tcW w:w="10188" w:type="dxa"/>
            <w:shd w:val="clear" w:color="auto" w:fill="auto"/>
          </w:tcPr>
          <w:p>
            <w:pPr>
              <w:jc w:val="both"/>
              <w:rPr>
                <w:rFonts w:ascii="Tahoma" w:hAnsi="Tahoma" w:cs="Tahoma"/>
                <w:noProof/>
                <w:sz w:val="22"/>
                <w:szCs w:val="22"/>
              </w:rPr>
            </w:pPr>
            <w:r>
              <w:rPr>
                <w:rFonts w:ascii="Tahoma" w:hAnsi="Tahoma"/>
                <w:noProof/>
                <w:sz w:val="22"/>
              </w:rPr>
              <w:t>Ще е налице ограничено по размер увеличение на административните разходи както за националните администрации, така и за Комисията, но се очаква този ефект до голяма степен да се компенсира от по-ниските разходи за съдебни производства по повод на неспазване на принципа на пропорционалност.</w:t>
            </w:r>
          </w:p>
          <w:p>
            <w:pPr>
              <w:jc w:val="both"/>
              <w:rPr>
                <w:rFonts w:ascii="Tahoma" w:hAnsi="Tahoma" w:cs="Tahoma"/>
                <w:noProof/>
                <w:sz w:val="22"/>
                <w:szCs w:val="22"/>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значими въздействия?</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2"/>
                <w:szCs w:val="22"/>
              </w:rPr>
            </w:pPr>
            <w:r>
              <w:rPr>
                <w:rFonts w:ascii="Tahoma" w:hAnsi="Tahoma"/>
                <w:noProof/>
                <w:color w:val="000000" w:themeColor="text1"/>
                <w:sz w:val="22"/>
              </w:rPr>
              <w:t>Не се очакват други значими въздействия. Напълно се зачитат основните права.</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състои следващият преглед на политиката? </w:t>
            </w:r>
          </w:p>
        </w:tc>
      </w:tr>
      <w:tr>
        <w:tc>
          <w:tcPr>
            <w:tcW w:w="10188" w:type="dxa"/>
            <w:tcBorders>
              <w:bottom w:val="single" w:sz="4" w:space="0" w:color="auto"/>
            </w:tcBorders>
            <w:shd w:val="clear" w:color="auto" w:fill="auto"/>
          </w:tcPr>
          <w:p>
            <w:pPr>
              <w:jc w:val="both"/>
              <w:rPr>
                <w:rFonts w:ascii="Tahoma" w:hAnsi="Tahoma" w:cs="Tahoma"/>
                <w:noProof/>
                <w:sz w:val="22"/>
                <w:szCs w:val="22"/>
              </w:rPr>
            </w:pPr>
            <w:r>
              <w:rPr>
                <w:rFonts w:ascii="Tahoma" w:hAnsi="Tahoma"/>
                <w:noProof/>
                <w:sz w:val="22"/>
              </w:rPr>
              <w:t>Комисията ще докладва редовно относно изпълнението на проверката на национално равнище и в рамките на 5 години от приемането ще бъде извършена оценка.</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D3C5F"/>
    <w:multiLevelType w:val="hybridMultilevel"/>
    <w:tmpl w:val="AF54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44AF6BA4F10948C6A9BA23C8296449C7"/>
    <w:docVar w:name="LW_CROSSREFERENCE" w:val="{COM(2016) 822 final}_x000b_{SWD(2016) 463 final}"/>
    <w:docVar w:name="LW_DocType" w:val="NORMAL"/>
    <w:docVar w:name="LW_EMISSION" w:val="10.1.2017"/>
    <w:docVar w:name="LW_EMISSION_ISODATE" w:val="2017-01-10"/>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8?\u1086?\u1074?\u1077?\u1088?\u1082?\u1072? \u1079?\u1072? \u1087?\u1088?\u1086?\u1087?\u1086?\u1088?\u1094?\u1080?\u1086?\u1085?\u1072?\u1083?\u1085?\u1086?\u1089?\u1090? \u1087?\u1088?\u1077?\u1076?\u1080? \u1087?\u1088?\u1080?\u1077?\u1084?\u1072?\u1085?\u1077?\u1090?\u1086? \u1085?\u1072? \u1085?\u1086?\u1074?\u1086? \u1088?\u1077?\u1075?\u1091?\u1083?\u1080?\u1088?\u1072?\u1085?\u1077? \u1085?\u1072? \u1087?\u1088?\u1086?\u1092?\u1077?\u1089?\u1080?\u1080?"/>
    <w:docVar w:name="LW_PART_NBR" w:val="1"/>
    <w:docVar w:name="LW_PART_NBR_TOTAL" w:val="1"/>
    <w:docVar w:name="LW_REF.INST.NEW" w:val="SWD"/>
    <w:docVar w:name="LW_REF.INST.NEW_ADOPTED" w:val="final"/>
    <w:docVar w:name="LW_REF.INST.NEW_TEXT" w:val="(2016) 462"/>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87?\u1088?\u1077?\u1076?\u1083?\u1086?\u1078?\u1077?\u1085?\u1080?\u1077? \u1079?\u1072? \u1044?\u1080?\u1088?\u1077?\u1082?\u1090?\u1080?\u1074?\u1072?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openxmlformats.org/package/2006/metadata/core-properties"/>
    <ds:schemaRef ds:uri="http://purl.org/dc/elements/1.1/"/>
    <ds:schemaRef ds:uri="http://purl.org/dc/terms/"/>
    <ds:schemaRef ds:uri="http://schemas.microsoft.com/sharepoint/v3"/>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1000</Words>
  <Characters>6204</Characters>
  <Application>Microsoft Office Word</Application>
  <DocSecurity>0</DocSecurity>
  <Lines>110</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2016-12-06T11:11:00Z</dcterms:created>
  <dcterms:modified xsi:type="dcterms:W3CDTF">2017-01-19T09:42:00Z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0x010100AB6DCF41F10D214DBDDF7E1F5EB8F7C1</vt:lpwstr>
  </property>
  <property fmtid="{D5CDD505-2E9C-101B-9397-08002B2CF9AE}" pid="11" name="TemplateUrl">
    <vt:lpwstr/>
  </property>
</Properties>
</file>