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3024744E0004CF59A0FCCEA0F91729D" style="width:450.75pt;height:393.7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Споразумението за икономическо партньорство, политическа координация и сътрудничество между Европейската общност и нейните държави членки, от една страна, и Мексиканските съединени щати, от друга страна, беше подписано в Брюксел на 8 декември 1997 г. Разпоредбите за либерализиране на търговията са изложени в Решение № 2/2000 на Съвместния съвет ЕО — Мексико, създаден по силата на Споразумението (наричано по-долу „Решение № 2/2000“).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приложение III към Решение № 2/2000 на Съвместния съвет ЕО — Мексико, отнасящо се до определението на понятието „продукти с произход“ и методите за административно сътрудничество, са установени правилата за произход на продуктите, произхождащи от територията на страните по Споразумението.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Европейският съюз е в митнически съюз с Княжество Андора за продуктите, включени в глави 25—97 от Хармонизираната система, и с Република Сан Марино — за всички продукти. По силата на този митнически съюз, когато се въвеждат в Андора и в Сан Марино, стоките с произход от Мексико се ползват от преференциално третиране съгласно Споразумението между ЕС и Мексико.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Беше постигнато споразумение, че Мексико ще започне да приема продуктите, включени в глави 25—97 от Хармонизираната система и с произход от Княжество Андора, както и продуктите с произход от Република Сан Марино, като продукти с произход от ЕС по смисъла на приложение III към Решение № 2/2000.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Беше постигнато споразумение с Мексико, че Решение № 1/2017 на Съвместния комитет ЕС — Мексико следва да бъде изменено с цел да бъдат удължени безсрочно специфичните правила за някои химични продукти от позиции 2914 и 2915 по Хармонизираната система, съдържащи се в посоченото решение. Тези действия са в съответствие с подхода, следван при текущото осъвременяване на Споразумението между ЕС и Мексико по отношение на специфичните правила за произход на продуктите.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споразуменията за свободна търговия между Европейския съюз и трети държави на Андора и Сан Марино се предоставя реципрочност, която позволява продуктите с произход от посочените две държави да бъдат третирани като продукти с произход от Европейския съюз. Тази реципрочност вече ще се прилага и по отношение на Мексико.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Тъй като предложението се отнася до търговската политика на Европейския съюз, подходящото правно основание е член 207, параграф 4, първа алинея във връзка с член 218, параграф 9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Предложението е от изключителната компетентност на Европейския съюз. Следователно принципът на субсидиарност не се прилага.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не надхвърля рамките на необходимото или целесъобразното за постигането на очакваните резултати.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приложимо. Настоящото предложение въвежда изменения с цел актуализиране на предишен текст.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въвежда изменения в действащо двустранно търговско споразумение. Няма други варианти за разглеждане.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Потенциалното въздействие върху бюджета е загуба на собствените ресурси от мита в размер на около 5 милиона евро годишно.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Няма.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2017/0020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приета от името на Европейския съюз в рамките на Съвместния комитет ЕС — Мексико във връзка с измененията на приложение III към Решение № 2/2000 на Съвместния съвет ЕО — Мексико от 23 март 2000 г. по отношение на определението на понятието „продукти с произход“ и методите за административно сътрудничество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във връзка с член 218, параграф 9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приложение III към Решение № 2/2000 на Съвместния съвет ЕО — Мексико от 23 март 2000 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са установени правилата за произход на продуктите, произхождащи от територията на страните по Споразумението. Член 38 позволява на Съвместния комитет ЕС — Мексико да изменя приложение III към Решение № 2/2000.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Европейският съюз е в  митнически съюз с Княжество Андора за продуктите, включени в глави 25—97 от Хармонизираната система, и с Република Сан Марино за глави 1—97 от Хармонизираната система. Този митнически съюз позволява стоките с произход от Мексико да се ползват от преференциално третиране съгласно Решение № 2/2000, когато се изнасят и за Андора и Сан Марино.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Беше постигнато споразумение, че Мексико ще приема продуктите, включени в глави 25—97 от Хармонизираната система и с произход от Княжество Андора, както и продуктите, включени в глави 1—97 от Хармонизираната система и с произход от Република Сан Марино, като продукти с произход от ЕС по смисъла на приложение III към Решение № 2/2000.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Към приложение III към Решение № 2/2000 следва да бъде добавено ново допълнение VI, което да позволи при внос от Мексико посочените продукти да се третират като продукти с произход от Съюза и в което да се установят разпоредби относно прилагането на приложение III към същите продукти.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съвместна декларация V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към Решение № 2/2000 на Съвместния съвет ЕО — Мексико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, създаден по силата на Споразумението за икономическо партньорство, политическа координация и сътрудничество между Европейската </w:t>
      </w:r>
      <w:r>
        <w:rPr>
          <w:noProof/>
        </w:rPr>
        <w:lastRenderedPageBreak/>
        <w:t>общност и нейните държави членки, от една страна, и Мексиканските съединени щати, от друга страна, подписано в Брюксел на 8 декември 1997 г.</w:t>
      </w:r>
      <w:r>
        <w:rPr>
          <w:rStyle w:val="FootnoteReference"/>
          <w:noProof/>
        </w:rPr>
        <w:footnoteReference w:id="5"/>
      </w:r>
      <w:r>
        <w:rPr>
          <w:noProof/>
        </w:rPr>
        <w:t>, се предвижда, че Съвместният комитет ЕС — Мексико, създаден с посоченото споразумение, трябва да преразгледа необходимостта от удължаване на срока 30 юни 2003 г. за прилагане на правилата за произход, съдържащи се в бележки 2 и 3 от допълнение II, буква а) към приложение III към Решение № 2/2000. Това преразглеждане се отнася до специфичните за продуктите правила в допълнение II към приложение III към Решение № 2/2000 за някои химични продукти от позиции 2914 и 2915 по Хармонизираната система.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На XX/XX/2017 г. Съвместният комитет прие Решение № 1/2017, с което за четвърти път се удължава срокът на прилагане на специфичните правила за произход за някои химични продукти от позиции 2914 и 2915 по Хармонизираната система. Решение № 1/2017 се прилага до 31 декември 2019 г.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Счита се за уместно прилагането на специфичните правила за произход, установени в приложение I към Решение № 1/2017, да се удължи безсрочно, тъй като те са в съответствие с принципите за осъвременяване на Споразумението между Мексико и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1. Позицията, която да бъде приета от името на Европейския съюз в рамките на Съвместния комитет Европейски съвет — Мексико във връзка с измененията на Решение № 2/2000 на Съвместния съвет ЕО — Мексико и с Решение № 1/2017 на Съвместния комитет ЕС — Мексико, се основава на проекта на решение на Съвместния комитет Европейски съюз — Мексико в приложение към настоящото решение.</w:t>
      </w:r>
    </w:p>
    <w:p>
      <w:pPr>
        <w:rPr>
          <w:noProof/>
        </w:rPr>
      </w:pPr>
      <w:r>
        <w:rPr>
          <w:noProof/>
        </w:rPr>
        <w:t>2. Представителите на Съюза в Съвместния комитет Европейски съюз — Мексико могат да одобрят незначителни промени в проекта на решение на Съвместния комитет Европейски съюз — Мексико, посочен в параграф 1, без да е необходимо допълнително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 xml:space="preserve">След приемането му Решението на Съвместния комитет Европейски съюз — Мексико във връзка с измененията на приложение III към Решение № 2/2000 на Съвместния съвет ЕО — Мексико от 23 март 2000 г.,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ab/>
        <w:t>Председател</w:t>
      </w:r>
    </w:p>
    <w:p>
      <w:pPr>
        <w:pStyle w:val="Fichefinanciretitre"/>
        <w:rPr>
          <w:noProof/>
        </w:rPr>
      </w:pPr>
      <w:r>
        <w:rPr>
          <w:noProof/>
        </w:rPr>
        <w:lastRenderedPageBreak/>
        <w:t>ЗАКОНОДАТЕЛНА ФИНАНСОВА ОБОСНОВКА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РАМКА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 xml:space="preserve">Наименование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Съответни области на политиката в структурата на УД/БД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 xml:space="preserve">Естество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 xml:space="preserve">Цели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 xml:space="preserve">Мотиви за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 xml:space="preserve">Срок на действие и финансово отражение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1.7.</w:t>
      </w:r>
      <w:r>
        <w:rPr>
          <w:noProof/>
        </w:rPr>
        <w:tab/>
      </w:r>
      <w:r>
        <w:rPr>
          <w:b w:val="0"/>
          <w:noProof/>
        </w:rPr>
        <w:t xml:space="preserve">Предвидени методи на управление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МЕРКИ ЗА УПРАВЛЕНИЕ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 xml:space="preserve">Правила за мониторинг и докладване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 xml:space="preserve">Система за управление и контрол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 xml:space="preserve">Мерки за предотвратяване на измами и нередности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ОЧАКВАНО ФИНАНСОВО ОТРАЖЕНИЕ НА ПРЕДЛОЖЕНИЕТО/ИНИЦИАТИВАТА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3.1.</w:t>
      </w:r>
      <w:r>
        <w:rPr>
          <w:noProof/>
        </w:rPr>
        <w:tab/>
      </w:r>
      <w:r>
        <w:rPr>
          <w:b w:val="0"/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ManualHeading2"/>
        <w:rPr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>Очаквано отражение върху разходите</w:t>
      </w:r>
      <w:r>
        <w:rPr>
          <w:noProof/>
        </w:rPr>
        <w:t xml:space="preserve"> </w:t>
      </w:r>
    </w:p>
    <w:p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Обобщение на очакваното отражение върху разходите </w:t>
      </w:r>
    </w:p>
    <w:p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 xml:space="preserve">Очаквано отражение върху бюджетните кредити за оперативни разходи </w:t>
      </w:r>
    </w:p>
    <w:p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Очаквано отражение върху бюджетните кредити за административни разходи</w:t>
      </w:r>
    </w:p>
    <w:p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Съвместимост с настоящата многогодишна финансова рамка</w:t>
      </w:r>
    </w:p>
    <w:p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 xml:space="preserve">Участие на трети страни във финансирането </w:t>
      </w:r>
    </w:p>
    <w:p>
      <w:pPr>
        <w:pStyle w:val="ManualHeading2"/>
        <w:jc w:val="left"/>
        <w:rPr>
          <w:b w:val="0"/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Очаквано отражение върху приходите</w:t>
      </w:r>
    </w:p>
    <w:p>
      <w:pPr>
        <w:jc w:val="center"/>
        <w:rPr>
          <w:noProof/>
        </w:rPr>
      </w:pPr>
      <w:r>
        <w:rPr>
          <w:b/>
          <w:noProof/>
          <w:u w:val="single"/>
        </w:rPr>
        <w:lastRenderedPageBreak/>
        <w:t>ЗАКОНОДАТЕЛНА ФИНАНСОВА ОБОСНОВКА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 xml:space="preserve">РАМКА НА ПРЕДЛОЖЕНИЕТО/ИНИЦИАТИВАТА </w:t>
      </w:r>
    </w:p>
    <w:p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 xml:space="preserve">Наименование на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Решение на Съвета относно позицията, която да бъде приета от името на Европейския съюз в рамките на Съвместния комитет ЕС — Мексико във връзка с измененията на приложение III към Решение № 2/2000 на Съвместния съвет ЕО — Мексико от 23 март 2000 г. относно определението на понятието „продукти с произход“ и методите на административно сътрудничество</w:t>
      </w:r>
    </w:p>
    <w:p>
      <w:pPr>
        <w:pStyle w:val="ManualHeading2"/>
        <w:rPr>
          <w:noProof/>
          <w:szCs w:val="24"/>
        </w:rPr>
      </w:pPr>
      <w:r>
        <w:t>1.2.</w:t>
      </w:r>
      <w:r>
        <w:tab/>
      </w:r>
      <w:r>
        <w:rPr>
          <w:noProof/>
        </w:rPr>
        <w:t>Съответни области на политиката в структурата на УД/БД</w:t>
      </w:r>
      <w:r>
        <w:rPr>
          <w:rStyle w:val="FootnoteReference"/>
          <w:noProof/>
        </w:rPr>
        <w:footnoteReference w:id="6"/>
      </w:r>
      <w:r>
        <w:rPr>
          <w:i/>
          <w:noProof/>
        </w:rPr>
        <w:t xml:space="preserve">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Приходен бюджетен ред: глава 12 (Мита и други задължения, посочени в член 2, параграф 1, буква а) от Решение 2007/436/ЕО, Евратом)</w:t>
      </w:r>
    </w:p>
    <w:p>
      <w:pPr>
        <w:pStyle w:val="ManualHeading2"/>
        <w:rPr>
          <w:bCs/>
          <w:noProof/>
          <w:szCs w:val="24"/>
        </w:rPr>
      </w:pPr>
      <w:r>
        <w:t>1.3.</w:t>
      </w:r>
      <w:r>
        <w:tab/>
      </w:r>
      <w:r>
        <w:rPr>
          <w:noProof/>
        </w:rPr>
        <w:t xml:space="preserve">Естество на предложението/инициативата </w:t>
      </w:r>
    </w:p>
    <w:p>
      <w:pPr>
        <w:pStyle w:val="Text1"/>
        <w:rPr>
          <w:b/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b/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нова дейност</w:t>
      </w:r>
      <w:r>
        <w:rPr>
          <w:b/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нова дейност след пилотен проект/подготвителна дейност</w:t>
      </w:r>
      <w:r>
        <w:rPr>
          <w:rStyle w:val="FootnoteReference"/>
          <w:b/>
          <w:noProof/>
        </w:rPr>
        <w:footnoteReference w:id="7"/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FD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продължаване на съществуваща дейност</w:t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дейност, пренасочена към нова дейност</w:t>
      </w:r>
      <w:r>
        <w:rPr>
          <w:noProof/>
        </w:rPr>
        <w:t xml:space="preserve"> </w:t>
      </w:r>
    </w:p>
    <w:p>
      <w:pPr>
        <w:pStyle w:val="ManualHeading2"/>
        <w:rPr>
          <w:bCs/>
          <w:noProof/>
          <w:szCs w:val="24"/>
        </w:rPr>
      </w:pPr>
      <w:r>
        <w:t>1.4.</w:t>
      </w:r>
      <w:r>
        <w:tab/>
      </w:r>
      <w:r>
        <w:rPr>
          <w:noProof/>
        </w:rPr>
        <w:t>Цели</w:t>
      </w:r>
    </w:p>
    <w:p>
      <w:pPr>
        <w:pStyle w:val="ManualHeading3"/>
        <w:rPr>
          <w:noProof/>
        </w:rPr>
      </w:pPr>
      <w:r>
        <w:t>1.4.1.</w:t>
      </w:r>
      <w:r>
        <w:tab/>
      </w:r>
      <w:r>
        <w:rPr>
          <w:noProof/>
        </w:rPr>
        <w:t xml:space="preserve">Многогодишни стратегически цели на Комисията, за чието изпълнение е предназначено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3"/>
        <w:rPr>
          <w:bCs/>
          <w:noProof/>
          <w:szCs w:val="24"/>
        </w:rPr>
      </w:pPr>
      <w:r>
        <w:t>1.4.2.</w:t>
      </w:r>
      <w:r>
        <w:tab/>
      </w:r>
      <w:r>
        <w:rPr>
          <w:noProof/>
        </w:rPr>
        <w:t xml:space="preserve">Конкретни цели и съответни дейности във връзка с УД/БД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Конкретна цел №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Съответни дейности във връзка с УД/БД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Мита</w:t>
      </w:r>
    </w:p>
    <w:p>
      <w:pPr>
        <w:pStyle w:val="ManualHeading3"/>
        <w:rPr>
          <w:bCs/>
          <w:noProof/>
          <w:szCs w:val="24"/>
        </w:rPr>
      </w:pPr>
      <w:r>
        <w:rPr>
          <w:noProof/>
        </w:rPr>
        <w:br w:type="page"/>
      </w:r>
      <w:r>
        <w:lastRenderedPageBreak/>
        <w:t>1.4.3.</w:t>
      </w:r>
      <w:r>
        <w:tab/>
      </w:r>
      <w:r>
        <w:rPr>
          <w:noProof/>
        </w:rPr>
        <w:t>Очаквани резултати и отражение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посочи въздействието, което предложението/инициативата следва да окаже по отношение на бенефициерите/целевите групи.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Търговията между Мексико и ЕС с посочените химични продукти от позиции 2914 и 2915 по ХС (Хармонизираната система), специфичните правила за произход за които ще станат постоянни, няма да намалее. </w:t>
      </w:r>
    </w:p>
    <w:p>
      <w:pPr>
        <w:pStyle w:val="ManualHeading3"/>
        <w:rPr>
          <w:bCs/>
          <w:noProof/>
          <w:szCs w:val="24"/>
        </w:rPr>
      </w:pPr>
      <w:r>
        <w:t>1.4.4.</w:t>
      </w:r>
      <w:r>
        <w:tab/>
      </w:r>
      <w:r>
        <w:rPr>
          <w:noProof/>
        </w:rPr>
        <w:t xml:space="preserve">Показатели за резултатите и за отражението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показателите, които позволяват да се проследи изпълнението на предложението/инициативата.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bCs/>
          <w:noProof/>
          <w:szCs w:val="24"/>
        </w:rPr>
      </w:pPr>
      <w:r>
        <w:t>1.5.</w:t>
      </w:r>
      <w:r>
        <w:tab/>
      </w:r>
      <w:r>
        <w:rPr>
          <w:noProof/>
        </w:rPr>
        <w:t xml:space="preserve">Мотиви за предложението/инициативата </w:t>
      </w:r>
    </w:p>
    <w:p>
      <w:pPr>
        <w:pStyle w:val="ManualHeading3"/>
        <w:rPr>
          <w:noProof/>
        </w:rPr>
      </w:pPr>
      <w:r>
        <w:t>1.5.1.</w:t>
      </w:r>
      <w:r>
        <w:tab/>
      </w:r>
      <w:r>
        <w:rPr>
          <w:noProof/>
        </w:rPr>
        <w:t xml:space="preserve">Нужди, които трябва да бъдат задоволени в краткосрочен или дългосрочен план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3"/>
        <w:rPr>
          <w:bCs/>
          <w:noProof/>
          <w:szCs w:val="24"/>
        </w:rPr>
      </w:pPr>
      <w:r>
        <w:t>1.5.2.</w:t>
      </w:r>
      <w:r>
        <w:tab/>
      </w:r>
      <w:r>
        <w:rPr>
          <w:noProof/>
        </w:rPr>
        <w:t>Добавена стойност от намесата на ЕС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Предложението е от изключителната компетентност на Европейския съюз. </w:t>
      </w:r>
    </w:p>
    <w:p>
      <w:pPr>
        <w:pStyle w:val="ManualHeading3"/>
        <w:rPr>
          <w:bCs/>
          <w:noProof/>
          <w:szCs w:val="24"/>
        </w:rPr>
      </w:pPr>
      <w:r>
        <w:t>1.5.3.</w:t>
      </w:r>
      <w:r>
        <w:tab/>
      </w:r>
      <w:r>
        <w:rPr>
          <w:noProof/>
        </w:rPr>
        <w:t>Изводи от подобен опит в миналото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3"/>
        <w:rPr>
          <w:bCs/>
          <w:noProof/>
          <w:szCs w:val="24"/>
        </w:rPr>
      </w:pPr>
      <w:r>
        <w:t>1.5.4.</w:t>
      </w:r>
      <w:r>
        <w:tab/>
      </w:r>
      <w:r>
        <w:rPr>
          <w:noProof/>
        </w:rPr>
        <w:t>Съгласуваност и евентуална синергия с други актове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1.6.</w:t>
      </w:r>
      <w:r>
        <w:tab/>
      </w:r>
      <w:r>
        <w:rPr>
          <w:noProof/>
        </w:rPr>
        <w:t xml:space="preserve">Срок на действие и финансово отражение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noProof/>
        </w:rPr>
        <w:t xml:space="preserve">Предложение/инициатива с </w:t>
      </w:r>
      <w:r>
        <w:rPr>
          <w:b/>
          <w:noProof/>
        </w:rPr>
        <w:t xml:space="preserve">ограничен срок на действие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Предложение/инициатива в сила от [ДД/ММ]ГГГГ до [ДД/ММ]ГГГГ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Финансово отражение от ГГГГ до ГГГГ </w:t>
      </w:r>
    </w:p>
    <w:p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b/>
          <w:i/>
          <w:noProof/>
        </w:rPr>
        <w:t xml:space="preserve"> </w:t>
      </w:r>
      <w:r>
        <w:rPr>
          <w:noProof/>
        </w:rPr>
        <w:t xml:space="preserve">Предложение/инициатива с </w:t>
      </w:r>
      <w:r>
        <w:rPr>
          <w:b/>
          <w:noProof/>
        </w:rPr>
        <w:t>неограничен срок на действие</w:t>
      </w:r>
    </w:p>
    <w:p>
      <w:pPr>
        <w:pStyle w:val="ListDash1"/>
        <w:rPr>
          <w:noProof/>
        </w:rPr>
      </w:pPr>
      <w:r>
        <w:rPr>
          <w:noProof/>
        </w:rPr>
        <w:t>Осъществяване с период на започване на дейност от 1.1.2020 г.,</w:t>
      </w:r>
    </w:p>
    <w:p>
      <w:pPr>
        <w:pStyle w:val="ListDash1"/>
        <w:rPr>
          <w:noProof/>
        </w:rPr>
      </w:pPr>
      <w:r>
        <w:rPr>
          <w:noProof/>
        </w:rPr>
        <w:t>последван от функциониране с пълен капацитет.</w:t>
      </w:r>
    </w:p>
    <w:p>
      <w:pPr>
        <w:pStyle w:val="ManualHeading2"/>
        <w:rPr>
          <w:bCs/>
          <w:noProof/>
          <w:szCs w:val="24"/>
        </w:rPr>
      </w:pPr>
      <w:r>
        <w:t>1.7.</w:t>
      </w:r>
      <w:r>
        <w:tab/>
      </w:r>
      <w:r>
        <w:rPr>
          <w:noProof/>
        </w:rPr>
        <w:t>Предвидени методи на управление</w:t>
      </w:r>
      <w:r>
        <w:rPr>
          <w:rStyle w:val="FootnoteReference"/>
          <w:noProof/>
        </w:rPr>
        <w:footnoteReference w:id="8"/>
      </w:r>
      <w:r>
        <w:rPr>
          <w:rStyle w:val="FootnoteReference"/>
          <w:noProof/>
        </w:rPr>
        <w:t xml:space="preserve">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</w:t>
      </w:r>
    </w:p>
    <w:p>
      <w:pPr>
        <w:pStyle w:val="ListDash2"/>
        <w:rPr>
          <w:rFonts w:cs="EUAlbertina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от нейните служби, включително от нейния персонал в делегациите на Съюза;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от изпълнителните агенции </w:t>
      </w:r>
    </w:p>
    <w:p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b/>
          <w:i/>
          <w:noProof/>
        </w:rPr>
        <w:t xml:space="preserve"> </w:t>
      </w:r>
      <w:r>
        <w:rPr>
          <w:b/>
          <w:noProof/>
        </w:rPr>
        <w:t>Споделено управление</w:t>
      </w:r>
      <w:r>
        <w:rPr>
          <w:noProof/>
        </w:rPr>
        <w:t xml:space="preserve"> с държавите членки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делегиране на задачи по изпълнението на бюджета на: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органите, определени от тях;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 208 и 209 от Финансовия регламент;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организации;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организации със задължение за обществена услуга, доколкото предоставят подходящи финансови гаранции;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организации на държава членка, на които е възложено осъществяването на публично-частно партньорство и които предоставят подходящи финансови гаранции;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 V от ДЕС и които са посочени в съответния основен акт.</w:t>
      </w:r>
    </w:p>
    <w:p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Ако е посочен повече от един метод на управление, пояснете в частта „Забележки“.</w:t>
      </w:r>
    </w:p>
    <w:p>
      <w:pPr>
        <w:rPr>
          <w:noProof/>
        </w:rPr>
      </w:pPr>
      <w:r>
        <w:rPr>
          <w:noProof/>
        </w:rPr>
        <w:t xml:space="preserve">Забележки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2.</w:t>
      </w:r>
      <w:r>
        <w:tab/>
      </w:r>
      <w:r>
        <w:rPr>
          <w:noProof/>
        </w:rPr>
        <w:t xml:space="preserve">МЕРКИ ЗА УПРАВЛЕНИЕ 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Правила за мониторинг и докладване </w:t>
      </w:r>
    </w:p>
    <w:p>
      <w:pPr>
        <w:pStyle w:val="Text1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Да се посочат честотата и условията.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bCs/>
          <w:noProof/>
          <w:szCs w:val="24"/>
        </w:rPr>
      </w:pPr>
      <w:r>
        <w:t>2.2.</w:t>
      </w:r>
      <w:r>
        <w:tab/>
      </w:r>
      <w:r>
        <w:rPr>
          <w:noProof/>
        </w:rPr>
        <w:t xml:space="preserve">Система за управление и контрол </w:t>
      </w:r>
    </w:p>
    <w:p>
      <w:pPr>
        <w:pStyle w:val="ManualHeading3"/>
        <w:rPr>
          <w:noProof/>
        </w:rPr>
      </w:pPr>
      <w:r>
        <w:t>2.2.1.</w:t>
      </w:r>
      <w:r>
        <w:tab/>
      </w:r>
      <w:r>
        <w:rPr>
          <w:noProof/>
        </w:rPr>
        <w:t xml:space="preserve">Установени рискове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3"/>
        <w:rPr>
          <w:bCs/>
          <w:noProof/>
          <w:szCs w:val="24"/>
        </w:rPr>
      </w:pPr>
      <w:r>
        <w:t>2.2.2.</w:t>
      </w:r>
      <w:r>
        <w:tab/>
      </w:r>
      <w:r>
        <w:rPr>
          <w:noProof/>
        </w:rPr>
        <w:t>Информация за изградената система за вътрешен контрол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3"/>
        <w:rPr>
          <w:noProof/>
        </w:rPr>
      </w:pPr>
      <w:r>
        <w:t>2.2.3.</w:t>
      </w:r>
      <w:r>
        <w:tab/>
      </w:r>
      <w:r>
        <w:rPr>
          <w:noProof/>
        </w:rPr>
        <w:t xml:space="preserve">Оценка на разходите и ползите от проверките и на очаквания риск от грешка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bCs/>
          <w:noProof/>
          <w:szCs w:val="24"/>
        </w:rPr>
      </w:pPr>
      <w:r>
        <w:t>2.3.</w:t>
      </w:r>
      <w:r>
        <w:tab/>
      </w:r>
      <w:r>
        <w:rPr>
          <w:noProof/>
        </w:rPr>
        <w:t xml:space="preserve">Мерки за предотвратяване на измами и нередности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 мерки за превенция и защита.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3.</w:t>
      </w:r>
      <w:r>
        <w:tab/>
      </w:r>
      <w:r>
        <w:rPr>
          <w:noProof/>
        </w:rPr>
        <w:t xml:space="preserve">ОЧАКВАНО ФИНАНСОВО ОТРАЖЕНИЕ НА ПРЕДЛОЖЕНИЕТО/ИНИЦИАТИВАТА </w:t>
      </w:r>
    </w:p>
    <w:p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Text1"/>
        <w:rPr>
          <w:noProof/>
        </w:rPr>
      </w:pPr>
      <w:r>
        <w:rPr>
          <w:noProof/>
        </w:rPr>
        <w:t>Не е приложимо</w:t>
      </w:r>
    </w:p>
    <w:p>
      <w:pPr>
        <w:pStyle w:val="ManualHeading2"/>
        <w:rPr>
          <w:bCs/>
          <w:noProof/>
          <w:szCs w:val="24"/>
        </w:rPr>
      </w:pPr>
      <w:r>
        <w:t>3.2.</w:t>
      </w:r>
      <w:r>
        <w:tab/>
      </w:r>
      <w:r>
        <w:rPr>
          <w:noProof/>
        </w:rPr>
        <w:t xml:space="preserve">Очаквано отражение върху разходите </w:t>
      </w:r>
    </w:p>
    <w:p>
      <w:pPr>
        <w:pStyle w:val="ManualHeading3"/>
        <w:rPr>
          <w:noProof/>
        </w:rPr>
      </w:pPr>
      <w:r>
        <w:t>3.2.1.</w:t>
      </w:r>
      <w:r>
        <w:tab/>
      </w:r>
      <w:r>
        <w:rPr>
          <w:noProof/>
        </w:rPr>
        <w:t xml:space="preserve">Обобщение на очакваното отражение върху разходите </w:t>
      </w:r>
    </w:p>
    <w:p>
      <w:pPr>
        <w:pStyle w:val="Text1"/>
        <w:rPr>
          <w:noProof/>
        </w:rPr>
      </w:pPr>
      <w:r>
        <w:rPr>
          <w:noProof/>
        </w:rPr>
        <w:t>Не е приложимо</w:t>
      </w:r>
    </w:p>
    <w:p>
      <w:pPr>
        <w:pStyle w:val="ManualHeading3"/>
        <w:rPr>
          <w:bCs/>
          <w:noProof/>
          <w:szCs w:val="24"/>
        </w:rPr>
      </w:pPr>
      <w:r>
        <w:t>3.2.2.</w:t>
      </w:r>
      <w:r>
        <w:tab/>
      </w:r>
      <w:r>
        <w:rPr>
          <w:noProof/>
        </w:rPr>
        <w:t xml:space="preserve">Очаквано отражение върху бюджетните кредити за оперативни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Предложението/инициативата не налага използване на бюджетни кредити за оперативни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бюджетни кредити за оперативни разходи съгласно обяснението по-долу:</w:t>
      </w:r>
    </w:p>
    <w:p>
      <w:pPr>
        <w:rPr>
          <w:noProof/>
        </w:rPr>
        <w:sectPr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3.2.3.</w:t>
      </w:r>
      <w:r>
        <w:tab/>
      </w:r>
      <w:r>
        <w:rPr>
          <w:noProof/>
        </w:rPr>
        <w:t>Очаквано отражение върху бюджетните кредити за административни разходи</w:t>
      </w:r>
    </w:p>
    <w:p>
      <w:pPr>
        <w:pStyle w:val="ManualHeading4"/>
        <w:rPr>
          <w:noProof/>
        </w:rPr>
      </w:pPr>
      <w:r>
        <w:t>3.2.3.1.</w:t>
      </w:r>
      <w:r>
        <w:tab/>
      </w:r>
      <w:r>
        <w:rPr>
          <w:noProof/>
        </w:rPr>
        <w:t xml:space="preserve">Обобщение 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pStyle w:val="ManualHeading4"/>
        <w:rPr>
          <w:bCs/>
          <w:noProof/>
          <w:szCs w:val="24"/>
        </w:rPr>
      </w:pPr>
      <w:r>
        <w:t>3.2.3.2.</w:t>
      </w:r>
      <w:r>
        <w:tab/>
      </w:r>
      <w:r>
        <w:rPr>
          <w:noProof/>
        </w:rPr>
        <w:t>Очаквани нужди от човешки ресурси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Предложението/инициативата не налага използване на човешки ресурси.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използване на човешки ресурси съгласно обяснението по-долу:</w:t>
      </w:r>
    </w:p>
    <w:p>
      <w:pPr>
        <w:pStyle w:val="ManualHeading3"/>
        <w:rPr>
          <w:bCs/>
          <w:noProof/>
          <w:szCs w:val="24"/>
        </w:rPr>
      </w:pPr>
      <w:r>
        <w:t>3.2.4.</w:t>
      </w:r>
      <w:r>
        <w:tab/>
      </w:r>
      <w:r>
        <w:rPr>
          <w:noProof/>
        </w:rPr>
        <w:t xml:space="preserve">Съвместимост с настоящата многогодишна финансова рамка 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Предложението/инициативата е съвместимо(а) с настоящата многогодишна финансова рамка.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препрограмиране на съответната функция от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препрограмиране е необходимо, като посочите съответните бюджетни редове и суми.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да се използва Инструментът за гъвкавост или да се преразгледа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е необходимо, като посочите съответните функции, бюджетни редове и суми.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ManualHeading3"/>
        <w:rPr>
          <w:bCs/>
          <w:noProof/>
          <w:szCs w:val="24"/>
        </w:rPr>
      </w:pPr>
      <w:r>
        <w:t>3.2.5.</w:t>
      </w:r>
      <w:r>
        <w:tab/>
      </w:r>
      <w:r>
        <w:rPr>
          <w:noProof/>
        </w:rPr>
        <w:t xml:space="preserve">Участие на трети страни във финансирането </w:t>
      </w:r>
    </w:p>
    <w:p>
      <w:pPr>
        <w:pStyle w:val="ListDash1"/>
        <w:rPr>
          <w:noProof/>
        </w:rPr>
      </w:pPr>
      <w:r>
        <w:rPr>
          <w:noProof/>
        </w:rPr>
        <w:t xml:space="preserve">Предложението/инициативата не предвижда съфинансиране от трети страни. </w:t>
      </w:r>
    </w:p>
    <w:p>
      <w:pPr>
        <w:rPr>
          <w:noProof/>
        </w:rPr>
      </w:pPr>
      <w:r>
        <w:rPr>
          <w:noProof/>
        </w:rPr>
        <w:br/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3.3.</w:t>
      </w:r>
      <w:r>
        <w:tab/>
      </w:r>
      <w:r>
        <w:rPr>
          <w:noProof/>
        </w:rPr>
        <w:t xml:space="preserve">Очаквано отражение върху приходите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няма финансово отражение върху приходите.</w:t>
      </w:r>
    </w:p>
    <w:p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Предложението/инициативата има следното финансово отражение:</w:t>
      </w:r>
    </w:p>
    <w:p>
      <w:pPr>
        <w:pStyle w:val="ListNumberLevel3"/>
        <w:tabs>
          <w:tab w:val="clear" w:pos="2126"/>
        </w:tabs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върху собствените ресурси </w:t>
      </w:r>
    </w:p>
    <w:p>
      <w:pPr>
        <w:pStyle w:val="ListNumberLevel3"/>
        <w:tabs>
          <w:tab w:val="clear" w:pos="2126"/>
        </w:tabs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разните приходи </w:t>
      </w:r>
    </w:p>
    <w:p>
      <w:pPr>
        <w:jc w:val="right"/>
        <w:rPr>
          <w:i/>
          <w:noProof/>
          <w:sz w:val="20"/>
        </w:rPr>
      </w:pPr>
      <w:r>
        <w:rPr>
          <w:noProof/>
        </w:rPr>
        <w:t>млн. EUR (до третия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Налични бюджетни кредити за текущата финансова година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Отражение на предложението/инициативата</w:t>
            </w:r>
            <w:r>
              <w:rPr>
                <w:rStyle w:val="FootnoteReference"/>
                <w:noProof/>
                <w:sz w:val="18"/>
              </w:rPr>
              <w:footnoteReference w:id="9"/>
            </w:r>
          </w:p>
        </w:tc>
      </w:tr>
      <w:tr>
        <w:trPr>
          <w:trHeight w:val="388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276" w:type="dxa"/>
            <w:vMerge/>
          </w:tcPr>
          <w:p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Предложението няма крайна дата</w:t>
            </w:r>
          </w:p>
        </w:tc>
      </w:tr>
      <w:tr>
        <w:trPr>
          <w:trHeight w:val="388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120</w:t>
            </w:r>
          </w:p>
        </w:tc>
        <w:tc>
          <w:tcPr>
            <w:tcW w:w="1276" w:type="dxa"/>
          </w:tcPr>
          <w:p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20 000 500 000</w:t>
            </w: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-5</w:t>
            </w: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-5</w:t>
            </w: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-5</w:t>
            </w: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-5</w:t>
            </w: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pStyle w:val="Text1"/>
        <w:rPr>
          <w:noProof/>
          <w:sz w:val="20"/>
        </w:rPr>
      </w:pPr>
      <w:r>
        <w:rPr>
          <w:noProof/>
          <w:sz w:val="20"/>
        </w:rPr>
        <w:t>За разните целеви приходи да се посочат съответните разходни бюджетни редове.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Не е приложимо</w:t>
      </w:r>
    </w:p>
    <w:p>
      <w:pPr>
        <w:pStyle w:val="Text1"/>
        <w:rPr>
          <w:noProof/>
          <w:sz w:val="20"/>
        </w:rPr>
      </w:pPr>
      <w:r>
        <w:rPr>
          <w:noProof/>
          <w:sz w:val="20"/>
        </w:rPr>
        <w:t>Да се посочи методът за изчисляване на отражението върху приходите.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Някои химични продукти от позиции 2914 и 2915 по ХС, внасяни от Мексико, имат преференциална ставка на митото в размер на 0 % чрез временна дерогация, която изтича на 31 декември 2019 г. Ставката на митото по режима за най-облагодетелствана нация от 5,5 %, която би била приложима от 1 януари 2020 г., се отменя за тези химични продукти, тъй като дерогацията става постоянна.</w:t>
      </w:r>
    </w:p>
    <w:sectPr>
      <w:headerReference w:type="default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C 326, 26.10.2012 г., стр. 146.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OВ L 157, 30.6.2000 г., стр. 10.</w:t>
      </w:r>
    </w:p>
  </w:footnote>
  <w:footnote w:id="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 245, 29.9.2000 г., стр. 1167.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L 245, 29.9.2000 г., стр. 1, вж. ОВ L 157, 30.6.2000 г., стр. 10.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OВ L 276, 28.10.2000 г., стр. 45.</w:t>
      </w:r>
    </w:p>
  </w:footnote>
  <w:footnote w:id="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УД: управление по дейности; БД: бюджетиране по дейности.</w:t>
      </w:r>
    </w:p>
  </w:footnote>
  <w:footnote w:id="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Съгласно член 54, параграф 2, буква а) или б) от Финансовия регламент.</w:t>
      </w:r>
    </w:p>
  </w:footnote>
  <w:footnote w:id="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Подробности във връзка с методите на управление и позоваванията на Финансовия регламент могат да бъдат намерени на уебсайта BudgWeb: </w:t>
      </w:r>
      <w:hyperlink r:id="rId1">
        <w:r>
          <w:rPr>
            <w:rStyle w:val="Hyperlink"/>
            <w:sz w:val="18"/>
          </w:rPr>
          <w:t>http://www.cc.cec/budg/man/budgmanag/budgmanag_en.html</w:t>
        </w:r>
      </w:hyperlink>
    </w:p>
  </w:footnote>
  <w:footnote w:id="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Що се отнася до традиционните собствени ресурси (мита, налози върху захарта), посочените суми трябва да бъдат нетни, т.е. брутни суми, от които са приспаднати 25 %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D60C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076DB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1C05B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7D27A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90E4C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7147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EB01B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43C62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820C1F"/>
    <w:multiLevelType w:val="singleLevel"/>
    <w:tmpl w:val="7896AADE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8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9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1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5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5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3"/>
  </w:num>
  <w:num w:numId="12">
    <w:abstractNumId w:val="18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4"/>
  </w:num>
  <w:num w:numId="18">
    <w:abstractNumId w:val="12"/>
  </w:num>
  <w:num w:numId="19">
    <w:abstractNumId w:val="15"/>
  </w:num>
  <w:num w:numId="20">
    <w:abstractNumId w:val="10"/>
  </w:num>
  <w:num w:numId="21">
    <w:abstractNumId w:val="23"/>
  </w:num>
  <w:num w:numId="22">
    <w:abstractNumId w:val="9"/>
  </w:num>
  <w:num w:numId="23">
    <w:abstractNumId w:val="16"/>
  </w:num>
  <w:num w:numId="24">
    <w:abstractNumId w:val="20"/>
  </w:num>
  <w:num w:numId="25">
    <w:abstractNumId w:val="21"/>
  </w:num>
  <w:num w:numId="26">
    <w:abstractNumId w:val="11"/>
  </w:num>
  <w:num w:numId="27">
    <w:abstractNumId w:val="19"/>
  </w:num>
  <w:num w:numId="2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2-01 11:59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63024744E0004CF59A0FCCEA0F91729D"/>
    <w:docVar w:name="LW_CROSSREFERENCE" w:val="&lt;UNUSED&gt;"/>
    <w:docVar w:name="LW_DocType" w:val="COM"/>
    <w:docVar w:name="LW_EMISSION" w:val="8.2.2017"/>
    <w:docVar w:name="LW_EMISSION_ISODATE" w:val="2017-02-08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20"/>
    <w:docVar w:name="LW_REF.II.NEW.CP_YEAR" w:val="2017"/>
    <w:docVar w:name="LW_REF.INST.NEW" w:val="COM"/>
    <w:docVar w:name="LW_REF.INST.NEW_ADOPTED" w:val="final"/>
    <w:docVar w:name="LW_REF.INST.NEW_TEXT" w:val="(2017) 64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45?\u1057? \u8212? \u1052?\u1077?\u1082?\u1089?\u1080?\u1082?\u1086? \u1074?\u1098?\u1074? \u1074?\u1088?\u1098?\u1079?\u1082?\u1072? \u1089? \u1080?\u1079?\u1084?\u1077?\u1085?\u1077?\u1085?\u1080?\u1103?\u1090?\u1072? \u1085?\u1072? \u1087?\u1088?\u1080?\u1083?\u1086?\u1078?\u1077?\u1085?\u1080?\u1077? III \u1082?\u1098?\u1084? \u1056?\u1077?\u1096?\u1077?\u1085?\u1080?\u1077? \u8470? 2/2000 \u1085?\u1072? \u1057?\u1098?\u1074?\u1084?\u1077?\u1089?\u1090?\u1085?\u1080?\u1103? \u1089?\u1098?\u1074?\u1077?\u1090? \u1045?\u1054? \u8212? \u1052?\u1077?\u1082?\u1089?\u1080?\u1082?\u1086? \u1086?\u1090? 23 \u1084?\u1072?\u1088?\u1090? 2000 \u1075?. \u1087?\u1086? \u1086?\u1090?\u1085?\u1086?\u1096?\u1077?\u1085?\u1080?\u1077? \u1085?\u1072? \u1086?\u1087?\u1088?\u1077?\u1076?\u1077?\u1083?\u1077?\u1085?\u1080?\u1077?\u1090?\u1086? \u1085?\u1072? \u1087?\u1086?\u1085?\u1103?\u1090?\u1080?\u1077?\u1090?\u1086? \u8222?\u1087?\u1088?\u1086?\u1076?\u1091?\u1082?\u1090?\u1080? \u1089? \u1087?\u1088?\u1086?\u1080?\u1079?\u1093?\u1086?\u1076?\u8220? \u1080? \u1084?\u1077?\u1090?\u1086?\u1076?\u1080?\u1090?\u1077? \u1079?\u1072? \u1072?\u1076?\u1084?\u1080?\u1085?\u1080?\u1089?\u1090?\u1088?\u1072?\u1090?\u1080?\u1074?\u1085?\u1086? \u1089?\u1098?\u1090?\u1088?\u1091?\u1076?\u1085?\u1080?\u1095?\u1077?\u1089?\u1090?\u1074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ListBullet1">
    <w:name w:val="List Bullet 1"/>
    <w:basedOn w:val="Normal"/>
    <w:pPr>
      <w:numPr>
        <w:numId w:val="10"/>
      </w:numPr>
    </w:pPr>
    <w:rPr>
      <w:rFonts w:eastAsia="Times New Roman"/>
    </w:rPr>
  </w:style>
  <w:style w:type="paragraph" w:customStyle="1" w:styleId="ListDash">
    <w:name w:val="List Dash"/>
    <w:basedOn w:val="Normal"/>
    <w:pPr>
      <w:numPr>
        <w:numId w:val="1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ListBullet1">
    <w:name w:val="List Bullet 1"/>
    <w:basedOn w:val="Normal"/>
    <w:pPr>
      <w:numPr>
        <w:numId w:val="10"/>
      </w:numPr>
    </w:pPr>
    <w:rPr>
      <w:rFonts w:eastAsia="Times New Roman"/>
    </w:rPr>
  </w:style>
  <w:style w:type="paragraph" w:customStyle="1" w:styleId="ListDash">
    <w:name w:val="List Dash"/>
    <w:basedOn w:val="Normal"/>
    <w:pPr>
      <w:numPr>
        <w:numId w:val="1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.cec/budg/man/budgmanag/budgmanag_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13</Pages>
  <Words>2277</Words>
  <Characters>13779</Characters>
  <Application>Microsoft Office Word</Application>
  <DocSecurity>0</DocSecurity>
  <Lines>353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2017-01-23T09:54:00Z</dcterms:created>
  <dcterms:modified xsi:type="dcterms:W3CDTF">2017-02-01T10:59:00Z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