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7EF80C17E8472EADE63DC079F539CF" style="width:450.35pt;height:379.7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Economic Partnership, Political Coordination and Cooperation Agreement between the European Community and its Member States, of the one part, and the United Mexican States, of the other part, was signed in Brussels on 8 December 1997. The trade liberalisation provisions were laid down in Decision No 2/2000 of the EC-Mexico Joint Council established by the Agreement (hereinafter "Decision No 2/2000").</w:t>
      </w:r>
    </w:p>
    <w:p>
      <w:pPr>
        <w:pBdr>
          <w:top w:val="nil"/>
          <w:left w:val="nil"/>
          <w:bottom w:val="nil"/>
          <w:right w:val="nil"/>
          <w:between w:val="nil"/>
          <w:bar w:val="nil"/>
        </w:pBdr>
        <w:spacing w:before="0" w:after="240"/>
        <w:rPr>
          <w:noProof/>
        </w:rPr>
      </w:pPr>
      <w:r>
        <w:rPr>
          <w:noProof/>
        </w:rPr>
        <w:t>Annex III to Decision No 2/2000 of the EC-Mexico Joint Council, concerning the definition of the concept of 'originating products' and methods of administrative cooperation, sets out the rules of origin for the products originating in the territory of the Parties to the Agreement.</w:t>
      </w:r>
    </w:p>
    <w:p>
      <w:pPr>
        <w:pBdr>
          <w:top w:val="nil"/>
          <w:left w:val="nil"/>
          <w:bottom w:val="nil"/>
          <w:right w:val="nil"/>
          <w:between w:val="nil"/>
          <w:bar w:val="nil"/>
        </w:pBdr>
        <w:spacing w:before="0" w:after="240"/>
        <w:rPr>
          <w:rFonts w:eastAsia="Arial Unicode MS"/>
          <w:noProof/>
        </w:rPr>
      </w:pPr>
      <w:r>
        <w:rPr>
          <w:rFonts w:eastAsia="Arial Unicode MS"/>
          <w:noProof/>
        </w:rPr>
        <w:t>The European Union has in place a customs union with the Principality of Andorra, for products falling within Chapters 25 to 97 of the Harmonized System, and the Republic of San Marino, for all products. By virtue of this customs union goods originating in Mexico benefit from preferential treatment under the EU-Mexico Agreement when entering Andorra and San Marino.</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was agreed that Mexico will now accept products falling within Chapters 25 to 97 of the Harmonized System originating in the Principality of Andorra and products originating in the Republic of San Marino as originating in the EU within the meaning of Annex III to Decision No 2/2000.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was agreed with Mexico that Decision No 1/2017 of the EU-Mexico Joint Committee should be amended to make permanent the product specific rules for chemicals in heading 2914 and 2915 of the Harmonised System contained in this Decision. This is in line with the approach of the on-going modernisation of the EU-Mexico Agreement as regards product specific rules of origin.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In free trade agreements between the European Union and third countries reciprocity is granted to Andorra and San Marino allowing products originating in these countries to be treated as if they originate in the European Union. This reciprocity is now extended to Mexico.</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As the proposal relates to the commercial policy of the European Union the appropriate legal basis is Article 207(4) first subparagraph in conjunction with Article 218(9)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 xml:space="preserve">The proposal falls under the exclusive competence of the European Union. The subsidiarity principle therefore does not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does not go beyond what is necessary or appropriate to achieve the expected outcomes.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relevant. This proposal introduces amendments to update a previous text.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This proposal introduces amendments to an existing bilateral trade agreement. There are no other options to be considered.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potential budgetary effect is a loss of own resources from customs duties of approximately EUR 5 million per year.</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None.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2017/0020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EU-Mexico Joint Committee relating to amendments to Annex III to Decision No 2/2000 of the EC-Mexico Joint Council of 23 March 2000, concerning the definition of the concept of originating products and methods of administrative cooperation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218(9)</w:t>
      </w:r>
      <w:r>
        <w:rPr>
          <w:rStyle w:val="FootnoteReference"/>
          <w:noProof/>
        </w:rPr>
        <w:footnoteReference w:id="1"/>
      </w:r>
      <w:r>
        <w:rPr>
          <w:noProof/>
        </w:rPr>
        <w:t xml:space="preserve">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Annex III to Decision No 2/2000 of the EC-Mexico Joint Council of 23 March 2000</w:t>
      </w:r>
      <w:r>
        <w:rPr>
          <w:rStyle w:val="FootnoteReference"/>
          <w:noProof/>
        </w:rPr>
        <w:footnoteReference w:id="2"/>
      </w:r>
      <w:r>
        <w:rPr>
          <w:noProof/>
        </w:rPr>
        <w:t xml:space="preserve"> sets out the rules of origin for the products originating in the territory of the Parties to the Agreement. Article 38 allows the EU-Mexico Joint Committee to amend Annex III to Decision No 2/2000.</w:t>
      </w:r>
    </w:p>
    <w:p>
      <w:pPr>
        <w:pStyle w:val="ManualConsidrant"/>
        <w:rPr>
          <w:noProof/>
        </w:rPr>
      </w:pPr>
      <w:r>
        <w:t>(2)</w:t>
      </w:r>
      <w:r>
        <w:tab/>
      </w:r>
      <w:r>
        <w:rPr>
          <w:noProof/>
        </w:rPr>
        <w:t>The European Union has in place a customs union with the Principality of Andorra for products falling within Chapters 25 to 97 of the Harmonized System and with the Republic of San Marino for Chapters 1 to 97 of the Harmonized System. This customs union allows goods originating in Mexico to benefit from preferential treatment under Decision No 2/2000 also when exported to Andorra and San Marino.</w:t>
      </w:r>
    </w:p>
    <w:p>
      <w:pPr>
        <w:pStyle w:val="ManualConsidrant"/>
        <w:rPr>
          <w:noProof/>
        </w:rPr>
      </w:pPr>
      <w:r>
        <w:t>(3)</w:t>
      </w:r>
      <w:r>
        <w:tab/>
      </w:r>
      <w:r>
        <w:rPr>
          <w:noProof/>
        </w:rPr>
        <w:t xml:space="preserve">It has been agreed that Mexico will accept products falling within Chapters 25 to 97 of the Harmonized System originating in the Principality of Andorra and products falling within Chapters 1 to 97 of the Harmonised System originating in the Republic of San Marino as products originating in the EU within the meaning of Annex III to Decision No 2/2000. </w:t>
      </w:r>
    </w:p>
    <w:p>
      <w:pPr>
        <w:pStyle w:val="ManualConsidrant"/>
        <w:rPr>
          <w:noProof/>
        </w:rPr>
      </w:pPr>
      <w:r>
        <w:t>(4)</w:t>
      </w:r>
      <w:r>
        <w:tab/>
      </w:r>
      <w:r>
        <w:rPr>
          <w:noProof/>
        </w:rPr>
        <w:t>A new Appendix VI to Annex III to Decision No 2/2000 should be added to allow those products to be treated, when imported to Mexico, in a similar way to products originating in the Union, and to lay down provisions regarding the application of Annex III to those products.</w:t>
      </w:r>
    </w:p>
    <w:p>
      <w:pPr>
        <w:pStyle w:val="ManualConsidrant"/>
        <w:rPr>
          <w:noProof/>
        </w:rPr>
      </w:pPr>
      <w:r>
        <w:t>(5)</w:t>
      </w:r>
      <w:r>
        <w:tab/>
      </w:r>
      <w:r>
        <w:rPr>
          <w:noProof/>
        </w:rPr>
        <w:t>Joint Declaration V</w:t>
      </w:r>
      <w:r>
        <w:rPr>
          <w:rStyle w:val="FootnoteReference"/>
          <w:noProof/>
        </w:rPr>
        <w:footnoteReference w:id="3"/>
      </w:r>
      <w:r>
        <w:rPr>
          <w:noProof/>
        </w:rPr>
        <w:t xml:space="preserve"> to Decision No 2/2000 of the EC-Mexico Joint Council</w:t>
      </w:r>
      <w:r>
        <w:rPr>
          <w:rStyle w:val="FootnoteReference"/>
          <w:noProof/>
        </w:rPr>
        <w:footnoteReference w:id="4"/>
      </w:r>
      <w:r>
        <w:rPr>
          <w:noProof/>
        </w:rPr>
        <w:t xml:space="preserve">   established by the Economic Partnership, Political Coordination and Cooperation Agreement between the European Community and its Member States, of the one part, and the United Mexican States, of the other part, signed in Brussels on 8 December 1997</w:t>
      </w:r>
      <w:r>
        <w:rPr>
          <w:rStyle w:val="FootnoteReference"/>
          <w:noProof/>
        </w:rPr>
        <w:footnoteReference w:id="5"/>
      </w:r>
      <w:r>
        <w:rPr>
          <w:noProof/>
        </w:rPr>
        <w:t xml:space="preserve"> provides that the EU – Mexico Joint Committee established by that agreement is to review the necessity to extend beyond 30 June 2003 the application of the rules of origin set out in Notes 2 and 3 of Appendix II(a) to Annex III to Decision No 2/2000. That review concerns the product specific rules in Appendix II to Annex III to Decision No 2/2000 for certain chemical products under the Harmonised System headings 2914 and 2915.</w:t>
      </w:r>
    </w:p>
    <w:p>
      <w:pPr>
        <w:pStyle w:val="ManualConsidrant"/>
        <w:rPr>
          <w:noProof/>
        </w:rPr>
      </w:pPr>
      <w:r>
        <w:t>(6)</w:t>
      </w:r>
      <w:r>
        <w:tab/>
      </w:r>
      <w:r>
        <w:rPr>
          <w:noProof/>
        </w:rPr>
        <w:t>On XX/XX/2017 the Joint Committee adopted Decision No 1/2017 which extends the application of the product specific rules of origin for chemical products in Harmonised System headings 2914 and 2915 for the fourth time. Decision No 1/2017 applies until 31 December 2019.</w:t>
      </w:r>
    </w:p>
    <w:p>
      <w:pPr>
        <w:pStyle w:val="ManualConsidrant"/>
        <w:rPr>
          <w:noProof/>
        </w:rPr>
      </w:pPr>
      <w:r>
        <w:t>(7)</w:t>
      </w:r>
      <w:r>
        <w:tab/>
      </w:r>
      <w:r>
        <w:rPr>
          <w:noProof/>
        </w:rPr>
        <w:t>It is considered appropriate to extend on a permanent basis the application of the product specific rules of origin established in Annex I to Decision No 1/2017 because they are in line with the principles of the modernisation of the agreement between Mexico and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1. The position to be adopted on behalf of the Union within the European Union-Mexico Joint Committee regarding amendments to Decision No 2/2000 of the EC-Mexico Joint Council and Decision No 1/2017 of the EU-Mexico Joint Committee shall be based on the draft Decision of the European Union-Mexico Joint Committee attached to this Decision.</w:t>
      </w:r>
    </w:p>
    <w:p>
      <w:pPr>
        <w:rPr>
          <w:noProof/>
        </w:rPr>
      </w:pPr>
      <w:r>
        <w:rPr>
          <w:noProof/>
        </w:rPr>
        <w:t>2. The representatives of the Union in the European Union-Mexico Joint Committee may agree to minor changes to the draft Decision of the European Union-Mexico Joint Committee referred to in paragraph 1 without further decision of the Council.</w:t>
      </w:r>
    </w:p>
    <w:p>
      <w:pPr>
        <w:pStyle w:val="Titrearticle"/>
        <w:rPr>
          <w:noProof/>
        </w:rPr>
      </w:pPr>
      <w:r>
        <w:rPr>
          <w:noProof/>
        </w:rPr>
        <w:t>Article 2</w:t>
      </w:r>
    </w:p>
    <w:p>
      <w:pPr>
        <w:keepLines/>
        <w:rPr>
          <w:noProof/>
        </w:rPr>
      </w:pPr>
      <w:r>
        <w:rPr>
          <w:noProof/>
        </w:rPr>
        <w:t xml:space="preserve">After its adoption, the Decision of the European Union-Mexico Joint Committee regarding amendments to Annex III to Decision No 2/2000 of the EC-Mexico Joint Council of 23 March 2000 shall be published in the </w:t>
      </w:r>
      <w:r>
        <w:rPr>
          <w:i/>
          <w:noProof/>
        </w:rPr>
        <w:t>Official Journal of the European Union.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sectPr>
          <w:pgSz w:w="11907" w:h="16839"/>
          <w:pgMar w:top="1134" w:right="1417" w:bottom="1134" w:left="1417" w:header="709" w:footer="709" w:gutter="0"/>
          <w:cols w:space="708"/>
          <w:docGrid w:linePitch="360"/>
        </w:sectPr>
      </w:pPr>
      <w:r>
        <w:rPr>
          <w:noProof/>
        </w:rPr>
        <w:tab/>
        <w:t>The President</w:t>
      </w: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Council Decision on the position to be adopted on behalf of the European Union within the EU-Mexico Joint Committee relating to amendments to Annex III to Decision No 2/2000 of the EC-Mexico Joint Council of 23 March 2000, concerning the definition of the concept of originating products and methods of administrative cooperation</w:t>
      </w:r>
    </w:p>
    <w:p>
      <w:pPr>
        <w:pStyle w:val="ManualHeading2"/>
        <w:rPr>
          <w:noProof/>
          <w:szCs w:val="24"/>
        </w:rPr>
      </w:pPr>
      <w:r>
        <w:t>1.2.</w:t>
      </w:r>
      <w:r>
        <w:tab/>
      </w:r>
      <w:r>
        <w:rPr>
          <w:noProof/>
        </w:rPr>
        <w:t>Policy area(s) concerned in the ABM/ABB structure</w:t>
      </w:r>
      <w:r>
        <w:rPr>
          <w:rStyle w:val="FootnoteReference"/>
          <w:noProof/>
        </w:rPr>
        <w:footnoteReference w:id="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Revenue line: Chapter 12 (Customs duties and other duties referred to in Article 2(1)(a) of Decision 2007/436/EC, EURATOM)</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7"/>
      </w:r>
      <w:r>
        <w:rPr>
          <w:noProof/>
          <w:sz w:val="22"/>
        </w:rPr>
        <w:t xml:space="preserve"> </w:t>
      </w:r>
    </w:p>
    <w:p>
      <w:pPr>
        <w:pStyle w:val="Text1"/>
        <w:rPr>
          <w:noProof/>
          <w:sz w:val="22"/>
        </w:rPr>
      </w:pPr>
      <w:r>
        <w:rPr>
          <w:noProof/>
          <w:sz w:val="22"/>
        </w:rPr>
        <w:sym w:font="Wingdings" w:char="F0FD"/>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Customs duties</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Trade in those chemical products under HS (harmonsied System) 2914 and 2915, for which the product specific rules on origin will be made permanent, will not decrease between Mexico and the EU. </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falls under the exclusive competence of the European Union. </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D"/>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01/01/2020</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8"/>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FD"/>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Not applicable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Text1"/>
        <w:rPr>
          <w:noProof/>
        </w:rPr>
      </w:pPr>
      <w:r>
        <w:rPr>
          <w:noProof/>
        </w:rPr>
        <w:t>Not applicable</w:t>
      </w:r>
    </w:p>
    <w:p>
      <w:pPr>
        <w:pStyle w:val="ManualHeading2"/>
        <w:rPr>
          <w:bCs/>
          <w:noProof/>
          <w:szCs w:val="24"/>
        </w:rPr>
      </w:pPr>
      <w:r>
        <w:t>3.2.</w:t>
      </w:r>
      <w:r>
        <w:tab/>
      </w:r>
      <w:r>
        <w:rPr>
          <w:noProof/>
        </w:rPr>
        <w:t xml:space="preserve">Estimated impact on expenditure </w:t>
      </w:r>
    </w:p>
    <w:p>
      <w:pPr>
        <w:pStyle w:val="ManualHeading3"/>
        <w:rPr>
          <w:noProof/>
        </w:rPr>
      </w:pPr>
      <w:r>
        <w:t>3.2.1.</w:t>
      </w:r>
      <w:r>
        <w:tab/>
      </w:r>
      <w:r>
        <w:rPr>
          <w:noProof/>
        </w:rPr>
        <w:t xml:space="preserve">Summary of estimated impact on expenditure </w:t>
      </w:r>
    </w:p>
    <w:p>
      <w:pPr>
        <w:pStyle w:val="Text1"/>
        <w:rPr>
          <w:noProof/>
        </w:rPr>
      </w:pPr>
      <w:r>
        <w:rPr>
          <w:noProof/>
        </w:rPr>
        <w:t>Not applicable</w:t>
      </w: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FD"/>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rPr>
          <w:noProof/>
        </w:rPr>
        <w:sectPr>
          <w:headerReference w:type="default" r:id="rId12"/>
          <w:footerReference w:type="default" r:id="rId13"/>
          <w:headerReference w:type="first" r:id="rId14"/>
          <w:footerReference w:type="first" r:id="rId15"/>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FD"/>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FD"/>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D"/>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FD"/>
      </w:r>
      <w:r>
        <w:rPr>
          <w:noProof/>
        </w:rPr>
        <w:tab/>
        <w:t>The proposal/initiative has the following financial impact:</w:t>
      </w:r>
    </w:p>
    <w:p>
      <w:pPr>
        <w:pStyle w:val="ListNumberLevel3"/>
        <w:tabs>
          <w:tab w:val="clear" w:pos="2126"/>
        </w:tabs>
        <w:rPr>
          <w:noProof/>
        </w:rPr>
      </w:pPr>
      <w:r>
        <w:rPr>
          <w:noProof/>
        </w:rPr>
        <w:sym w:font="Wingdings" w:char="F0FD"/>
      </w:r>
      <w:r>
        <w:rPr>
          <w:noProof/>
        </w:rPr>
        <w:tab/>
        <w:t xml:space="preserve">on own resources </w:t>
      </w:r>
    </w:p>
    <w:p>
      <w:pPr>
        <w:pStyle w:val="ListNumberLevel3"/>
        <w:tabs>
          <w:tab w:val="clear" w:pos="2126"/>
        </w:tabs>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9"/>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The proposal has no end date</w:t>
            </w:r>
          </w:p>
        </w:tc>
      </w:tr>
      <w:tr>
        <w:trPr>
          <w:trHeight w:val="388"/>
        </w:trPr>
        <w:tc>
          <w:tcPr>
            <w:tcW w:w="2144" w:type="dxa"/>
            <w:vAlign w:val="center"/>
          </w:tcPr>
          <w:p>
            <w:pPr>
              <w:spacing w:before="40" w:after="40"/>
              <w:rPr>
                <w:noProof/>
                <w:sz w:val="18"/>
              </w:rPr>
            </w:pPr>
            <w:r>
              <w:rPr>
                <w:noProof/>
                <w:sz w:val="18"/>
              </w:rPr>
              <w:t>Article 120</w:t>
            </w:r>
          </w:p>
        </w:tc>
        <w:tc>
          <w:tcPr>
            <w:tcW w:w="1276" w:type="dxa"/>
          </w:tcPr>
          <w:p>
            <w:pPr>
              <w:spacing w:beforeLines="40" w:before="96" w:afterLines="40" w:after="96"/>
              <w:jc w:val="center"/>
              <w:rPr>
                <w:i/>
                <w:noProof/>
                <w:sz w:val="18"/>
              </w:rPr>
            </w:pPr>
            <w:r>
              <w:rPr>
                <w:i/>
                <w:noProof/>
                <w:sz w:val="18"/>
              </w:rPr>
              <w:t>20 000 500 000</w:t>
            </w:r>
          </w:p>
        </w:tc>
        <w:tc>
          <w:tcPr>
            <w:tcW w:w="1080" w:type="dxa"/>
          </w:tcPr>
          <w:p>
            <w:pPr>
              <w:spacing w:beforeLines="40" w:before="96" w:afterLines="40" w:after="96"/>
              <w:jc w:val="center"/>
              <w:rPr>
                <w:noProof/>
                <w:sz w:val="18"/>
              </w:rPr>
            </w:pPr>
            <w:r>
              <w:rPr>
                <w:noProof/>
                <w:sz w:val="18"/>
              </w:rPr>
              <w:t>-5</w:t>
            </w:r>
          </w:p>
        </w:tc>
        <w:tc>
          <w:tcPr>
            <w:tcW w:w="900" w:type="dxa"/>
          </w:tcPr>
          <w:p>
            <w:pPr>
              <w:spacing w:beforeLines="40" w:before="96" w:afterLines="40" w:after="96"/>
              <w:jc w:val="center"/>
              <w:rPr>
                <w:noProof/>
                <w:sz w:val="18"/>
              </w:rPr>
            </w:pPr>
            <w:r>
              <w:rPr>
                <w:noProof/>
                <w:sz w:val="18"/>
              </w:rPr>
              <w:t>-5</w:t>
            </w:r>
          </w:p>
        </w:tc>
        <w:tc>
          <w:tcPr>
            <w:tcW w:w="900" w:type="dxa"/>
          </w:tcPr>
          <w:p>
            <w:pPr>
              <w:spacing w:beforeLines="40" w:before="96" w:afterLines="40" w:after="96"/>
              <w:jc w:val="center"/>
              <w:rPr>
                <w:noProof/>
                <w:sz w:val="18"/>
              </w:rPr>
            </w:pPr>
            <w:r>
              <w:rPr>
                <w:noProof/>
                <w:sz w:val="18"/>
              </w:rPr>
              <w:t>-5</w:t>
            </w:r>
          </w:p>
        </w:tc>
        <w:tc>
          <w:tcPr>
            <w:tcW w:w="1080" w:type="dxa"/>
          </w:tcPr>
          <w:p>
            <w:pPr>
              <w:spacing w:beforeLines="40" w:before="96" w:afterLines="40" w:after="96"/>
              <w:jc w:val="center"/>
              <w:rPr>
                <w:noProof/>
                <w:sz w:val="18"/>
              </w:rPr>
            </w:pPr>
            <w:r>
              <w:rPr>
                <w:noProof/>
                <w:sz w:val="18"/>
              </w:rPr>
              <w:t>-5</w:t>
            </w: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r>
        <w:rPr>
          <w:noProof/>
        </w:rPr>
        <w:t>Certain chemical products in HS 2914 and 2915 imported from Mexico have a preferential duty rate of 0% through a temporary derogation which ends on 31 December 2019. The MFN rate of 5.5%, which would have been applicable as from 1 January 2020, is forgone on these chemical products by making the drogation permanent.</w:t>
      </w:r>
    </w:p>
    <w:sectPr>
      <w:headerReference w:type="default" r:id="rId16"/>
      <w:footerReference w:type="default" r:id="rId17"/>
      <w:headerReference w:type="firs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C 326, 26.10.2012, p. 146</w:t>
      </w:r>
    </w:p>
  </w:footnote>
  <w:footnote w:id="2">
    <w:p>
      <w:pPr>
        <w:pStyle w:val="FootnoteText"/>
        <w:rPr>
          <w:lang w:val="pl-PL"/>
        </w:rPr>
      </w:pPr>
      <w:r>
        <w:rPr>
          <w:rStyle w:val="FootnoteReference"/>
        </w:rPr>
        <w:footnoteRef/>
      </w:r>
      <w:r>
        <w:rPr>
          <w:lang w:val="pl-PL"/>
        </w:rPr>
        <w:tab/>
        <w:t>OJ L 157, 30.06.2000, p. 10</w:t>
      </w:r>
    </w:p>
  </w:footnote>
  <w:footnote w:id="3">
    <w:p>
      <w:pPr>
        <w:pStyle w:val="FootnoteText"/>
        <w:rPr>
          <w:lang w:val="pl-PL"/>
        </w:rPr>
      </w:pPr>
      <w:r>
        <w:rPr>
          <w:rStyle w:val="FootnoteReference"/>
        </w:rPr>
        <w:footnoteRef/>
      </w:r>
      <w:r>
        <w:rPr>
          <w:lang w:val="pl-PL"/>
        </w:rPr>
        <w:tab/>
        <w:t>OJ L 245, 29.9.2000, p.1167.</w:t>
      </w:r>
    </w:p>
  </w:footnote>
  <w:footnote w:id="4">
    <w:p>
      <w:pPr>
        <w:pStyle w:val="FootnoteText"/>
        <w:rPr>
          <w:lang w:val="pl-PL"/>
        </w:rPr>
      </w:pPr>
      <w:r>
        <w:rPr>
          <w:rStyle w:val="FootnoteReference"/>
        </w:rPr>
        <w:footnoteRef/>
      </w:r>
      <w:r>
        <w:rPr>
          <w:lang w:val="pl-PL"/>
        </w:rPr>
        <w:tab/>
        <w:t>OJ L 245, 29.9.2000, p.1, cf. OJ L 157, 30.6.2000, p.10</w:t>
      </w:r>
    </w:p>
  </w:footnote>
  <w:footnote w:id="5">
    <w:p>
      <w:pPr>
        <w:pStyle w:val="FootnoteText"/>
      </w:pPr>
      <w:r>
        <w:rPr>
          <w:rStyle w:val="FootnoteReference"/>
        </w:rPr>
        <w:footnoteRef/>
      </w:r>
      <w:r>
        <w:tab/>
        <w:t>OJ L 276, 28.10.2000, p. 45.</w:t>
      </w:r>
    </w:p>
  </w:footnote>
  <w:footnote w:id="6">
    <w:p>
      <w:pPr>
        <w:pStyle w:val="FootnoteText"/>
        <w:rPr>
          <w:szCs w:val="24"/>
        </w:rPr>
      </w:pPr>
      <w:r>
        <w:rPr>
          <w:rStyle w:val="FootnoteReference"/>
        </w:rPr>
        <w:footnoteRef/>
      </w:r>
      <w:r>
        <w:tab/>
        <w:t>ABM: activity-based management; ABB: activity-based budgeting.</w:t>
      </w:r>
    </w:p>
  </w:footnote>
  <w:footnote w:id="7">
    <w:p>
      <w:pPr>
        <w:pStyle w:val="FootnoteText"/>
        <w:rPr>
          <w:szCs w:val="24"/>
        </w:rPr>
      </w:pPr>
      <w:r>
        <w:rPr>
          <w:rStyle w:val="FootnoteReference"/>
        </w:rPr>
        <w:footnoteRef/>
      </w:r>
      <w:r>
        <w:tab/>
        <w:t>As referred to in Article 54(2)(a) or (b) of the Financial Regulation.</w:t>
      </w:r>
    </w:p>
  </w:footnote>
  <w:footnote w:id="8">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9">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D60C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76DB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05B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D27A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0E4C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1476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B01B6C"/>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C62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4"/>
  </w:num>
  <w:num w:numId="18">
    <w:abstractNumId w:val="12"/>
  </w:num>
  <w:num w:numId="19">
    <w:abstractNumId w:val="15"/>
  </w:num>
  <w:num w:numId="20">
    <w:abstractNumId w:val="10"/>
  </w:num>
  <w:num w:numId="21">
    <w:abstractNumId w:val="23"/>
  </w:num>
  <w:num w:numId="22">
    <w:abstractNumId w:val="9"/>
  </w:num>
  <w:num w:numId="23">
    <w:abstractNumId w:val="16"/>
  </w:num>
  <w:num w:numId="24">
    <w:abstractNumId w:val="20"/>
  </w:num>
  <w:num w:numId="25">
    <w:abstractNumId w:val="21"/>
  </w:num>
  <w:num w:numId="26">
    <w:abstractNumId w:val="11"/>
  </w:num>
  <w:num w:numId="27">
    <w:abstractNumId w:val="19"/>
  </w:num>
  <w:num w:numId="28">
    <w:abstractNumId w:val="25"/>
  </w:num>
  <w:num w:numId="29">
    <w:abstractNumId w:val="22"/>
  </w:num>
  <w:num w:numId="30">
    <w:abstractNumId w:val="14"/>
  </w:num>
  <w:num w:numId="31">
    <w:abstractNumId w:val="24"/>
  </w:num>
  <w:num w:numId="32">
    <w:abstractNumId w:val="12"/>
  </w:num>
  <w:num w:numId="33">
    <w:abstractNumId w:val="15"/>
  </w:num>
  <w:num w:numId="34">
    <w:abstractNumId w:val="10"/>
  </w:num>
  <w:num w:numId="35">
    <w:abstractNumId w:val="23"/>
  </w:num>
  <w:num w:numId="36">
    <w:abstractNumId w:val="9"/>
  </w:num>
  <w:num w:numId="37">
    <w:abstractNumId w:val="16"/>
  </w:num>
  <w:num w:numId="38">
    <w:abstractNumId w:val="20"/>
  </w:num>
  <w:num w:numId="39">
    <w:abstractNumId w:val="21"/>
  </w:num>
  <w:num w:numId="40">
    <w:abstractNumId w:val="11"/>
  </w:num>
  <w:num w:numId="41">
    <w:abstractNumId w:val="19"/>
  </w:num>
  <w:num w:numId="4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9"/>
  <w:displayBackgroundShape/>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01 11:58: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97EF80C17E8472EADE63DC079F539CF"/>
    <w:docVar w:name="LW_CROSSREFERENCE" w:val="&lt;UNUSED&gt;"/>
    <w:docVar w:name="LW_DocType" w:val="COM"/>
    <w:docVar w:name="LW_EMISSION" w:val="8.2.2017"/>
    <w:docVar w:name="LW_EMISSION_ISODATE" w:val="2017-02-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20"/>
    <w:docVar w:name="LW_REF.II.NEW.CP_YEAR" w:val="2017"/>
    <w:docVar w:name="LW_REF.INST.NEW" w:val="COM"/>
    <w:docVar w:name="LW_REF.INST.NEW_ADOPTED" w:val="final"/>
    <w:docVar w:name="LW_REF.INST.NEW_TEXT" w:val="(2017) 64"/>
    <w:docVar w:name="LW_REF.INTERNE" w:val="&lt;UNUSED&gt;"/>
    <w:docVar w:name="LW_SOUS.TITRE.OBJ.CP" w:val="&lt;UNUSED&gt;"/>
    <w:docVar w:name="LW_STATUT.CP" w:val="Proposal for a"/>
    <w:docVar w:name="LW_SUPERTITRE" w:val="&lt;UNUSED&gt;"/>
    <w:docVar w:name="LW_TITRE.OBJ.CP" w:val="on the position to be adopted on behalf of the European Union within the EU-Mexico Joint Committee relating to amendments to Annex III to Decision No 2/2000 of the EC-Mexico Joint Council of 23 March 2000,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11</TotalTime>
  <Pages>13</Pages>
  <Words>2269</Words>
  <Characters>13004</Characters>
  <Application>Microsoft Office Word</Application>
  <DocSecurity>0</DocSecurity>
  <Lines>325</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2017-01-18T13:53:00Z</dcterms:created>
  <dcterms:modified xsi:type="dcterms:W3CDTF">2017-02-01T10:58:00Z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