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0140CE6EF44D82860B5ECDFEB87672" style="width:450.45pt;height:379.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de partenariat économique, de coordination politique et de coopération entre la Communauté européenne et ses États membres, d’une part, et les États-Unis mexicains, d’autre part, a été signé à Bruxelles le 8 décembre 1997. Les dispositions en matière de libéralisation des échanges ont été établies par la décision nº 2/2000 du Conseil conjoint CE</w:t>
      </w:r>
      <w:r>
        <w:rPr>
          <w:noProof/>
        </w:rPr>
        <w:noBreakHyphen/>
        <w:t>Mexique institué par l’accord (ci-après dénommée «décision nº 2/2000»).</w:t>
      </w:r>
    </w:p>
    <w:p>
      <w:pPr>
        <w:pBdr>
          <w:top w:val="nil"/>
          <w:left w:val="nil"/>
          <w:bottom w:val="nil"/>
          <w:right w:val="nil"/>
          <w:between w:val="nil"/>
          <w:bar w:val="nil"/>
        </w:pBdr>
        <w:spacing w:before="0" w:after="240"/>
        <w:rPr>
          <w:noProof/>
        </w:rPr>
      </w:pPr>
      <w:r>
        <w:rPr>
          <w:noProof/>
        </w:rPr>
        <w:t>L’annexe III de la décision nº 2/2000, relative à la définition de la notion de produits originaires et aux méthodes de coopération administrative, détermine les règles d’origine applicables aux produits originaires du territoire des parties à l’accord.</w:t>
      </w:r>
    </w:p>
    <w:p>
      <w:pPr>
        <w:pBdr>
          <w:top w:val="nil"/>
          <w:left w:val="nil"/>
          <w:bottom w:val="nil"/>
          <w:right w:val="nil"/>
          <w:between w:val="nil"/>
          <w:bar w:val="nil"/>
        </w:pBdr>
        <w:spacing w:before="0" w:after="240"/>
        <w:rPr>
          <w:rFonts w:eastAsia="Arial Unicode MS"/>
          <w:noProof/>
        </w:rPr>
      </w:pPr>
      <w:r>
        <w:rPr>
          <w:noProof/>
        </w:rPr>
        <w:t>L’Union européenne a conclu une union douanière avec la Principauté d’Andorre pour les produits relevant des chapitres 25 à 97 du système harmonisé, et avec la République de Saint</w:t>
      </w:r>
      <w:r>
        <w:rPr>
          <w:noProof/>
        </w:rPr>
        <w:noBreakHyphen/>
        <w:t>Marin pour tous les produits. En vertu de cette union douanière, les marchandises originaires du Mexique importées en Andorre ou à Saint-Marin bénéficient d’un traitement préférentiel au titre de l’accord UE-Mexique.</w:t>
      </w:r>
    </w:p>
    <w:p>
      <w:pPr>
        <w:pBdr>
          <w:top w:val="nil"/>
          <w:left w:val="nil"/>
          <w:bottom w:val="nil"/>
          <w:right w:val="nil"/>
          <w:between w:val="nil"/>
          <w:bar w:val="nil"/>
        </w:pBdr>
        <w:spacing w:before="0" w:after="240"/>
        <w:rPr>
          <w:rFonts w:eastAsia="Arial Unicode MS"/>
          <w:noProof/>
        </w:rPr>
      </w:pPr>
      <w:r>
        <w:rPr>
          <w:noProof/>
        </w:rPr>
        <w:t>D’un commun accord, le Mexique considérera dorénavant les produits des chapitres 25 à 97 du système harmonisé originaires de la Principauté d’Andorre ainsi que les produits originaires de la République de Saint-Marin comme des produits originaires de l’Union européenne au sens de l’annexe III de la décision nº 2/2000.</w:t>
      </w:r>
    </w:p>
    <w:p>
      <w:pPr>
        <w:pBdr>
          <w:top w:val="nil"/>
          <w:left w:val="nil"/>
          <w:bottom w:val="nil"/>
          <w:right w:val="nil"/>
          <w:between w:val="nil"/>
          <w:bar w:val="nil"/>
        </w:pBdr>
        <w:spacing w:before="0" w:after="240"/>
        <w:rPr>
          <w:rFonts w:eastAsia="Arial Unicode MS"/>
          <w:noProof/>
        </w:rPr>
      </w:pPr>
      <w:r>
        <w:rPr>
          <w:noProof/>
        </w:rPr>
        <w:t>Il a en outre été convenu avec le Mexique qu’il y avait lieu de modifier la décision nº 1/2017 du comité conjoint UE-Mexique, afin de rendre permanentes les règles par produit prévues dans celle-ci pour certains produits chimiques relevant des positions 2914 et 2915 du système harmonisé. Cette démarche est conforme à la logique de l’actualisation de l’accord UE</w:t>
      </w:r>
      <w:r>
        <w:rPr>
          <w:noProof/>
        </w:rPr>
        <w:noBreakHyphen/>
        <w:t>Mexique actuellement menée en ce qui concerne les règles d’origine par produit.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Dans les accords de libre-échange entre l’Union européenne et les pays tiers, la réciprocité est accordée à Andorre et à Saint-Marin, ce qui permet aux produits originaires de ces pays d’être traités comme s’ils étaient originaires de l’Union européenne. Cette réciprocité est désormais étendue au Mexique.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proposition porte sur la politique commerciale de l’Union européenne, la base juridique appropriée est l’article 207, paragraphe 4, premier alinéa,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ne va pas au-delà de ce qui est nécessaire ou approprié pour atteindre les résultats escomptés.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 La proposition apporte des modifications afin d’actualiser un texte précédent.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apporte des modifications à un accord commercial bilatéral existant. Il n’y a pas d’autre option à examiner.</w:t>
      </w:r>
    </w:p>
    <w:p>
      <w:pPr>
        <w:pStyle w:val="ManualHeading1"/>
        <w:rPr>
          <w:noProof/>
        </w:rPr>
      </w:pPr>
      <w:r>
        <w:rPr>
          <w:noProof/>
        </w:rPr>
        <w:t>4.</w:t>
      </w:r>
      <w:r>
        <w:rPr>
          <w:noProof/>
        </w:rPr>
        <w:tab/>
        <w:t>INCIDENCES BUDGÉTAIRES</w:t>
      </w:r>
    </w:p>
    <w:p>
      <w:pPr>
        <w:pBdr>
          <w:top w:val="nil"/>
          <w:left w:val="nil"/>
          <w:bottom w:val="nil"/>
          <w:right w:val="nil"/>
          <w:between w:val="nil"/>
          <w:bar w:val="nil"/>
        </w:pBdr>
        <w:spacing w:before="0" w:after="240"/>
        <w:rPr>
          <w:rFonts w:eastAsia="Arial Unicode MS"/>
          <w:noProof/>
        </w:rPr>
      </w:pPr>
      <w:r>
        <w:rPr>
          <w:noProof/>
        </w:rPr>
        <w:t>L’effet potentiel sur le budget est une perte de ressources propres issues des droits de douane d’environ 5 millions d’EUR par an.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Aucun.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adopter, au nom de l’Union européenne, au sein du comité conjoint UE</w:t>
      </w:r>
      <w:r>
        <w:rPr>
          <w:noProof/>
        </w:rPr>
        <w:noBreakHyphen/>
        <w:t>Mexique concernant les modifications à apporter à l’annexe III de la décision nº 2/2000 du Conseil conjoint CE-Mexique du 23 mars 2000, relative à la définition de la notion de produits originaires et aux méthodes de coopération administrative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l’article 218, paragraphe 9</w:t>
      </w:r>
      <w:r>
        <w:rPr>
          <w:rStyle w:val="FootnoteReference"/>
          <w:noProof/>
        </w:rPr>
        <w:footnoteReference w:id="1"/>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L’annexe III de la décision nº 2/2000 du Conseil conjoint CE-Mexique du 23 mars 2000</w:t>
      </w:r>
      <w:r>
        <w:rPr>
          <w:rStyle w:val="FootnoteReference"/>
          <w:noProof/>
        </w:rPr>
        <w:footnoteReference w:id="2"/>
      </w:r>
      <w:r>
        <w:rPr>
          <w:noProof/>
        </w:rPr>
        <w:t xml:space="preserve"> énonce les règles d’origine applicables aux produits originaires du territoire des parties à l’accord. L’article 38 autorise le comité conjoint UE-Mexique à modifier l’annexe III à la décision nº 2/2000.</w:t>
      </w:r>
    </w:p>
    <w:p>
      <w:pPr>
        <w:pStyle w:val="ManualConsidrant"/>
        <w:rPr>
          <w:noProof/>
        </w:rPr>
      </w:pPr>
      <w:r>
        <w:t>(2)</w:t>
      </w:r>
      <w:r>
        <w:tab/>
      </w:r>
      <w:r>
        <w:rPr>
          <w:noProof/>
        </w:rPr>
        <w:t>L’Union européenne a conclu une union douanière avec la Principauté d’Andorre pour les produits des chapitres 25 à 97 du système harmonisé, et avec la République de Saint-Marin pour les produits des chapitres 1 à 97 du système harmonisé. En vertu de cette union douanière, les marchandises originaires du Mexique bénéficient du traitement préférentiel instauré par la décision nº 2/2000 également lorsqu’elles sont exportées vers l’Andorre ou vers Saint-Marin.</w:t>
      </w:r>
    </w:p>
    <w:p>
      <w:pPr>
        <w:pStyle w:val="ManualConsidrant"/>
        <w:rPr>
          <w:noProof/>
        </w:rPr>
      </w:pPr>
      <w:r>
        <w:t>(3)</w:t>
      </w:r>
      <w:r>
        <w:tab/>
      </w:r>
      <w:r>
        <w:rPr>
          <w:noProof/>
        </w:rPr>
        <w:t>D’un commun accord, le Mexique considérera les produits des chapitres 25 à 97 du système harmonisé originaires de la Principauté d’Andorre et les produits des chapitres 1 à 97 du système harmonisé originaires de la République de Saint-Marin comme des produits originaires de l’Union européenne au sens de l’annexe III de la décision nº 2/2000.</w:t>
      </w:r>
    </w:p>
    <w:p>
      <w:pPr>
        <w:pStyle w:val="ManualConsidrant"/>
        <w:rPr>
          <w:noProof/>
        </w:rPr>
      </w:pPr>
      <w:r>
        <w:t>(4)</w:t>
      </w:r>
      <w:r>
        <w:tab/>
      </w:r>
      <w:r>
        <w:rPr>
          <w:noProof/>
        </w:rPr>
        <w:t>Il convient d’ajouter un appendice VI à l’annexe III de la décision nº 2/2000 pour que ces produits, lorsqu’ils sont importés au Mexique, reçoivent le même traitement que s’ils étaient originaires de l’Union européenne et pour fixer les modalités de l’application de l’annexe III auxdits produits.</w:t>
      </w:r>
    </w:p>
    <w:p>
      <w:pPr>
        <w:pStyle w:val="ManualConsidrant"/>
        <w:rPr>
          <w:noProof/>
        </w:rPr>
      </w:pPr>
      <w:r>
        <w:t>(5)</w:t>
      </w:r>
      <w:r>
        <w:tab/>
      </w:r>
      <w:r>
        <w:rPr>
          <w:noProof/>
        </w:rPr>
        <w:t>Selon la déclaration conjointe V</w:t>
      </w:r>
      <w:r>
        <w:rPr>
          <w:rStyle w:val="FootnoteReference"/>
          <w:noProof/>
        </w:rPr>
        <w:footnoteReference w:id="3"/>
      </w:r>
      <w:r>
        <w:rPr>
          <w:noProof/>
        </w:rPr>
        <w:t xml:space="preserve"> de la décision nº 2/2000 du Conseil conjoint CE</w:t>
      </w:r>
      <w:r>
        <w:rPr>
          <w:noProof/>
        </w:rPr>
        <w:noBreakHyphen/>
        <w:t>Mexique</w:t>
      </w:r>
      <w:r>
        <w:rPr>
          <w:rStyle w:val="FootnoteReference"/>
          <w:noProof/>
        </w:rPr>
        <w:footnoteReference w:id="4"/>
      </w:r>
      <w:r>
        <w:rPr>
          <w:noProof/>
        </w:rPr>
        <w:t xml:space="preserve"> établie en vertu de l’accord de partenariat économique, de coordination politique et de coopération entre la Communauté européenne et ses États membres, d’une part, et les États-Unis mexicains, d’autre part, signé à Bruxelles le 8 décembre 1997</w:t>
      </w:r>
      <w:r>
        <w:rPr>
          <w:rStyle w:val="FootnoteReference"/>
          <w:noProof/>
        </w:rPr>
        <w:footnoteReference w:id="5"/>
      </w:r>
      <w:r>
        <w:rPr>
          <w:noProof/>
        </w:rPr>
        <w:t>, le comité conjoint UE-Mexique institué par ledit accord doit étudier la nécessité de proroger au-delà du 30 juin 2003 l’application des règles d’origine énoncées dans les notes 2 et 3 de l’annexe III, appendice II a), de la décision nº 2/2000. Cet examen concerne les règles par produit définies à l’annexe III, appendice II, de la décision nº 2/2000 pour certains produits chimiques relevant des positions 2914 et 2915 du système harmonisé.</w:t>
      </w:r>
    </w:p>
    <w:p>
      <w:pPr>
        <w:pStyle w:val="ManualConsidrant"/>
        <w:rPr>
          <w:noProof/>
        </w:rPr>
      </w:pPr>
      <w:r>
        <w:t>(6)</w:t>
      </w:r>
      <w:r>
        <w:tab/>
      </w:r>
      <w:r>
        <w:rPr>
          <w:noProof/>
        </w:rPr>
        <w:t>Le XX/XX/2017, le comité conjoint a adopté la décision nº 1/2017, qui proroge pour la quatrième fois l’application des règles d’origine par produit pour certains produits chimiques relevant des positions 2914 et 2915 du système harmonisé. La décision nº 1/2017 est applicable jusqu’au 31 décembre 2019.</w:t>
      </w:r>
    </w:p>
    <w:p>
      <w:pPr>
        <w:pStyle w:val="ManualConsidrant"/>
        <w:rPr>
          <w:noProof/>
        </w:rPr>
      </w:pPr>
      <w:r>
        <w:t>(7)</w:t>
      </w:r>
      <w:r>
        <w:tab/>
      </w:r>
      <w:r>
        <w:rPr>
          <w:noProof/>
        </w:rPr>
        <w:t>Les règles d’origine par produit établies à l’annexe I de la décision nº 1/2017 étant conformes aux principes de l’actualisation de l’accord conclu entre le Mexique et l’Union européenne, il est jugé opportun de proroger indéfiniment leur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1. La position à adopter, au nom de l’Union européenne, au sein du comité conjoint UE</w:t>
      </w:r>
      <w:r>
        <w:rPr>
          <w:noProof/>
        </w:rPr>
        <w:noBreakHyphen/>
        <w:t>Mexique concernant, d’une part, les modifications à apporter à la décision nº 2/2000 du Conseil conjoint CE-Mexique et, d’autre part, la décision nº 1/2017 du comité conjoint UE</w:t>
      </w:r>
      <w:r>
        <w:rPr>
          <w:noProof/>
        </w:rPr>
        <w:noBreakHyphen/>
        <w:t>Mexique est fondée sur le projet de décision du comité conjoint UE-Mexique joint à la présente décision.</w:t>
      </w:r>
    </w:p>
    <w:p>
      <w:pPr>
        <w:rPr>
          <w:noProof/>
        </w:rPr>
      </w:pPr>
      <w:r>
        <w:rPr>
          <w:noProof/>
        </w:rPr>
        <w:t>2. Les représentants de l’Union européenne au sein du comité conjoint UE-Mexique peuvent accepter que des modifications mineures soient apportées au projet de décision visé au paragraphe 1 sans que le Conseil doive adopter une nouvelle décision.</w:t>
      </w:r>
    </w:p>
    <w:p>
      <w:pPr>
        <w:pStyle w:val="Titrearticle"/>
        <w:rPr>
          <w:noProof/>
        </w:rPr>
      </w:pPr>
      <w:r>
        <w:rPr>
          <w:noProof/>
        </w:rPr>
        <w:t>Article 2</w:t>
      </w:r>
    </w:p>
    <w:p>
      <w:pPr>
        <w:keepLines/>
        <w:rPr>
          <w:noProof/>
        </w:rPr>
      </w:pPr>
      <w:r>
        <w:rPr>
          <w:noProof/>
        </w:rPr>
        <w:t xml:space="preserve">Une fois adoptée, la décision du comité conjoint UE-Mexique concernant les modifications à apporter à l’annexe III de la décision nº 2/2000 du Conseil conjoint CE-Mexique du 23 mars 2000 est publiée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sectPr>
          <w:pgSz w:w="11907" w:h="16839"/>
          <w:pgMar w:top="1134" w:right="1417" w:bottom="1134" w:left="1417" w:header="709" w:footer="709" w:gutter="0"/>
          <w:cols w:space="708"/>
          <w:docGrid w:linePitch="360"/>
        </w:sectPr>
      </w:pPr>
      <w:r>
        <w:rPr>
          <w:noProof/>
        </w:rPr>
        <w:tab/>
        <w:t>Le président</w:t>
      </w:r>
    </w:p>
    <w:p>
      <w:pPr>
        <w:pStyle w:val="Fichefinanciretitre"/>
        <w:rPr>
          <w:noProof/>
        </w:rPr>
      </w:pPr>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Décision du Conseil sur la position à adopter, au nom de l’Union européenne, au sein du comité conjoint UE-Mexique concernant les modifications à apporter à l’annexe III de la décision nº 2/2000 du Conseil conjoint CE-Mexique du 23 mars 2000, relative à la définition de la notion de produits originaires et aux méthodes de coopération administrative</w:t>
      </w:r>
    </w:p>
    <w:p>
      <w:pPr>
        <w:pStyle w:val="ManualHeading2"/>
        <w:rPr>
          <w:noProof/>
          <w:szCs w:val="24"/>
        </w:rPr>
      </w:pPr>
      <w:r>
        <w:t>1.2.</w:t>
      </w:r>
      <w:r>
        <w:tab/>
      </w:r>
      <w:r>
        <w:rPr>
          <w:noProof/>
        </w:rPr>
        <w:t>Domaine(s) politique(s) concerné(s) dans la structure ABM/ABB</w:t>
      </w:r>
      <w:r>
        <w:rPr>
          <w:rStyle w:val="FootnoteReference"/>
          <w:noProof/>
        </w:rPr>
        <w:footnoteReference w:id="6"/>
      </w:r>
    </w:p>
    <w:p>
      <w:pPr>
        <w:pStyle w:val="Text1"/>
        <w:pBdr>
          <w:top w:val="single" w:sz="4" w:space="1" w:color="auto"/>
          <w:left w:val="single" w:sz="4" w:space="4" w:color="auto"/>
          <w:bottom w:val="single" w:sz="4" w:space="1" w:color="auto"/>
          <w:right w:val="single" w:sz="4" w:space="4" w:color="auto"/>
        </w:pBdr>
        <w:rPr>
          <w:noProof/>
        </w:rPr>
      </w:pPr>
      <w:r>
        <w:rPr>
          <w:noProof/>
        </w:rPr>
        <w:t>Ligne de recettes: chapitre 12 (droits de douane et autres droits visés à l’article 2, paragraphe 1, point a), de la décision 2007/436/CE, Euratom).</w:t>
      </w:r>
    </w:p>
    <w:p>
      <w:pPr>
        <w:pStyle w:val="ManualHeading2"/>
        <w:rPr>
          <w:bCs/>
          <w:noProof/>
          <w:szCs w:val="24"/>
        </w:rPr>
      </w:pPr>
      <w:r>
        <w:t>1.3.</w:t>
      </w:r>
      <w:r>
        <w:tab/>
      </w:r>
      <w:r>
        <w:rPr>
          <w:noProof/>
        </w:rPr>
        <w:t>Nature de la proposition/de l’initiative</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p>
    <w:p>
      <w:pPr>
        <w:pStyle w:val="Text1"/>
        <w:rPr>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7"/>
      </w:r>
    </w:p>
    <w:p>
      <w:pPr>
        <w:pStyle w:val="Text1"/>
        <w:rPr>
          <w:noProof/>
          <w:sz w:val="22"/>
        </w:rPr>
      </w:pPr>
      <w:r>
        <w:rPr>
          <w:noProof/>
          <w:sz w:val="22"/>
        </w:rPr>
        <w:sym w:font="Wingdings" w:char="F0FD"/>
      </w:r>
      <w:r>
        <w:rPr>
          <w:b/>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b/>
          <w:i/>
          <w:noProof/>
          <w:sz w:val="22"/>
        </w:rPr>
        <w:t xml:space="preserve"> </w:t>
      </w:r>
      <w:r>
        <w:rPr>
          <w:noProof/>
        </w:rPr>
        <w:t xml:space="preserve">La proposition/l’initiative porte sur </w:t>
      </w:r>
      <w:r>
        <w:rPr>
          <w:b/>
          <w:noProof/>
        </w:rPr>
        <w:t>une action réorientée vers une action nouvelle</w:t>
      </w:r>
    </w:p>
    <w:p>
      <w:pPr>
        <w:pStyle w:val="ManualHeading2"/>
        <w:rPr>
          <w:bCs/>
          <w:noProof/>
          <w:szCs w:val="24"/>
        </w:rPr>
      </w:pPr>
      <w:r>
        <w:t>1.4.</w:t>
      </w:r>
      <w:r>
        <w:tab/>
      </w:r>
      <w:r>
        <w:rPr>
          <w:noProof/>
        </w:rPr>
        <w:t>Objectif(s)</w:t>
      </w:r>
    </w:p>
    <w:p>
      <w:pPr>
        <w:pStyle w:val="ManualHeading3"/>
        <w:rPr>
          <w:noProof/>
        </w:rPr>
      </w:pPr>
      <w:r>
        <w:t>1.4.1.</w:t>
      </w:r>
      <w:r>
        <w:tab/>
      </w:r>
      <w:r>
        <w:rPr>
          <w:noProof/>
        </w:rPr>
        <w:t>Objectif(s) stratégique(s) pluriannuel(s) de la Commission visé(s) par la proposition/initiative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Droits de douane</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 fait de rendre permanentes les règles d’origine par produit des produits chimiques visés dans les positions 2914 et 2915 du système harmonisé n’entraînera pas de diminution des échanges de ces produits entre le Mexique et l’Union.</w:t>
      </w:r>
    </w:p>
    <w:p>
      <w:pPr>
        <w:pStyle w:val="ManualHeading3"/>
        <w:rPr>
          <w:bCs/>
          <w:noProof/>
          <w:szCs w:val="24"/>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proposition relève de la compétence exclusive de l’Union européenne.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br w:type="page"/>
      </w:r>
      <w:r>
        <w:t>1.6.</w:t>
      </w:r>
      <w:r>
        <w:tab/>
      </w:r>
      <w:r>
        <w:rPr>
          <w:noProof/>
        </w:rPr>
        <w:t>Durée et incidence financière</w:t>
      </w:r>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D"/>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à partir du 1</w:t>
      </w:r>
      <w:r>
        <w:rPr>
          <w:noProof/>
          <w:vertAlign w:val="superscript"/>
        </w:rPr>
        <w:t>er</w:t>
      </w:r>
      <w:r>
        <w:rPr>
          <w:noProof/>
        </w:rPr>
        <w:t> janvier 2020,</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8"/>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FD"/>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t>2.2.3.</w:t>
      </w:r>
      <w:r>
        <w:tab/>
      </w:r>
      <w:r>
        <w:rPr>
          <w:noProof/>
        </w:rPr>
        <w:t>Estimation du coût et des avantages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Text1"/>
        <w:rPr>
          <w:noProof/>
        </w:rPr>
      </w:pPr>
      <w:r>
        <w:rPr>
          <w:noProof/>
        </w:rPr>
        <w:t>Sans objet</w:t>
      </w:r>
    </w:p>
    <w:p>
      <w:pPr>
        <w:pStyle w:val="ManualHeading2"/>
        <w:rPr>
          <w:bCs/>
          <w:noProof/>
          <w:szCs w:val="24"/>
        </w:rPr>
      </w:pPr>
      <w:r>
        <w:t>3.2.</w:t>
      </w:r>
      <w:r>
        <w:tab/>
      </w:r>
      <w:r>
        <w:rPr>
          <w:noProof/>
        </w:rPr>
        <w:t>Incidence estimée sur les dépenses</w:t>
      </w:r>
    </w:p>
    <w:p>
      <w:pPr>
        <w:pStyle w:val="ManualHeading3"/>
        <w:rPr>
          <w:noProof/>
        </w:rPr>
      </w:pPr>
      <w:r>
        <w:t>3.2.1.</w:t>
      </w:r>
      <w:r>
        <w:tab/>
      </w:r>
      <w:r>
        <w:rPr>
          <w:noProof/>
        </w:rPr>
        <w:t>Synthèse de l’incidence estimée sur les dépenses</w:t>
      </w:r>
    </w:p>
    <w:p>
      <w:pPr>
        <w:pStyle w:val="Text1"/>
        <w:rPr>
          <w:noProof/>
        </w:rPr>
      </w:pPr>
      <w:r>
        <w:rPr>
          <w:noProof/>
        </w:rPr>
        <w:t>Sans objet</w:t>
      </w:r>
    </w:p>
    <w:p>
      <w:pPr>
        <w:pStyle w:val="ManualHeading3"/>
        <w:rPr>
          <w:bCs/>
          <w:noProof/>
          <w:szCs w:val="24"/>
        </w:rPr>
      </w:pPr>
      <w:r>
        <w:t>3.2.2.</w:t>
      </w:r>
      <w:r>
        <w:tab/>
      </w:r>
      <w:r>
        <w:rPr>
          <w:noProof/>
        </w:rPr>
        <w:t>Incidence estimée sur les crédits opérationnels</w:t>
      </w:r>
    </w:p>
    <w:p>
      <w:pPr>
        <w:pStyle w:val="ListDash1"/>
        <w:rPr>
          <w:noProof/>
        </w:rPr>
      </w:pPr>
      <w:r>
        <w:rPr>
          <w:noProof/>
        </w:rPr>
        <w:sym w:font="Wingdings" w:char="F0FD"/>
      </w:r>
      <w:r>
        <w:rPr>
          <w:noProof/>
        </w:rPr>
        <w:tab/>
        <w:t>La proposition/l'initiative n'engendre pas l'utilisation de crédits opérationnels</w:t>
      </w:r>
    </w:p>
    <w:p>
      <w:pPr>
        <w:pStyle w:val="ListDash1"/>
        <w:rPr>
          <w:noProof/>
        </w:rPr>
      </w:pPr>
      <w:r>
        <w:rPr>
          <w:noProof/>
        </w:rPr>
        <w:sym w:font="Wingdings" w:char="F0A8"/>
      </w:r>
      <w:r>
        <w:rPr>
          <w:noProof/>
        </w:rPr>
        <w:tab/>
        <w:t>La proposition/l'initiative engendre l'utilisation de crédits opérationnels, comme expliqué ci-après:</w:t>
      </w:r>
    </w:p>
    <w:p>
      <w:pPr>
        <w:rPr>
          <w:noProof/>
        </w:rPr>
        <w:sectPr>
          <w:headerReference w:type="default" r:id="rId12"/>
          <w:footerReference w:type="default" r:id="rId13"/>
          <w:headerReference w:type="first" r:id="rId14"/>
          <w:footerReference w:type="first" r:id="rId15"/>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FD"/>
      </w:r>
      <w:r>
        <w:rPr>
          <w:noProof/>
        </w:rPr>
        <w:tab/>
        <w:t>La proposition/l'initiative n'engendre pas l'utilisation de crédits de nature administrative.</w:t>
      </w:r>
    </w:p>
    <w:p>
      <w:pPr>
        <w:pStyle w:val="ListDash1"/>
        <w:rPr>
          <w:noProof/>
        </w:rPr>
      </w:pPr>
      <w:r>
        <w:rPr>
          <w:noProof/>
        </w:rPr>
        <w:sym w:font="Wingdings" w:char="F0A8"/>
      </w:r>
      <w:r>
        <w:rPr>
          <w:noProof/>
        </w:rPr>
        <w:tab/>
        <w:t>La proposition/l'initiative engendre l'utilisation de crédits de nature administrative, comme expliqué ci-après: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FD"/>
      </w:r>
      <w:r>
        <w:rPr>
          <w:noProof/>
        </w:rPr>
        <w:tab/>
        <w:t>La proposition/l'initiative n'engendre pas l'utilisation de ressources humaines.</w:t>
      </w:r>
    </w:p>
    <w:p>
      <w:pPr>
        <w:pStyle w:val="ListDash1"/>
        <w:rPr>
          <w:noProof/>
        </w:rPr>
      </w:pPr>
      <w:r>
        <w:rPr>
          <w:noProof/>
        </w:rPr>
        <w:sym w:font="Wingdings" w:char="F0A8"/>
      </w:r>
      <w:r>
        <w:rPr>
          <w:noProof/>
        </w:rPr>
        <w:tab/>
        <w:t>La proposition/l'initiative engendre l'utilisation de ressources humaines, comme expliqué ci-après:</w:t>
      </w:r>
    </w:p>
    <w:p>
      <w:pPr>
        <w:pStyle w:val="ManualHeading3"/>
        <w:rPr>
          <w:bCs/>
          <w:noProof/>
          <w:szCs w:val="24"/>
        </w:rPr>
      </w:pPr>
      <w:r>
        <w:t>3.2.4.</w:t>
      </w:r>
      <w:r>
        <w:tab/>
      </w:r>
      <w:r>
        <w:rPr>
          <w:noProof/>
        </w:rPr>
        <w:t>Compatibilité avec le cadre financier pluriannuel actuel</w:t>
      </w:r>
    </w:p>
    <w:p>
      <w:pPr>
        <w:pStyle w:val="ListDash1"/>
        <w:rPr>
          <w:noProof/>
        </w:rPr>
      </w:pPr>
      <w:r>
        <w:rPr>
          <w:noProof/>
        </w:rPr>
        <w:sym w:font="Wingdings" w:char="F0FD"/>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3.2.5.</w:t>
      </w:r>
      <w:r>
        <w:tab/>
      </w:r>
      <w:r>
        <w:rPr>
          <w:noProof/>
        </w:rPr>
        <w:t>Participation de tiers au financement</w:t>
      </w:r>
    </w:p>
    <w:p>
      <w:pPr>
        <w:pStyle w:val="ListDash1"/>
        <w:rPr>
          <w:noProof/>
        </w:rPr>
      </w:pPr>
      <w:r>
        <w:rPr>
          <w:noProof/>
        </w:rPr>
        <w:t>La proposition/l'initiative ne prévoit pas de cofinancement par des tierces parties.</w:t>
      </w:r>
    </w:p>
    <w:p>
      <w:pPr>
        <w:rPr>
          <w:noProof/>
        </w:rPr>
      </w:pPr>
      <w:r>
        <w:rPr>
          <w:noProof/>
        </w:rPr>
        <w:br/>
      </w:r>
    </w:p>
    <w:p>
      <w:pPr>
        <w:pStyle w:val="ManualHeading2"/>
        <w:rPr>
          <w:bCs/>
          <w:noProof/>
          <w:szCs w:val="24"/>
        </w:rPr>
      </w:pPr>
      <w:r>
        <w:rPr>
          <w:noProof/>
        </w:rPr>
        <w:br w:type="page"/>
      </w:r>
      <w:r>
        <w:t>3.3.</w:t>
      </w:r>
      <w:r>
        <w:tab/>
      </w:r>
      <w:r>
        <w:rPr>
          <w:noProof/>
        </w:rPr>
        <w:t>Incidence estimée sur les recettes</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FD"/>
      </w:r>
      <w:r>
        <w:rPr>
          <w:noProof/>
        </w:rPr>
        <w:tab/>
        <w:t>La proposition/l’initiative a une incidence financière décrite ci-après:</w:t>
      </w:r>
    </w:p>
    <w:p>
      <w:pPr>
        <w:pStyle w:val="ListNumberLevel3"/>
        <w:tabs>
          <w:tab w:val="clear" w:pos="2126"/>
        </w:tabs>
        <w:rPr>
          <w:noProof/>
        </w:rPr>
      </w:pPr>
      <w:r>
        <w:rPr>
          <w:noProof/>
        </w:rPr>
        <w:sym w:font="Wingdings" w:char="F0FD"/>
      </w:r>
      <w:r>
        <w:rPr>
          <w:noProof/>
        </w:rPr>
        <w:tab/>
        <w:t>sur les ressources propres</w:t>
      </w:r>
    </w:p>
    <w:p>
      <w:pPr>
        <w:pStyle w:val="ListNumberLevel3"/>
        <w:tabs>
          <w:tab w:val="clear" w:pos="2126"/>
        </w:tabs>
        <w:rPr>
          <w:noProof/>
        </w:rPr>
      </w:pPr>
      <w:r>
        <w:rPr>
          <w:noProof/>
        </w:rPr>
        <w:sym w:font="Wingdings" w:char="F0A8"/>
      </w:r>
      <w:r>
        <w:rPr>
          <w:noProof/>
        </w:rPr>
        <w:tab/>
        <w:t>sur les recettes diverses</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La proposition n’a pas de date d’expiration.</w:t>
            </w:r>
          </w:p>
        </w:tc>
      </w:tr>
      <w:tr>
        <w:trPr>
          <w:trHeight w:val="388"/>
        </w:trPr>
        <w:tc>
          <w:tcPr>
            <w:tcW w:w="2144" w:type="dxa"/>
            <w:vAlign w:val="center"/>
          </w:tcPr>
          <w:p>
            <w:pPr>
              <w:spacing w:before="40" w:after="40"/>
              <w:rPr>
                <w:noProof/>
                <w:sz w:val="18"/>
              </w:rPr>
            </w:pPr>
            <w:r>
              <w:rPr>
                <w:noProof/>
                <w:sz w:val="18"/>
              </w:rPr>
              <w:t>Article 120</w:t>
            </w:r>
          </w:p>
        </w:tc>
        <w:tc>
          <w:tcPr>
            <w:tcW w:w="1276" w:type="dxa"/>
          </w:tcPr>
          <w:p>
            <w:pPr>
              <w:spacing w:beforeLines="40" w:before="96" w:afterLines="40" w:after="96"/>
              <w:jc w:val="center"/>
              <w:rPr>
                <w:i/>
                <w:noProof/>
                <w:sz w:val="18"/>
              </w:rPr>
            </w:pPr>
            <w:r>
              <w:rPr>
                <w:i/>
                <w:noProof/>
                <w:sz w:val="18"/>
              </w:rPr>
              <w:t>20 000 500 000</w:t>
            </w:r>
          </w:p>
        </w:tc>
        <w:tc>
          <w:tcPr>
            <w:tcW w:w="1080" w:type="dxa"/>
          </w:tcPr>
          <w:p>
            <w:pPr>
              <w:spacing w:beforeLines="40" w:before="96" w:afterLines="40" w:after="96"/>
              <w:jc w:val="center"/>
              <w:rPr>
                <w:noProof/>
                <w:sz w:val="18"/>
              </w:rPr>
            </w:pPr>
            <w:r>
              <w:rPr>
                <w:noProof/>
                <w:sz w:val="18"/>
              </w:rPr>
              <w:t>-5</w:t>
            </w:r>
          </w:p>
        </w:tc>
        <w:tc>
          <w:tcPr>
            <w:tcW w:w="900" w:type="dxa"/>
          </w:tcPr>
          <w:p>
            <w:pPr>
              <w:spacing w:beforeLines="40" w:before="96" w:afterLines="40" w:after="96"/>
              <w:jc w:val="center"/>
              <w:rPr>
                <w:noProof/>
                <w:sz w:val="18"/>
              </w:rPr>
            </w:pPr>
            <w:r>
              <w:rPr>
                <w:noProof/>
                <w:sz w:val="18"/>
              </w:rPr>
              <w:t>-5</w:t>
            </w:r>
          </w:p>
        </w:tc>
        <w:tc>
          <w:tcPr>
            <w:tcW w:w="900" w:type="dxa"/>
          </w:tcPr>
          <w:p>
            <w:pPr>
              <w:spacing w:beforeLines="40" w:before="96" w:afterLines="40" w:after="96"/>
              <w:jc w:val="center"/>
              <w:rPr>
                <w:noProof/>
                <w:sz w:val="18"/>
              </w:rPr>
            </w:pPr>
            <w:r>
              <w:rPr>
                <w:noProof/>
                <w:sz w:val="18"/>
              </w:rPr>
              <w:t>-5</w:t>
            </w:r>
          </w:p>
        </w:tc>
        <w:tc>
          <w:tcPr>
            <w:tcW w:w="1080" w:type="dxa"/>
          </w:tcPr>
          <w:p>
            <w:pPr>
              <w:spacing w:beforeLines="40" w:before="96" w:afterLines="40" w:after="96"/>
              <w:jc w:val="center"/>
              <w:rPr>
                <w:noProof/>
                <w:sz w:val="18"/>
              </w:rPr>
            </w:pPr>
            <w:r>
              <w:rPr>
                <w:noProof/>
                <w:sz w:val="18"/>
              </w:rPr>
              <w:t>-5</w:t>
            </w: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Certains produits chimiques relevant des positions 2914 et 2915 du système harmonisé importés du Mexique bénéficient d’un taux de droit préférentiel de 0 %, en vertu d’une dérogation temporaire qui expirera le 31 décembre 2019. En conférant à cette dérogation un caractère permanent, l’Union renonce au taux de droit NPF (nation la plus favorisée) de 5,5 % qui aurait été applicable à ces produits chimiques à partir du 1</w:t>
      </w:r>
      <w:r>
        <w:rPr>
          <w:noProof/>
          <w:vertAlign w:val="superscript"/>
        </w:rPr>
        <w:t>er</w:t>
      </w:r>
      <w:r>
        <w:rPr>
          <w:noProof/>
        </w:rPr>
        <w:t xml:space="preserve"> janvier 2020.</w:t>
      </w:r>
    </w:p>
    <w:sectPr>
      <w:headerReference w:type="default"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C 326 du 26.10.2012, p. 146.</w:t>
      </w:r>
    </w:p>
  </w:footnote>
  <w:footnote w:id="2">
    <w:p>
      <w:pPr>
        <w:pStyle w:val="FootnoteText"/>
        <w:rPr>
          <w:lang w:val="pl-PL"/>
        </w:rPr>
      </w:pPr>
      <w:r>
        <w:rPr>
          <w:rStyle w:val="FootnoteReference"/>
        </w:rPr>
        <w:footnoteRef/>
      </w:r>
      <w:r>
        <w:tab/>
        <w:t>JO L 157 du 30.6.2000, p. 10.</w:t>
      </w:r>
    </w:p>
  </w:footnote>
  <w:footnote w:id="3">
    <w:p>
      <w:pPr>
        <w:pStyle w:val="FootnoteText"/>
        <w:rPr>
          <w:lang w:val="pl-PL"/>
        </w:rPr>
      </w:pPr>
      <w:r>
        <w:rPr>
          <w:rStyle w:val="FootnoteReference"/>
        </w:rPr>
        <w:footnoteRef/>
      </w:r>
      <w:r>
        <w:tab/>
        <w:t>JO L 245 du 29.9.2000, p. 1167.</w:t>
      </w:r>
    </w:p>
  </w:footnote>
  <w:footnote w:id="4">
    <w:p>
      <w:pPr>
        <w:pStyle w:val="FootnoteText"/>
        <w:rPr>
          <w:lang w:val="pl-PL"/>
        </w:rPr>
      </w:pPr>
      <w:r>
        <w:rPr>
          <w:rStyle w:val="FootnoteReference"/>
        </w:rPr>
        <w:footnoteRef/>
      </w:r>
      <w:r>
        <w:tab/>
        <w:t>JO L 245 du 29.9.2000, p. 1, cf. JO L 157 du 30.6.2000, p 10.</w:t>
      </w:r>
    </w:p>
  </w:footnote>
  <w:footnote w:id="5">
    <w:p>
      <w:pPr>
        <w:pStyle w:val="FootnoteText"/>
        <w:rPr>
          <w:lang w:val="en-US"/>
        </w:rPr>
      </w:pPr>
      <w:r>
        <w:rPr>
          <w:rStyle w:val="FootnoteReference"/>
        </w:rPr>
        <w:footnoteRef/>
      </w:r>
      <w:r>
        <w:rPr>
          <w:lang w:val="en-US"/>
        </w:rPr>
        <w:tab/>
        <w:t>JO L 276 du 28.10.2000, p. 45.</w:t>
      </w:r>
    </w:p>
  </w:footnote>
  <w:footnote w:id="6">
    <w:p>
      <w:pPr>
        <w:pStyle w:val="FootnoteText"/>
        <w:rPr>
          <w:szCs w:val="24"/>
          <w:lang w:val="en-US"/>
        </w:rPr>
      </w:pPr>
      <w:r>
        <w:rPr>
          <w:rStyle w:val="FootnoteReference"/>
        </w:rPr>
        <w:footnoteRef/>
      </w:r>
      <w:r>
        <w:rPr>
          <w:lang w:val="en-US"/>
        </w:rPr>
        <w:tab/>
        <w:t xml:space="preserve">ABM: </w:t>
      </w:r>
      <w:r>
        <w:rPr>
          <w:i/>
          <w:lang w:val="en-US"/>
        </w:rPr>
        <w:t>activity-based management</w:t>
      </w:r>
      <w:r>
        <w:rPr>
          <w:lang w:val="en-US"/>
        </w:rPr>
        <w:t xml:space="preserve">; ABB: </w:t>
      </w:r>
      <w:r>
        <w:rPr>
          <w:i/>
          <w:lang w:val="en-US"/>
        </w:rPr>
        <w:t>activity-based budgeting</w:t>
      </w:r>
      <w:r>
        <w:rPr>
          <w:lang w:val="en-US"/>
        </w:rPr>
        <w:t>.</w:t>
      </w:r>
    </w:p>
  </w:footnote>
  <w:footnote w:id="7">
    <w:p>
      <w:pPr>
        <w:pStyle w:val="FootnoteText"/>
        <w:rPr>
          <w:szCs w:val="24"/>
        </w:rPr>
      </w:pPr>
      <w:r>
        <w:rPr>
          <w:rStyle w:val="FootnoteReference"/>
        </w:rPr>
        <w:footnoteRef/>
      </w:r>
      <w:r>
        <w:tab/>
        <w:t>Tel(le) que visé(e) à l’article 54, paragraphe 2, point a) ou b), du règlement financier.</w:t>
      </w:r>
    </w:p>
  </w:footnote>
  <w:footnote w:id="8">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http://www.cc.cec/budg/man/budgmanag/budgmanag_en.html</w:t>
        </w:r>
      </w:hyperlink>
    </w:p>
  </w:footnote>
  <w:footnote w:id="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D60C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76DB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B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D27A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0E4C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1476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B01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C62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01 11:58: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60140CE6EF44D82860B5ECDFEB87672"/>
    <w:docVar w:name="LW_CROSSREFERENCE" w:val="&lt;UNUSED&gt;"/>
    <w:docVar w:name="LW_DocType" w:val="COM"/>
    <w:docVar w:name="LW_EMISSION" w:val="8.2.2017"/>
    <w:docVar w:name="LW_EMISSION_ISODATE" w:val="2017-02-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20"/>
    <w:docVar w:name="LW_REF.II.NEW.CP_YEAR" w:val="2017"/>
    <w:docVar w:name="LW_REF.INST.NEW" w:val="COM"/>
    <w:docVar w:name="LW_REF.INST.NEW_ADOPTED" w:val="final"/>
    <w:docVar w:name="LW_REF.INST.NEW_TEXT" w:val="(2017) 64"/>
    <w:docVar w:name="LW_REF.INTERNE" w:val="&lt;UNUSED&gt;"/>
    <w:docVar w:name="LW_SOUS.TITRE.OBJ.CP" w:val="&lt;UNUSED&gt;"/>
    <w:docVar w:name="LW_STATUT.CP" w:val="Proposition de"/>
    <w:docVar w:name="LW_SUPERTITRE" w:val="&lt;UNUSED&gt;"/>
    <w:docVar w:name="LW_TITRE.OBJ.CP" w:val="sur la position à adopter, au nom de l\u8217?Union européenne, au sein du comité conjoint UE_x001e_Mexique concernant les modifications à apporter à l\u8217?annexe III de la décision nº 2/2000 du Conseil conjoint CE-Mexique du 23 mars 2000, relative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13</Pages>
  <Words>2395</Words>
  <Characters>14111</Characters>
  <Application>Microsoft Office Word</Application>
  <DocSecurity>0</DocSecurity>
  <Lines>328</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2017-01-23T15:47:00Z</dcterms:created>
  <dcterms:modified xsi:type="dcterms:W3CDTF">2017-02-01T10:58:00Z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