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5F370FB2BA24A7EA934ECB6DC57F171" style="width:450.35pt;height:410.9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framePr w:wrap="around" w:vAnchor="page" w:hAnchor="text" w:xAlign="center" w:y="14741"/>
        <w:spacing w:before="0" w:after="600"/>
        <w:rPr>
          <w:rFonts w:eastAsia="Calibri"/>
          <w:b/>
          <w:caps/>
          <w:noProof/>
        </w:rPr>
      </w:pPr>
      <w:bookmarkStart w:id="0" w:name="_GoBack"/>
      <w:bookmarkEnd w:id="0"/>
    </w:p>
    <w:p>
      <w:pPr>
        <w:autoSpaceDE w:val="0"/>
        <w:autoSpaceDN w:val="0"/>
        <w:adjustRightInd w:val="0"/>
        <w:spacing w:before="0" w:after="0"/>
        <w:jc w:val="center"/>
        <w:rPr>
          <w:rFonts w:eastAsia="Times New Roman"/>
          <w:noProof/>
          <w:color w:val="000000"/>
          <w:szCs w:val="24"/>
        </w:rPr>
      </w:pPr>
      <w:r>
        <w:rPr>
          <w:b/>
          <w:noProof/>
          <w:color w:val="000000"/>
        </w:rPr>
        <w:t>DÉCISION Nº X/XXXX DU COMITÉ CONJOINT UE-MEXIQUE</w:t>
      </w:r>
    </w:p>
    <w:p>
      <w:pPr>
        <w:autoSpaceDE w:val="0"/>
        <w:autoSpaceDN w:val="0"/>
        <w:adjustRightInd w:val="0"/>
        <w:spacing w:before="0" w:after="0"/>
        <w:jc w:val="center"/>
        <w:rPr>
          <w:rFonts w:eastAsia="Times New Roman"/>
          <w:b/>
          <w:bCs/>
          <w:noProof/>
          <w:color w:val="000000"/>
          <w:szCs w:val="24"/>
        </w:rPr>
      </w:pPr>
    </w:p>
    <w:p>
      <w:pPr>
        <w:autoSpaceDE w:val="0"/>
        <w:autoSpaceDN w:val="0"/>
        <w:adjustRightInd w:val="0"/>
        <w:spacing w:before="0" w:after="0"/>
        <w:jc w:val="center"/>
        <w:rPr>
          <w:rFonts w:eastAsia="Times New Roman"/>
          <w:noProof/>
          <w:color w:val="000000"/>
          <w:szCs w:val="24"/>
        </w:rPr>
      </w:pPr>
      <w:r>
        <w:rPr>
          <w:b/>
          <w:noProof/>
          <w:color w:val="000000"/>
        </w:rPr>
        <w:t>du XX XXXXXX XXXX</w:t>
      </w:r>
    </w:p>
    <w:p>
      <w:pPr>
        <w:autoSpaceDE w:val="0"/>
        <w:autoSpaceDN w:val="0"/>
        <w:adjustRightInd w:val="0"/>
        <w:spacing w:before="0" w:after="0"/>
        <w:jc w:val="center"/>
        <w:rPr>
          <w:rFonts w:eastAsia="Times New Roman"/>
          <w:b/>
          <w:bCs/>
          <w:noProof/>
          <w:color w:val="000000"/>
          <w:szCs w:val="24"/>
        </w:rPr>
      </w:pPr>
    </w:p>
    <w:p>
      <w:pPr>
        <w:autoSpaceDE w:val="0"/>
        <w:autoSpaceDN w:val="0"/>
        <w:adjustRightInd w:val="0"/>
        <w:spacing w:before="0" w:after="0"/>
        <w:jc w:val="center"/>
        <w:rPr>
          <w:rFonts w:eastAsia="Times New Roman"/>
          <w:noProof/>
          <w:color w:val="000000"/>
          <w:szCs w:val="24"/>
        </w:rPr>
      </w:pPr>
      <w:r>
        <w:rPr>
          <w:b/>
          <w:noProof/>
          <w:color w:val="000000"/>
        </w:rPr>
        <w:t>concernant les modifications à apporter à l’annexe III de la décision nº 2/2000 du Conseil conjoint CE-Mexique du 23 mars 2000, relative à la définition de la notion de produits originaires et aux méthodes de coopération administrative</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LE COMITÉ CONJOINT,</w:t>
      </w:r>
    </w:p>
    <w:p>
      <w:pPr>
        <w:autoSpaceDE w:val="0"/>
        <w:autoSpaceDN w:val="0"/>
        <w:adjustRightInd w:val="0"/>
        <w:spacing w:before="0" w:after="0"/>
        <w:jc w:val="left"/>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vu la décision nº 2/2000 du Conseil conjoint CE-Mexique du 23 mars 2000 (ci-après dénommée «décision nº 2/2000») et l’annexe III de cette décision, et notamment son article 38,</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considérant ce qui suit:</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ind w:left="426" w:hanging="426"/>
        <w:rPr>
          <w:rFonts w:eastAsia="Times New Roman"/>
          <w:noProof/>
          <w:color w:val="000000"/>
          <w:szCs w:val="24"/>
        </w:rPr>
      </w:pPr>
      <w:r>
        <w:rPr>
          <w:noProof/>
          <w:color w:val="000000"/>
        </w:rPr>
        <w:t>(1)</w:t>
      </w:r>
      <w:r>
        <w:rPr>
          <w:noProof/>
        </w:rPr>
        <w:tab/>
      </w:r>
      <w:r>
        <w:rPr>
          <w:noProof/>
          <w:color w:val="000000"/>
        </w:rPr>
        <w:t>L’annexe III de la décision nº 2/2000 énonce les règles d’origine applicables aux produits originaires du territoire des parties à l’accord.</w:t>
      </w:r>
    </w:p>
    <w:p>
      <w:pPr>
        <w:autoSpaceDE w:val="0"/>
        <w:autoSpaceDN w:val="0"/>
        <w:adjustRightInd w:val="0"/>
        <w:spacing w:before="0" w:after="0"/>
        <w:jc w:val="left"/>
        <w:rPr>
          <w:rFonts w:ascii="EUAlbertina" w:eastAsia="Times New Roman" w:hAnsi="EUAlbertina" w:cs="EUAlbertina"/>
          <w:noProof/>
          <w:color w:val="000000"/>
          <w:szCs w:val="24"/>
        </w:rPr>
      </w:pPr>
    </w:p>
    <w:p>
      <w:pPr>
        <w:autoSpaceDE w:val="0"/>
        <w:autoSpaceDN w:val="0"/>
        <w:adjustRightInd w:val="0"/>
        <w:spacing w:before="0" w:after="0"/>
        <w:ind w:left="426" w:hanging="426"/>
        <w:rPr>
          <w:rFonts w:eastAsia="Times New Roman"/>
          <w:noProof/>
          <w:color w:val="000000"/>
          <w:szCs w:val="24"/>
        </w:rPr>
      </w:pPr>
      <w:r>
        <w:rPr>
          <w:noProof/>
          <w:color w:val="000000"/>
        </w:rPr>
        <w:t>(2)</w:t>
      </w:r>
      <w:r>
        <w:rPr>
          <w:noProof/>
        </w:rPr>
        <w:tab/>
      </w:r>
      <w:r>
        <w:rPr>
          <w:noProof/>
          <w:color w:val="000000"/>
        </w:rPr>
        <w:t>L’Union européenne a conclu des unions douanières avec, respectivement, la Principauté d’Andorre et la République de Saint-Marin, de sorte que les biens originaires du Mexique bénéficient d’un traitement préférentiel lorsqu’ils sont exportés vers ces deux pays.</w:t>
      </w:r>
    </w:p>
    <w:p>
      <w:pPr>
        <w:autoSpaceDE w:val="0"/>
        <w:autoSpaceDN w:val="0"/>
        <w:adjustRightInd w:val="0"/>
        <w:spacing w:before="0" w:after="0"/>
        <w:ind w:left="426" w:hanging="426"/>
        <w:rPr>
          <w:rFonts w:ascii="EUAlbertina" w:eastAsia="Times New Roman" w:hAnsi="EUAlbertina" w:cs="EUAlbertina"/>
          <w:noProof/>
          <w:color w:val="000000"/>
          <w:szCs w:val="24"/>
        </w:rPr>
      </w:pPr>
    </w:p>
    <w:p>
      <w:pPr>
        <w:autoSpaceDE w:val="0"/>
        <w:autoSpaceDN w:val="0"/>
        <w:adjustRightInd w:val="0"/>
        <w:spacing w:before="0" w:after="0"/>
        <w:ind w:left="426" w:hanging="426"/>
        <w:rPr>
          <w:rFonts w:eastAsia="Times New Roman"/>
          <w:noProof/>
          <w:color w:val="000000"/>
          <w:szCs w:val="24"/>
        </w:rPr>
      </w:pPr>
      <w:r>
        <w:rPr>
          <w:noProof/>
          <w:color w:val="000000"/>
        </w:rPr>
        <w:t>(3) D’un commun accord, le Mexique considérera les produits des chapitres 25 à 97 du système harmonisé originaires de la Principauté d’Andorre et les produits des chapitres 1 à 97 du système harmonisé originaires de la République de Saint-Marin comme des produits originaires de l’Union européenne au sens de l’annexe III de la décision nº 2/2000.</w:t>
      </w:r>
    </w:p>
    <w:p>
      <w:pPr>
        <w:autoSpaceDE w:val="0"/>
        <w:autoSpaceDN w:val="0"/>
        <w:adjustRightInd w:val="0"/>
        <w:spacing w:before="0" w:after="0"/>
        <w:ind w:left="426" w:hanging="426"/>
        <w:rPr>
          <w:rFonts w:eastAsia="Times New Roman"/>
          <w:noProof/>
          <w:color w:val="000000"/>
          <w:szCs w:val="24"/>
        </w:rPr>
      </w:pPr>
    </w:p>
    <w:p>
      <w:pPr>
        <w:autoSpaceDE w:val="0"/>
        <w:autoSpaceDN w:val="0"/>
        <w:adjustRightInd w:val="0"/>
        <w:spacing w:before="0" w:after="0"/>
        <w:ind w:left="426" w:hanging="426"/>
        <w:rPr>
          <w:rFonts w:eastAsia="Times New Roman"/>
          <w:noProof/>
          <w:color w:val="000000"/>
          <w:szCs w:val="24"/>
        </w:rPr>
      </w:pPr>
      <w:r>
        <w:rPr>
          <w:noProof/>
          <w:color w:val="000000"/>
        </w:rPr>
        <w:t>(4)</w:t>
      </w:r>
      <w:r>
        <w:rPr>
          <w:noProof/>
        </w:rPr>
        <w:tab/>
      </w:r>
      <w:r>
        <w:rPr>
          <w:noProof/>
          <w:color w:val="000000"/>
        </w:rPr>
        <w:t>Il convient d’ajouter un appendice VI à l’annexe III de la décision nº 2/2000 pour que ces produits, lorsqu’ils sont importés au Mexique, reçoivent le même traitement que s’ils étaient originaires de l’Union européenne et pour fixer les modalités de l’application de l’annexe III auxdits produits.</w:t>
      </w:r>
    </w:p>
    <w:p>
      <w:pPr>
        <w:autoSpaceDE w:val="0"/>
        <w:autoSpaceDN w:val="0"/>
        <w:adjustRightInd w:val="0"/>
        <w:spacing w:before="0" w:after="0"/>
        <w:ind w:left="426" w:hanging="426"/>
        <w:rPr>
          <w:rFonts w:eastAsia="Times New Roman"/>
          <w:noProof/>
          <w:color w:val="000000"/>
          <w:szCs w:val="24"/>
        </w:rPr>
      </w:pPr>
    </w:p>
    <w:p>
      <w:pPr>
        <w:autoSpaceDE w:val="0"/>
        <w:autoSpaceDN w:val="0"/>
        <w:adjustRightInd w:val="0"/>
        <w:spacing w:before="0" w:after="0"/>
        <w:ind w:left="426" w:hanging="426"/>
        <w:rPr>
          <w:rFonts w:eastAsia="Times New Roman"/>
          <w:i/>
          <w:noProof/>
          <w:color w:val="000000"/>
          <w:szCs w:val="24"/>
        </w:rPr>
      </w:pPr>
      <w:r>
        <w:rPr>
          <w:noProof/>
          <w:color w:val="000000"/>
        </w:rPr>
        <w:t>(5)</w:t>
      </w:r>
      <w:r>
        <w:rPr>
          <w:noProof/>
        </w:rPr>
        <w:tab/>
      </w:r>
      <w:r>
        <w:rPr>
          <w:noProof/>
          <w:color w:val="000000"/>
        </w:rPr>
        <w:t>Le XX/XX/2017, le comité conjoint a adopté la décision nº 1/2017, qui proroge pour la quatrième fois l’application des règles d’origine par produit pour certains produits chimiques relevant des positions 2914 et 2915 du système harmonisé. La prorogation prévue dans la décision nº 1/2017 est applicable jusqu’au 31 décembre 2019.</w:t>
      </w:r>
    </w:p>
    <w:p>
      <w:pPr>
        <w:autoSpaceDE w:val="0"/>
        <w:autoSpaceDN w:val="0"/>
        <w:adjustRightInd w:val="0"/>
        <w:spacing w:before="0" w:after="0"/>
        <w:ind w:left="426" w:hanging="426"/>
        <w:rPr>
          <w:rFonts w:eastAsia="Times New Roman"/>
          <w:noProof/>
          <w:color w:val="000000"/>
          <w:szCs w:val="24"/>
        </w:rPr>
      </w:pPr>
    </w:p>
    <w:p>
      <w:pPr>
        <w:autoSpaceDE w:val="0"/>
        <w:autoSpaceDN w:val="0"/>
        <w:adjustRightInd w:val="0"/>
        <w:spacing w:before="0" w:after="0"/>
        <w:ind w:left="426" w:hanging="426"/>
        <w:rPr>
          <w:rFonts w:eastAsia="Times New Roman"/>
          <w:noProof/>
          <w:color w:val="000000"/>
          <w:szCs w:val="24"/>
        </w:rPr>
      </w:pPr>
      <w:r>
        <w:rPr>
          <w:noProof/>
          <w:color w:val="000000"/>
        </w:rPr>
        <w:t>(6)</w:t>
      </w:r>
      <w:r>
        <w:rPr>
          <w:noProof/>
        </w:rPr>
        <w:tab/>
      </w:r>
      <w:r>
        <w:rPr>
          <w:noProof/>
          <w:color w:val="000000"/>
        </w:rPr>
        <w:t>Les règles d’origine par produit prorogées en vertu de l’annexe I de la décision nº 1/2017 étant conformes aux principes de l’actualisation de l’accord conclu entre le Mexique et l’Union européenne, il est jugé opportun de proroger indéfiniment leur application.</w:t>
      </w:r>
    </w:p>
    <w:p>
      <w:pPr>
        <w:autoSpaceDE w:val="0"/>
        <w:autoSpaceDN w:val="0"/>
        <w:adjustRightInd w:val="0"/>
        <w:spacing w:before="0" w:after="0"/>
        <w:ind w:left="426" w:hanging="426"/>
        <w:rPr>
          <w:rFonts w:eastAsia="Times New Roman"/>
          <w:noProof/>
          <w:color w:val="000000"/>
          <w:szCs w:val="24"/>
        </w:rPr>
      </w:pPr>
    </w:p>
    <w:p>
      <w:pPr>
        <w:autoSpaceDE w:val="0"/>
        <w:autoSpaceDN w:val="0"/>
        <w:adjustRightInd w:val="0"/>
        <w:spacing w:before="0" w:after="0"/>
        <w:ind w:left="426" w:hanging="426"/>
        <w:rPr>
          <w:rFonts w:eastAsia="Times New Roman"/>
          <w:noProof/>
          <w:color w:val="000000"/>
          <w:szCs w:val="24"/>
        </w:rPr>
      </w:pPr>
      <w:r>
        <w:rPr>
          <w:noProof/>
          <w:color w:val="000000"/>
        </w:rPr>
        <w:t>(7)</w:t>
      </w:r>
      <w:r>
        <w:rPr>
          <w:noProof/>
        </w:rPr>
        <w:tab/>
      </w:r>
      <w:r>
        <w:rPr>
          <w:noProof/>
          <w:color w:val="000000"/>
        </w:rPr>
        <w:t>Il y a donc lieu de modifier en conséquence l’annexe III de la décision nº 2/2000 du Conseil conjoint CE-Mexique,</w:t>
      </w:r>
    </w:p>
    <w:p>
      <w:pPr>
        <w:autoSpaceDE w:val="0"/>
        <w:autoSpaceDN w:val="0"/>
        <w:adjustRightInd w:val="0"/>
        <w:spacing w:before="0" w:after="0"/>
        <w:ind w:left="426" w:hanging="426"/>
        <w:rPr>
          <w:rFonts w:ascii="EUAlbertina" w:eastAsia="Times New Roman" w:hAnsi="EUAlbertina" w:cs="EUAlbertina"/>
          <w:noProof/>
          <w:color w:val="000000"/>
          <w:szCs w:val="24"/>
        </w:rPr>
      </w:pPr>
    </w:p>
    <w:p>
      <w:pPr>
        <w:autoSpaceDE w:val="0"/>
        <w:autoSpaceDN w:val="0"/>
        <w:adjustRightInd w:val="0"/>
        <w:spacing w:before="0" w:after="0"/>
        <w:rPr>
          <w:rFonts w:eastAsia="Times New Roman"/>
          <w:noProof/>
          <w:color w:val="000000"/>
          <w:szCs w:val="24"/>
        </w:rPr>
      </w:pPr>
      <w:r>
        <w:rPr>
          <w:noProof/>
          <w:color w:val="000000"/>
        </w:rPr>
        <w:t>DÉCIDE:</w:t>
      </w:r>
    </w:p>
    <w:p>
      <w:pPr>
        <w:autoSpaceDE w:val="0"/>
        <w:autoSpaceDN w:val="0"/>
        <w:adjustRightInd w:val="0"/>
        <w:spacing w:before="0" w:after="0"/>
        <w:rPr>
          <w:rFonts w:eastAsia="Times New Roman"/>
          <w:i/>
          <w:iCs/>
          <w:noProof/>
          <w:color w:val="000000"/>
          <w:szCs w:val="24"/>
        </w:rPr>
      </w:pPr>
    </w:p>
    <w:p>
      <w:pPr>
        <w:autoSpaceDE w:val="0"/>
        <w:autoSpaceDN w:val="0"/>
        <w:adjustRightInd w:val="0"/>
        <w:spacing w:before="0" w:after="0"/>
        <w:jc w:val="center"/>
        <w:rPr>
          <w:rFonts w:eastAsia="Times New Roman"/>
          <w:i/>
          <w:iCs/>
          <w:noProof/>
          <w:color w:val="000000"/>
          <w:szCs w:val="24"/>
        </w:rPr>
      </w:pPr>
      <w:r>
        <w:rPr>
          <w:i/>
          <w:noProof/>
          <w:color w:val="000000"/>
        </w:rPr>
        <w:t>Article premier</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1. L’annexe III, appendice II, de la décision nº 2/2000 est modifiée conformément à l’annexe I de la présente décision.</w:t>
      </w:r>
    </w:p>
    <w:p>
      <w:pPr>
        <w:autoSpaceDE w:val="0"/>
        <w:autoSpaceDN w:val="0"/>
        <w:adjustRightInd w:val="0"/>
        <w:spacing w:before="0" w:after="0"/>
        <w:jc w:val="left"/>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2. Un appendice VI est ajouté à l’annexe III de la décision nº 2/2000 conformément à l’annexe II de la présente décision.</w:t>
      </w:r>
    </w:p>
    <w:p>
      <w:pPr>
        <w:autoSpaceDE w:val="0"/>
        <w:autoSpaceDN w:val="0"/>
        <w:adjustRightInd w:val="0"/>
        <w:spacing w:before="0" w:after="0"/>
        <w:rPr>
          <w:rFonts w:eastAsia="Calibri"/>
          <w:noProof/>
          <w:color w:val="000000"/>
        </w:rPr>
      </w:pPr>
    </w:p>
    <w:p>
      <w:pPr>
        <w:autoSpaceDE w:val="0"/>
        <w:autoSpaceDN w:val="0"/>
        <w:adjustRightInd w:val="0"/>
        <w:spacing w:before="0" w:after="0"/>
        <w:jc w:val="center"/>
        <w:rPr>
          <w:rFonts w:eastAsia="Times New Roman"/>
          <w:i/>
          <w:iCs/>
          <w:noProof/>
          <w:color w:val="000000"/>
          <w:szCs w:val="24"/>
        </w:rPr>
      </w:pPr>
      <w:r>
        <w:rPr>
          <w:i/>
          <w:noProof/>
          <w:color w:val="000000"/>
        </w:rPr>
        <w:t>Article 2</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La présente décision entre en vigueur le premier jour du deuxième mois suivant la date à laquelle les parties se sont notifié l’achèvement des procédures nécessaires à cet effet.</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left"/>
        <w:rPr>
          <w:rFonts w:ascii="EUAlbertina" w:eastAsia="Times New Roman" w:hAnsi="EUAlbertina" w:cs="EUAlbertina"/>
          <w:noProof/>
          <w:color w:val="000000"/>
          <w:szCs w:val="24"/>
        </w:rPr>
      </w:pPr>
    </w:p>
    <w:p>
      <w:pPr>
        <w:autoSpaceDE w:val="0"/>
        <w:autoSpaceDN w:val="0"/>
        <w:adjustRightInd w:val="0"/>
        <w:spacing w:before="0" w:after="0"/>
        <w:jc w:val="left"/>
        <w:rPr>
          <w:rFonts w:eastAsia="Times New Roman"/>
          <w:noProof/>
          <w:color w:val="000000"/>
          <w:szCs w:val="24"/>
        </w:rPr>
      </w:pPr>
      <w:r>
        <w:rPr>
          <w:noProof/>
          <w:color w:val="000000"/>
        </w:rPr>
        <w:t>Fait à XXXX, le XX XXXX 2017</w:t>
      </w: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right"/>
        <w:rPr>
          <w:rFonts w:ascii="EUAlbertina" w:eastAsia="Times New Roman" w:hAnsi="EUAlbertina" w:cs="EUAlbertina"/>
          <w:i/>
          <w:noProof/>
          <w:color w:val="000000"/>
          <w:szCs w:val="24"/>
        </w:rPr>
      </w:pPr>
    </w:p>
    <w:p>
      <w:pPr>
        <w:autoSpaceDE w:val="0"/>
        <w:autoSpaceDN w:val="0"/>
        <w:adjustRightInd w:val="0"/>
        <w:spacing w:before="0" w:after="0"/>
        <w:jc w:val="center"/>
        <w:rPr>
          <w:rFonts w:eastAsia="Times New Roman"/>
          <w:i/>
          <w:noProof/>
          <w:color w:val="000000"/>
          <w:szCs w:val="24"/>
        </w:rPr>
      </w:pPr>
      <w:r>
        <w:rPr>
          <w:i/>
          <w:noProof/>
          <w:color w:val="000000"/>
        </w:rPr>
        <w:t>Par le comité conjoint</w:t>
      </w: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ascii="EUAlbertina" w:eastAsia="Times New Roman" w:hAnsi="EUAlbertina" w:cs="EUAlbertina"/>
          <w:noProof/>
          <w:color w:val="000000"/>
          <w:szCs w:val="24"/>
        </w:rPr>
      </w:pPr>
    </w:p>
    <w:p>
      <w:pPr>
        <w:autoSpaceDE w:val="0"/>
        <w:autoSpaceDN w:val="0"/>
        <w:adjustRightInd w:val="0"/>
        <w:spacing w:before="0" w:after="0"/>
        <w:jc w:val="center"/>
        <w:rPr>
          <w:rFonts w:eastAsia="Times New Roman"/>
          <w:b/>
          <w:noProof/>
          <w:color w:val="000000"/>
          <w:szCs w:val="24"/>
        </w:rPr>
      </w:pPr>
      <w:r>
        <w:rPr>
          <w:noProof/>
        </w:rPr>
        <w:br w:type="page"/>
      </w:r>
      <w:r>
        <w:rPr>
          <w:b/>
          <w:noProof/>
          <w:color w:val="000000"/>
        </w:rPr>
        <w:lastRenderedPageBreak/>
        <w:t>ANNEXE 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rPr>
        <w:t>À l’annexe III, appendice II, de la décision nº 2/2000, les entrées relatives aux positions 2914 et 2915 du système harmonisé (SH) sont remplacées par le texte suivant:</w:t>
      </w:r>
    </w:p>
    <w:p>
      <w:pPr>
        <w:autoSpaceDE w:val="0"/>
        <w:autoSpaceDN w:val="0"/>
        <w:adjustRightInd w:val="0"/>
        <w:spacing w:before="0" w:after="0"/>
        <w:jc w:val="left"/>
        <w:rPr>
          <w:rFonts w:eastAsia="Times New Roman"/>
          <w:noProof/>
          <w:color w:val="000000"/>
          <w:szCs w:val="24"/>
        </w:rPr>
      </w:pPr>
    </w:p>
    <w:tbl>
      <w:tblPr>
        <w:tblW w:w="5000" w:type="pct"/>
        <w:tblLayout w:type="fixed"/>
        <w:tblLook w:val="0000" w:firstRow="0" w:lastRow="0" w:firstColumn="0" w:lastColumn="0" w:noHBand="0" w:noVBand="0"/>
      </w:tblPr>
      <w:tblGrid>
        <w:gridCol w:w="1237"/>
        <w:gridCol w:w="3069"/>
        <w:gridCol w:w="2206"/>
        <w:gridCol w:w="2208"/>
      </w:tblGrid>
      <w:tr>
        <w:trPr>
          <w:tblHeader/>
        </w:trPr>
        <w:tc>
          <w:tcPr>
            <w:tcW w:w="709" w:type="pct"/>
            <w:tcBorders>
              <w:top w:val="single" w:sz="2" w:space="0" w:color="auto"/>
              <w:left w:val="single" w:sz="2" w:space="0" w:color="auto"/>
              <w:bottom w:val="single" w:sz="4" w:space="0" w:color="auto"/>
              <w:right w:val="single" w:sz="2" w:space="0" w:color="auto"/>
            </w:tcBorders>
          </w:tcPr>
          <w:p>
            <w:pPr>
              <w:autoSpaceDE w:val="0"/>
              <w:autoSpaceDN w:val="0"/>
              <w:jc w:val="center"/>
              <w:rPr>
                <w:rFonts w:eastAsia="Times New Roman"/>
                <w:b/>
                <w:noProof/>
                <w:sz w:val="16"/>
                <w:szCs w:val="16"/>
              </w:rPr>
            </w:pPr>
            <w:r>
              <w:rPr>
                <w:b/>
                <w:noProof/>
                <w:sz w:val="16"/>
              </w:rPr>
              <w:t>«Positions SH</w:t>
            </w:r>
          </w:p>
        </w:tc>
        <w:tc>
          <w:tcPr>
            <w:tcW w:w="1760" w:type="pct"/>
            <w:tcBorders>
              <w:top w:val="single" w:sz="2" w:space="0" w:color="auto"/>
              <w:left w:val="single" w:sz="2" w:space="0" w:color="auto"/>
              <w:bottom w:val="single" w:sz="4" w:space="0" w:color="auto"/>
              <w:right w:val="single" w:sz="2" w:space="0" w:color="auto"/>
            </w:tcBorders>
          </w:tcPr>
          <w:p>
            <w:pPr>
              <w:autoSpaceDE w:val="0"/>
              <w:autoSpaceDN w:val="0"/>
              <w:jc w:val="center"/>
              <w:rPr>
                <w:rFonts w:eastAsia="Times New Roman"/>
                <w:b/>
                <w:noProof/>
                <w:sz w:val="16"/>
                <w:szCs w:val="16"/>
              </w:rPr>
            </w:pPr>
            <w:r>
              <w:rPr>
                <w:b/>
                <w:noProof/>
                <w:sz w:val="16"/>
              </w:rPr>
              <w:t>Désignation des marchandises</w:t>
            </w:r>
          </w:p>
        </w:tc>
        <w:tc>
          <w:tcPr>
            <w:tcW w:w="2531" w:type="pct"/>
            <w:gridSpan w:val="2"/>
            <w:tcBorders>
              <w:top w:val="single" w:sz="2" w:space="0" w:color="auto"/>
              <w:left w:val="single" w:sz="2" w:space="0" w:color="auto"/>
              <w:bottom w:val="single" w:sz="4" w:space="0" w:color="auto"/>
              <w:right w:val="single" w:sz="2" w:space="0" w:color="auto"/>
            </w:tcBorders>
          </w:tcPr>
          <w:p>
            <w:pPr>
              <w:autoSpaceDE w:val="0"/>
              <w:autoSpaceDN w:val="0"/>
              <w:jc w:val="center"/>
              <w:rPr>
                <w:rFonts w:eastAsia="Times New Roman"/>
                <w:b/>
                <w:noProof/>
                <w:sz w:val="16"/>
                <w:szCs w:val="16"/>
              </w:rPr>
            </w:pPr>
            <w:r>
              <w:rPr>
                <w:b/>
                <w:noProof/>
                <w:sz w:val="16"/>
              </w:rPr>
              <w:t>Ouvraison ou transformation appliquée à des matières non originaires conférant le caractère de produit originaire</w:t>
            </w:r>
          </w:p>
        </w:tc>
      </w:tr>
      <w:tr>
        <w:trPr>
          <w:tblHeader/>
        </w:trPr>
        <w:tc>
          <w:tcPr>
            <w:tcW w:w="709" w:type="pct"/>
            <w:tcBorders>
              <w:top w:val="single" w:sz="4" w:space="0" w:color="auto"/>
              <w:left w:val="single" w:sz="4" w:space="0" w:color="auto"/>
              <w:bottom w:val="single" w:sz="4" w:space="0" w:color="auto"/>
              <w:right w:val="single" w:sz="2" w:space="0" w:color="auto"/>
            </w:tcBorders>
          </w:tcPr>
          <w:p>
            <w:pPr>
              <w:autoSpaceDE w:val="0"/>
              <w:autoSpaceDN w:val="0"/>
              <w:jc w:val="center"/>
              <w:rPr>
                <w:rFonts w:eastAsia="Times New Roman"/>
                <w:b/>
                <w:noProof/>
                <w:sz w:val="16"/>
                <w:szCs w:val="16"/>
              </w:rPr>
            </w:pPr>
            <w:r>
              <w:rPr>
                <w:b/>
                <w:noProof/>
                <w:sz w:val="16"/>
              </w:rPr>
              <w:t>(1)</w:t>
            </w:r>
          </w:p>
        </w:tc>
        <w:tc>
          <w:tcPr>
            <w:tcW w:w="1760" w:type="pct"/>
            <w:tcBorders>
              <w:top w:val="single" w:sz="4" w:space="0" w:color="auto"/>
              <w:left w:val="single" w:sz="2" w:space="0" w:color="auto"/>
              <w:bottom w:val="single" w:sz="4" w:space="0" w:color="auto"/>
              <w:right w:val="single" w:sz="2" w:space="0" w:color="auto"/>
            </w:tcBorders>
          </w:tcPr>
          <w:p>
            <w:pPr>
              <w:autoSpaceDE w:val="0"/>
              <w:autoSpaceDN w:val="0"/>
              <w:jc w:val="center"/>
              <w:rPr>
                <w:rFonts w:eastAsia="Times New Roman"/>
                <w:b/>
                <w:noProof/>
                <w:sz w:val="16"/>
                <w:szCs w:val="16"/>
              </w:rPr>
            </w:pPr>
            <w:r>
              <w:rPr>
                <w:b/>
                <w:noProof/>
                <w:sz w:val="16"/>
              </w:rPr>
              <w:t>(2)</w:t>
            </w:r>
          </w:p>
        </w:tc>
        <w:tc>
          <w:tcPr>
            <w:tcW w:w="2531" w:type="pct"/>
            <w:gridSpan w:val="2"/>
            <w:tcBorders>
              <w:top w:val="single" w:sz="4" w:space="0" w:color="auto"/>
              <w:left w:val="single" w:sz="2" w:space="0" w:color="auto"/>
              <w:bottom w:val="single" w:sz="4" w:space="0" w:color="auto"/>
              <w:right w:val="single" w:sz="4" w:space="0" w:color="auto"/>
            </w:tcBorders>
          </w:tcPr>
          <w:p>
            <w:pPr>
              <w:autoSpaceDE w:val="0"/>
              <w:autoSpaceDN w:val="0"/>
              <w:jc w:val="center"/>
              <w:rPr>
                <w:rFonts w:eastAsia="Times New Roman"/>
                <w:b/>
                <w:noProof/>
                <w:sz w:val="16"/>
                <w:szCs w:val="16"/>
              </w:rPr>
            </w:pPr>
            <w:r>
              <w:rPr>
                <w:b/>
                <w:noProof/>
                <w:sz w:val="16"/>
              </w:rPr>
              <w:t>(3)                  ou                     (4)</w:t>
            </w:r>
          </w:p>
        </w:tc>
      </w:tr>
      <w:tr>
        <w:trPr>
          <w:tblHeader/>
        </w:trPr>
        <w:tc>
          <w:tcPr>
            <w:tcW w:w="709" w:type="pct"/>
            <w:tcBorders>
              <w:top w:val="single" w:sz="4" w:space="0" w:color="auto"/>
              <w:left w:val="single" w:sz="4" w:space="0" w:color="auto"/>
              <w:right w:val="single" w:sz="2" w:space="0" w:color="auto"/>
            </w:tcBorders>
          </w:tcPr>
          <w:p>
            <w:pPr>
              <w:autoSpaceDE w:val="0"/>
              <w:autoSpaceDN w:val="0"/>
              <w:rPr>
                <w:rFonts w:eastAsia="Times New Roman"/>
                <w:noProof/>
                <w:sz w:val="16"/>
                <w:szCs w:val="16"/>
              </w:rPr>
            </w:pPr>
            <w:r>
              <w:rPr>
                <w:noProof/>
                <w:sz w:val="16"/>
              </w:rPr>
              <w:t>ex 2914</w:t>
            </w:r>
          </w:p>
        </w:tc>
        <w:tc>
          <w:tcPr>
            <w:tcW w:w="1760" w:type="pct"/>
            <w:tcBorders>
              <w:top w:val="single" w:sz="4" w:space="0" w:color="auto"/>
              <w:left w:val="single" w:sz="2" w:space="0" w:color="auto"/>
              <w:right w:val="single" w:sz="2" w:space="0" w:color="auto"/>
            </w:tcBorders>
          </w:tcPr>
          <w:p>
            <w:pPr>
              <w:numPr>
                <w:ilvl w:val="0"/>
                <w:numId w:val="5"/>
              </w:numPr>
              <w:autoSpaceDE w:val="0"/>
              <w:autoSpaceDN w:val="0"/>
              <w:ind w:left="357" w:hanging="357"/>
              <w:jc w:val="left"/>
              <w:rPr>
                <w:rFonts w:eastAsia="Times New Roman"/>
                <w:noProof/>
                <w:sz w:val="16"/>
                <w:szCs w:val="16"/>
              </w:rPr>
            </w:pPr>
            <w:r>
              <w:rPr>
                <w:noProof/>
                <w:sz w:val="16"/>
              </w:rPr>
              <w:t>Diacétone-alcool</w:t>
            </w:r>
          </w:p>
          <w:p>
            <w:pPr>
              <w:numPr>
                <w:ilvl w:val="0"/>
                <w:numId w:val="5"/>
              </w:numPr>
              <w:autoSpaceDE w:val="0"/>
              <w:autoSpaceDN w:val="0"/>
              <w:ind w:left="357" w:hanging="357"/>
              <w:jc w:val="left"/>
              <w:rPr>
                <w:rFonts w:eastAsia="Times New Roman"/>
                <w:noProof/>
                <w:sz w:val="16"/>
                <w:szCs w:val="16"/>
              </w:rPr>
            </w:pPr>
            <w:r>
              <w:rPr>
                <w:noProof/>
                <w:sz w:val="16"/>
              </w:rPr>
              <w:t>Méthylisobutylcétone</w:t>
            </w:r>
          </w:p>
          <w:p>
            <w:pPr>
              <w:numPr>
                <w:ilvl w:val="0"/>
                <w:numId w:val="5"/>
              </w:numPr>
              <w:autoSpaceDE w:val="0"/>
              <w:autoSpaceDN w:val="0"/>
              <w:ind w:left="357" w:hanging="357"/>
              <w:jc w:val="left"/>
              <w:rPr>
                <w:rFonts w:eastAsia="Times New Roman"/>
                <w:noProof/>
                <w:sz w:val="16"/>
                <w:szCs w:val="16"/>
              </w:rPr>
            </w:pPr>
            <w:r>
              <w:rPr>
                <w:noProof/>
                <w:sz w:val="16"/>
              </w:rPr>
              <w:t>Oxyde de mésityle</w:t>
            </w:r>
          </w:p>
        </w:tc>
        <w:tc>
          <w:tcPr>
            <w:tcW w:w="1265" w:type="pct"/>
            <w:tcBorders>
              <w:top w:val="single" w:sz="4" w:space="0" w:color="auto"/>
              <w:left w:val="single" w:sz="2" w:space="0" w:color="auto"/>
              <w:right w:val="single" w:sz="4" w:space="0" w:color="auto"/>
            </w:tcBorders>
          </w:tcPr>
          <w:p>
            <w:pPr>
              <w:autoSpaceDE w:val="0"/>
              <w:autoSpaceDN w:val="0"/>
              <w:rPr>
                <w:rFonts w:eastAsia="Times New Roman"/>
                <w:noProof/>
                <w:sz w:val="16"/>
                <w:szCs w:val="16"/>
              </w:rPr>
            </w:pPr>
            <w:r>
              <w:rPr>
                <w:noProof/>
                <w:sz w:val="16"/>
              </w:rPr>
              <w:t>Fabrication à partir d’acétone</w:t>
            </w:r>
          </w:p>
        </w:tc>
        <w:tc>
          <w:tcPr>
            <w:tcW w:w="1266" w:type="pct"/>
            <w:tcBorders>
              <w:top w:val="single" w:sz="4" w:space="0" w:color="auto"/>
              <w:left w:val="single" w:sz="2" w:space="0" w:color="auto"/>
              <w:right w:val="single" w:sz="4" w:space="0" w:color="auto"/>
            </w:tcBorders>
          </w:tcPr>
          <w:p>
            <w:pPr>
              <w:autoSpaceDE w:val="0"/>
              <w:autoSpaceDN w:val="0"/>
              <w:rPr>
                <w:rFonts w:eastAsia="Times New Roman"/>
                <w:noProof/>
                <w:sz w:val="16"/>
                <w:szCs w:val="16"/>
              </w:rPr>
            </w:pPr>
            <w:r>
              <w:rPr>
                <w:noProof/>
                <w:sz w:val="16"/>
              </w:rPr>
              <w:t>Fabrication faisant intervenir une réaction chimique*</w:t>
            </w:r>
          </w:p>
        </w:tc>
      </w:tr>
      <w:tr>
        <w:trPr>
          <w:tblHeader/>
        </w:trPr>
        <w:tc>
          <w:tcPr>
            <w:tcW w:w="709" w:type="pct"/>
            <w:tcBorders>
              <w:left w:val="single" w:sz="4" w:space="0" w:color="auto"/>
              <w:right w:val="single" w:sz="2" w:space="0" w:color="auto"/>
            </w:tcBorders>
          </w:tcPr>
          <w:p>
            <w:pPr>
              <w:autoSpaceDE w:val="0"/>
              <w:autoSpaceDN w:val="0"/>
              <w:rPr>
                <w:rFonts w:eastAsia="Times New Roman"/>
                <w:noProof/>
                <w:sz w:val="16"/>
                <w:szCs w:val="16"/>
              </w:rPr>
            </w:pPr>
            <w:r>
              <w:rPr>
                <w:noProof/>
                <w:sz w:val="16"/>
              </w:rPr>
              <w:t>2915</w:t>
            </w:r>
          </w:p>
        </w:tc>
        <w:tc>
          <w:tcPr>
            <w:tcW w:w="1760" w:type="pct"/>
            <w:tcBorders>
              <w:left w:val="single" w:sz="2" w:space="0" w:color="auto"/>
              <w:right w:val="single" w:sz="2" w:space="0" w:color="auto"/>
            </w:tcBorders>
          </w:tcPr>
          <w:p>
            <w:pPr>
              <w:autoSpaceDE w:val="0"/>
              <w:autoSpaceDN w:val="0"/>
              <w:rPr>
                <w:rFonts w:eastAsia="Times New Roman"/>
                <w:noProof/>
                <w:sz w:val="16"/>
                <w:szCs w:val="16"/>
              </w:rPr>
            </w:pPr>
            <w:r>
              <w:rPr>
                <w:noProof/>
                <w:sz w:val="16"/>
              </w:rPr>
              <w:t>Acides monocarboxyliques acycliques saturés et leurs anhydrides, halogénures, peroxydes et peroxyacides; leurs dérivés halogénés, sulfonés, nitrés ou nitrosés, à l’exception des produits suivants:</w:t>
            </w:r>
          </w:p>
        </w:tc>
        <w:tc>
          <w:tcPr>
            <w:tcW w:w="1265" w:type="pct"/>
            <w:tcBorders>
              <w:left w:val="single" w:sz="2" w:space="0" w:color="auto"/>
              <w:right w:val="single" w:sz="4" w:space="0" w:color="auto"/>
            </w:tcBorders>
          </w:tcPr>
          <w:p>
            <w:pPr>
              <w:autoSpaceDE w:val="0"/>
              <w:autoSpaceDN w:val="0"/>
              <w:rPr>
                <w:rFonts w:eastAsia="Times New Roman"/>
                <w:noProof/>
                <w:sz w:val="16"/>
                <w:szCs w:val="16"/>
              </w:rPr>
            </w:pPr>
            <w:r>
              <w:rPr>
                <w:noProof/>
                <w:sz w:val="16"/>
              </w:rPr>
              <w:t>Fabrication à partir de matières de toute position. Toutefois, la valeur des matières des positions 2915 et 2916 utilisées ne doit pas excéder 20 % du prix départ usine du produit.</w:t>
            </w:r>
          </w:p>
        </w:tc>
        <w:tc>
          <w:tcPr>
            <w:tcW w:w="1266" w:type="pct"/>
            <w:tcBorders>
              <w:left w:val="single" w:sz="2" w:space="0" w:color="auto"/>
              <w:right w:val="single" w:sz="4" w:space="0" w:color="auto"/>
            </w:tcBorders>
          </w:tcPr>
          <w:p>
            <w:pPr>
              <w:autoSpaceDE w:val="0"/>
              <w:autoSpaceDN w:val="0"/>
              <w:rPr>
                <w:rFonts w:eastAsia="Times New Roman"/>
                <w:noProof/>
                <w:sz w:val="16"/>
                <w:szCs w:val="16"/>
              </w:rPr>
            </w:pPr>
            <w:r>
              <w:rPr>
                <w:noProof/>
                <w:sz w:val="16"/>
              </w:rPr>
              <w:t>Fabrication dans laquelle la valeur de toutes les matières utilisées ne doit pas excéder 40 % du prix départ usine du produit.</w:t>
            </w:r>
          </w:p>
        </w:tc>
      </w:tr>
      <w:tr>
        <w:trPr>
          <w:tblHeader/>
        </w:trPr>
        <w:tc>
          <w:tcPr>
            <w:tcW w:w="709" w:type="pct"/>
            <w:tcBorders>
              <w:left w:val="single" w:sz="4" w:space="0" w:color="auto"/>
              <w:bottom w:val="single" w:sz="4" w:space="0" w:color="auto"/>
              <w:right w:val="single" w:sz="2" w:space="0" w:color="auto"/>
            </w:tcBorders>
          </w:tcPr>
          <w:p>
            <w:pPr>
              <w:autoSpaceDE w:val="0"/>
              <w:autoSpaceDN w:val="0"/>
              <w:rPr>
                <w:rFonts w:eastAsia="Times New Roman"/>
                <w:noProof/>
                <w:sz w:val="16"/>
                <w:szCs w:val="16"/>
              </w:rPr>
            </w:pPr>
          </w:p>
        </w:tc>
        <w:tc>
          <w:tcPr>
            <w:tcW w:w="1760" w:type="pct"/>
            <w:tcBorders>
              <w:left w:val="single" w:sz="2" w:space="0" w:color="auto"/>
              <w:bottom w:val="single" w:sz="4" w:space="0" w:color="auto"/>
              <w:right w:val="single" w:sz="2" w:space="0" w:color="auto"/>
            </w:tcBorders>
          </w:tcPr>
          <w:p>
            <w:pPr>
              <w:numPr>
                <w:ilvl w:val="0"/>
                <w:numId w:val="6"/>
              </w:numPr>
              <w:autoSpaceDE w:val="0"/>
              <w:autoSpaceDN w:val="0"/>
              <w:jc w:val="left"/>
              <w:rPr>
                <w:rFonts w:eastAsia="Times New Roman"/>
                <w:noProof/>
                <w:sz w:val="16"/>
                <w:szCs w:val="16"/>
              </w:rPr>
            </w:pPr>
            <w:r>
              <w:rPr>
                <w:noProof/>
                <w:sz w:val="16"/>
              </w:rPr>
              <w:t>anhydride acétique, acétate d’éthyle et de n-butyle, acétate de vinyle, acétate d’isopropyle et de méthylamyle, acides mono-, di- ou trichloroacétiques, leurs sels et leurs esters</w:t>
            </w:r>
          </w:p>
        </w:tc>
        <w:tc>
          <w:tcPr>
            <w:tcW w:w="1265" w:type="pct"/>
            <w:tcBorders>
              <w:left w:val="single" w:sz="2" w:space="0" w:color="auto"/>
              <w:bottom w:val="single" w:sz="4" w:space="0" w:color="auto"/>
              <w:right w:val="single" w:sz="4" w:space="0" w:color="auto"/>
            </w:tcBorders>
          </w:tcPr>
          <w:p>
            <w:pPr>
              <w:autoSpaceDE w:val="0"/>
              <w:autoSpaceDN w:val="0"/>
              <w:rPr>
                <w:rFonts w:eastAsia="Times New Roman"/>
                <w:noProof/>
                <w:sz w:val="16"/>
                <w:szCs w:val="16"/>
              </w:rPr>
            </w:pPr>
            <w:r>
              <w:rPr>
                <w:noProof/>
                <w:sz w:val="16"/>
              </w:rPr>
              <w:t>Fabrication à partir de matières de toute position. Toutefois, la valeur de toutes les matières de la position 2916 utilisées ne doit pas excéder 20 % du prix départ usine du produit.</w:t>
            </w:r>
          </w:p>
        </w:tc>
        <w:tc>
          <w:tcPr>
            <w:tcW w:w="1266" w:type="pct"/>
            <w:tcBorders>
              <w:left w:val="single" w:sz="2" w:space="0" w:color="auto"/>
              <w:bottom w:val="single" w:sz="4" w:space="0" w:color="auto"/>
              <w:right w:val="single" w:sz="4" w:space="0" w:color="auto"/>
            </w:tcBorders>
          </w:tcPr>
          <w:p>
            <w:pPr>
              <w:autoSpaceDE w:val="0"/>
              <w:autoSpaceDN w:val="0"/>
              <w:rPr>
                <w:rFonts w:eastAsia="Times New Roman"/>
                <w:noProof/>
                <w:sz w:val="16"/>
                <w:szCs w:val="16"/>
              </w:rPr>
            </w:pPr>
            <w:r>
              <w:rPr>
                <w:noProof/>
                <w:sz w:val="16"/>
              </w:rPr>
              <w:t>Fabrication faisant intervenir une réaction chimique**</w:t>
            </w:r>
          </w:p>
        </w:tc>
      </w:tr>
    </w:tbl>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w:t>
      </w:r>
      <w:r>
        <w:rPr>
          <w:noProof/>
        </w:rPr>
        <w:tab/>
      </w:r>
      <w:r>
        <w:rPr>
          <w:noProof/>
          <w:color w:val="000000"/>
        </w:rPr>
        <w:t>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w:t>
      </w:r>
    </w:p>
    <w:p>
      <w:pPr>
        <w:autoSpaceDE w:val="0"/>
        <w:autoSpaceDN w:val="0"/>
        <w:adjustRightInd w:val="0"/>
        <w:spacing w:before="0" w:after="0"/>
        <w:rPr>
          <w:rFonts w:eastAsia="Times New Roman"/>
          <w:noProof/>
          <w:color w:val="000000"/>
          <w:szCs w:val="24"/>
        </w:rPr>
      </w:pPr>
      <w:r>
        <w:rPr>
          <w:noProof/>
          <w:color w:val="000000"/>
        </w:rPr>
        <w:t>Ne sont pas pris en considération aux fins de l’obtention du caractère originaire les processus suivants:</w:t>
      </w:r>
    </w:p>
    <w:p>
      <w:pPr>
        <w:autoSpaceDE w:val="0"/>
        <w:autoSpaceDN w:val="0"/>
        <w:adjustRightInd w:val="0"/>
        <w:spacing w:before="0" w:after="0"/>
        <w:rPr>
          <w:rFonts w:eastAsia="Times New Roman"/>
          <w:noProof/>
          <w:color w:val="000000"/>
          <w:szCs w:val="24"/>
        </w:rPr>
      </w:pPr>
      <w:r>
        <w:rPr>
          <w:noProof/>
          <w:color w:val="000000"/>
        </w:rPr>
        <w:t>a)</w:t>
      </w:r>
      <w:r>
        <w:rPr>
          <w:noProof/>
        </w:rPr>
        <w:tab/>
      </w:r>
      <w:r>
        <w:rPr>
          <w:noProof/>
          <w:color w:val="000000"/>
        </w:rPr>
        <w:t>la dissolution dans l’eau ou dans d’autres solvants;</w:t>
      </w:r>
    </w:p>
    <w:p>
      <w:pPr>
        <w:autoSpaceDE w:val="0"/>
        <w:autoSpaceDN w:val="0"/>
        <w:adjustRightInd w:val="0"/>
        <w:spacing w:before="0" w:after="0"/>
        <w:rPr>
          <w:rFonts w:eastAsia="Times New Roman"/>
          <w:noProof/>
          <w:color w:val="000000"/>
          <w:szCs w:val="24"/>
        </w:rPr>
      </w:pPr>
      <w:r>
        <w:rPr>
          <w:noProof/>
          <w:color w:val="000000"/>
        </w:rPr>
        <w:t>b)</w:t>
      </w:r>
      <w:r>
        <w:rPr>
          <w:noProof/>
        </w:rPr>
        <w:tab/>
      </w:r>
      <w:r>
        <w:rPr>
          <w:noProof/>
          <w:color w:val="000000"/>
        </w:rPr>
        <w:t>l’élimination de solvants (y compris l’eau); ou</w:t>
      </w:r>
    </w:p>
    <w:p>
      <w:pPr>
        <w:autoSpaceDE w:val="0"/>
        <w:autoSpaceDN w:val="0"/>
        <w:adjustRightInd w:val="0"/>
        <w:spacing w:before="0" w:after="0"/>
        <w:rPr>
          <w:rFonts w:eastAsia="Times New Roman"/>
          <w:noProof/>
          <w:color w:val="000000"/>
          <w:szCs w:val="24"/>
        </w:rPr>
      </w:pPr>
      <w:r>
        <w:rPr>
          <w:noProof/>
          <w:color w:val="000000"/>
        </w:rPr>
        <w:t>c)</w:t>
      </w:r>
      <w:r>
        <w:rPr>
          <w:noProof/>
        </w:rPr>
        <w:tab/>
      </w:r>
      <w:r>
        <w:rPr>
          <w:noProof/>
          <w:color w:val="000000"/>
        </w:rPr>
        <w:t>l’addition ou l’élimination de l’eau de cristallisation.</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color w:val="000000"/>
        </w:rPr>
        <w:t xml:space="preserve">** </w:t>
      </w:r>
      <w:r>
        <w:rPr>
          <w:noProof/>
        </w:rPr>
        <w:tab/>
      </w:r>
      <w:r>
        <w:rPr>
          <w:noProof/>
          <w:color w:val="000000"/>
        </w:rPr>
        <w:t>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w:t>
      </w:r>
    </w:p>
    <w:p>
      <w:pPr>
        <w:autoSpaceDE w:val="0"/>
        <w:autoSpaceDN w:val="0"/>
        <w:adjustRightInd w:val="0"/>
        <w:spacing w:before="0" w:after="0"/>
        <w:rPr>
          <w:rFonts w:eastAsia="Times New Roman"/>
          <w:noProof/>
          <w:color w:val="000000"/>
          <w:szCs w:val="24"/>
        </w:rPr>
      </w:pPr>
      <w:r>
        <w:rPr>
          <w:noProof/>
          <w:color w:val="000000"/>
        </w:rPr>
        <w:t>Ne sont pas pris en considération aux fins de l’obtention du caractère originaire les processus suivants:</w:t>
      </w:r>
    </w:p>
    <w:p>
      <w:pPr>
        <w:autoSpaceDE w:val="0"/>
        <w:autoSpaceDN w:val="0"/>
        <w:adjustRightInd w:val="0"/>
        <w:spacing w:before="0" w:after="0"/>
        <w:rPr>
          <w:rFonts w:eastAsia="Times New Roman"/>
          <w:noProof/>
          <w:color w:val="000000"/>
          <w:szCs w:val="24"/>
        </w:rPr>
      </w:pPr>
      <w:r>
        <w:rPr>
          <w:noProof/>
          <w:color w:val="000000"/>
        </w:rPr>
        <w:t>a)</w:t>
      </w:r>
      <w:r>
        <w:rPr>
          <w:noProof/>
        </w:rPr>
        <w:tab/>
      </w:r>
      <w:r>
        <w:rPr>
          <w:noProof/>
          <w:color w:val="000000"/>
        </w:rPr>
        <w:t>la dissolution dans l’eau ou dans d’autres solvants;</w:t>
      </w:r>
    </w:p>
    <w:p>
      <w:pPr>
        <w:autoSpaceDE w:val="0"/>
        <w:autoSpaceDN w:val="0"/>
        <w:adjustRightInd w:val="0"/>
        <w:spacing w:before="0" w:after="0"/>
        <w:rPr>
          <w:rFonts w:eastAsia="Times New Roman"/>
          <w:noProof/>
          <w:color w:val="000000"/>
          <w:szCs w:val="24"/>
        </w:rPr>
      </w:pPr>
      <w:r>
        <w:rPr>
          <w:noProof/>
          <w:color w:val="000000"/>
        </w:rPr>
        <w:t>b)</w:t>
      </w:r>
      <w:r>
        <w:rPr>
          <w:noProof/>
        </w:rPr>
        <w:tab/>
      </w:r>
      <w:r>
        <w:rPr>
          <w:noProof/>
          <w:color w:val="000000"/>
        </w:rPr>
        <w:t>l’élimination de solvants (y compris l’eau); ou</w:t>
      </w:r>
    </w:p>
    <w:p>
      <w:pPr>
        <w:autoSpaceDE w:val="0"/>
        <w:autoSpaceDN w:val="0"/>
        <w:adjustRightInd w:val="0"/>
        <w:spacing w:before="0" w:after="0"/>
        <w:rPr>
          <w:rFonts w:eastAsia="Times New Roman"/>
          <w:noProof/>
          <w:color w:val="000000"/>
          <w:szCs w:val="24"/>
        </w:rPr>
      </w:pPr>
      <w:r>
        <w:rPr>
          <w:noProof/>
          <w:color w:val="000000"/>
        </w:rPr>
        <w:t>c)</w:t>
      </w:r>
      <w:r>
        <w:rPr>
          <w:noProof/>
        </w:rPr>
        <w:tab/>
      </w:r>
      <w:r>
        <w:rPr>
          <w:noProof/>
          <w:color w:val="000000"/>
        </w:rPr>
        <w:t>l’addition ou l’élimination de l’eau de cristallisation. »</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jc w:val="center"/>
        <w:rPr>
          <w:rFonts w:eastAsia="Times New Roman"/>
          <w:b/>
          <w:noProof/>
          <w:color w:val="000000"/>
          <w:szCs w:val="24"/>
        </w:rPr>
      </w:pPr>
      <w:r>
        <w:rPr>
          <w:noProof/>
        </w:rPr>
        <w:br w:type="page"/>
      </w:r>
      <w:r>
        <w:rPr>
          <w:b/>
          <w:noProof/>
          <w:color w:val="000000"/>
        </w:rPr>
        <w:lastRenderedPageBreak/>
        <w:t>ANNEXE II</w:t>
      </w:r>
    </w:p>
    <w:p>
      <w:pPr>
        <w:autoSpaceDE w:val="0"/>
        <w:autoSpaceDN w:val="0"/>
        <w:adjustRightInd w:val="0"/>
        <w:spacing w:before="0" w:after="0"/>
        <w:rPr>
          <w:rFonts w:eastAsia="Times New Roman"/>
          <w:noProof/>
          <w:color w:val="000000"/>
          <w:szCs w:val="24"/>
        </w:rPr>
      </w:pPr>
    </w:p>
    <w:p>
      <w:pPr>
        <w:autoSpaceDE w:val="0"/>
        <w:autoSpaceDN w:val="0"/>
        <w:adjustRightInd w:val="0"/>
        <w:spacing w:before="0" w:after="0"/>
        <w:rPr>
          <w:rFonts w:eastAsia="Times New Roman"/>
          <w:noProof/>
          <w:color w:val="000000"/>
          <w:szCs w:val="24"/>
        </w:rPr>
      </w:pPr>
      <w:r>
        <w:rPr>
          <w:noProof/>
        </w:rPr>
        <w:t>L’appendice VI suivant est ajouté à l’annexe III de la décision nº 2/2000:</w:t>
      </w:r>
    </w:p>
    <w:p>
      <w:pPr>
        <w:autoSpaceDE w:val="0"/>
        <w:autoSpaceDN w:val="0"/>
        <w:adjustRightInd w:val="0"/>
        <w:spacing w:before="0" w:after="0"/>
        <w:rPr>
          <w:rFonts w:eastAsia="Calibri"/>
          <w:noProof/>
          <w:color w:val="000000"/>
        </w:rPr>
      </w:pPr>
    </w:p>
    <w:p>
      <w:pPr>
        <w:spacing w:before="0" w:after="0"/>
        <w:jc w:val="center"/>
        <w:rPr>
          <w:rFonts w:eastAsia="Times New Roman"/>
          <w:i/>
          <w:noProof/>
          <w:szCs w:val="20"/>
        </w:rPr>
      </w:pPr>
      <w:r>
        <w:rPr>
          <w:i/>
          <w:noProof/>
        </w:rPr>
        <w:t>«Appendice VI</w:t>
      </w:r>
    </w:p>
    <w:p>
      <w:pPr>
        <w:autoSpaceDE w:val="0"/>
        <w:autoSpaceDN w:val="0"/>
        <w:adjustRightInd w:val="0"/>
        <w:spacing w:before="0" w:after="0"/>
        <w:jc w:val="left"/>
        <w:rPr>
          <w:rFonts w:ascii="EUAlbertina" w:eastAsia="Times New Roman" w:hAnsi="EUAlbertina" w:cs="EUAlbertina"/>
          <w:noProof/>
          <w:color w:val="000000"/>
          <w:szCs w:val="24"/>
        </w:rPr>
      </w:pPr>
    </w:p>
    <w:p>
      <w:pPr>
        <w:widowControl w:val="0"/>
        <w:autoSpaceDE w:val="0"/>
        <w:autoSpaceDN w:val="0"/>
        <w:adjustRightInd w:val="0"/>
        <w:spacing w:before="0" w:after="0"/>
        <w:jc w:val="center"/>
        <w:rPr>
          <w:rFonts w:eastAsia="Times New Roman"/>
          <w:b/>
          <w:noProof/>
          <w:color w:val="000000"/>
          <w:szCs w:val="24"/>
        </w:rPr>
      </w:pPr>
      <w:r>
        <w:rPr>
          <w:b/>
          <w:noProof/>
          <w:color w:val="000000"/>
        </w:rPr>
        <w:t>LA PRINCIPAUTÉ D’ANDORRE ET LA RÉPUBLIQUE DE SAINT-MARIN</w:t>
      </w:r>
    </w:p>
    <w:p>
      <w:pPr>
        <w:widowControl w:val="0"/>
        <w:autoSpaceDE w:val="0"/>
        <w:autoSpaceDN w:val="0"/>
        <w:adjustRightInd w:val="0"/>
        <w:spacing w:before="0" w:after="0"/>
        <w:jc w:val="left"/>
        <w:rPr>
          <w:rFonts w:eastAsia="Times New Roman"/>
          <w:noProof/>
          <w:color w:val="000000"/>
          <w:szCs w:val="24"/>
        </w:rPr>
      </w:pPr>
    </w:p>
    <w:p>
      <w:pPr>
        <w:widowControl w:val="0"/>
        <w:autoSpaceDE w:val="0"/>
        <w:autoSpaceDN w:val="0"/>
        <w:adjustRightInd w:val="0"/>
        <w:spacing w:before="0" w:after="0"/>
        <w:ind w:left="284" w:hanging="284"/>
        <w:rPr>
          <w:rFonts w:eastAsia="Times New Roman"/>
          <w:noProof/>
          <w:szCs w:val="20"/>
        </w:rPr>
      </w:pPr>
      <w:r>
        <w:rPr>
          <w:noProof/>
        </w:rPr>
        <w:t>1.</w:t>
      </w:r>
      <w:r>
        <w:rPr>
          <w:noProof/>
        </w:rPr>
        <w:tab/>
        <w:t>Les produits originaires de la Principauté d’Andorre relevant des chapitres 25 à 97 du système harmonisé sont acceptés par le Mexique selon le même régime douanier que celui dont bénéficient les produits importés et originaires de l’Union européenne, tant que l’union douanière établie par la décision 90/680/CEE du Conseil du 26 novembre 1990</w:t>
      </w:r>
      <w:r>
        <w:rPr>
          <w:rStyle w:val="FootnoteReference"/>
          <w:noProof/>
        </w:rPr>
        <w:footnoteReference w:id="1"/>
      </w:r>
      <w:r>
        <w:rPr>
          <w:noProof/>
        </w:rPr>
        <w:t xml:space="preserve"> est maintenue.</w:t>
      </w:r>
    </w:p>
    <w:p>
      <w:pPr>
        <w:widowControl w:val="0"/>
        <w:autoSpaceDE w:val="0"/>
        <w:autoSpaceDN w:val="0"/>
        <w:adjustRightInd w:val="0"/>
        <w:spacing w:before="0" w:after="0"/>
        <w:ind w:left="284" w:hanging="284"/>
        <w:rPr>
          <w:rFonts w:ascii="CG Times (WN)" w:eastAsia="Times New Roman" w:hAnsi="CG Times (WN)"/>
          <w:noProof/>
          <w:szCs w:val="20"/>
        </w:rPr>
      </w:pPr>
    </w:p>
    <w:p>
      <w:pPr>
        <w:widowControl w:val="0"/>
        <w:autoSpaceDE w:val="0"/>
        <w:autoSpaceDN w:val="0"/>
        <w:adjustRightInd w:val="0"/>
        <w:spacing w:before="0" w:after="0"/>
        <w:ind w:left="284" w:hanging="284"/>
        <w:rPr>
          <w:rFonts w:ascii="CG Times (WN)" w:eastAsia="Times New Roman" w:hAnsi="CG Times (WN)"/>
          <w:noProof/>
          <w:szCs w:val="20"/>
        </w:rPr>
      </w:pPr>
      <w:r>
        <w:rPr>
          <w:noProof/>
        </w:rPr>
        <w:t>2.</w:t>
      </w:r>
      <w:r>
        <w:rPr>
          <w:noProof/>
        </w:rPr>
        <w:tab/>
        <w:t>Les produits originaires du Mexique relevant des chapitres 25 à 97 du système harmonisé bénéficient du même traitement tarifaire préférentiel lorsqu’ils sont importés en Andorre que lorsqu’ils sont importés dans l’Union européenne, tant que l’union douanière établie par la décision 90/680/CEE du Conseil du 26 novembre 1990</w:t>
      </w:r>
      <w:r>
        <w:rPr>
          <w:noProof/>
          <w:vertAlign w:val="superscript"/>
        </w:rPr>
        <w:t>1</w:t>
      </w:r>
      <w:r>
        <w:rPr>
          <w:noProof/>
        </w:rPr>
        <w:t xml:space="preserve"> est maintenue.</w:t>
      </w:r>
    </w:p>
    <w:p>
      <w:pPr>
        <w:widowControl w:val="0"/>
        <w:autoSpaceDE w:val="0"/>
        <w:autoSpaceDN w:val="0"/>
        <w:adjustRightInd w:val="0"/>
        <w:spacing w:before="0" w:after="0"/>
        <w:ind w:left="284" w:hanging="284"/>
        <w:rPr>
          <w:rFonts w:ascii="CG Times (WN)" w:eastAsia="Times New Roman" w:hAnsi="CG Times (WN)"/>
          <w:noProof/>
          <w:szCs w:val="20"/>
        </w:rPr>
      </w:pPr>
    </w:p>
    <w:p>
      <w:pPr>
        <w:widowControl w:val="0"/>
        <w:autoSpaceDE w:val="0"/>
        <w:autoSpaceDN w:val="0"/>
        <w:adjustRightInd w:val="0"/>
        <w:spacing w:before="0" w:after="0"/>
        <w:ind w:left="284" w:hanging="284"/>
        <w:rPr>
          <w:rFonts w:eastAsia="Times New Roman"/>
          <w:noProof/>
          <w:szCs w:val="20"/>
        </w:rPr>
      </w:pPr>
      <w:r>
        <w:rPr>
          <w:noProof/>
        </w:rPr>
        <w:t>3.</w:t>
      </w:r>
      <w:r>
        <w:rPr>
          <w:noProof/>
        </w:rPr>
        <w:tab/>
        <w:t>Les produits originaires de la République de Saint-Marin relevant des chapitres 1 à 97 du système harmonisé sont acceptés par le Mexique selon le même régime douanier que celui dont bénéficient les produits importés et originaires de l’Union européenne, tant que l’accord de coopération et d’union douanière conclu le 16 décembre 1991 à Bruxelles entre la Communauté économique européenne et la République de Saint-Marin est maintenu.</w:t>
      </w:r>
    </w:p>
    <w:p>
      <w:pPr>
        <w:widowControl w:val="0"/>
        <w:autoSpaceDE w:val="0"/>
        <w:autoSpaceDN w:val="0"/>
        <w:adjustRightInd w:val="0"/>
        <w:spacing w:before="0" w:after="0"/>
        <w:ind w:left="284" w:hanging="284"/>
        <w:rPr>
          <w:rFonts w:eastAsia="Times New Roman"/>
          <w:noProof/>
          <w:szCs w:val="20"/>
        </w:rPr>
      </w:pPr>
    </w:p>
    <w:p>
      <w:pPr>
        <w:widowControl w:val="0"/>
        <w:autoSpaceDE w:val="0"/>
        <w:autoSpaceDN w:val="0"/>
        <w:adjustRightInd w:val="0"/>
        <w:spacing w:before="0" w:after="0"/>
        <w:ind w:left="284" w:hanging="284"/>
        <w:rPr>
          <w:rFonts w:eastAsia="Times New Roman"/>
          <w:noProof/>
          <w:szCs w:val="20"/>
        </w:rPr>
      </w:pPr>
      <w:r>
        <w:rPr>
          <w:noProof/>
        </w:rPr>
        <w:t>4.</w:t>
      </w:r>
      <w:r>
        <w:rPr>
          <w:noProof/>
        </w:rPr>
        <w:tab/>
        <w:t>Les produits originaires du Mexique relevant des chapitres 1 à 97 du système harmonisé bénéficient du même traitement tarifaire préférentiel lorsqu’ils sont importés à Saint-Marin que lorsqu’ils sont importés dans l’Union européenne, tant que l’accord de coopération et d’union douanière conclu le 16 décembre 1991 à Bruxelles entre la Communauté économique européenne et la République de Saint-Marin est maintenu.</w:t>
      </w:r>
    </w:p>
    <w:p>
      <w:pPr>
        <w:widowControl w:val="0"/>
        <w:autoSpaceDE w:val="0"/>
        <w:autoSpaceDN w:val="0"/>
        <w:adjustRightInd w:val="0"/>
        <w:spacing w:before="0" w:after="0"/>
        <w:ind w:left="284" w:hanging="284"/>
        <w:rPr>
          <w:rFonts w:eastAsia="Times New Roman"/>
          <w:noProof/>
          <w:szCs w:val="20"/>
        </w:rPr>
      </w:pPr>
    </w:p>
    <w:p>
      <w:pPr>
        <w:widowControl w:val="0"/>
        <w:autoSpaceDE w:val="0"/>
        <w:autoSpaceDN w:val="0"/>
        <w:adjustRightInd w:val="0"/>
        <w:spacing w:before="0" w:after="0"/>
        <w:ind w:left="284" w:hanging="284"/>
        <w:rPr>
          <w:rFonts w:eastAsia="Times New Roman"/>
          <w:noProof/>
          <w:szCs w:val="20"/>
        </w:rPr>
      </w:pPr>
      <w:r>
        <w:rPr>
          <w:noProof/>
        </w:rPr>
        <w:t>5.</w:t>
      </w:r>
      <w:r>
        <w:rPr>
          <w:noProof/>
        </w:rPr>
        <w:tab/>
        <w:t>L’annexe III de la décision nº 2/2000 du Conseil conjoint CE-Mexique du 23 mars 2000, relative à la définition de la notion de produits originaires et aux méthodes de coopération administrative, est applicable mutatis mutandis au commerce des produits visés aux points 1 à 4.</w:t>
      </w:r>
    </w:p>
    <w:p>
      <w:pPr>
        <w:widowControl w:val="0"/>
        <w:autoSpaceDE w:val="0"/>
        <w:autoSpaceDN w:val="0"/>
        <w:adjustRightInd w:val="0"/>
        <w:spacing w:before="0" w:after="0"/>
        <w:ind w:left="284" w:hanging="284"/>
        <w:rPr>
          <w:rFonts w:eastAsia="Times New Roman"/>
          <w:noProof/>
          <w:szCs w:val="20"/>
        </w:rPr>
      </w:pPr>
    </w:p>
    <w:p>
      <w:pPr>
        <w:widowControl w:val="0"/>
        <w:autoSpaceDE w:val="0"/>
        <w:autoSpaceDN w:val="0"/>
        <w:adjustRightInd w:val="0"/>
        <w:spacing w:before="0" w:after="0"/>
        <w:ind w:left="284" w:hanging="284"/>
        <w:rPr>
          <w:rFonts w:eastAsia="Times New Roman"/>
          <w:noProof/>
          <w:szCs w:val="20"/>
        </w:rPr>
      </w:pPr>
      <w:r>
        <w:rPr>
          <w:noProof/>
        </w:rPr>
        <w:t>6.</w:t>
      </w:r>
      <w:r>
        <w:rPr>
          <w:noProof/>
        </w:rPr>
        <w:tab/>
        <w:t xml:space="preserve">L’exportateur, ou son représentant habilité, est tenu d’inscrire les mentions «Mexique» et «Principauté d’Andorre» ou «République de Saint-Marin», selon le cas, dans la case 2 du certificat de circulation des marchandises EUR.1 ou dans la déclaration sur facture. Si les produits sont originaires de la Principauté d’Andorre ou de la République de Saint-Marin, ces informations doivent également être inscrites </w:t>
      </w:r>
      <w:r>
        <w:rPr>
          <w:noProof/>
        </w:rPr>
        <w:lastRenderedPageBreak/>
        <w:t>dans la case 4 du certificat de circulation des marchandises EUR.1 ou dans la déclaration sur facture.</w:t>
      </w:r>
    </w:p>
    <w:p>
      <w:pPr>
        <w:widowControl w:val="0"/>
        <w:autoSpaceDE w:val="0"/>
        <w:autoSpaceDN w:val="0"/>
        <w:adjustRightInd w:val="0"/>
        <w:spacing w:before="0" w:after="0"/>
        <w:ind w:left="284" w:hanging="284"/>
        <w:rPr>
          <w:rFonts w:eastAsia="Times New Roman"/>
          <w:noProof/>
          <w:szCs w:val="20"/>
        </w:rPr>
      </w:pPr>
    </w:p>
    <w:p>
      <w:pPr>
        <w:widowControl w:val="0"/>
        <w:autoSpaceDE w:val="0"/>
        <w:autoSpaceDN w:val="0"/>
        <w:adjustRightInd w:val="0"/>
        <w:spacing w:before="0" w:after="0"/>
        <w:ind w:left="284" w:hanging="284"/>
        <w:rPr>
          <w:rFonts w:eastAsia="Times New Roman"/>
          <w:noProof/>
          <w:szCs w:val="20"/>
        </w:rPr>
      </w:pPr>
      <w:r>
        <w:rPr>
          <w:noProof/>
        </w:rPr>
        <w:t>7.</w:t>
      </w:r>
      <w:r>
        <w:rPr>
          <w:noProof/>
        </w:rPr>
        <w:tab/>
        <w:t>L’Union européenne fournit au Mexique des spécimens des certificats de circulation des marchandises EUR.1 et des cachets que doivent utiliser la Principauté d’Andorre et la République de Saint-Marin, ainsi que les coordonnées des autorités chargées des vérifications dans la Principauté d’Andorre et dans la République de Saint-Marin.</w:t>
      </w:r>
    </w:p>
    <w:p>
      <w:pPr>
        <w:widowControl w:val="0"/>
        <w:autoSpaceDE w:val="0"/>
        <w:autoSpaceDN w:val="0"/>
        <w:adjustRightInd w:val="0"/>
        <w:spacing w:before="0" w:after="0"/>
        <w:ind w:left="284" w:hanging="284"/>
        <w:rPr>
          <w:rFonts w:eastAsia="Times New Roman"/>
          <w:noProof/>
          <w:szCs w:val="20"/>
        </w:rPr>
      </w:pPr>
    </w:p>
    <w:p>
      <w:pPr>
        <w:spacing w:before="0" w:after="160" w:line="259" w:lineRule="auto"/>
        <w:ind w:left="284" w:hanging="284"/>
        <w:contextualSpacing/>
        <w:rPr>
          <w:rFonts w:eastAsia="Times New Roman"/>
          <w:noProof/>
          <w:szCs w:val="20"/>
        </w:rPr>
      </w:pPr>
      <w:r>
        <w:rPr>
          <w:noProof/>
        </w:rPr>
        <w:t>8.</w:t>
      </w:r>
      <w:r>
        <w:rPr>
          <w:noProof/>
        </w:rPr>
        <w:tab/>
        <w:t>Si les autorités gouvernementales compétentes de la Principauté d’Andorre ou de la République de Saint-Marin ne respectent pas les dispositions de l’annexe III, le Mexique pourra saisir le comité spécial pour la coopération douanière et les règles d’origine institué par l’article 17 de la décision nº 2/2000, afin que celui-ci prenne les mesures appropriées pour régler la question.»</w:t>
      </w:r>
    </w:p>
    <w:p>
      <w:pPr>
        <w:rPr>
          <w:noProof/>
        </w:rPr>
      </w:pPr>
    </w:p>
    <w:sectPr>
      <w:footerReference w:type="default" r:id="rId15"/>
      <w:footerReference w:type="first" r:id="rId16"/>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90/680/CEE du Conseil du 26 novembre 1990 concernant la conclusion de l’accord sous forme d’échange de lettres entre la Communauté économique européenne et la Principauté d’Andorre (JO L 374 du 31.12.1990,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E406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E2B7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E464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0F2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603A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8E66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8CC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9E2CA2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546A9F"/>
    <w:multiLevelType w:val="hybridMultilevel"/>
    <w:tmpl w:val="08D2CA34"/>
    <w:lvl w:ilvl="0" w:tplc="69D0D19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nsid w:val="7F9F3EF0"/>
    <w:multiLevelType w:val="hybridMultilevel"/>
    <w:tmpl w:val="96E8BA6E"/>
    <w:lvl w:ilvl="0" w:tplc="69D0D19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1"/>
  </w:num>
  <w:num w:numId="6">
    <w:abstractNumId w:val="2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01 11:59: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1"/>
    <w:docVar w:name="DQCResult_StructureCheck" w:val="0;0"/>
    <w:docVar w:name="DQCResult_SuperfluousWhitespace" w:val="0;49"/>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E5F370FB2BA24A7EA934ECB6DC57F171"/>
    <w:docVar w:name="LW_CROSSREFERENCE" w:val="&lt;UNUSED&gt;"/>
    <w:docVar w:name="LW_DocType" w:val="ANNEX"/>
    <w:docVar w:name="LW_EMISSION" w:val="8.2.2017"/>
    <w:docVar w:name="LW_EMISSION_ISODATE" w:val="2017-02-0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sur la position à adopter, au nom de l\u8217?Union européenne, au sein du comité conjoint UE_x001e_Mexique concernant les modifications à apporter à l\u8217?annexe III de la décision nº 2/2000 du Conseil conjoint CE-Mexique du 23 mars 2000, relative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17) 64"/>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1336</Words>
  <Characters>7433</Characters>
  <Application>Microsoft Office Word</Application>
  <DocSecurity>0</DocSecurity>
  <Lines>218</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Gary (TAXUD)</dc:creator>
  <cp:lastModifiedBy>DIGIT/A3</cp:lastModifiedBy>
  <cp:revision>7</cp:revision>
  <dcterms:created xsi:type="dcterms:W3CDTF">2017-01-06T09:26:00Z</dcterms:created>
  <dcterms:modified xsi:type="dcterms:W3CDTF">2017-02-01T10:59:00Z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