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AFE104D073E4DFBA92245BA0A1FBC8B" style="width:450.75pt;height:366pt">
            <v:imagedata r:id="rId7" o:title=""/>
          </v:shape>
        </w:pict>
      </w:r>
    </w:p>
    <w:bookmarkEnd w:id="0"/>
    <w:p>
      <w:pPr>
        <w:rPr>
          <w:rFonts w:ascii="Times New Roman" w:hAnsi="Times New Roman"/>
          <w:noProof/>
          <w:sz w:val="24"/>
          <w:szCs w:val="24"/>
          <w:lang w:val="bg-BG"/>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299"/>
        </w:sectPr>
      </w:pPr>
    </w:p>
    <w:p>
      <w:pPr>
        <w:jc w:val="center"/>
        <w:rPr>
          <w:rFonts w:ascii="Times New Roman" w:hAnsi="Times New Roman"/>
          <w:b/>
          <w:noProof/>
          <w:sz w:val="24"/>
          <w:szCs w:val="24"/>
          <w:lang w:val="bg-BG"/>
        </w:rPr>
      </w:pPr>
      <w:bookmarkStart w:id="1" w:name="_GoBack"/>
      <w:bookmarkEnd w:id="1"/>
      <w:r>
        <w:rPr>
          <w:rFonts w:ascii="Times New Roman" w:hAnsi="Times New Roman"/>
          <w:b/>
          <w:noProof/>
          <w:sz w:val="24"/>
          <w:lang w:val="bg-BG"/>
        </w:rPr>
        <w:lastRenderedPageBreak/>
        <w:t xml:space="preserve">Приложение </w:t>
      </w:r>
    </w:p>
    <w:p>
      <w:pPr>
        <w:jc w:val="center"/>
        <w:rPr>
          <w:rFonts w:ascii="Times New Roman" w:hAnsi="Times New Roman"/>
          <w:b/>
          <w:noProof/>
          <w:sz w:val="24"/>
          <w:szCs w:val="24"/>
          <w:lang w:val="bg-BG"/>
        </w:rPr>
      </w:pPr>
      <w:r>
        <w:rPr>
          <w:rFonts w:ascii="Times New Roman" w:hAnsi="Times New Roman"/>
          <w:b/>
          <w:noProof/>
          <w:sz w:val="24"/>
          <w:lang w:val="bg-BG"/>
        </w:rPr>
        <w:t>Административни процедури за начина, по който се осъществяват контактите с жалбоподателя във връзка с прилагането на законодателството на Европейския съюз</w:t>
      </w:r>
    </w:p>
    <w:p>
      <w:pPr>
        <w:jc w:val="center"/>
        <w:rPr>
          <w:rFonts w:ascii="Times New Roman" w:hAnsi="Times New Roman"/>
          <w:b/>
          <w:noProof/>
          <w:sz w:val="24"/>
          <w:szCs w:val="24"/>
          <w:lang w:val="bg-BG"/>
        </w:rPr>
      </w:pPr>
    </w:p>
    <w:p>
      <w:pPr>
        <w:rPr>
          <w:rFonts w:ascii="Times New Roman" w:hAnsi="Times New Roman"/>
          <w:b/>
          <w:noProof/>
          <w:sz w:val="24"/>
          <w:szCs w:val="24"/>
          <w:lang w:val="bg-BG"/>
        </w:rPr>
      </w:pPr>
    </w:p>
    <w:p>
      <w:pPr>
        <w:jc w:val="center"/>
        <w:rPr>
          <w:rFonts w:ascii="Times New Roman" w:hAnsi="Times New Roman"/>
          <w:b/>
          <w:noProof/>
          <w:sz w:val="24"/>
          <w:szCs w:val="24"/>
          <w:u w:val="single"/>
          <w:lang w:val="bg-BG"/>
        </w:rPr>
      </w:pPr>
      <w:r>
        <w:rPr>
          <w:rFonts w:ascii="Times New Roman" w:hAnsi="Times New Roman"/>
          <w:b/>
          <w:noProof/>
          <w:sz w:val="24"/>
          <w:u w:val="single"/>
          <w:lang w:val="bg-BG"/>
        </w:rPr>
        <w:t>1. Определения и приложно поле</w:t>
      </w:r>
    </w:p>
    <w:p>
      <w:pPr>
        <w:jc w:val="both"/>
        <w:rPr>
          <w:rFonts w:ascii="Times New Roman" w:hAnsi="Times New Roman"/>
          <w:noProof/>
          <w:sz w:val="24"/>
          <w:szCs w:val="24"/>
          <w:lang w:val="bg-BG"/>
        </w:rPr>
      </w:pPr>
      <w:r>
        <w:rPr>
          <w:rFonts w:ascii="Times New Roman" w:hAnsi="Times New Roman"/>
          <w:noProof/>
          <w:sz w:val="24"/>
          <w:lang w:val="bg-BG"/>
        </w:rPr>
        <w:t>„Жалба“ означава писмен акт, адресиран до Комисията, разкриващ мерки, липса на мерки или практики на държава членка, които противоречат на законодателството на Европейския съюз.</w:t>
      </w:r>
    </w:p>
    <w:p>
      <w:pPr>
        <w:jc w:val="both"/>
        <w:rPr>
          <w:rFonts w:ascii="Times New Roman" w:hAnsi="Times New Roman"/>
          <w:noProof/>
          <w:sz w:val="24"/>
          <w:szCs w:val="24"/>
          <w:lang w:val="bg-BG"/>
        </w:rPr>
      </w:pPr>
      <w:r>
        <w:rPr>
          <w:rFonts w:ascii="Times New Roman" w:hAnsi="Times New Roman"/>
          <w:noProof/>
          <w:sz w:val="24"/>
          <w:lang w:val="bg-BG"/>
        </w:rPr>
        <w:t>„Жалбоподател“ означава лице или орган, който е подал жалба до Комисията.</w:t>
      </w:r>
    </w:p>
    <w:p>
      <w:pPr>
        <w:jc w:val="both"/>
        <w:rPr>
          <w:rFonts w:ascii="Times New Roman" w:hAnsi="Times New Roman"/>
          <w:noProof/>
          <w:sz w:val="24"/>
          <w:szCs w:val="24"/>
          <w:lang w:val="bg-BG"/>
        </w:rPr>
      </w:pPr>
      <w:r>
        <w:rPr>
          <w:rFonts w:ascii="Times New Roman" w:hAnsi="Times New Roman"/>
          <w:noProof/>
          <w:sz w:val="24"/>
          <w:lang w:val="bg-BG"/>
        </w:rPr>
        <w:t>„Процедури за установяване на неизпълнение на задължение от държава членка“ означава досъдебната фаза на процедурите за неизпълнение, предприета от Комисията въз основа на член 258 от Договора за функционирането на Европейския съюз (ДФЕС) или член 106а от Договора за създаване на Европейската общност за атомна енергия (Договор за Евратом).</w:t>
      </w:r>
    </w:p>
    <w:p>
      <w:pPr>
        <w:jc w:val="both"/>
        <w:rPr>
          <w:rFonts w:ascii="Times New Roman" w:hAnsi="Times New Roman"/>
          <w:noProof/>
          <w:sz w:val="24"/>
          <w:szCs w:val="24"/>
          <w:lang w:val="bg-BG"/>
        </w:rPr>
      </w:pPr>
      <w:r>
        <w:rPr>
          <w:rFonts w:ascii="Times New Roman" w:hAnsi="Times New Roman"/>
          <w:noProof/>
          <w:sz w:val="24"/>
          <w:lang w:val="bg-BG"/>
        </w:rPr>
        <w:t>Описаният тук подход се прилага към отношенията между жалбоподателите и Комисията във връзка с мерки или практики, които биха могли да попаднат в приложното поле на член 258 от ДФЕС. Той не се прилага при жалби, свързани с други разпоредби на Договора, и по-специално при жалби относно държавна помощ, които попадат в приложното поле на членове 107 и 108 от ДФЕС или на Регламент (ЕС) 2015/1589</w:t>
      </w:r>
      <w:r>
        <w:rPr>
          <w:rFonts w:ascii="Times New Roman" w:hAnsi="Times New Roman"/>
          <w:noProof/>
          <w:sz w:val="24"/>
          <w:vertAlign w:val="superscript"/>
          <w:lang w:val="bg-BG"/>
        </w:rPr>
        <w:footnoteReference w:id="1"/>
      </w:r>
      <w:r>
        <w:rPr>
          <w:rFonts w:ascii="Times New Roman" w:hAnsi="Times New Roman"/>
          <w:noProof/>
          <w:sz w:val="24"/>
          <w:lang w:val="bg-BG"/>
        </w:rPr>
        <w:t xml:space="preserve"> на Съвета, или жалби, които се отнасят изключително до членове 101 и 102 от ДФЕС.</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2. Общи принципи</w:t>
      </w:r>
    </w:p>
    <w:p>
      <w:pPr>
        <w:jc w:val="both"/>
        <w:rPr>
          <w:rFonts w:ascii="Times New Roman" w:hAnsi="Times New Roman"/>
          <w:noProof/>
          <w:sz w:val="24"/>
          <w:szCs w:val="24"/>
          <w:lang w:val="bg-BG"/>
        </w:rPr>
      </w:pPr>
      <w:r>
        <w:rPr>
          <w:rFonts w:ascii="Times New Roman" w:hAnsi="Times New Roman"/>
          <w:noProof/>
          <w:sz w:val="24"/>
          <w:lang w:val="bg-BG"/>
        </w:rPr>
        <w:t xml:space="preserve">Всеки може да подаде безплатно жалба пред Комисията срещу държава членка във връзка с мярка (законов, подзаконов акт или административно действие) или липса на мярка или практика на държава членка, която смята за несъвместима със законодателството на Съюза. </w:t>
      </w:r>
    </w:p>
    <w:p>
      <w:pPr>
        <w:autoSpaceDE w:val="0"/>
        <w:autoSpaceDN w:val="0"/>
        <w:adjustRightInd w:val="0"/>
        <w:jc w:val="both"/>
        <w:rPr>
          <w:rFonts w:ascii="Times New Roman" w:hAnsi="Times New Roman"/>
          <w:noProof/>
          <w:sz w:val="24"/>
          <w:szCs w:val="24"/>
          <w:lang w:val="bg-BG"/>
        </w:rPr>
      </w:pPr>
      <w:r>
        <w:rPr>
          <w:rFonts w:ascii="Times New Roman" w:hAnsi="Times New Roman"/>
          <w:noProof/>
          <w:sz w:val="24"/>
          <w:lang w:val="bg-BG"/>
        </w:rPr>
        <w:t>Не е нужно жалбоподателят да докаже интерес от откриването на производството, нито пък да докаже, че е главно и непосредствено засегнат от мярката, липсата на мярка или практиката, във връзка с която подава жалбата.</w:t>
      </w:r>
    </w:p>
    <w:p>
      <w:pPr>
        <w:jc w:val="both"/>
        <w:rPr>
          <w:rFonts w:ascii="Times New Roman" w:hAnsi="Times New Roman"/>
          <w:noProof/>
          <w:sz w:val="24"/>
          <w:szCs w:val="24"/>
          <w:lang w:val="bg-BG"/>
        </w:rPr>
      </w:pPr>
      <w:r>
        <w:rPr>
          <w:rFonts w:ascii="Times New Roman" w:hAnsi="Times New Roman"/>
          <w:noProof/>
          <w:sz w:val="24"/>
          <w:lang w:val="bg-BG"/>
        </w:rPr>
        <w:t>Като се имат предвид изключенията, изброени в точка 3, Комисията ще регистрира жалбата според указанията на нейния автор, така както те са видни от формуляра.</w:t>
      </w:r>
    </w:p>
    <w:p>
      <w:pPr>
        <w:jc w:val="both"/>
        <w:rPr>
          <w:rFonts w:ascii="Times New Roman" w:hAnsi="Times New Roman"/>
          <w:noProof/>
          <w:sz w:val="24"/>
          <w:szCs w:val="24"/>
          <w:lang w:val="bg-BG"/>
        </w:rPr>
      </w:pPr>
      <w:r>
        <w:rPr>
          <w:rFonts w:ascii="Times New Roman" w:hAnsi="Times New Roman"/>
          <w:noProof/>
          <w:sz w:val="24"/>
          <w:lang w:val="bg-BG"/>
        </w:rPr>
        <w:t>Комисията може да вземе решение дали да бъдат предприети по-нататъшни действия във връзка с жалбата, или не.</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3. Регистриране на жалбите</w:t>
      </w:r>
    </w:p>
    <w:p>
      <w:pPr>
        <w:jc w:val="both"/>
        <w:rPr>
          <w:rFonts w:ascii="Times New Roman" w:hAnsi="Times New Roman"/>
          <w:noProof/>
          <w:sz w:val="24"/>
          <w:szCs w:val="24"/>
          <w:lang w:val="bg-BG"/>
        </w:rPr>
      </w:pPr>
      <w:r>
        <w:rPr>
          <w:rFonts w:ascii="Times New Roman" w:hAnsi="Times New Roman"/>
          <w:noProof/>
          <w:sz w:val="24"/>
          <w:lang w:val="bg-BG"/>
        </w:rPr>
        <w:t>Жалбата относно прилагането на правото на Съюза от държава членка се вписва от Комисията в специален регистър.</w:t>
      </w:r>
    </w:p>
    <w:p>
      <w:pPr>
        <w:jc w:val="both"/>
        <w:rPr>
          <w:rFonts w:ascii="Times New Roman" w:hAnsi="Times New Roman"/>
          <w:noProof/>
          <w:sz w:val="24"/>
          <w:szCs w:val="24"/>
          <w:lang w:val="bg-BG"/>
        </w:rPr>
      </w:pPr>
      <w:r>
        <w:rPr>
          <w:rFonts w:ascii="Times New Roman" w:hAnsi="Times New Roman"/>
          <w:noProof/>
          <w:sz w:val="24"/>
          <w:lang w:val="bg-BG"/>
        </w:rPr>
        <w:t>Кореспонденцията няма да бъде разследвана от Комисията като жалба и следователно няма да се регистрира в специалния регистър:</w:t>
      </w:r>
    </w:p>
    <w:p>
      <w:pPr>
        <w:jc w:val="both"/>
        <w:rPr>
          <w:rFonts w:ascii="Times New Roman" w:hAnsi="Times New Roman"/>
          <w:noProof/>
          <w:sz w:val="24"/>
          <w:szCs w:val="24"/>
          <w:lang w:val="bg-BG"/>
        </w:rPr>
      </w:pPr>
      <w:r>
        <w:rPr>
          <w:rFonts w:ascii="Times New Roman" w:hAnsi="Times New Roman"/>
          <w:noProof/>
          <w:sz w:val="24"/>
          <w:lang w:val="bg-BG"/>
        </w:rPr>
        <w:t xml:space="preserve">– </w:t>
      </w:r>
      <w:r>
        <w:rPr>
          <w:noProof/>
          <w:lang w:val="bg-BG"/>
        </w:rPr>
        <w:tab/>
      </w:r>
      <w:r>
        <w:rPr>
          <w:rFonts w:ascii="Times New Roman" w:hAnsi="Times New Roman"/>
          <w:noProof/>
          <w:sz w:val="24"/>
          <w:lang w:val="bg-BG"/>
        </w:rPr>
        <w:t>ако е анонимна, в нея не се вижда адресът на подателя или пък този адрес е непълен;</w:t>
      </w:r>
    </w:p>
    <w:p>
      <w:pPr>
        <w:jc w:val="both"/>
        <w:rPr>
          <w:rFonts w:ascii="Times New Roman" w:hAnsi="Times New Roman"/>
          <w:noProof/>
          <w:sz w:val="24"/>
          <w:szCs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ако в нея не се посочва пряко или косвено държавата членка, на която може да се припишат мерките или практиката, които противоречат на законодателството на Съюза;</w:t>
      </w:r>
    </w:p>
    <w:p>
      <w:pPr>
        <w:jc w:val="both"/>
        <w:rPr>
          <w:rFonts w:ascii="Times New Roman" w:hAnsi="Times New Roman"/>
          <w:noProof/>
          <w:sz w:val="24"/>
          <w:szCs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ако в нея се изобличават действия или пропуски на частно лице или орган, освен ако мярката или жалбата разкрива намесата на публични органи или ако се твърди, че тези органи не са предприели необходимото в отговор на тези действия или пропуски. При всички положения Комисията проверява дали кореспонденцията разкрива поведение, което противоречи на правилата за конкуренция (членове 101 и 102 от ДФЕС);</w:t>
      </w:r>
    </w:p>
    <w:p>
      <w:pPr>
        <w:jc w:val="both"/>
        <w:rPr>
          <w:rFonts w:ascii="Times New Roman" w:hAnsi="Times New Roman"/>
          <w:noProof/>
          <w:sz w:val="24"/>
          <w:szCs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ако в нея не се разкрива нарушение;</w:t>
      </w:r>
    </w:p>
    <w:p>
      <w:pPr>
        <w:jc w:val="both"/>
        <w:rPr>
          <w:rFonts w:ascii="Times New Roman" w:hAnsi="Times New Roman"/>
          <w:noProof/>
          <w:sz w:val="24"/>
          <w:szCs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ако в нея се разкрива нарушение, по отношение на което Комисията е приела ясна, публична и последователна позиция, която се съобщава на жалбоподателя;</w:t>
      </w:r>
    </w:p>
    <w:p>
      <w:pPr>
        <w:jc w:val="both"/>
        <w:rPr>
          <w:rFonts w:ascii="Times New Roman" w:hAnsi="Times New Roman"/>
          <w:noProof/>
          <w:sz w:val="24"/>
          <w:szCs w:val="24"/>
          <w:lang w:val="bg-BG"/>
        </w:rPr>
      </w:pPr>
      <w:r>
        <w:rPr>
          <w:rFonts w:ascii="Times New Roman" w:hAnsi="Times New Roman"/>
          <w:noProof/>
          <w:sz w:val="24"/>
          <w:lang w:val="bg-BG"/>
        </w:rPr>
        <w:t>–</w:t>
      </w:r>
      <w:r>
        <w:rPr>
          <w:noProof/>
          <w:lang w:val="bg-BG"/>
        </w:rPr>
        <w:tab/>
      </w:r>
      <w:r>
        <w:rPr>
          <w:rFonts w:ascii="Times New Roman" w:hAnsi="Times New Roman"/>
          <w:noProof/>
          <w:sz w:val="24"/>
          <w:lang w:val="bg-BG"/>
        </w:rPr>
        <w:t>ако в нея се разкрива нарушение, което очевидно попада извън приложното поле на законодателството на Съюза.</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4. Потвърждение за получаване</w:t>
      </w:r>
    </w:p>
    <w:p>
      <w:pPr>
        <w:jc w:val="both"/>
        <w:rPr>
          <w:rFonts w:ascii="Times New Roman" w:hAnsi="Times New Roman"/>
          <w:noProof/>
          <w:sz w:val="24"/>
          <w:szCs w:val="24"/>
          <w:lang w:val="bg-BG"/>
        </w:rPr>
      </w:pPr>
      <w:r>
        <w:rPr>
          <w:rFonts w:ascii="Times New Roman" w:hAnsi="Times New Roman"/>
          <w:noProof/>
          <w:sz w:val="24"/>
          <w:lang w:val="bg-BG"/>
        </w:rPr>
        <w:t>В срок от 15 работни дни от получаването на всяка жалба Комисията изпраща обратна разписка. В обратната разписка се отбелязва регистрационният номер, който трябва да се посочва във всяка кореспонденция.</w:t>
      </w:r>
    </w:p>
    <w:p>
      <w:pPr>
        <w:jc w:val="both"/>
        <w:rPr>
          <w:rFonts w:ascii="Times New Roman" w:hAnsi="Times New Roman"/>
          <w:noProof/>
          <w:sz w:val="24"/>
          <w:szCs w:val="24"/>
          <w:lang w:val="bg-BG"/>
        </w:rPr>
      </w:pPr>
      <w:r>
        <w:rPr>
          <w:rFonts w:ascii="Times New Roman" w:hAnsi="Times New Roman"/>
          <w:noProof/>
          <w:sz w:val="24"/>
          <w:lang w:val="bg-BG"/>
        </w:rPr>
        <w:t xml:space="preserve">Когато са подадени няколко жалби за едно и също нарушение, отделните обратни разписки може да бъдат заменени от публикация на известие на уебсайта на Европейския съюз </w:t>
      </w:r>
      <w:r>
        <w:rPr>
          <w:rFonts w:ascii="Times New Roman" w:hAnsi="Times New Roman"/>
          <w:i/>
          <w:noProof/>
          <w:sz w:val="24"/>
          <w:lang w:val="bg-BG"/>
        </w:rPr>
        <w:t>Europa</w:t>
      </w:r>
      <w:r>
        <w:rPr>
          <w:rFonts w:ascii="Times New Roman" w:hAnsi="Times New Roman"/>
          <w:noProof/>
          <w:sz w:val="24"/>
          <w:lang w:val="bg-BG"/>
        </w:rPr>
        <w:t>.</w:t>
      </w:r>
      <w:r>
        <w:rPr>
          <w:rFonts w:ascii="Times New Roman" w:hAnsi="Times New Roman"/>
          <w:noProof/>
          <w:sz w:val="24"/>
          <w:vertAlign w:val="superscript"/>
          <w:lang w:val="bg-BG"/>
        </w:rPr>
        <w:footnoteReference w:id="2"/>
      </w:r>
    </w:p>
    <w:p>
      <w:pPr>
        <w:jc w:val="both"/>
        <w:rPr>
          <w:rFonts w:ascii="Times New Roman" w:hAnsi="Times New Roman"/>
          <w:noProof/>
          <w:sz w:val="24"/>
          <w:szCs w:val="24"/>
          <w:lang w:val="bg-BG"/>
        </w:rPr>
      </w:pPr>
      <w:r>
        <w:rPr>
          <w:rFonts w:ascii="Times New Roman" w:hAnsi="Times New Roman"/>
          <w:noProof/>
          <w:sz w:val="24"/>
          <w:lang w:val="bg-BG"/>
        </w:rPr>
        <w:t>Когато Комисията вземе решение да не регистрира жалбата, тя трябва да уведоми нейния автор за това чрез обикновено писмо, в което посочва една или няколко от причините, изброени във втория параграф на точка 3.</w:t>
      </w:r>
    </w:p>
    <w:p>
      <w:pPr>
        <w:jc w:val="both"/>
        <w:rPr>
          <w:rFonts w:ascii="Times New Roman" w:hAnsi="Times New Roman"/>
          <w:noProof/>
          <w:sz w:val="24"/>
          <w:szCs w:val="24"/>
          <w:lang w:val="bg-BG"/>
        </w:rPr>
      </w:pPr>
      <w:r>
        <w:rPr>
          <w:rFonts w:ascii="Times New Roman" w:hAnsi="Times New Roman"/>
          <w:noProof/>
          <w:sz w:val="24"/>
          <w:lang w:val="bg-BG"/>
        </w:rPr>
        <w:t>В този случай Комисията уведомява жалбоподателя за всички възможни средства за правна защита, като сезиране на националните съдилища, Европейския омбудсман, национален омбудсман или използване на друга национална или международна процедура за подаване на жалби.</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5. Начини за подаване на жалба</w:t>
      </w:r>
    </w:p>
    <w:p>
      <w:pPr>
        <w:jc w:val="both"/>
        <w:rPr>
          <w:rFonts w:ascii="Times New Roman" w:hAnsi="Times New Roman"/>
          <w:noProof/>
          <w:sz w:val="24"/>
          <w:szCs w:val="24"/>
          <w:lang w:val="bg-BG"/>
        </w:rPr>
      </w:pPr>
      <w:r>
        <w:rPr>
          <w:rFonts w:ascii="Times New Roman" w:hAnsi="Times New Roman"/>
          <w:noProof/>
          <w:sz w:val="24"/>
          <w:lang w:val="bg-BG"/>
        </w:rPr>
        <w:t>Жалбите се подават, като се използва стандартният формуляр за жалба. Те се изпращат по електронен път или в писмен вид с писмо до Генералния секретариат на Комисията на адрес „1049 Brussels, Belgium“, или се подават в офис на Комисията в държавите членки.</w:t>
      </w:r>
    </w:p>
    <w:p>
      <w:pPr>
        <w:jc w:val="both"/>
        <w:rPr>
          <w:rFonts w:ascii="Times New Roman" w:hAnsi="Times New Roman"/>
          <w:noProof/>
          <w:sz w:val="24"/>
          <w:szCs w:val="24"/>
          <w:lang w:val="bg-BG"/>
        </w:rPr>
      </w:pPr>
      <w:r>
        <w:rPr>
          <w:rFonts w:ascii="Times New Roman" w:hAnsi="Times New Roman"/>
          <w:noProof/>
          <w:sz w:val="24"/>
          <w:lang w:val="bg-BG"/>
        </w:rPr>
        <w:t>Те трябва да бъдат изготвени на един от официалните езици на Съюза.</w:t>
      </w:r>
    </w:p>
    <w:p>
      <w:pPr>
        <w:jc w:val="both"/>
        <w:rPr>
          <w:rFonts w:ascii="Times New Roman" w:hAnsi="Times New Roman"/>
          <w:noProof/>
          <w:sz w:val="24"/>
          <w:szCs w:val="24"/>
          <w:lang w:val="bg-BG"/>
        </w:rPr>
      </w:pPr>
      <w:r>
        <w:rPr>
          <w:rFonts w:ascii="Times New Roman" w:hAnsi="Times New Roman"/>
          <w:noProof/>
          <w:sz w:val="24"/>
          <w:lang w:val="bg-BG"/>
        </w:rPr>
        <w:t xml:space="preserve">Формулярът за жалба може да бъде получен от Комисията при поискване или онлайн от уебсайта </w:t>
      </w:r>
      <w:r>
        <w:rPr>
          <w:rFonts w:ascii="Times New Roman" w:hAnsi="Times New Roman"/>
          <w:i/>
          <w:noProof/>
          <w:sz w:val="24"/>
          <w:lang w:val="bg-BG"/>
        </w:rPr>
        <w:t>Europa</w:t>
      </w:r>
      <w:r>
        <w:rPr>
          <w:rFonts w:ascii="Times New Roman" w:hAnsi="Times New Roman"/>
          <w:noProof/>
          <w:sz w:val="24"/>
          <w:lang w:val="bg-BG"/>
        </w:rPr>
        <w:t>.</w:t>
      </w:r>
      <w:r>
        <w:rPr>
          <w:rFonts w:ascii="Times New Roman" w:hAnsi="Times New Roman"/>
          <w:noProof/>
          <w:sz w:val="24"/>
          <w:vertAlign w:val="superscript"/>
          <w:lang w:val="bg-BG"/>
        </w:rPr>
        <w:footnoteReference w:id="3"/>
      </w:r>
      <w:r>
        <w:rPr>
          <w:rFonts w:ascii="Times New Roman" w:hAnsi="Times New Roman"/>
          <w:noProof/>
          <w:sz w:val="24"/>
          <w:lang w:val="bg-BG"/>
        </w:rPr>
        <w:t xml:space="preserve"> Когато Комисията сметне, че жалбоподателят не е спазил изискванията на формуляра за жалба, тя  уведомява жалбоподателя за това и го приканва да попълни формуляра в рамките на определен срок, който по принцип не надвишава 1 месец. Ако жалбоподателят не отговори в определения срок, жалбата се счита за оттеглена. При изключителни обстоятелства, когато е очевидно невъзможно за жалбоподателя да използва формуляра, това изискване може да бъде отменено. </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6. Защита на жалбоподателя и личните данни</w:t>
      </w:r>
    </w:p>
    <w:p>
      <w:pPr>
        <w:jc w:val="both"/>
        <w:rPr>
          <w:rFonts w:ascii="Times New Roman" w:hAnsi="Times New Roman"/>
          <w:noProof/>
          <w:sz w:val="24"/>
          <w:szCs w:val="24"/>
          <w:lang w:val="bg-BG"/>
        </w:rPr>
      </w:pPr>
      <w:r>
        <w:rPr>
          <w:rFonts w:ascii="Times New Roman" w:hAnsi="Times New Roman"/>
          <w:noProof/>
          <w:sz w:val="24"/>
          <w:lang w:val="bg-BG"/>
        </w:rPr>
        <w:t>Самоличността на жалбоподателите и предоставената от тях информация се разкриват пред засегнатата държава членка само с предварителното им съгласие и в съответствие</w:t>
      </w:r>
      <w:r>
        <w:rPr>
          <w:rFonts w:ascii="Times New Roman" w:hAnsi="Times New Roman"/>
          <w:i/>
          <w:noProof/>
          <w:sz w:val="24"/>
          <w:lang w:val="bg-BG"/>
        </w:rPr>
        <w:t xml:space="preserve"> inter alia</w:t>
      </w:r>
      <w:r>
        <w:rPr>
          <w:rFonts w:ascii="Times New Roman" w:hAnsi="Times New Roman"/>
          <w:noProof/>
          <w:sz w:val="24"/>
          <w:lang w:val="bg-BG"/>
        </w:rPr>
        <w:t xml:space="preserve"> с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w:t>
      </w:r>
      <w:r>
        <w:rPr>
          <w:rFonts w:ascii="Times New Roman" w:hAnsi="Times New Roman"/>
          <w:noProof/>
          <w:sz w:val="24"/>
          <w:vertAlign w:val="superscript"/>
          <w:lang w:val="bg-BG"/>
        </w:rPr>
        <w:footnoteReference w:id="4"/>
      </w:r>
      <w:r>
        <w:rPr>
          <w:rFonts w:ascii="Times New Roman" w:hAnsi="Times New Roman"/>
          <w:noProof/>
          <w:sz w:val="24"/>
          <w:lang w:val="bg-BG"/>
        </w:rPr>
        <w:t>.</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7. Поддържане на връзка с жалбоподателите</w:t>
      </w:r>
    </w:p>
    <w:p>
      <w:pPr>
        <w:jc w:val="both"/>
        <w:rPr>
          <w:rFonts w:ascii="Times New Roman" w:hAnsi="Times New Roman"/>
          <w:noProof/>
          <w:sz w:val="24"/>
          <w:szCs w:val="24"/>
          <w:lang w:val="bg-BG"/>
        </w:rPr>
      </w:pPr>
      <w:r>
        <w:rPr>
          <w:rFonts w:ascii="Times New Roman" w:hAnsi="Times New Roman"/>
          <w:noProof/>
          <w:sz w:val="24"/>
          <w:lang w:val="bg-BG"/>
        </w:rPr>
        <w:t>След като бъде регистрирана, жалбата може да бъде разгледана в сътрудничество със засегнатата държава членка. Комисията уведомява жалбоподателя за това писмено.</w:t>
      </w:r>
    </w:p>
    <w:p>
      <w:pPr>
        <w:jc w:val="both"/>
        <w:rPr>
          <w:rFonts w:ascii="Times New Roman" w:hAnsi="Times New Roman"/>
          <w:noProof/>
          <w:sz w:val="24"/>
          <w:szCs w:val="24"/>
          <w:lang w:val="bg-BG"/>
        </w:rPr>
      </w:pPr>
      <w:r>
        <w:rPr>
          <w:rFonts w:ascii="Times New Roman" w:hAnsi="Times New Roman"/>
          <w:noProof/>
          <w:sz w:val="24"/>
          <w:lang w:val="bg-BG"/>
        </w:rPr>
        <w:t xml:space="preserve">Ако впоследствие въз основа на жалбата бъде открита процедура за установяване на неизпълнение на задължение от държава членка, Комисията уведомява писмено жалбоподателите за всеки етап на процедурата (официално уведомително писмо, обосновано становище, сезиране на Съда или прекратяване на случая). Когато са подадени няколко жалби за едно и също нарушение, писмената кореспонденция може да бъде заменена с публикуването на известие на уебсайта </w:t>
      </w:r>
      <w:r>
        <w:rPr>
          <w:rFonts w:ascii="Times New Roman" w:hAnsi="Times New Roman"/>
          <w:i/>
          <w:noProof/>
          <w:sz w:val="24"/>
          <w:lang w:val="bg-BG"/>
        </w:rPr>
        <w:t>Europa</w:t>
      </w:r>
      <w:r>
        <w:rPr>
          <w:rFonts w:ascii="Times New Roman" w:hAnsi="Times New Roman"/>
          <w:noProof/>
          <w:sz w:val="24"/>
          <w:lang w:val="bg-BG"/>
        </w:rPr>
        <w:t>.</w:t>
      </w:r>
    </w:p>
    <w:p>
      <w:pPr>
        <w:jc w:val="both"/>
        <w:rPr>
          <w:rFonts w:ascii="Times New Roman" w:hAnsi="Times New Roman"/>
          <w:noProof/>
          <w:sz w:val="24"/>
          <w:szCs w:val="24"/>
          <w:lang w:val="bg-BG"/>
        </w:rPr>
      </w:pPr>
      <w:r>
        <w:rPr>
          <w:rFonts w:ascii="Times New Roman" w:hAnsi="Times New Roman"/>
          <w:noProof/>
          <w:sz w:val="24"/>
          <w:lang w:val="bg-BG"/>
        </w:rPr>
        <w:t>На всеки етап от процедурата жалбоподателите могат да поискат да обяснят или да пояснят пред Комисията, в нейни помещения и на свои разноски, основанията за жалбата си.</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8. Срок за разследване на жалбите</w:t>
      </w:r>
    </w:p>
    <w:p>
      <w:pPr>
        <w:jc w:val="both"/>
        <w:rPr>
          <w:rFonts w:ascii="Times New Roman" w:hAnsi="Times New Roman"/>
          <w:noProof/>
          <w:sz w:val="24"/>
          <w:szCs w:val="24"/>
          <w:lang w:val="bg-BG"/>
        </w:rPr>
      </w:pPr>
      <w:r>
        <w:rPr>
          <w:rFonts w:ascii="Times New Roman" w:hAnsi="Times New Roman"/>
          <w:noProof/>
          <w:sz w:val="24"/>
          <w:lang w:val="bg-BG"/>
        </w:rPr>
        <w:t>Като общо правило Комисията разследва жалбите с цел вземането на решение за издаване на официално уведомление или за прекратяване на случая в продължение на не повече от 1 година от датата на регистриране на жалбата, при условие че жалбоподателят е предоставил цялата необходима информация.</w:t>
      </w:r>
    </w:p>
    <w:p>
      <w:pPr>
        <w:jc w:val="both"/>
        <w:rPr>
          <w:rFonts w:ascii="Times New Roman" w:hAnsi="Times New Roman"/>
          <w:noProof/>
          <w:sz w:val="24"/>
          <w:szCs w:val="24"/>
          <w:lang w:val="bg-BG"/>
        </w:rPr>
      </w:pPr>
      <w:r>
        <w:rPr>
          <w:rFonts w:ascii="Times New Roman" w:hAnsi="Times New Roman"/>
          <w:noProof/>
          <w:sz w:val="24"/>
          <w:lang w:val="bg-BG"/>
        </w:rPr>
        <w:t>При надхвърляне на този срок Комисията уведомява жалбоподателя в писмен вид.</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9. Резултат от разследването на жалбите</w:t>
      </w:r>
    </w:p>
    <w:p>
      <w:pPr>
        <w:jc w:val="both"/>
        <w:rPr>
          <w:rFonts w:ascii="Times New Roman" w:hAnsi="Times New Roman"/>
          <w:noProof/>
          <w:sz w:val="24"/>
          <w:szCs w:val="24"/>
          <w:lang w:val="bg-BG"/>
        </w:rPr>
      </w:pPr>
      <w:r>
        <w:rPr>
          <w:rFonts w:ascii="Times New Roman" w:hAnsi="Times New Roman"/>
          <w:noProof/>
          <w:sz w:val="24"/>
          <w:lang w:val="bg-BG"/>
        </w:rPr>
        <w:t>След разследването на жалбата Комисията може да издаде официално уведомително писмо за откриването на процедура срещу съответната държава членка или да приключи случая окончателно.</w:t>
      </w:r>
    </w:p>
    <w:p>
      <w:pPr>
        <w:spacing w:before="100" w:beforeAutospacing="1" w:after="100" w:afterAutospacing="1"/>
        <w:jc w:val="both"/>
        <w:rPr>
          <w:rFonts w:ascii="Times New Roman" w:hAnsi="Times New Roman"/>
          <w:b/>
          <w:noProof/>
          <w:sz w:val="24"/>
          <w:szCs w:val="24"/>
          <w:lang w:val="bg-BG"/>
        </w:rPr>
      </w:pPr>
      <w:r>
        <w:rPr>
          <w:rFonts w:ascii="Times New Roman" w:hAnsi="Times New Roman"/>
          <w:noProof/>
          <w:sz w:val="24"/>
          <w:lang w:val="bg-BG"/>
        </w:rPr>
        <w:t>В рамките на своите правомощия Комисията взема решение за откриването или прекратяването на процедура за установяване на неизпълнение на задължение от държава членка.</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10. Прекратяване на случая</w:t>
      </w:r>
    </w:p>
    <w:p>
      <w:pPr>
        <w:jc w:val="both"/>
        <w:rPr>
          <w:rFonts w:ascii="Times New Roman" w:hAnsi="Times New Roman"/>
          <w:noProof/>
          <w:sz w:val="24"/>
          <w:szCs w:val="24"/>
          <w:lang w:val="bg-BG"/>
        </w:rPr>
      </w:pPr>
      <w:r>
        <w:rPr>
          <w:rFonts w:ascii="Times New Roman" w:hAnsi="Times New Roman"/>
          <w:noProof/>
          <w:sz w:val="24"/>
          <w:lang w:val="bg-BG"/>
        </w:rPr>
        <w:t xml:space="preserve">Освен ако има извънредни обстоятелства, които налагат предприемането на спешни мерки, когато се приеме, че по дадена жалба няма да бъдат предприети по-нататъшни действия, Комисията предварително уведомява жалбоподателя за това чрез писмо, в което посочва основанията, на които предлага случаят да бъде прекратен, и приканва жалбоподателя да представи становището си в срок от 4 седмици. Когато са подадени няколко жалби за едно и също нарушение, писмената кореспонденция може да бъде заменена с публикуването на известие на уебсайта </w:t>
      </w:r>
      <w:r>
        <w:rPr>
          <w:rFonts w:ascii="Times New Roman" w:hAnsi="Times New Roman"/>
          <w:i/>
          <w:noProof/>
          <w:sz w:val="24"/>
          <w:lang w:val="bg-BG"/>
        </w:rPr>
        <w:t>Europa</w:t>
      </w:r>
      <w:r>
        <w:rPr>
          <w:rFonts w:ascii="Times New Roman" w:hAnsi="Times New Roman"/>
          <w:noProof/>
          <w:sz w:val="24"/>
          <w:lang w:val="bg-BG"/>
        </w:rPr>
        <w:t>.</w:t>
      </w:r>
    </w:p>
    <w:p>
      <w:pPr>
        <w:jc w:val="both"/>
        <w:rPr>
          <w:rFonts w:ascii="Times New Roman" w:hAnsi="Times New Roman"/>
          <w:noProof/>
          <w:sz w:val="24"/>
          <w:szCs w:val="24"/>
          <w:lang w:val="bg-BG"/>
        </w:rPr>
      </w:pPr>
      <w:r>
        <w:rPr>
          <w:rFonts w:ascii="Times New Roman" w:hAnsi="Times New Roman"/>
          <w:noProof/>
          <w:sz w:val="24"/>
          <w:lang w:val="bg-BG"/>
        </w:rPr>
        <w:t>Когато жалбоподателят не отговоря, когато с него не може да бъде осъществен контакт по причини, за които той носи отговорност, или когато становището на жалбоподателя не убеждава Комисията да преразгледа позицията си, случаят се прекратява.</w:t>
      </w:r>
    </w:p>
    <w:p>
      <w:pPr>
        <w:jc w:val="both"/>
        <w:rPr>
          <w:rFonts w:ascii="Times New Roman" w:hAnsi="Times New Roman"/>
          <w:noProof/>
          <w:sz w:val="24"/>
          <w:szCs w:val="24"/>
          <w:lang w:val="bg-BG"/>
        </w:rPr>
      </w:pPr>
      <w:r>
        <w:rPr>
          <w:rFonts w:ascii="Times New Roman" w:hAnsi="Times New Roman"/>
          <w:noProof/>
          <w:sz w:val="24"/>
          <w:lang w:val="bg-BG"/>
        </w:rPr>
        <w:t>Когато становището на жалбоподателя убеди Комисията да преразгледа позицията си, разследването по жалбата продължава.</w:t>
      </w:r>
    </w:p>
    <w:p>
      <w:pPr>
        <w:jc w:val="both"/>
        <w:rPr>
          <w:rFonts w:ascii="Times New Roman" w:hAnsi="Times New Roman"/>
          <w:noProof/>
          <w:sz w:val="24"/>
          <w:szCs w:val="24"/>
          <w:lang w:val="bg-BG"/>
        </w:rPr>
      </w:pPr>
      <w:r>
        <w:rPr>
          <w:rFonts w:ascii="Times New Roman" w:hAnsi="Times New Roman"/>
          <w:noProof/>
          <w:sz w:val="24"/>
          <w:lang w:val="bg-BG"/>
        </w:rPr>
        <w:t>Жалбоподателят се уведомява в писмен вид за прекратяването.</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11. Публикуване на решенията във връзка с установяване на неизпълнение на задължение от държава членка</w:t>
      </w:r>
    </w:p>
    <w:p>
      <w:pPr>
        <w:jc w:val="both"/>
        <w:rPr>
          <w:rFonts w:ascii="Times New Roman" w:hAnsi="Times New Roman"/>
          <w:noProof/>
          <w:sz w:val="24"/>
          <w:szCs w:val="24"/>
          <w:lang w:val="bg-BG"/>
        </w:rPr>
      </w:pPr>
      <w:r>
        <w:rPr>
          <w:rFonts w:ascii="Times New Roman" w:hAnsi="Times New Roman"/>
          <w:noProof/>
          <w:sz w:val="24"/>
          <w:lang w:val="bg-BG"/>
        </w:rPr>
        <w:t xml:space="preserve">Информация относно решенията на Комисията във връзка с установяване на неизпълнение на задължение се публикува на уебсайта </w:t>
      </w:r>
      <w:r>
        <w:rPr>
          <w:rFonts w:ascii="Times New Roman" w:hAnsi="Times New Roman"/>
          <w:i/>
          <w:noProof/>
          <w:sz w:val="24"/>
          <w:lang w:val="bg-BG"/>
        </w:rPr>
        <w:t>Europa</w:t>
      </w:r>
      <w:r>
        <w:rPr>
          <w:rFonts w:ascii="Times New Roman" w:hAnsi="Times New Roman"/>
          <w:noProof/>
          <w:sz w:val="24"/>
          <w:lang w:val="bg-BG"/>
        </w:rPr>
        <w:t xml:space="preserve">. </w:t>
      </w:r>
      <w:r>
        <w:rPr>
          <w:rFonts w:ascii="Times New Roman" w:hAnsi="Times New Roman"/>
          <w:noProof/>
          <w:sz w:val="24"/>
          <w:vertAlign w:val="superscript"/>
          <w:lang w:val="bg-BG"/>
        </w:rPr>
        <w:footnoteReference w:id="5"/>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12. Достъп до документи във връзка с установяване на неизпълнение на задължение от държава членка</w:t>
      </w:r>
    </w:p>
    <w:p>
      <w:pPr>
        <w:jc w:val="both"/>
        <w:rPr>
          <w:rFonts w:ascii="Times New Roman" w:hAnsi="Times New Roman"/>
          <w:noProof/>
          <w:sz w:val="24"/>
          <w:szCs w:val="24"/>
          <w:lang w:val="bg-BG"/>
        </w:rPr>
      </w:pPr>
      <w:r>
        <w:rPr>
          <w:rFonts w:ascii="Times New Roman" w:hAnsi="Times New Roman"/>
          <w:noProof/>
          <w:sz w:val="24"/>
          <w:lang w:val="bg-BG"/>
        </w:rPr>
        <w:t>Достъпът до документи във връзка с установяване на неизпълнение на задължение от държава членка се урежда с Регламент (ЕО) № 1049/2001, който се прилага в съответствие с разпоредбите на приложението към Решение 2001/937/ЕО, ЕОВС, Евратом на Комисията</w:t>
      </w:r>
      <w:r>
        <w:rPr>
          <w:rFonts w:ascii="Times New Roman" w:hAnsi="Times New Roman"/>
          <w:noProof/>
          <w:sz w:val="24"/>
          <w:vertAlign w:val="superscript"/>
          <w:lang w:val="bg-BG"/>
        </w:rPr>
        <w:footnoteReference w:id="6"/>
      </w:r>
      <w:r>
        <w:rPr>
          <w:rFonts w:ascii="Times New Roman" w:hAnsi="Times New Roman"/>
          <w:noProof/>
          <w:sz w:val="24"/>
          <w:lang w:val="bg-BG"/>
        </w:rPr>
        <w:t>.</w:t>
      </w:r>
    </w:p>
    <w:p>
      <w:pPr>
        <w:jc w:val="center"/>
        <w:rPr>
          <w:rFonts w:ascii="Times New Roman" w:hAnsi="Times New Roman"/>
          <w:b/>
          <w:noProof/>
          <w:sz w:val="24"/>
          <w:szCs w:val="24"/>
          <w:u w:val="single"/>
          <w:lang w:val="bg-BG"/>
        </w:rPr>
      </w:pPr>
      <w:r>
        <w:rPr>
          <w:rFonts w:ascii="Times New Roman" w:hAnsi="Times New Roman"/>
          <w:b/>
          <w:noProof/>
          <w:sz w:val="24"/>
          <w:u w:val="single"/>
          <w:lang w:val="bg-BG"/>
        </w:rPr>
        <w:t>13. Жалба до Европейския омбудсман</w:t>
      </w:r>
    </w:p>
    <w:p>
      <w:pPr>
        <w:jc w:val="both"/>
        <w:rPr>
          <w:rFonts w:ascii="Times New Roman" w:hAnsi="Times New Roman"/>
          <w:noProof/>
          <w:sz w:val="24"/>
          <w:szCs w:val="24"/>
          <w:lang w:val="bg-BG"/>
        </w:rPr>
      </w:pPr>
      <w:r>
        <w:rPr>
          <w:rFonts w:ascii="Times New Roman" w:hAnsi="Times New Roman"/>
          <w:noProof/>
          <w:sz w:val="24"/>
          <w:lang w:val="bg-BG"/>
        </w:rPr>
        <w:t>Когато жалбоподателят е на мнение, че при разглеждането на жалбата му Комисията е извършила лошо администриране, като не е изпълнила някои от посочените по-горе мерки, той може да отнесе случая до Европейския омбудсман съгласно членове 24 и 228 от ДФЕС.</w:t>
      </w:r>
    </w:p>
    <w:p>
      <w:pPr>
        <w:jc w:val="both"/>
        <w:rPr>
          <w:rFonts w:ascii="Times New Roman" w:hAnsi="Times New Roman"/>
          <w:b/>
          <w:noProof/>
          <w:sz w:val="24"/>
          <w:szCs w:val="24"/>
          <w:lang w:val="bg-BG"/>
        </w:rPr>
      </w:pPr>
    </w:p>
    <w:p>
      <w:pPr>
        <w:jc w:val="both"/>
        <w:rPr>
          <w:rFonts w:ascii="Times New Roman" w:hAnsi="Times New Roman"/>
          <w:noProof/>
          <w:sz w:val="24"/>
          <w:szCs w:val="24"/>
          <w:lang w:val="bg-BG"/>
        </w:rPr>
      </w:pPr>
    </w:p>
    <w:p>
      <w:pPr>
        <w:jc w:val="both"/>
        <w:rPr>
          <w:rFonts w:ascii="Times New Roman" w:hAnsi="Times New Roman"/>
          <w:noProof/>
          <w:sz w:val="24"/>
          <w:szCs w:val="24"/>
          <w:lang w:val="bg-BG"/>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fr-BE"/>
      </w:rPr>
    </w:pPr>
  </w:p>
  <w:p>
    <w:pPr>
      <w:pStyle w:val="Footer"/>
      <w:rPr>
        <w:sz w:val="12"/>
        <w:szCs w:val="12"/>
        <w:lang w:val="fr-BE"/>
      </w:rPr>
    </w:pPr>
    <w:r>
      <w:rPr>
        <w:lang w:val="fr-BE"/>
      </w:rP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tab/>
        <w:t>ОВ L 248, 24.9.2015 г., стр. 9—29.</w:t>
      </w:r>
    </w:p>
  </w:footnote>
  <w:footnote w:id="2">
    <w:p>
      <w:pPr>
        <w:pStyle w:val="FootnoteText"/>
        <w:rPr>
          <w:lang w:val="pl-PL"/>
        </w:rPr>
      </w:pPr>
      <w:r>
        <w:rPr>
          <w:rStyle w:val="FootnoteReference"/>
        </w:rPr>
        <w:footnoteRef/>
      </w:r>
      <w:r>
        <w:t xml:space="preserve"> </w:t>
      </w:r>
      <w:r>
        <w:tab/>
      </w:r>
      <w:hyperlink r:id="rId1">
        <w:r>
          <w:rPr>
            <w:rStyle w:val="Hyperlink"/>
          </w:rPr>
          <w:t>http://ec.europa.eu/atwork/applying-eu-law/multiple_complaint_form_bg.htm</w:t>
        </w:r>
      </w:hyperlink>
      <w:r>
        <w:t xml:space="preserve"> .</w:t>
      </w:r>
    </w:p>
  </w:footnote>
  <w:footnote w:id="3">
    <w:p>
      <w:pPr>
        <w:pStyle w:val="FootnoteText"/>
        <w:rPr>
          <w:lang w:val="pl-PL"/>
        </w:rPr>
      </w:pPr>
      <w:r>
        <w:rPr>
          <w:rStyle w:val="FootnoteReference"/>
        </w:rPr>
        <w:footnoteRef/>
      </w:r>
      <w:r>
        <w:rPr>
          <w:lang w:val="pl-PL"/>
        </w:rPr>
        <w:t xml:space="preserve"> </w:t>
      </w:r>
      <w:r>
        <w:rPr>
          <w:lang w:val="pl-PL"/>
        </w:rPr>
        <w:tab/>
      </w:r>
      <w:hyperlink r:id="rId2">
        <w:r>
          <w:rPr>
            <w:rStyle w:val="Hyperlink"/>
            <w:lang w:val="pl-PL"/>
          </w:rPr>
          <w:t>https://ec.europa.eu/assets/sg/report-a-breach/complaints_bg</w:t>
        </w:r>
      </w:hyperlink>
    </w:p>
  </w:footnote>
  <w:footnote w:id="4">
    <w:p>
      <w:pPr>
        <w:pStyle w:val="FootnoteText"/>
        <w:rPr>
          <w:lang w:val="pl-PL"/>
        </w:rPr>
      </w:pPr>
      <w:r>
        <w:rPr>
          <w:rStyle w:val="FootnoteReference"/>
        </w:rPr>
        <w:footnoteRef/>
      </w:r>
      <w:r>
        <w:rPr>
          <w:lang w:val="pl-PL"/>
        </w:rPr>
        <w:tab/>
      </w:r>
      <w:r>
        <w:t>ОВ</w:t>
      </w:r>
      <w:r>
        <w:rPr>
          <w:lang w:val="pl-PL"/>
        </w:rPr>
        <w:t xml:space="preserve"> L 8, 12.1.2001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 xml:space="preserve"> </w:t>
      </w:r>
      <w:r>
        <w:rPr>
          <w:lang w:val="pl-PL"/>
        </w:rPr>
        <w:tab/>
      </w:r>
      <w:hyperlink r:id="rId3">
        <w:r>
          <w:rPr>
            <w:rStyle w:val="Hyperlink"/>
            <w:lang w:val="pl-PL"/>
          </w:rPr>
          <w:t>http://ec.europa.eu/atwork/applying-eu-law/infringements-proceedings/infringement_decisions/?lang_code=bg.</w:t>
        </w:r>
      </w:hyperlink>
    </w:p>
  </w:footnote>
  <w:footnote w:id="6">
    <w:p>
      <w:pPr>
        <w:pStyle w:val="FootnoteText"/>
        <w:rPr>
          <w:lang w:val="x-none"/>
        </w:rPr>
      </w:pPr>
      <w:r>
        <w:rPr>
          <w:rStyle w:val="FootnoteReference"/>
        </w:rPr>
        <w:footnoteRef/>
      </w:r>
      <w:r>
        <w:tab/>
        <w:t>ОВ L 345, 29.12.2001 г., стр.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6AFE104D073E4DFBA92245BA0A1FBC8B"/>
    <w:docVar w:name="LW_CROSSREFERENCE" w:val="&lt;UNUSED&gt;"/>
    <w:docVar w:name="LW_DocType" w:val="NORMAL"/>
    <w:docVar w:name="LW_EMISSION" w:val="21.12.2016"/>
    <w:docVar w:name="LW_EMISSION_ISODATE" w:val="2016-12-21"/>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88?\u1072?\u1074?\u1086? \u1085?\u1072? \u1045?\u1057?: \u1087?\u1086?-\u1076?\u1086?\u1073?\u1088?\u1080? \u1088?\u1077?\u1079?\u1091?\u1083?\u1090?\u1072?\u1090?\u1080? \u1095?\u1088?\u1077?\u1079? \u1087?\u1086?-\u1076?\u1086?\u1073?\u1088?\u1086? \u1087?\u1088?\u1080?\u1083?\u1072?\u1075?\u1072?\u1085?\u1077?"/>
    <w:docVar w:name="LW_PART_NBR" w:val="1"/>
    <w:docVar w:name="LW_PART_NBR_TOTAL" w:val="1"/>
    <w:docVar w:name="LW_REF.INST.NEW" w:val="C"/>
    <w:docVar w:name="LW_REF.INST.NEW_ADOPTED" w:val="final"/>
    <w:docVar w:name="LW_REF.INST.NEW_TEXT" w:val="(2016) 860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tnotstext1,fn,Footnote Text Char2 Char,Footnote Text Char Char Char1,Footnote Text Char1 Char Char Char,Footnote Text Char2 Char Char Char Char,Footnote Text Char1 Char1 Char Char Char Char,footnote te,Voetnootteks,f,Ch"/>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aliases w:val="Footnote symbol,Footnote reference number,Footnote Reference Superscript,note TESI,SUPERS,EN Footnote Reference,Voetnootverwijzing,Times 10 Point,Exposant 3 Point,Appel note de bas de p,BVI fnr,Ref,de nota al pie,EN Footnote text,numb"/>
    <w:unhideWhenUsed/>
    <w:qFormat/>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eastAsia="en-GB"/>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eastAsia="en-GB"/>
    </w:rPr>
  </w:style>
  <w:style w:type="character" w:customStyle="1" w:styleId="HeaderCoverPageChar">
    <w:name w:val="Header Cover Page Char"/>
    <w:link w:val="HeaderCoverPage"/>
    <w:rPr>
      <w:rFonts w:ascii="Times New Roman" w:eastAsia="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tnotstext1,fn,Footnote Text Char2 Char,Footnote Text Char Char Char1,Footnote Text Char1 Char Char Char,Footnote Text Char2 Char Char Char Char,Footnote Text Char1 Char1 Char Char Char Char,footnote te,Voetnootteks,f,Ch"/>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aliases w:val="Footnote symbol,Footnote reference number,Footnote Reference Superscript,note TESI,SUPERS,EN Footnote Reference,Voetnootverwijzing,Times 10 Point,Exposant 3 Point,Appel note de bas de p,BVI fnr,Ref,de nota al pie,EN Footnote text,numb"/>
    <w:unhideWhenUsed/>
    <w:qFormat/>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eastAsia="en-GB"/>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eastAsia="en-GB"/>
    </w:rPr>
  </w:style>
  <w:style w:type="character" w:customStyle="1" w:styleId="HeaderCoverPageChar">
    <w:name w:val="Header Cover Page Char"/>
    <w:link w:val="HeaderCoverPage"/>
    <w:rPr>
      <w:rFonts w:ascii="Times New Roman" w:eastAsia="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twork/applying-eu-law/infringements-proceedings/infringement_decisions/?lang_code=bg" TargetMode="External"/><Relationship Id="rId2" Type="http://schemas.openxmlformats.org/officeDocument/2006/relationships/hyperlink" Target="https://ec.europa.eu/assets/sg/report-a-breach/complaints_bg" TargetMode="External"/><Relationship Id="rId1" Type="http://schemas.openxmlformats.org/officeDocument/2006/relationships/hyperlink" Target="http://ec.europa.eu/atwork/applying-eu-law/multiple_complaint_form_b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1344</Words>
  <Characters>7637</Characters>
  <Application>Microsoft Office Word</Application>
  <DocSecurity>0</DocSecurity>
  <Lines>155</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8919</CharactersWithSpaces>
  <SharedDoc>false</SharedDoc>
  <HLinks>
    <vt:vector size="24" baseType="variant">
      <vt:variant>
        <vt:i4>6094874</vt:i4>
      </vt:variant>
      <vt:variant>
        <vt:i4>6</vt:i4>
      </vt:variant>
      <vt:variant>
        <vt:i4>0</vt:i4>
      </vt:variant>
      <vt:variant>
        <vt:i4>5</vt:i4>
      </vt:variant>
      <vt:variant>
        <vt:lpwstr>http://ec.europa.eu/atwork/applying-eu-law/infringements-proceedings/infringement_decisions/?lang_code=en</vt:lpwstr>
      </vt:variant>
      <vt:variant>
        <vt:lpwstr/>
      </vt:variant>
      <vt:variant>
        <vt:i4>2424913</vt:i4>
      </vt:variant>
      <vt:variant>
        <vt:i4>3</vt:i4>
      </vt:variant>
      <vt:variant>
        <vt:i4>0</vt:i4>
      </vt:variant>
      <vt:variant>
        <vt:i4>5</vt:i4>
      </vt:variant>
      <vt:variant>
        <vt:lpwstr>https://ec.europa.eu/assets/sg/report-a-breach/complaints_en</vt:lpwstr>
      </vt:variant>
      <vt:variant>
        <vt:lpwstr/>
      </vt:variant>
      <vt:variant>
        <vt:i4>5046319</vt:i4>
      </vt:variant>
      <vt:variant>
        <vt:i4>0</vt:i4>
      </vt:variant>
      <vt:variant>
        <vt:i4>0</vt:i4>
      </vt:variant>
      <vt:variant>
        <vt:i4>5</vt:i4>
      </vt:variant>
      <vt:variant>
        <vt:lpwstr>http://ec.europa.eu/atwork/applying-eu-law/multiple_complaint_form_en.htm</vt:lpwstr>
      </vt:variant>
      <vt:variant>
        <vt:lpwstr/>
      </vt:variant>
      <vt:variant>
        <vt:i4>7864415</vt:i4>
      </vt:variant>
      <vt:variant>
        <vt:i4>6</vt:i4>
      </vt:variant>
      <vt:variant>
        <vt:i4>0</vt:i4>
      </vt:variant>
      <vt:variant>
        <vt:i4>5</vt:i4>
      </vt:variant>
      <vt:variant>
        <vt:lpwstr>http://ec.europa.eu/dgs/secretariat_general/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 Ela</dc:creator>
  <cp:lastModifiedBy>DIGIT/A3</cp:lastModifiedBy>
  <cp:revision>9</cp:revision>
  <cp:lastPrinted>2016-12-06T17:20:00Z</cp:lastPrinted>
  <dcterms:created xsi:type="dcterms:W3CDTF">2016-12-16T15:42:00Z</dcterms:created>
  <dcterms:modified xsi:type="dcterms:W3CDTF">2016-12-21T17:31:00Z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