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878F137FB7F44BB9E0617F143404451" style="width:450.75pt;height:366pt">
            <v:imagedata r:id="rId7" o:title=""/>
          </v:shape>
        </w:pict>
      </w:r>
    </w:p>
    <w:bookmarkEnd w:id="0"/>
    <w:p>
      <w:pPr>
        <w:rPr>
          <w:rFonts w:ascii="Times New Roman" w:hAnsi="Times New Roman"/>
          <w:noProof/>
          <w:sz w:val="24"/>
          <w:szCs w:val="24"/>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299"/>
        </w:sectPr>
      </w:pPr>
    </w:p>
    <w:p>
      <w:pPr>
        <w:rPr>
          <w:rFonts w:ascii="Times New Roman" w:hAnsi="Times New Roman"/>
          <w:b/>
          <w:noProof/>
          <w:sz w:val="24"/>
          <w:szCs w:val="24"/>
        </w:rPr>
      </w:pPr>
      <w:bookmarkStart w:id="1" w:name="_GoBack"/>
      <w:bookmarkEnd w:id="1"/>
    </w:p>
    <w:p>
      <w:pPr>
        <w:jc w:val="center"/>
        <w:rPr>
          <w:rFonts w:ascii="Times New Roman" w:hAnsi="Times New Roman"/>
          <w:b/>
          <w:noProof/>
          <w:sz w:val="24"/>
          <w:szCs w:val="24"/>
          <w:u w:val="single"/>
        </w:rPr>
      </w:pPr>
      <w:r>
        <w:rPr>
          <w:rFonts w:ascii="Times New Roman" w:hAnsi="Times New Roman"/>
          <w:b/>
          <w:noProof/>
          <w:sz w:val="24"/>
          <w:szCs w:val="24"/>
          <w:u w:val="single"/>
        </w:rPr>
        <w:t>1. Definitions and scope</w:t>
      </w:r>
    </w:p>
    <w:p>
      <w:pPr>
        <w:jc w:val="both"/>
        <w:rPr>
          <w:rFonts w:ascii="Times New Roman" w:hAnsi="Times New Roman"/>
          <w:noProof/>
          <w:sz w:val="24"/>
          <w:szCs w:val="24"/>
        </w:rPr>
      </w:pPr>
      <w:r>
        <w:rPr>
          <w:rFonts w:ascii="Times New Roman" w:hAnsi="Times New Roman"/>
          <w:noProof/>
          <w:sz w:val="24"/>
          <w:szCs w:val="24"/>
        </w:rPr>
        <w:t>‘Complaint’ means a written approach made to the Commission pointing to a measure or the absence of a measure or practice in a Member State contrary to European Union law.</w:t>
      </w:r>
    </w:p>
    <w:p>
      <w:pPr>
        <w:jc w:val="both"/>
        <w:rPr>
          <w:rFonts w:ascii="Times New Roman" w:hAnsi="Times New Roman"/>
          <w:noProof/>
          <w:sz w:val="24"/>
          <w:szCs w:val="24"/>
        </w:rPr>
      </w:pPr>
      <w:r>
        <w:rPr>
          <w:rFonts w:ascii="Times New Roman" w:hAnsi="Times New Roman"/>
          <w:noProof/>
          <w:sz w:val="24"/>
          <w:szCs w:val="24"/>
        </w:rPr>
        <w:t>‘Complainant’ means any person or body who files a complaint with the Commission.</w:t>
      </w:r>
    </w:p>
    <w:p>
      <w:pPr>
        <w:jc w:val="both"/>
        <w:rPr>
          <w:rFonts w:ascii="Times New Roman" w:hAnsi="Times New Roman"/>
          <w:noProof/>
          <w:sz w:val="24"/>
          <w:szCs w:val="24"/>
        </w:rPr>
      </w:pPr>
      <w:r>
        <w:rPr>
          <w:rFonts w:ascii="Times New Roman" w:hAnsi="Times New Roman"/>
          <w:noProof/>
          <w:sz w:val="24"/>
          <w:szCs w:val="24"/>
        </w:rPr>
        <w:t>‘Infringement procedures’ means the pre-litigation phase of the procedures for non-compliance lodged by the Commission on the basis of Article 258 of the Treaty on the functioning of the European Union (TFEU) or Article 106a of the Treaty establishing the European Atomic Energy Community (Euratom Treaty).</w:t>
      </w:r>
    </w:p>
    <w:p>
      <w:pPr>
        <w:jc w:val="both"/>
        <w:rPr>
          <w:rFonts w:ascii="Times New Roman" w:hAnsi="Times New Roman"/>
          <w:noProof/>
          <w:sz w:val="24"/>
          <w:szCs w:val="24"/>
        </w:rPr>
      </w:pPr>
      <w:r>
        <w:rPr>
          <w:rFonts w:ascii="Times New Roman" w:hAnsi="Times New Roman"/>
          <w:noProof/>
          <w:sz w:val="24"/>
          <w:szCs w:val="24"/>
        </w:rPr>
        <w:t>The approach described here applies to relations between complainants and the Commission in connection with measures or practices which could fall under the scope of Article 258 TFEU. They do not apply to complaints relating to other Treaty provisions, particularly complaints regarding State aid covered by Articles 107 and 108 TFEU or by Council Regulation (EU) 2015/1589</w:t>
      </w:r>
      <w:r>
        <w:rPr>
          <w:rFonts w:ascii="Times New Roman" w:hAnsi="Times New Roman"/>
          <w:noProof/>
          <w:sz w:val="24"/>
          <w:szCs w:val="24"/>
          <w:vertAlign w:val="superscript"/>
        </w:rPr>
        <w:footnoteReference w:id="1"/>
      </w:r>
      <w:r>
        <w:rPr>
          <w:rFonts w:ascii="Times New Roman" w:hAnsi="Times New Roman"/>
          <w:noProof/>
          <w:sz w:val="24"/>
          <w:szCs w:val="24"/>
        </w:rPr>
        <w:t xml:space="preserve"> and complaints which concern exclusively Articles 101 and 102 TFEU.</w:t>
      </w:r>
    </w:p>
    <w:p>
      <w:pPr>
        <w:jc w:val="center"/>
        <w:rPr>
          <w:rFonts w:ascii="Times New Roman" w:hAnsi="Times New Roman"/>
          <w:b/>
          <w:noProof/>
          <w:sz w:val="24"/>
          <w:szCs w:val="24"/>
          <w:u w:val="single"/>
        </w:rPr>
      </w:pPr>
      <w:r>
        <w:rPr>
          <w:rFonts w:ascii="Times New Roman" w:hAnsi="Times New Roman"/>
          <w:b/>
          <w:noProof/>
          <w:sz w:val="24"/>
          <w:szCs w:val="24"/>
          <w:u w:val="single"/>
        </w:rPr>
        <w:t>2. General principles</w:t>
      </w:r>
    </w:p>
    <w:p>
      <w:pPr>
        <w:jc w:val="both"/>
        <w:rPr>
          <w:rFonts w:ascii="Times New Roman" w:hAnsi="Times New Roman"/>
          <w:noProof/>
          <w:sz w:val="24"/>
          <w:szCs w:val="24"/>
        </w:rPr>
      </w:pPr>
      <w:r>
        <w:rPr>
          <w:rFonts w:ascii="Times New Roman" w:hAnsi="Times New Roman"/>
          <w:noProof/>
          <w:sz w:val="24"/>
          <w:szCs w:val="24"/>
        </w:rPr>
        <w:t xml:space="preserve">Anyone may file a complaint with the Commission free of charge against a Member State about any measure (law, regulation or administrative action) or the absence of a measure or practice in the Member State which they consider incompatible with Union </w:t>
      </w:r>
    </w:p>
    <w:p>
      <w:pPr>
        <w:autoSpaceDE w:val="0"/>
        <w:autoSpaceDN w:val="0"/>
        <w:adjustRightInd w:val="0"/>
        <w:jc w:val="both"/>
        <w:rPr>
          <w:rFonts w:ascii="Times New Roman" w:hAnsi="Times New Roman"/>
          <w:noProof/>
          <w:sz w:val="24"/>
          <w:szCs w:val="24"/>
        </w:rPr>
      </w:pPr>
      <w:r>
        <w:rPr>
          <w:rFonts w:ascii="Times New Roman" w:hAnsi="Times New Roman"/>
          <w:noProof/>
          <w:sz w:val="24"/>
          <w:szCs w:val="24"/>
          <w:lang w:eastAsia="en-GB"/>
        </w:rPr>
        <w:t xml:space="preserve">Complainants do not have to demonstrate a formal interest in bringing proceedings; neither do they have to prove that they are principally and directly concerned by the </w:t>
      </w:r>
      <w:r>
        <w:rPr>
          <w:rFonts w:ascii="Times New Roman" w:hAnsi="Times New Roman"/>
          <w:noProof/>
          <w:sz w:val="24"/>
          <w:szCs w:val="24"/>
        </w:rPr>
        <w:t>measure, absence of measure or practice complained of.</w:t>
      </w:r>
    </w:p>
    <w:p>
      <w:pPr>
        <w:jc w:val="both"/>
        <w:rPr>
          <w:rFonts w:ascii="Times New Roman" w:hAnsi="Times New Roman"/>
          <w:noProof/>
          <w:sz w:val="24"/>
          <w:szCs w:val="24"/>
        </w:rPr>
      </w:pPr>
      <w:r>
        <w:rPr>
          <w:rFonts w:ascii="Times New Roman" w:hAnsi="Times New Roman"/>
          <w:noProof/>
          <w:sz w:val="24"/>
          <w:szCs w:val="24"/>
        </w:rPr>
        <w:t>Subject to the exceptions listed under point 3, the Commission will register the complaint according to the indications of its author as they appear from the form.</w:t>
      </w:r>
    </w:p>
    <w:p>
      <w:pPr>
        <w:jc w:val="both"/>
        <w:rPr>
          <w:rFonts w:ascii="Times New Roman" w:hAnsi="Times New Roman"/>
          <w:noProof/>
          <w:sz w:val="24"/>
          <w:szCs w:val="24"/>
        </w:rPr>
      </w:pPr>
      <w:r>
        <w:rPr>
          <w:rFonts w:ascii="Times New Roman" w:hAnsi="Times New Roman"/>
          <w:noProof/>
          <w:sz w:val="24"/>
          <w:szCs w:val="24"/>
        </w:rPr>
        <w:t>The Commission may decide whether or not further action should be taken on a complaint.</w:t>
      </w:r>
    </w:p>
    <w:p>
      <w:pPr>
        <w:jc w:val="center"/>
        <w:rPr>
          <w:rFonts w:ascii="Times New Roman" w:hAnsi="Times New Roman"/>
          <w:b/>
          <w:noProof/>
          <w:sz w:val="24"/>
          <w:szCs w:val="24"/>
          <w:u w:val="single"/>
        </w:rPr>
      </w:pPr>
      <w:r>
        <w:rPr>
          <w:rFonts w:ascii="Times New Roman" w:hAnsi="Times New Roman"/>
          <w:b/>
          <w:noProof/>
          <w:sz w:val="24"/>
          <w:szCs w:val="24"/>
          <w:u w:val="single"/>
        </w:rPr>
        <w:t>3. Recording of complaints</w:t>
      </w:r>
    </w:p>
    <w:p>
      <w:pPr>
        <w:jc w:val="both"/>
        <w:rPr>
          <w:rFonts w:ascii="Times New Roman" w:hAnsi="Times New Roman"/>
          <w:noProof/>
          <w:sz w:val="24"/>
          <w:szCs w:val="24"/>
        </w:rPr>
      </w:pPr>
      <w:r>
        <w:rPr>
          <w:rFonts w:ascii="Times New Roman" w:hAnsi="Times New Roman"/>
          <w:noProof/>
          <w:sz w:val="24"/>
          <w:szCs w:val="24"/>
        </w:rPr>
        <w:t>A complaint about the application of Union law by a Member State must be recorded by the Commission in a special register.</w:t>
      </w:r>
    </w:p>
    <w:p>
      <w:pPr>
        <w:jc w:val="both"/>
        <w:rPr>
          <w:rFonts w:ascii="Times New Roman" w:hAnsi="Times New Roman"/>
          <w:noProof/>
          <w:sz w:val="24"/>
          <w:szCs w:val="24"/>
        </w:rPr>
      </w:pPr>
      <w:r>
        <w:rPr>
          <w:rFonts w:ascii="Times New Roman" w:hAnsi="Times New Roman"/>
          <w:noProof/>
          <w:sz w:val="24"/>
          <w:szCs w:val="24"/>
        </w:rPr>
        <w:t>Correspondence should not be investigable as a complaint by the Commission, and should therefore not be recorded in the special register, if:</w:t>
      </w:r>
    </w:p>
    <w:p>
      <w:pPr>
        <w:jc w:val="both"/>
        <w:rPr>
          <w:rFonts w:ascii="Times New Roman" w:hAnsi="Times New Roman"/>
          <w:noProof/>
          <w:sz w:val="24"/>
          <w:szCs w:val="24"/>
        </w:rPr>
      </w:pPr>
      <w:r>
        <w:rPr>
          <w:rFonts w:ascii="Times New Roman" w:hAnsi="Times New Roman"/>
          <w:noProof/>
          <w:sz w:val="24"/>
          <w:szCs w:val="24"/>
        </w:rPr>
        <w:t xml:space="preserve">- </w:t>
      </w:r>
      <w:r>
        <w:rPr>
          <w:rFonts w:ascii="Times New Roman" w:hAnsi="Times New Roman"/>
          <w:noProof/>
          <w:sz w:val="24"/>
          <w:szCs w:val="24"/>
        </w:rPr>
        <w:tab/>
        <w:t>it is anonymous, fails to show the address of the sender or shows an incomplete address;</w:t>
      </w:r>
    </w:p>
    <w:p>
      <w:pPr>
        <w:jc w:val="both"/>
        <w:rPr>
          <w:rFonts w:ascii="Times New Roman" w:hAnsi="Times New Roman"/>
          <w:noProof/>
          <w:sz w:val="24"/>
          <w:szCs w:val="24"/>
        </w:rPr>
      </w:pPr>
      <w:r>
        <w:rPr>
          <w:rFonts w:ascii="Times New Roman" w:hAnsi="Times New Roman"/>
          <w:noProof/>
          <w:sz w:val="24"/>
          <w:szCs w:val="24"/>
        </w:rPr>
        <w:t>–</w:t>
      </w:r>
      <w:r>
        <w:rPr>
          <w:rFonts w:ascii="Times New Roman" w:hAnsi="Times New Roman"/>
          <w:noProof/>
          <w:sz w:val="24"/>
          <w:szCs w:val="24"/>
        </w:rPr>
        <w:tab/>
        <w:t>it fails to refer, explicitly or implicitly, to a Member State to which the measures or practice contrary to Union law may be attributed;</w:t>
      </w:r>
    </w:p>
    <w:p>
      <w:pPr>
        <w:jc w:val="both"/>
        <w:rPr>
          <w:rFonts w:ascii="Times New Roman" w:hAnsi="Times New Roman"/>
          <w:noProof/>
          <w:sz w:val="24"/>
          <w:szCs w:val="24"/>
        </w:rPr>
      </w:pPr>
      <w:r>
        <w:rPr>
          <w:rFonts w:ascii="Times New Roman" w:hAnsi="Times New Roman"/>
          <w:noProof/>
          <w:sz w:val="24"/>
          <w:szCs w:val="24"/>
        </w:rPr>
        <w:t>–</w:t>
      </w:r>
      <w:r>
        <w:rPr>
          <w:rFonts w:ascii="Times New Roman" w:hAnsi="Times New Roman"/>
          <w:noProof/>
          <w:sz w:val="24"/>
          <w:szCs w:val="24"/>
        </w:rPr>
        <w:tab/>
        <w:t>it denounces the acts or omissions of a private person or body, unless the measure or complaint reveals the involvement of public authorities or alleges their failure to act in response to those acts or omissions. In all cases, the Commission must verify whether the correspondence discloses behaviour that is contrary to the competition rules (Articles 101 and 102 TFEU);</w:t>
      </w:r>
    </w:p>
    <w:p>
      <w:pPr>
        <w:jc w:val="both"/>
        <w:rPr>
          <w:rFonts w:ascii="Times New Roman" w:hAnsi="Times New Roman"/>
          <w:noProof/>
          <w:sz w:val="24"/>
          <w:szCs w:val="24"/>
        </w:rPr>
      </w:pPr>
      <w:r>
        <w:rPr>
          <w:rFonts w:ascii="Times New Roman" w:hAnsi="Times New Roman"/>
          <w:noProof/>
          <w:sz w:val="24"/>
          <w:szCs w:val="24"/>
        </w:rPr>
        <w:t>–</w:t>
      </w:r>
      <w:r>
        <w:rPr>
          <w:rFonts w:ascii="Times New Roman" w:hAnsi="Times New Roman"/>
          <w:noProof/>
          <w:sz w:val="24"/>
          <w:szCs w:val="24"/>
        </w:rPr>
        <w:tab/>
        <w:t>it fails to set out a grievance;</w:t>
      </w:r>
    </w:p>
    <w:p>
      <w:pPr>
        <w:jc w:val="both"/>
        <w:rPr>
          <w:rFonts w:ascii="Times New Roman" w:hAnsi="Times New Roman"/>
          <w:noProof/>
          <w:sz w:val="24"/>
          <w:szCs w:val="24"/>
        </w:rPr>
      </w:pPr>
      <w:r>
        <w:rPr>
          <w:rFonts w:ascii="Times New Roman" w:hAnsi="Times New Roman"/>
          <w:noProof/>
          <w:sz w:val="24"/>
          <w:szCs w:val="24"/>
        </w:rPr>
        <w:t>–</w:t>
      </w:r>
      <w:r>
        <w:rPr>
          <w:rFonts w:ascii="Times New Roman" w:hAnsi="Times New Roman"/>
          <w:noProof/>
          <w:sz w:val="24"/>
          <w:szCs w:val="24"/>
        </w:rPr>
        <w:tab/>
        <w:t>it sets out a grievance with regard to which the Commission has adopted a clear, public and consistent position, which must be communicated to the complainant;</w:t>
      </w:r>
    </w:p>
    <w:p>
      <w:pPr>
        <w:jc w:val="both"/>
        <w:rPr>
          <w:rFonts w:ascii="Times New Roman" w:hAnsi="Times New Roman"/>
          <w:noProof/>
          <w:sz w:val="24"/>
          <w:szCs w:val="24"/>
        </w:rPr>
      </w:pPr>
      <w:r>
        <w:rPr>
          <w:rFonts w:ascii="Times New Roman" w:hAnsi="Times New Roman"/>
          <w:noProof/>
          <w:sz w:val="24"/>
          <w:szCs w:val="24"/>
        </w:rPr>
        <w:t>–</w:t>
      </w:r>
      <w:r>
        <w:rPr>
          <w:rFonts w:ascii="Times New Roman" w:hAnsi="Times New Roman"/>
          <w:noProof/>
          <w:sz w:val="24"/>
          <w:szCs w:val="24"/>
        </w:rPr>
        <w:tab/>
        <w:t>it sets out a grievance which clearly falls outside the scope of Union law.</w:t>
      </w:r>
    </w:p>
    <w:p>
      <w:pPr>
        <w:jc w:val="center"/>
        <w:rPr>
          <w:rFonts w:ascii="Times New Roman" w:hAnsi="Times New Roman"/>
          <w:b/>
          <w:noProof/>
          <w:sz w:val="24"/>
          <w:szCs w:val="24"/>
          <w:u w:val="single"/>
        </w:rPr>
      </w:pPr>
      <w:r>
        <w:rPr>
          <w:rFonts w:ascii="Times New Roman" w:hAnsi="Times New Roman"/>
          <w:b/>
          <w:noProof/>
          <w:sz w:val="24"/>
          <w:szCs w:val="24"/>
          <w:u w:val="single"/>
        </w:rPr>
        <w:t>4. Acknowledgement of receipt</w:t>
      </w:r>
    </w:p>
    <w:p>
      <w:pPr>
        <w:jc w:val="both"/>
        <w:rPr>
          <w:rFonts w:ascii="Times New Roman" w:hAnsi="Times New Roman"/>
          <w:noProof/>
          <w:sz w:val="24"/>
          <w:szCs w:val="24"/>
        </w:rPr>
      </w:pPr>
      <w:r>
        <w:rPr>
          <w:rFonts w:ascii="Times New Roman" w:hAnsi="Times New Roman"/>
          <w:noProof/>
          <w:sz w:val="24"/>
          <w:szCs w:val="24"/>
        </w:rPr>
        <w:t>The Commission must issue an acknowledgement of all complaints within 15 working days of receipt. This acknowledgement must state the registration number, which must be quoted in any correspondence.</w:t>
      </w:r>
    </w:p>
    <w:p>
      <w:pPr>
        <w:jc w:val="both"/>
        <w:rPr>
          <w:rFonts w:ascii="Times New Roman" w:hAnsi="Times New Roman"/>
          <w:noProof/>
          <w:sz w:val="24"/>
          <w:szCs w:val="24"/>
        </w:rPr>
      </w:pPr>
      <w:r>
        <w:rPr>
          <w:rFonts w:ascii="Times New Roman" w:hAnsi="Times New Roman"/>
          <w:noProof/>
          <w:sz w:val="24"/>
          <w:szCs w:val="24"/>
        </w:rPr>
        <w:t>Where a number of complaints are lodged about the same grievance, individual acknowledgements may be replaced by publication of a notice on the European Union’s</w:t>
      </w:r>
      <w:r>
        <w:rPr>
          <w:rFonts w:ascii="Times New Roman" w:hAnsi="Times New Roman"/>
          <w:i/>
          <w:noProof/>
          <w:sz w:val="24"/>
          <w:szCs w:val="24"/>
        </w:rPr>
        <w:t xml:space="preserve"> </w:t>
      </w:r>
      <w:r>
        <w:rPr>
          <w:rFonts w:ascii="Times New Roman" w:hAnsi="Times New Roman"/>
          <w:noProof/>
          <w:sz w:val="24"/>
          <w:szCs w:val="24"/>
        </w:rPr>
        <w:t xml:space="preserve">website, </w:t>
      </w:r>
      <w:r>
        <w:rPr>
          <w:rFonts w:ascii="Times New Roman" w:hAnsi="Times New Roman"/>
          <w:i/>
          <w:noProof/>
          <w:sz w:val="24"/>
          <w:szCs w:val="24"/>
        </w:rPr>
        <w:t>Europa</w:t>
      </w:r>
      <w:r>
        <w:rPr>
          <w:rFonts w:ascii="Times New Roman" w:hAnsi="Times New Roman"/>
          <w:noProof/>
          <w:sz w:val="24"/>
          <w:szCs w:val="24"/>
        </w:rPr>
        <w:t>.</w:t>
      </w:r>
      <w:r>
        <w:rPr>
          <w:rFonts w:ascii="Times New Roman" w:hAnsi="Times New Roman"/>
          <w:noProof/>
          <w:sz w:val="24"/>
          <w:szCs w:val="24"/>
          <w:vertAlign w:val="superscript"/>
        </w:rPr>
        <w:footnoteReference w:id="2"/>
      </w:r>
    </w:p>
    <w:p>
      <w:pPr>
        <w:jc w:val="both"/>
        <w:rPr>
          <w:rFonts w:ascii="Times New Roman" w:hAnsi="Times New Roman"/>
          <w:noProof/>
          <w:sz w:val="24"/>
          <w:szCs w:val="24"/>
        </w:rPr>
      </w:pPr>
      <w:r>
        <w:rPr>
          <w:rFonts w:ascii="Times New Roman" w:hAnsi="Times New Roman"/>
          <w:noProof/>
          <w:sz w:val="24"/>
          <w:szCs w:val="24"/>
        </w:rPr>
        <w:t>Where the Commission decides not to register the complaint, it must notify the author to that effect by ordinary letter setting out one or more of the reasons listed in the second paragraph of point 3.</w:t>
      </w:r>
    </w:p>
    <w:p>
      <w:pPr>
        <w:jc w:val="both"/>
        <w:rPr>
          <w:rFonts w:ascii="Times New Roman" w:hAnsi="Times New Roman"/>
          <w:noProof/>
          <w:sz w:val="24"/>
          <w:szCs w:val="24"/>
        </w:rPr>
      </w:pPr>
      <w:r>
        <w:rPr>
          <w:rFonts w:ascii="Times New Roman" w:hAnsi="Times New Roman"/>
          <w:noProof/>
          <w:sz w:val="24"/>
          <w:szCs w:val="24"/>
        </w:rPr>
        <w:t>In such a case, the Commission will inform the complainant of any possible alternative forms of redress, such as recourse to national courts, the European Ombudsman, a national ombudsman or any other national or international complaints procedure.</w:t>
      </w:r>
    </w:p>
    <w:p>
      <w:pPr>
        <w:jc w:val="center"/>
        <w:rPr>
          <w:rFonts w:ascii="Times New Roman" w:hAnsi="Times New Roman"/>
          <w:b/>
          <w:noProof/>
          <w:sz w:val="24"/>
          <w:szCs w:val="24"/>
          <w:u w:val="single"/>
        </w:rPr>
      </w:pPr>
      <w:r>
        <w:rPr>
          <w:rFonts w:ascii="Times New Roman" w:hAnsi="Times New Roman"/>
          <w:b/>
          <w:noProof/>
          <w:sz w:val="24"/>
          <w:szCs w:val="24"/>
          <w:u w:val="single"/>
        </w:rPr>
        <w:t>5. Methods of submitting a complaint</w:t>
      </w:r>
    </w:p>
    <w:p>
      <w:pPr>
        <w:jc w:val="both"/>
        <w:rPr>
          <w:rFonts w:ascii="Times New Roman" w:hAnsi="Times New Roman"/>
          <w:noProof/>
          <w:sz w:val="24"/>
          <w:szCs w:val="24"/>
        </w:rPr>
      </w:pPr>
      <w:r>
        <w:rPr>
          <w:rFonts w:ascii="Times New Roman" w:hAnsi="Times New Roman"/>
          <w:noProof/>
          <w:sz w:val="24"/>
          <w:szCs w:val="24"/>
        </w:rPr>
        <w:t>Complaints must be submitted by using the standard complaint form. They must be submitted online, or in writing by letter to the Commission Secretariat-General at the address ‘1049 Brussels, Belgium’ or lodged with one of the Commission’s offices in the Member States.</w:t>
      </w:r>
    </w:p>
    <w:p>
      <w:pPr>
        <w:jc w:val="both"/>
        <w:rPr>
          <w:rFonts w:ascii="Times New Roman" w:hAnsi="Times New Roman"/>
          <w:noProof/>
          <w:sz w:val="24"/>
          <w:szCs w:val="24"/>
        </w:rPr>
      </w:pPr>
      <w:r>
        <w:rPr>
          <w:rFonts w:ascii="Times New Roman" w:hAnsi="Times New Roman"/>
          <w:noProof/>
          <w:sz w:val="24"/>
          <w:szCs w:val="24"/>
        </w:rPr>
        <w:t>They must be written in one of the official languages of the Union.</w:t>
      </w:r>
    </w:p>
    <w:p>
      <w:pPr>
        <w:jc w:val="both"/>
        <w:rPr>
          <w:rFonts w:ascii="Times New Roman" w:hAnsi="Times New Roman"/>
          <w:noProof/>
          <w:sz w:val="24"/>
          <w:szCs w:val="24"/>
        </w:rPr>
      </w:pPr>
      <w:r>
        <w:rPr>
          <w:rFonts w:ascii="Times New Roman" w:hAnsi="Times New Roman"/>
          <w:noProof/>
          <w:sz w:val="24"/>
          <w:szCs w:val="24"/>
        </w:rPr>
        <w:t xml:space="preserve">The complaint form is available from the Commission on request or online from the </w:t>
      </w:r>
      <w:r>
        <w:rPr>
          <w:rFonts w:ascii="Times New Roman" w:hAnsi="Times New Roman"/>
          <w:i/>
          <w:noProof/>
          <w:sz w:val="24"/>
          <w:szCs w:val="24"/>
        </w:rPr>
        <w:t xml:space="preserve">Europa </w:t>
      </w:r>
      <w:r>
        <w:rPr>
          <w:rFonts w:ascii="Times New Roman" w:hAnsi="Times New Roman"/>
          <w:noProof/>
          <w:sz w:val="24"/>
          <w:szCs w:val="24"/>
        </w:rPr>
        <w:t>website.</w:t>
      </w:r>
      <w:r>
        <w:rPr>
          <w:rFonts w:ascii="Times New Roman" w:hAnsi="Times New Roman"/>
          <w:noProof/>
          <w:sz w:val="24"/>
          <w:szCs w:val="24"/>
          <w:vertAlign w:val="superscript"/>
        </w:rPr>
        <w:footnoteReference w:id="3"/>
      </w:r>
      <w:r>
        <w:rPr>
          <w:rFonts w:ascii="Times New Roman" w:hAnsi="Times New Roman"/>
          <w:noProof/>
          <w:sz w:val="24"/>
          <w:szCs w:val="24"/>
        </w:rPr>
        <w:t xml:space="preserve"> Where the Commission considers that the complainant does not comply with the requirements of the complaint form, it must inform the complainant thereof and invite him/her to complete the form within a prescribed period which must not normally exceed 1 month. If the complainant fails to respond within the prescribed period, the complaint will be deemed to have been withdrawn. In exceptional circumstances, where the complainant's inability to use the form is apparent, this  requirement may be waived. </w:t>
      </w:r>
    </w:p>
    <w:p>
      <w:pPr>
        <w:jc w:val="center"/>
        <w:rPr>
          <w:rFonts w:ascii="Times New Roman" w:hAnsi="Times New Roman"/>
          <w:b/>
          <w:noProof/>
          <w:sz w:val="24"/>
          <w:szCs w:val="24"/>
          <w:u w:val="single"/>
        </w:rPr>
      </w:pPr>
      <w:r>
        <w:rPr>
          <w:rFonts w:ascii="Times New Roman" w:hAnsi="Times New Roman"/>
          <w:b/>
          <w:noProof/>
          <w:sz w:val="24"/>
          <w:szCs w:val="24"/>
          <w:u w:val="single"/>
        </w:rPr>
        <w:t>6. Protection of the complainant and personal data</w:t>
      </w:r>
    </w:p>
    <w:p>
      <w:pPr>
        <w:jc w:val="both"/>
        <w:rPr>
          <w:rFonts w:ascii="Times New Roman" w:hAnsi="Times New Roman"/>
          <w:noProof/>
          <w:sz w:val="24"/>
          <w:szCs w:val="24"/>
        </w:rPr>
      </w:pPr>
      <w:r>
        <w:rPr>
          <w:rFonts w:ascii="Times New Roman" w:hAnsi="Times New Roman"/>
          <w:noProof/>
          <w:sz w:val="24"/>
          <w:szCs w:val="24"/>
        </w:rPr>
        <w:t xml:space="preserve">Disclosure of complainants’ identities and information submitted by them to the Member State concerned is subject to their prior agreement and must comply, </w:t>
      </w:r>
      <w:r>
        <w:rPr>
          <w:rFonts w:ascii="Times New Roman" w:hAnsi="Times New Roman"/>
          <w:i/>
          <w:noProof/>
          <w:sz w:val="24"/>
          <w:szCs w:val="24"/>
        </w:rPr>
        <w:t>inter alia</w:t>
      </w:r>
      <w:r>
        <w:rPr>
          <w:rFonts w:ascii="Times New Roman" w:hAnsi="Times New Roman"/>
          <w:noProof/>
          <w:sz w:val="24"/>
          <w:szCs w:val="24"/>
        </w:rPr>
        <w:t>, with European Parliament and Council Regulation (EC) No 45/2001 of 18 December 2000 on the protection of individuals with regard to the processing of personal data by the Community institutions and bodies and on the free movement of such data.</w:t>
      </w:r>
      <w:r>
        <w:rPr>
          <w:rFonts w:ascii="Times New Roman" w:hAnsi="Times New Roman"/>
          <w:noProof/>
          <w:sz w:val="24"/>
          <w:szCs w:val="24"/>
          <w:vertAlign w:val="superscript"/>
        </w:rPr>
        <w:footnoteReference w:id="4"/>
      </w:r>
    </w:p>
    <w:p>
      <w:pPr>
        <w:jc w:val="center"/>
        <w:rPr>
          <w:rFonts w:ascii="Times New Roman" w:hAnsi="Times New Roman"/>
          <w:b/>
          <w:noProof/>
          <w:sz w:val="24"/>
          <w:szCs w:val="24"/>
          <w:u w:val="single"/>
        </w:rPr>
      </w:pPr>
      <w:r>
        <w:rPr>
          <w:rFonts w:ascii="Times New Roman" w:hAnsi="Times New Roman"/>
          <w:b/>
          <w:noProof/>
          <w:sz w:val="24"/>
          <w:szCs w:val="24"/>
          <w:u w:val="single"/>
        </w:rPr>
        <w:t>7. Communication with complainants</w:t>
      </w:r>
    </w:p>
    <w:p>
      <w:pPr>
        <w:jc w:val="both"/>
        <w:rPr>
          <w:rFonts w:ascii="Times New Roman" w:hAnsi="Times New Roman"/>
          <w:noProof/>
          <w:sz w:val="24"/>
          <w:szCs w:val="24"/>
        </w:rPr>
      </w:pPr>
      <w:r>
        <w:rPr>
          <w:rFonts w:ascii="Times New Roman" w:hAnsi="Times New Roman"/>
          <w:noProof/>
          <w:sz w:val="24"/>
          <w:szCs w:val="24"/>
        </w:rPr>
        <w:t>Following registration, a complaint can be examined further in cooperation with the Member State concerned. The Commission will inform the complainant thereof in writing.</w:t>
      </w:r>
    </w:p>
    <w:p>
      <w:pPr>
        <w:jc w:val="both"/>
        <w:rPr>
          <w:rFonts w:ascii="Times New Roman" w:hAnsi="Times New Roman"/>
          <w:noProof/>
          <w:sz w:val="24"/>
          <w:szCs w:val="24"/>
        </w:rPr>
      </w:pPr>
      <w:r>
        <w:rPr>
          <w:rFonts w:ascii="Times New Roman" w:hAnsi="Times New Roman"/>
          <w:noProof/>
          <w:sz w:val="24"/>
          <w:szCs w:val="24"/>
        </w:rPr>
        <w:t xml:space="preserve">If subsequently infringement procedures are launched on the basis of a complaint, the Commission will inform complainants in writing of each procedural step (letter of formal notice, reasoned opinion, referral to the Court or closure of the case). Where a number of complaints are lodged in relation to the same grievance, this written correspondence may be replaced by publication of a notice on </w:t>
      </w:r>
      <w:r>
        <w:rPr>
          <w:rFonts w:ascii="Times New Roman" w:hAnsi="Times New Roman"/>
          <w:i/>
          <w:noProof/>
          <w:sz w:val="24"/>
          <w:szCs w:val="24"/>
        </w:rPr>
        <w:t>Europa</w:t>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At any point during the procedure complainants may ask to explain or clarify to the Commission, at its premises and at the complainants’ own expense, the grounds for their complaint.</w:t>
      </w:r>
    </w:p>
    <w:p>
      <w:pPr>
        <w:jc w:val="center"/>
        <w:rPr>
          <w:rFonts w:ascii="Times New Roman" w:hAnsi="Times New Roman"/>
          <w:b/>
          <w:noProof/>
          <w:sz w:val="24"/>
          <w:szCs w:val="24"/>
          <w:u w:val="single"/>
        </w:rPr>
      </w:pPr>
      <w:r>
        <w:rPr>
          <w:rFonts w:ascii="Times New Roman" w:hAnsi="Times New Roman"/>
          <w:b/>
          <w:noProof/>
          <w:sz w:val="24"/>
          <w:szCs w:val="24"/>
          <w:u w:val="single"/>
        </w:rPr>
        <w:t>8. Time limit for investigating complaints</w:t>
      </w:r>
    </w:p>
    <w:p>
      <w:pPr>
        <w:jc w:val="both"/>
        <w:rPr>
          <w:rFonts w:ascii="Times New Roman" w:hAnsi="Times New Roman"/>
          <w:noProof/>
          <w:sz w:val="24"/>
          <w:szCs w:val="24"/>
        </w:rPr>
      </w:pPr>
      <w:r>
        <w:rPr>
          <w:rFonts w:ascii="Times New Roman" w:hAnsi="Times New Roman"/>
          <w:noProof/>
          <w:sz w:val="24"/>
          <w:szCs w:val="24"/>
        </w:rPr>
        <w:t>As a general rule, the Commission will investigate complaints with a view to arriving at a decision to issue a formal notice or to close the case within not more than 1 year from the date of registration of the complaint, provided that all required information has been submitted by the complainant.</w:t>
      </w:r>
    </w:p>
    <w:p>
      <w:pPr>
        <w:jc w:val="both"/>
        <w:rPr>
          <w:rFonts w:ascii="Times New Roman" w:hAnsi="Times New Roman"/>
          <w:noProof/>
          <w:sz w:val="24"/>
          <w:szCs w:val="24"/>
        </w:rPr>
      </w:pPr>
      <w:r>
        <w:rPr>
          <w:rFonts w:ascii="Times New Roman" w:hAnsi="Times New Roman"/>
          <w:noProof/>
          <w:sz w:val="24"/>
          <w:szCs w:val="24"/>
        </w:rPr>
        <w:t>Where this time limit is exceeded, the Commission will inform the complainant in writing.</w:t>
      </w:r>
    </w:p>
    <w:p>
      <w:pPr>
        <w:jc w:val="center"/>
        <w:rPr>
          <w:rFonts w:ascii="Times New Roman" w:hAnsi="Times New Roman"/>
          <w:b/>
          <w:noProof/>
          <w:sz w:val="24"/>
          <w:szCs w:val="24"/>
          <w:u w:val="single"/>
        </w:rPr>
      </w:pPr>
      <w:r>
        <w:rPr>
          <w:rFonts w:ascii="Times New Roman" w:hAnsi="Times New Roman"/>
          <w:b/>
          <w:noProof/>
          <w:sz w:val="24"/>
          <w:szCs w:val="24"/>
          <w:u w:val="single"/>
        </w:rPr>
        <w:t>9. Outcome of the investigation of complaints</w:t>
      </w:r>
    </w:p>
    <w:p>
      <w:pPr>
        <w:jc w:val="both"/>
        <w:rPr>
          <w:rFonts w:ascii="Times New Roman" w:hAnsi="Times New Roman"/>
          <w:noProof/>
          <w:sz w:val="24"/>
          <w:szCs w:val="24"/>
        </w:rPr>
      </w:pPr>
      <w:r>
        <w:rPr>
          <w:rFonts w:ascii="Times New Roman" w:hAnsi="Times New Roman"/>
          <w:noProof/>
          <w:sz w:val="24"/>
          <w:szCs w:val="24"/>
        </w:rPr>
        <w:t>After investigating the complaint, the Commission may either issue a letter of formal notice opening procedures against the Member State in question, or close the case definitively.</w:t>
      </w:r>
    </w:p>
    <w:p>
      <w:pPr>
        <w:spacing w:before="100" w:beforeAutospacing="1" w:after="100" w:afterAutospacing="1"/>
        <w:jc w:val="both"/>
        <w:rPr>
          <w:rFonts w:ascii="Times New Roman" w:hAnsi="Times New Roman"/>
          <w:b/>
          <w:noProof/>
          <w:sz w:val="24"/>
          <w:szCs w:val="24"/>
          <w:lang w:eastAsia="en-GB"/>
        </w:rPr>
      </w:pPr>
      <w:r>
        <w:rPr>
          <w:rFonts w:ascii="Times New Roman" w:hAnsi="Times New Roman"/>
          <w:noProof/>
          <w:sz w:val="24"/>
          <w:szCs w:val="24"/>
          <w:lang w:eastAsia="en-GB"/>
        </w:rPr>
        <w:t>The Commission will decide within its margin of discretion on opening or terminating an infringement procedure.</w:t>
      </w:r>
    </w:p>
    <w:p>
      <w:pPr>
        <w:jc w:val="center"/>
        <w:rPr>
          <w:rFonts w:ascii="Times New Roman" w:hAnsi="Times New Roman"/>
          <w:b/>
          <w:noProof/>
          <w:sz w:val="24"/>
          <w:szCs w:val="24"/>
          <w:u w:val="single"/>
        </w:rPr>
      </w:pPr>
      <w:r>
        <w:rPr>
          <w:rFonts w:ascii="Times New Roman" w:hAnsi="Times New Roman"/>
          <w:b/>
          <w:noProof/>
          <w:sz w:val="24"/>
          <w:szCs w:val="24"/>
          <w:u w:val="single"/>
        </w:rPr>
        <w:t>10. Closure of the case</w:t>
      </w:r>
    </w:p>
    <w:p>
      <w:pPr>
        <w:jc w:val="both"/>
        <w:rPr>
          <w:rFonts w:ascii="Times New Roman" w:hAnsi="Times New Roman"/>
          <w:noProof/>
          <w:sz w:val="24"/>
          <w:szCs w:val="24"/>
        </w:rPr>
      </w:pPr>
      <w:r>
        <w:rPr>
          <w:rFonts w:ascii="Times New Roman" w:hAnsi="Times New Roman"/>
          <w:noProof/>
          <w:sz w:val="24"/>
          <w:szCs w:val="24"/>
        </w:rPr>
        <w:t xml:space="preserve">Unless there are exceptional circumstances requiring urgent measures, where it is envisaged that no further action will be taken on a complaint the Commission will give the complainant prior notice thereof in a letter setting out the grounds on which it is proposing that the case be closed and inviting the complainant to submit any comments within a period of 4 weeks. Where a number of complaints are lodged in relation to the same grievance, this written correspondence may be replaced by the publication of a notice on the </w:t>
      </w:r>
      <w:r>
        <w:rPr>
          <w:rFonts w:ascii="Times New Roman" w:hAnsi="Times New Roman"/>
          <w:i/>
          <w:noProof/>
          <w:sz w:val="24"/>
          <w:szCs w:val="24"/>
        </w:rPr>
        <w:t xml:space="preserve">Europa </w:t>
      </w:r>
      <w:r>
        <w:rPr>
          <w:rFonts w:ascii="Times New Roman" w:hAnsi="Times New Roman"/>
          <w:noProof/>
          <w:sz w:val="24"/>
          <w:szCs w:val="24"/>
        </w:rPr>
        <w:t>website.</w:t>
      </w:r>
    </w:p>
    <w:p>
      <w:pPr>
        <w:jc w:val="both"/>
        <w:rPr>
          <w:rFonts w:ascii="Times New Roman" w:hAnsi="Times New Roman"/>
          <w:noProof/>
          <w:sz w:val="24"/>
          <w:szCs w:val="24"/>
        </w:rPr>
      </w:pPr>
      <w:r>
        <w:rPr>
          <w:rFonts w:ascii="Times New Roman" w:hAnsi="Times New Roman"/>
          <w:noProof/>
          <w:sz w:val="24"/>
          <w:szCs w:val="24"/>
        </w:rPr>
        <w:t>Where the complainant does not reply, or where the complainant cannot be contacted for reasons for which he/she is responsible, or where the complainant’s observations do not persuade the Commission to reconsider its position, the case will be closed.</w:t>
      </w:r>
    </w:p>
    <w:p>
      <w:pPr>
        <w:jc w:val="both"/>
        <w:rPr>
          <w:rFonts w:ascii="Times New Roman" w:hAnsi="Times New Roman"/>
          <w:noProof/>
          <w:sz w:val="24"/>
          <w:szCs w:val="24"/>
        </w:rPr>
      </w:pPr>
      <w:r>
        <w:rPr>
          <w:rFonts w:ascii="Times New Roman" w:hAnsi="Times New Roman"/>
          <w:noProof/>
          <w:sz w:val="24"/>
          <w:szCs w:val="24"/>
        </w:rPr>
        <w:t>Where the complainant’s observations persuade the Commission to reconsider its position, investigation of the complaint will continue.</w:t>
      </w:r>
    </w:p>
    <w:p>
      <w:pPr>
        <w:jc w:val="both"/>
        <w:rPr>
          <w:rFonts w:ascii="Times New Roman" w:hAnsi="Times New Roman"/>
          <w:noProof/>
          <w:sz w:val="24"/>
          <w:szCs w:val="24"/>
        </w:rPr>
      </w:pPr>
      <w:r>
        <w:rPr>
          <w:rFonts w:ascii="Times New Roman" w:hAnsi="Times New Roman"/>
          <w:noProof/>
          <w:sz w:val="24"/>
          <w:szCs w:val="24"/>
        </w:rPr>
        <w:t>The complainant will be informed in writing of the closure.</w:t>
      </w:r>
    </w:p>
    <w:p>
      <w:pPr>
        <w:jc w:val="center"/>
        <w:rPr>
          <w:rFonts w:ascii="Times New Roman" w:hAnsi="Times New Roman"/>
          <w:b/>
          <w:noProof/>
          <w:sz w:val="24"/>
          <w:szCs w:val="24"/>
          <w:u w:val="single"/>
        </w:rPr>
      </w:pPr>
      <w:r>
        <w:rPr>
          <w:rFonts w:ascii="Times New Roman" w:hAnsi="Times New Roman"/>
          <w:b/>
          <w:noProof/>
          <w:sz w:val="24"/>
          <w:szCs w:val="24"/>
          <w:u w:val="single"/>
        </w:rPr>
        <w:t>11. Publicising infringement decisions</w:t>
      </w:r>
    </w:p>
    <w:p>
      <w:pPr>
        <w:jc w:val="both"/>
        <w:rPr>
          <w:rFonts w:ascii="Times New Roman" w:hAnsi="Times New Roman"/>
          <w:noProof/>
          <w:sz w:val="24"/>
          <w:szCs w:val="24"/>
        </w:rPr>
      </w:pPr>
      <w:r>
        <w:rPr>
          <w:rFonts w:ascii="Times New Roman" w:hAnsi="Times New Roman"/>
          <w:noProof/>
          <w:sz w:val="24"/>
          <w:szCs w:val="24"/>
        </w:rPr>
        <w:t xml:space="preserve">Information on Commission decisions on infringement cases is published on </w:t>
      </w:r>
      <w:r>
        <w:rPr>
          <w:rFonts w:ascii="Times New Roman" w:hAnsi="Times New Roman"/>
          <w:i/>
          <w:noProof/>
          <w:sz w:val="24"/>
          <w:szCs w:val="24"/>
        </w:rPr>
        <w:t>Europa</w:t>
      </w:r>
      <w:r>
        <w:rPr>
          <w:rFonts w:ascii="Times New Roman" w:hAnsi="Times New Roman"/>
          <w:noProof/>
          <w:sz w:val="24"/>
          <w:szCs w:val="24"/>
        </w:rPr>
        <w:t xml:space="preserve">. </w:t>
      </w:r>
      <w:r>
        <w:rPr>
          <w:rFonts w:ascii="Times New Roman" w:hAnsi="Times New Roman"/>
          <w:noProof/>
          <w:sz w:val="24"/>
          <w:szCs w:val="24"/>
          <w:vertAlign w:val="superscript"/>
        </w:rPr>
        <w:footnoteReference w:id="5"/>
      </w:r>
    </w:p>
    <w:p>
      <w:pPr>
        <w:jc w:val="center"/>
        <w:rPr>
          <w:rFonts w:ascii="Times New Roman" w:hAnsi="Times New Roman"/>
          <w:b/>
          <w:noProof/>
          <w:sz w:val="24"/>
          <w:szCs w:val="24"/>
          <w:u w:val="single"/>
        </w:rPr>
      </w:pPr>
      <w:r>
        <w:rPr>
          <w:rFonts w:ascii="Times New Roman" w:hAnsi="Times New Roman"/>
          <w:b/>
          <w:noProof/>
          <w:sz w:val="24"/>
          <w:szCs w:val="24"/>
          <w:u w:val="single"/>
        </w:rPr>
        <w:t>12. Access to documents on infringement cases</w:t>
      </w:r>
    </w:p>
    <w:p>
      <w:pPr>
        <w:jc w:val="both"/>
        <w:rPr>
          <w:rFonts w:ascii="Times New Roman" w:hAnsi="Times New Roman"/>
          <w:noProof/>
          <w:sz w:val="24"/>
          <w:szCs w:val="24"/>
        </w:rPr>
      </w:pPr>
      <w:r>
        <w:rPr>
          <w:rFonts w:ascii="Times New Roman" w:hAnsi="Times New Roman"/>
          <w:noProof/>
          <w:sz w:val="24"/>
          <w:szCs w:val="24"/>
        </w:rPr>
        <w:t>Access to documents on infringement cases is governed by Regulation (EC) No 1049/2001, as implemented by the provisions set out in the Annex to Commission Decision 2001/937/EC, ECSC, Euratom.</w:t>
      </w:r>
      <w:r>
        <w:rPr>
          <w:rFonts w:ascii="Times New Roman" w:hAnsi="Times New Roman"/>
          <w:noProof/>
          <w:sz w:val="24"/>
          <w:szCs w:val="24"/>
          <w:vertAlign w:val="superscript"/>
        </w:rPr>
        <w:footnoteReference w:id="6"/>
      </w:r>
    </w:p>
    <w:p>
      <w:pPr>
        <w:jc w:val="center"/>
        <w:rPr>
          <w:rFonts w:ascii="Times New Roman" w:hAnsi="Times New Roman"/>
          <w:b/>
          <w:noProof/>
          <w:sz w:val="24"/>
          <w:szCs w:val="24"/>
          <w:u w:val="single"/>
        </w:rPr>
      </w:pPr>
      <w:r>
        <w:rPr>
          <w:rFonts w:ascii="Times New Roman" w:hAnsi="Times New Roman"/>
          <w:b/>
          <w:noProof/>
          <w:sz w:val="24"/>
          <w:szCs w:val="24"/>
          <w:u w:val="single"/>
        </w:rPr>
        <w:t>13. Complaint to the European Ombudsman</w:t>
      </w:r>
    </w:p>
    <w:p>
      <w:pPr>
        <w:jc w:val="both"/>
        <w:rPr>
          <w:rFonts w:ascii="Times New Roman" w:hAnsi="Times New Roman"/>
          <w:noProof/>
          <w:sz w:val="24"/>
          <w:szCs w:val="24"/>
        </w:rPr>
      </w:pPr>
      <w:r>
        <w:rPr>
          <w:rFonts w:ascii="Times New Roman" w:hAnsi="Times New Roman"/>
          <w:noProof/>
          <w:sz w:val="24"/>
          <w:szCs w:val="24"/>
        </w:rPr>
        <w:t>Where a complainant considers that, in handling his/her complaint, the Commission has been guilty of maladministration by failing to follow any of the above measures, he/she may refer the matter to the European Ombudsman under Articles 24 and 228 TFEU.</w:t>
      </w:r>
    </w:p>
    <w:p>
      <w:pPr>
        <w:jc w:val="both"/>
        <w:rPr>
          <w:rFonts w:ascii="Times New Roman" w:hAnsi="Times New Roman"/>
          <w:b/>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fr-BE"/>
      </w:rPr>
    </w:pPr>
  </w:p>
  <w:p>
    <w:pPr>
      <w:pStyle w:val="Footer"/>
      <w:rPr>
        <w:sz w:val="12"/>
        <w:szCs w:val="12"/>
        <w:lang w:val="fr-BE"/>
      </w:rPr>
    </w:pPr>
    <w:r>
      <w:rPr>
        <w:lang w:val="fr-BE"/>
      </w:rPr>
      <w:tab/>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pl-PL"/>
        </w:rPr>
      </w:pPr>
      <w:r>
        <w:rPr>
          <w:rStyle w:val="FootnoteReference"/>
        </w:rPr>
        <w:footnoteRef/>
      </w:r>
      <w:r>
        <w:rPr>
          <w:lang w:val="pl-PL"/>
        </w:rPr>
        <w:tab/>
        <w:t>OJ L 248, 24.9.2015, p. 9-29.</w:t>
      </w:r>
    </w:p>
  </w:footnote>
  <w:footnote w:id="2">
    <w:p>
      <w:pPr>
        <w:pStyle w:val="FootnoteText"/>
        <w:rPr>
          <w:lang w:val="pl-PL"/>
        </w:rPr>
      </w:pPr>
      <w:r>
        <w:rPr>
          <w:rStyle w:val="FootnoteReference"/>
        </w:rPr>
        <w:footnoteRef/>
      </w:r>
      <w:r>
        <w:rPr>
          <w:lang w:val="pl-PL"/>
        </w:rPr>
        <w:t xml:space="preserve"> </w:t>
      </w:r>
      <w:r>
        <w:rPr>
          <w:lang w:val="pl-PL"/>
        </w:rPr>
        <w:tab/>
      </w:r>
      <w:hyperlink r:id="rId1" w:history="1">
        <w:r>
          <w:rPr>
            <w:rStyle w:val="Hyperlink"/>
            <w:lang w:val="pl-PL"/>
          </w:rPr>
          <w:t>http://ec.europa.eu/atwork/applying-eu-law/multiple_complaint_form_en.htm</w:t>
        </w:r>
      </w:hyperlink>
      <w:r>
        <w:rPr>
          <w:lang w:val="pl-PL"/>
        </w:rPr>
        <w:t xml:space="preserve"> .</w:t>
      </w:r>
    </w:p>
  </w:footnote>
  <w:footnote w:id="3">
    <w:p>
      <w:pPr>
        <w:pStyle w:val="FootnoteText"/>
        <w:rPr>
          <w:lang w:val="pl-PL"/>
        </w:rPr>
      </w:pPr>
      <w:r>
        <w:rPr>
          <w:rStyle w:val="FootnoteReference"/>
        </w:rPr>
        <w:footnoteRef/>
      </w:r>
      <w:r>
        <w:rPr>
          <w:lang w:val="pl-PL"/>
        </w:rPr>
        <w:t xml:space="preserve"> </w:t>
      </w:r>
      <w:r>
        <w:rPr>
          <w:lang w:val="pl-PL"/>
        </w:rPr>
        <w:tab/>
      </w:r>
      <w:hyperlink r:id="rId2" w:history="1">
        <w:r>
          <w:rPr>
            <w:rStyle w:val="Hyperlink"/>
            <w:lang w:val="pl-PL"/>
          </w:rPr>
          <w:t>https://ec.europa.eu/assets/sg/report-a-breach/complaints_en</w:t>
        </w:r>
      </w:hyperlink>
    </w:p>
  </w:footnote>
  <w:footnote w:id="4">
    <w:p>
      <w:pPr>
        <w:pStyle w:val="FootnoteText"/>
        <w:rPr>
          <w:lang w:val="pl-PL"/>
        </w:rPr>
      </w:pPr>
      <w:r>
        <w:rPr>
          <w:rStyle w:val="FootnoteReference"/>
        </w:rPr>
        <w:footnoteRef/>
      </w:r>
      <w:r>
        <w:rPr>
          <w:lang w:val="pl-PL"/>
        </w:rPr>
        <w:tab/>
        <w:t>OJ L 8, 12.1.2001, p. 1.</w:t>
      </w:r>
    </w:p>
  </w:footnote>
  <w:footnote w:id="5">
    <w:p>
      <w:pPr>
        <w:pStyle w:val="FootnoteText"/>
        <w:rPr>
          <w:lang w:val="pl-PL"/>
        </w:rPr>
      </w:pPr>
      <w:r>
        <w:rPr>
          <w:rStyle w:val="FootnoteReference"/>
        </w:rPr>
        <w:footnoteRef/>
      </w:r>
      <w:r>
        <w:rPr>
          <w:lang w:val="pl-PL"/>
        </w:rPr>
        <w:t xml:space="preserve"> </w:t>
      </w:r>
      <w:r>
        <w:rPr>
          <w:lang w:val="pl-PL"/>
        </w:rPr>
        <w:tab/>
      </w:r>
      <w:hyperlink r:id="rId3" w:history="1">
        <w:r>
          <w:rPr>
            <w:rStyle w:val="Hyperlink"/>
            <w:lang w:val="pl-PL"/>
          </w:rPr>
          <w:t>http://ec.europa.eu/atwork/applying-eu-law/infringements-proceedings/infringement_decisions/?lang_code=en.</w:t>
        </w:r>
      </w:hyperlink>
    </w:p>
  </w:footnote>
  <w:footnote w:id="6">
    <w:p>
      <w:pPr>
        <w:pStyle w:val="FootnoteText"/>
        <w:rPr>
          <w:lang w:val="x-none"/>
        </w:rPr>
      </w:pPr>
      <w:r>
        <w:rPr>
          <w:rStyle w:val="FootnoteReference"/>
        </w:rPr>
        <w:footnoteRef/>
      </w:r>
      <w:r>
        <w:tab/>
        <w:t>OJ L 345, 29.12.2001, p. 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7878F137FB7F44BB9E0617F143404451"/>
    <w:docVar w:name="LW_CROSSREFERENCE" w:val="&lt;UNUSED&gt;"/>
    <w:docVar w:name="LW_DocType" w:val="NORMAL"/>
    <w:docVar w:name="LW_EMISSION" w:val="21.12.2016"/>
    <w:docVar w:name="LW_EMISSION_ISODATE" w:val="2016-12-21"/>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EU law: Better results through better application"/>
    <w:docVar w:name="LW_PART_NBR" w:val="1"/>
    <w:docVar w:name="LW_PART_NBR_TOTAL" w:val="1"/>
    <w:docVar w:name="LW_REF.INST.NEW" w:val="C"/>
    <w:docVar w:name="LW_REF.INST.NEW_ADOPTED" w:val="final"/>
    <w:docVar w:name="LW_REF.INST.NEW_TEXT" w:val="(2016) 8600"/>
    <w:docVar w:name="LW_REF.INTERNE" w:val="&lt;UNUSED&gt;"/>
    <w:docVar w:name="LW_SUPERTITRE" w:val="&lt;UNUSED&gt;"/>
    <w:docVar w:name="LW_TITRE.OBJ.CP" w:val="&lt;UNUSED&gt;"/>
    <w:docVar w:name="LW_TYPE.DOC.CP" w:val="ANNEX_x000b_"/>
    <w:docVar w:name="LW_TYPEACTEPRINCIPAL.CP" w:val="COMMUNICATION FROM THE COMMISSION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Fußnote,Fotnotstext1,fn,Footnote Text Char2 Char,Footnote Text Char Char Char1,Footnote Text Char1 Char Char Char,Footnote Text Char2 Char Char Char Char,Footnote Text Char1 Char1 Char Char Char Char,footnote te,Voetnootteks,f,Ch"/>
    <w:basedOn w:val="Normal"/>
    <w:link w:val="FootnoteTextChar"/>
    <w:uiPriority w:val="99"/>
    <w:semiHidden/>
    <w:unhideWhenUsed/>
    <w:qFormat/>
    <w:pPr>
      <w:spacing w:after="0" w:line="240" w:lineRule="auto"/>
    </w:pPr>
    <w:rPr>
      <w:sz w:val="20"/>
      <w:szCs w:val="20"/>
    </w:rPr>
  </w:style>
  <w:style w:type="character" w:customStyle="1" w:styleId="FootnoteTextChar">
    <w:name w:val="Footnote Text Char"/>
    <w:aliases w:val="Footnote Char,Fußnote Char,Fotnotstext1 Char,fn Char,Footnote Text Char2 Char Char,Footnote Text Char Char Char1 Char,Footnote Text Char1 Char Char Char Char,Footnote Text Char2 Char Char Char Char Char,footnote te Char,f Char,Ch Char"/>
    <w:link w:val="FootnoteText"/>
    <w:uiPriority w:val="99"/>
    <w:semiHidden/>
    <w:rPr>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styleId="FootnoteReference">
    <w:name w:val="footnote reference"/>
    <w:aliases w:val="Footnote symbol,Footnote reference number,Footnote Reference Superscript,note TESI,SUPERS,EN Footnote Reference,Voetnootverwijzing,Times 10 Point,Exposant 3 Point,Appel note de bas de p,BVI fnr,Ref,de nota al pie,EN Footnote text,numb"/>
    <w:unhideWhenUsed/>
    <w:qFormat/>
    <w:rPr>
      <w:vertAlign w:val="superscript"/>
    </w:r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4"/>
      <w:lang w:eastAsia="en-GB"/>
    </w:rPr>
  </w:style>
  <w:style w:type="character" w:customStyle="1" w:styleId="FooterCoverPageChar">
    <w:name w:val="Footer Cover Page Char"/>
    <w:link w:val="FooterCoverPage"/>
    <w:rPr>
      <w:rFonts w:ascii="Times New Roman" w:eastAsia="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lang w:eastAsia="en-GB"/>
    </w:rPr>
  </w:style>
  <w:style w:type="character" w:customStyle="1" w:styleId="HeaderCoverPageChar">
    <w:name w:val="Header Cover Page Char"/>
    <w:link w:val="HeaderCoverPage"/>
    <w:rPr>
      <w:rFonts w:ascii="Times New Roman" w:eastAsia="Times New Roman" w:hAnsi="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Fußnote,Fotnotstext1,fn,Footnote Text Char2 Char,Footnote Text Char Char Char1,Footnote Text Char1 Char Char Char,Footnote Text Char2 Char Char Char Char,Footnote Text Char1 Char1 Char Char Char Char,footnote te,Voetnootteks,f,Ch"/>
    <w:basedOn w:val="Normal"/>
    <w:link w:val="FootnoteTextChar"/>
    <w:uiPriority w:val="99"/>
    <w:semiHidden/>
    <w:unhideWhenUsed/>
    <w:qFormat/>
    <w:pPr>
      <w:spacing w:after="0" w:line="240" w:lineRule="auto"/>
    </w:pPr>
    <w:rPr>
      <w:sz w:val="20"/>
      <w:szCs w:val="20"/>
    </w:rPr>
  </w:style>
  <w:style w:type="character" w:customStyle="1" w:styleId="FootnoteTextChar">
    <w:name w:val="Footnote Text Char"/>
    <w:aliases w:val="Footnote Char,Fußnote Char,Fotnotstext1 Char,fn Char,Footnote Text Char2 Char Char,Footnote Text Char Char Char1 Char,Footnote Text Char1 Char Char Char Char,Footnote Text Char2 Char Char Char Char Char,footnote te Char,f Char,Ch Char"/>
    <w:link w:val="FootnoteText"/>
    <w:uiPriority w:val="99"/>
    <w:semiHidden/>
    <w:rPr>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styleId="FootnoteReference">
    <w:name w:val="footnote reference"/>
    <w:aliases w:val="Footnote symbol,Footnote reference number,Footnote Reference Superscript,note TESI,SUPERS,EN Footnote Reference,Voetnootverwijzing,Times 10 Point,Exposant 3 Point,Appel note de bas de p,BVI fnr,Ref,de nota al pie,EN Footnote text,numb"/>
    <w:unhideWhenUsed/>
    <w:qFormat/>
    <w:rPr>
      <w:vertAlign w:val="superscript"/>
    </w:r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4"/>
      <w:lang w:eastAsia="en-GB"/>
    </w:rPr>
  </w:style>
  <w:style w:type="character" w:customStyle="1" w:styleId="FooterCoverPageChar">
    <w:name w:val="Footer Cover Page Char"/>
    <w:link w:val="FooterCoverPage"/>
    <w:rPr>
      <w:rFonts w:ascii="Times New Roman" w:eastAsia="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lang w:eastAsia="en-GB"/>
    </w:rPr>
  </w:style>
  <w:style w:type="character" w:customStyle="1" w:styleId="HeaderCoverPageChar">
    <w:name w:val="Header Cover Page Char"/>
    <w:link w:val="HeaderCoverPage"/>
    <w:rPr>
      <w:rFonts w:ascii="Times New Roman" w:eastAsia="Times New Roman" w:hAnsi="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62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twork/applying-eu-law/infringements-proceedings/infringement_decisions/?lang_code=en" TargetMode="External"/><Relationship Id="rId2" Type="http://schemas.openxmlformats.org/officeDocument/2006/relationships/hyperlink" Target="https://ec.europa.eu/assets/sg/report-a-breach/complaints_en" TargetMode="External"/><Relationship Id="rId1" Type="http://schemas.openxmlformats.org/officeDocument/2006/relationships/hyperlink" Target="http://ec.europa.eu/atwork/applying-eu-law/multiple_complaint_form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1344</Words>
  <Characters>7153</Characters>
  <Application>Microsoft Office Word</Application>
  <DocSecurity>0</DocSecurity>
  <Lines>130</Lines>
  <Paragraphs>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8437</CharactersWithSpaces>
  <SharedDoc>false</SharedDoc>
  <HLinks>
    <vt:vector size="24" baseType="variant">
      <vt:variant>
        <vt:i4>6094874</vt:i4>
      </vt:variant>
      <vt:variant>
        <vt:i4>6</vt:i4>
      </vt:variant>
      <vt:variant>
        <vt:i4>0</vt:i4>
      </vt:variant>
      <vt:variant>
        <vt:i4>5</vt:i4>
      </vt:variant>
      <vt:variant>
        <vt:lpwstr>http://ec.europa.eu/atwork/applying-eu-law/infringements-proceedings/infringement_decisions/?lang_code=en</vt:lpwstr>
      </vt:variant>
      <vt:variant>
        <vt:lpwstr/>
      </vt:variant>
      <vt:variant>
        <vt:i4>2424913</vt:i4>
      </vt:variant>
      <vt:variant>
        <vt:i4>3</vt:i4>
      </vt:variant>
      <vt:variant>
        <vt:i4>0</vt:i4>
      </vt:variant>
      <vt:variant>
        <vt:i4>5</vt:i4>
      </vt:variant>
      <vt:variant>
        <vt:lpwstr>https://ec.europa.eu/assets/sg/report-a-breach/complaints_en</vt:lpwstr>
      </vt:variant>
      <vt:variant>
        <vt:lpwstr/>
      </vt:variant>
      <vt:variant>
        <vt:i4>5046319</vt:i4>
      </vt:variant>
      <vt:variant>
        <vt:i4>0</vt:i4>
      </vt:variant>
      <vt:variant>
        <vt:i4>0</vt:i4>
      </vt:variant>
      <vt:variant>
        <vt:i4>5</vt:i4>
      </vt:variant>
      <vt:variant>
        <vt:lpwstr>http://ec.europa.eu/atwork/applying-eu-law/multiple_complaint_form_en.htm</vt:lpwstr>
      </vt:variant>
      <vt:variant>
        <vt:lpwstr/>
      </vt:variant>
      <vt:variant>
        <vt:i4>7864415</vt:i4>
      </vt:variant>
      <vt:variant>
        <vt:i4>6</vt:i4>
      </vt:variant>
      <vt:variant>
        <vt:i4>0</vt:i4>
      </vt:variant>
      <vt:variant>
        <vt:i4>5</vt:i4>
      </vt:variant>
      <vt:variant>
        <vt:lpwstr>http://ec.europa.eu/dgs/secretariat_general/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C3 Ela</dc:creator>
  <cp:lastModifiedBy>DIGIT/A3</cp:lastModifiedBy>
  <cp:revision>8</cp:revision>
  <cp:lastPrinted>2016-12-06T17:20:00Z</cp:lastPrinted>
  <dcterms:created xsi:type="dcterms:W3CDTF">2016-12-19T13:06:00Z</dcterms:created>
  <dcterms:modified xsi:type="dcterms:W3CDTF">2016-12-21T17:31:00Z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