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D69" w:rsidRDefault="00FB661A">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78EDF1C542304B70B6EEECB389B9E24D" style="width:450.25pt;height:435.2pt">
            <v:imagedata r:id="rId9" o:title=""/>
          </v:shape>
        </w:pict>
      </w:r>
    </w:p>
    <w:bookmarkEnd w:id="0"/>
    <w:p w:rsidR="00B32D69" w:rsidRDefault="00B32D69">
      <w:pPr>
        <w:rPr>
          <w:noProof/>
        </w:rPr>
        <w:sectPr w:rsidR="00B32D69">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sdt>
      <w:sdtPr>
        <w:rPr>
          <w:rFonts w:ascii="Times New Roman" w:hAnsi="Times New Roman" w:cs="Times New Roman"/>
          <w:b/>
          <w:noProof/>
          <w:lang w:val="cs-CZ"/>
        </w:rPr>
        <w:id w:val="-2087457391"/>
        <w:docPartObj>
          <w:docPartGallery w:val="Table of Contents"/>
          <w:docPartUnique/>
        </w:docPartObj>
      </w:sdtPr>
      <w:sdtEndPr/>
      <w:sdtContent>
        <w:p w:rsidR="00B32D69" w:rsidRDefault="00B32D69">
          <w:pPr>
            <w:keepNext/>
            <w:keepLines/>
            <w:spacing w:before="120" w:after="0" w:line="240" w:lineRule="auto"/>
            <w:rPr>
              <w:rFonts w:ascii="Times New Roman" w:eastAsiaTheme="majorEastAsia" w:hAnsi="Times New Roman" w:cs="Times New Roman"/>
              <w:bCs/>
              <w:noProof/>
              <w:sz w:val="24"/>
              <w:szCs w:val="24"/>
              <w:u w:val="single"/>
              <w:lang w:val="en-US" w:eastAsia="ja-JP"/>
            </w:rPr>
          </w:pPr>
        </w:p>
        <w:p w:rsidR="00B32D69" w:rsidRDefault="00FB661A">
          <w:pPr>
            <w:pStyle w:val="TOC1"/>
            <w:rPr>
              <w:rFonts w:eastAsiaTheme="minorEastAsia"/>
              <w:b w:val="0"/>
              <w:sz w:val="24"/>
              <w:szCs w:val="24"/>
              <w:lang w:val="en-GB" w:eastAsia="en-GB"/>
            </w:rPr>
          </w:pPr>
          <w:r>
            <w:rPr>
              <w:b w:val="0"/>
              <w:sz w:val="24"/>
              <w:szCs w:val="24"/>
            </w:rPr>
            <w:fldChar w:fldCharType="begin"/>
          </w:r>
          <w:r>
            <w:rPr>
              <w:b w:val="0"/>
              <w:sz w:val="24"/>
              <w:szCs w:val="24"/>
            </w:rPr>
            <w:instrText xml:space="preserve"> TOC \o "1-3" \h \z \u </w:instrText>
          </w:r>
          <w:r>
            <w:rPr>
              <w:b w:val="0"/>
              <w:sz w:val="24"/>
              <w:szCs w:val="24"/>
            </w:rPr>
            <w:fldChar w:fldCharType="separate"/>
          </w:r>
          <w:hyperlink w:anchor="_Toc466452953" w:history="1">
            <w:r>
              <w:rPr>
                <w:rStyle w:val="Hyperlink"/>
                <w:rFonts w:eastAsiaTheme="majorEastAsia"/>
                <w:bCs/>
                <w:sz w:val="24"/>
                <w:szCs w:val="24"/>
              </w:rPr>
              <w:t>1. INTRODUCTION</w:t>
            </w:r>
            <w:r>
              <w:rPr>
                <w:webHidden/>
                <w:sz w:val="24"/>
                <w:szCs w:val="24"/>
              </w:rPr>
              <w:tab/>
            </w:r>
            <w:r>
              <w:rPr>
                <w:webHidden/>
                <w:sz w:val="24"/>
                <w:szCs w:val="24"/>
              </w:rPr>
              <w:fldChar w:fldCharType="begin"/>
            </w:r>
            <w:r>
              <w:rPr>
                <w:webHidden/>
                <w:sz w:val="24"/>
                <w:szCs w:val="24"/>
              </w:rPr>
              <w:instrText xml:space="preserve"> PAGEREF _Toc466452953 \h </w:instrText>
            </w:r>
            <w:r>
              <w:rPr>
                <w:webHidden/>
                <w:sz w:val="24"/>
                <w:szCs w:val="24"/>
              </w:rPr>
            </w:r>
            <w:r>
              <w:rPr>
                <w:webHidden/>
                <w:sz w:val="24"/>
                <w:szCs w:val="24"/>
              </w:rPr>
              <w:fldChar w:fldCharType="separate"/>
            </w:r>
            <w:r>
              <w:rPr>
                <w:webHidden/>
                <w:sz w:val="24"/>
                <w:szCs w:val="24"/>
              </w:rPr>
              <w:t>4</w:t>
            </w:r>
            <w:r>
              <w:rPr>
                <w:webHidden/>
                <w:sz w:val="24"/>
                <w:szCs w:val="24"/>
              </w:rPr>
              <w:fldChar w:fldCharType="end"/>
            </w:r>
          </w:hyperlink>
        </w:p>
        <w:p w:rsidR="00B32D69" w:rsidRDefault="00FB661A">
          <w:pPr>
            <w:pStyle w:val="TOC1"/>
            <w:rPr>
              <w:rFonts w:eastAsiaTheme="minorEastAsia"/>
              <w:b w:val="0"/>
              <w:sz w:val="24"/>
              <w:szCs w:val="24"/>
              <w:lang w:val="en-GB" w:eastAsia="en-GB"/>
            </w:rPr>
          </w:pPr>
          <w:hyperlink w:anchor="_Toc466452954" w:history="1">
            <w:r>
              <w:rPr>
                <w:rStyle w:val="Hyperlink"/>
                <w:rFonts w:eastAsiaTheme="majorEastAsia"/>
                <w:bCs/>
                <w:sz w:val="24"/>
                <w:szCs w:val="24"/>
              </w:rPr>
              <w:t>2. POLICY CONTEXT, ECONOMIC CONTEXT, PROBLEM DEFINITION AND SUBSIDIARITY</w:t>
            </w:r>
            <w:r>
              <w:rPr>
                <w:webHidden/>
                <w:sz w:val="24"/>
                <w:szCs w:val="24"/>
              </w:rPr>
              <w:tab/>
            </w:r>
            <w:r>
              <w:rPr>
                <w:webHidden/>
                <w:sz w:val="24"/>
                <w:szCs w:val="24"/>
              </w:rPr>
              <w:fldChar w:fldCharType="begin"/>
            </w:r>
            <w:r>
              <w:rPr>
                <w:webHidden/>
                <w:sz w:val="24"/>
                <w:szCs w:val="24"/>
              </w:rPr>
              <w:instrText xml:space="preserve"> PAGEREF _Toc466452954 \h </w:instrText>
            </w:r>
            <w:r>
              <w:rPr>
                <w:webHidden/>
                <w:sz w:val="24"/>
                <w:szCs w:val="24"/>
              </w:rPr>
            </w:r>
            <w:r>
              <w:rPr>
                <w:webHidden/>
                <w:sz w:val="24"/>
                <w:szCs w:val="24"/>
              </w:rPr>
              <w:fldChar w:fldCharType="separate"/>
            </w:r>
            <w:r>
              <w:rPr>
                <w:webHidden/>
                <w:sz w:val="24"/>
                <w:szCs w:val="24"/>
              </w:rPr>
              <w:t>5</w:t>
            </w:r>
            <w:r>
              <w:rPr>
                <w:webHidden/>
                <w:sz w:val="24"/>
                <w:szCs w:val="24"/>
              </w:rPr>
              <w:fldChar w:fldCharType="end"/>
            </w:r>
          </w:hyperlink>
        </w:p>
        <w:p w:rsidR="00B32D69" w:rsidRDefault="00FB661A">
          <w:pPr>
            <w:pStyle w:val="TOC2"/>
            <w:rPr>
              <w:rFonts w:eastAsiaTheme="minorEastAsia"/>
              <w:sz w:val="24"/>
              <w:szCs w:val="24"/>
              <w:lang w:eastAsia="en-GB"/>
            </w:rPr>
          </w:pPr>
          <w:hyperlink w:anchor="_Toc466452955" w:history="1">
            <w:r>
              <w:rPr>
                <w:rStyle w:val="Hyperlink"/>
                <w:rFonts w:eastAsiaTheme="majorEastAsia"/>
                <w:bCs/>
                <w:sz w:val="24"/>
                <w:szCs w:val="24"/>
              </w:rPr>
              <w:t>2.1. Policy context</w:t>
            </w:r>
            <w:r>
              <w:rPr>
                <w:webHidden/>
                <w:sz w:val="24"/>
                <w:szCs w:val="24"/>
              </w:rPr>
              <w:tab/>
            </w:r>
            <w:r>
              <w:rPr>
                <w:webHidden/>
                <w:sz w:val="24"/>
                <w:szCs w:val="24"/>
              </w:rPr>
              <w:fldChar w:fldCharType="begin"/>
            </w:r>
            <w:r>
              <w:rPr>
                <w:webHidden/>
                <w:sz w:val="24"/>
                <w:szCs w:val="24"/>
              </w:rPr>
              <w:instrText xml:space="preserve"> PAGEREF _Toc466452955 \h </w:instrText>
            </w:r>
            <w:r>
              <w:rPr>
                <w:webHidden/>
                <w:sz w:val="24"/>
                <w:szCs w:val="24"/>
              </w:rPr>
            </w:r>
            <w:r>
              <w:rPr>
                <w:webHidden/>
                <w:sz w:val="24"/>
                <w:szCs w:val="24"/>
              </w:rPr>
              <w:fldChar w:fldCharType="separate"/>
            </w:r>
            <w:r>
              <w:rPr>
                <w:webHidden/>
                <w:sz w:val="24"/>
                <w:szCs w:val="24"/>
              </w:rPr>
              <w:t>5</w:t>
            </w:r>
            <w:r>
              <w:rPr>
                <w:webHidden/>
                <w:sz w:val="24"/>
                <w:szCs w:val="24"/>
              </w:rPr>
              <w:fldChar w:fldCharType="end"/>
            </w:r>
          </w:hyperlink>
        </w:p>
        <w:p w:rsidR="00B32D69" w:rsidRDefault="00FB661A">
          <w:pPr>
            <w:pStyle w:val="TOC2"/>
            <w:rPr>
              <w:rFonts w:eastAsiaTheme="minorEastAsia"/>
              <w:sz w:val="24"/>
              <w:szCs w:val="24"/>
              <w:lang w:eastAsia="en-GB"/>
            </w:rPr>
          </w:pPr>
          <w:hyperlink w:anchor="_Toc466452956" w:history="1">
            <w:r>
              <w:rPr>
                <w:rStyle w:val="Hyperlink"/>
                <w:rFonts w:eastAsiaTheme="majorEastAsia"/>
                <w:bCs/>
                <w:sz w:val="24"/>
                <w:szCs w:val="24"/>
              </w:rPr>
              <w:t>2.2. Economic context</w:t>
            </w:r>
            <w:r>
              <w:rPr>
                <w:webHidden/>
                <w:sz w:val="24"/>
                <w:szCs w:val="24"/>
              </w:rPr>
              <w:tab/>
            </w:r>
            <w:r>
              <w:rPr>
                <w:webHidden/>
                <w:sz w:val="24"/>
                <w:szCs w:val="24"/>
              </w:rPr>
              <w:fldChar w:fldCharType="begin"/>
            </w:r>
            <w:r>
              <w:rPr>
                <w:webHidden/>
                <w:sz w:val="24"/>
                <w:szCs w:val="24"/>
              </w:rPr>
              <w:instrText xml:space="preserve"> PAGEREF _Toc466452956 \h </w:instrText>
            </w:r>
            <w:r>
              <w:rPr>
                <w:webHidden/>
                <w:sz w:val="24"/>
                <w:szCs w:val="24"/>
              </w:rPr>
            </w:r>
            <w:r>
              <w:rPr>
                <w:webHidden/>
                <w:sz w:val="24"/>
                <w:szCs w:val="24"/>
              </w:rPr>
              <w:fldChar w:fldCharType="separate"/>
            </w:r>
            <w:r>
              <w:rPr>
                <w:webHidden/>
                <w:sz w:val="24"/>
                <w:szCs w:val="24"/>
              </w:rPr>
              <w:t>9</w:t>
            </w:r>
            <w:r>
              <w:rPr>
                <w:webHidden/>
                <w:sz w:val="24"/>
                <w:szCs w:val="24"/>
              </w:rPr>
              <w:fldChar w:fldCharType="end"/>
            </w:r>
          </w:hyperlink>
        </w:p>
        <w:p w:rsidR="00B32D69" w:rsidRDefault="00FB661A">
          <w:pPr>
            <w:pStyle w:val="TOC2"/>
            <w:rPr>
              <w:rFonts w:eastAsiaTheme="minorEastAsia"/>
              <w:sz w:val="24"/>
              <w:szCs w:val="24"/>
              <w:lang w:eastAsia="en-GB"/>
            </w:rPr>
          </w:pPr>
          <w:hyperlink w:anchor="_Toc466452957" w:history="1">
            <w:r>
              <w:rPr>
                <w:rStyle w:val="Hyperlink"/>
                <w:rFonts w:eastAsiaTheme="majorEastAsia"/>
                <w:bCs/>
                <w:sz w:val="24"/>
                <w:szCs w:val="24"/>
              </w:rPr>
              <w:t>2.3. Dri</w:t>
            </w:r>
            <w:r>
              <w:rPr>
                <w:rStyle w:val="Hyperlink"/>
                <w:rFonts w:eastAsiaTheme="majorEastAsia"/>
                <w:bCs/>
                <w:sz w:val="24"/>
                <w:szCs w:val="24"/>
              </w:rPr>
              <w:t>vers and problems</w:t>
            </w:r>
            <w:r>
              <w:rPr>
                <w:webHidden/>
                <w:sz w:val="24"/>
                <w:szCs w:val="24"/>
              </w:rPr>
              <w:tab/>
            </w:r>
            <w:r>
              <w:rPr>
                <w:webHidden/>
                <w:sz w:val="24"/>
                <w:szCs w:val="24"/>
              </w:rPr>
              <w:fldChar w:fldCharType="begin"/>
            </w:r>
            <w:r>
              <w:rPr>
                <w:webHidden/>
                <w:sz w:val="24"/>
                <w:szCs w:val="24"/>
              </w:rPr>
              <w:instrText xml:space="preserve"> PAGEREF _Toc466452957 \h </w:instrText>
            </w:r>
            <w:r>
              <w:rPr>
                <w:webHidden/>
                <w:sz w:val="24"/>
                <w:szCs w:val="24"/>
              </w:rPr>
            </w:r>
            <w:r>
              <w:rPr>
                <w:webHidden/>
                <w:sz w:val="24"/>
                <w:szCs w:val="24"/>
              </w:rPr>
              <w:fldChar w:fldCharType="separate"/>
            </w:r>
            <w:r>
              <w:rPr>
                <w:webHidden/>
                <w:sz w:val="24"/>
                <w:szCs w:val="24"/>
              </w:rPr>
              <w:t>13</w:t>
            </w:r>
            <w:r>
              <w:rPr>
                <w:webHidden/>
                <w:sz w:val="24"/>
                <w:szCs w:val="24"/>
              </w:rPr>
              <w:fldChar w:fldCharType="end"/>
            </w:r>
          </w:hyperlink>
        </w:p>
        <w:p w:rsidR="00B32D69" w:rsidRDefault="00FB661A">
          <w:pPr>
            <w:pStyle w:val="TOC3"/>
            <w:tabs>
              <w:tab w:val="right" w:leader="dot" w:pos="9062"/>
            </w:tabs>
            <w:rPr>
              <w:rFonts w:ascii="Times New Roman" w:eastAsiaTheme="minorEastAsia" w:hAnsi="Times New Roman" w:cs="Times New Roman"/>
              <w:noProof/>
              <w:sz w:val="24"/>
              <w:szCs w:val="24"/>
              <w:lang w:eastAsia="en-GB"/>
            </w:rPr>
          </w:pPr>
          <w:hyperlink w:anchor="_Toc466452958" w:history="1">
            <w:r>
              <w:rPr>
                <w:rStyle w:val="Hyperlink"/>
                <w:rFonts w:ascii="Times New Roman" w:eastAsiaTheme="majorEastAsia" w:hAnsi="Times New Roman" w:cs="Times New Roman"/>
                <w:b/>
                <w:bCs/>
                <w:noProof/>
                <w:sz w:val="24"/>
                <w:szCs w:val="24"/>
              </w:rPr>
              <w:t>2.3.1. Drivers</w:t>
            </w:r>
            <w:r>
              <w:rPr>
                <w:rFonts w:ascii="Times New Roman" w:hAnsi="Times New Roman" w:cs="Times New Roman"/>
                <w:noProof/>
                <w:webHidden/>
                <w:sz w:val="24"/>
                <w:szCs w:val="24"/>
              </w:rPr>
              <w:tab/>
            </w:r>
            <w:r>
              <w:rPr>
                <w:rFonts w:ascii="Times New Roman" w:hAnsi="Times New Roman" w:cs="Times New Roman"/>
                <w:b/>
                <w:noProof/>
                <w:webHidden/>
                <w:sz w:val="24"/>
                <w:szCs w:val="24"/>
              </w:rPr>
              <w:fldChar w:fldCharType="begin"/>
            </w:r>
            <w:r>
              <w:rPr>
                <w:rFonts w:ascii="Times New Roman" w:hAnsi="Times New Roman" w:cs="Times New Roman"/>
                <w:b/>
                <w:noProof/>
                <w:webHidden/>
                <w:sz w:val="24"/>
                <w:szCs w:val="24"/>
              </w:rPr>
              <w:instrText xml:space="preserve"> PAGEREF _Toc466452958 \h </w:instrText>
            </w:r>
            <w:r>
              <w:rPr>
                <w:rFonts w:ascii="Times New Roman" w:hAnsi="Times New Roman" w:cs="Times New Roman"/>
                <w:b/>
                <w:noProof/>
                <w:webHidden/>
                <w:sz w:val="24"/>
                <w:szCs w:val="24"/>
              </w:rPr>
            </w:r>
            <w:r>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13</w:t>
            </w:r>
            <w:r>
              <w:rPr>
                <w:rFonts w:ascii="Times New Roman" w:hAnsi="Times New Roman" w:cs="Times New Roman"/>
                <w:b/>
                <w:noProof/>
                <w:webHidden/>
                <w:sz w:val="24"/>
                <w:szCs w:val="24"/>
              </w:rPr>
              <w:fldChar w:fldCharType="end"/>
            </w:r>
          </w:hyperlink>
        </w:p>
        <w:p w:rsidR="00B32D69" w:rsidRDefault="00FB661A">
          <w:pPr>
            <w:pStyle w:val="TOC3"/>
            <w:tabs>
              <w:tab w:val="right" w:leader="dot" w:pos="9062"/>
            </w:tabs>
            <w:rPr>
              <w:rFonts w:ascii="Times New Roman" w:eastAsiaTheme="minorEastAsia" w:hAnsi="Times New Roman" w:cs="Times New Roman"/>
              <w:noProof/>
              <w:sz w:val="24"/>
              <w:szCs w:val="24"/>
              <w:lang w:eastAsia="en-GB"/>
            </w:rPr>
          </w:pPr>
          <w:hyperlink w:anchor="_Toc466452959" w:history="1">
            <w:r>
              <w:rPr>
                <w:rStyle w:val="Hyperlink"/>
                <w:rFonts w:ascii="Times New Roman" w:eastAsiaTheme="majorEastAsia" w:hAnsi="Times New Roman" w:cs="Times New Roman"/>
                <w:b/>
                <w:bCs/>
                <w:noProof/>
                <w:sz w:val="24"/>
                <w:szCs w:val="24"/>
              </w:rPr>
              <w:t>2.3.2. Problems</w:t>
            </w:r>
            <w:r>
              <w:rPr>
                <w:rFonts w:ascii="Times New Roman" w:hAnsi="Times New Roman" w:cs="Times New Roman"/>
                <w:noProof/>
                <w:webHidden/>
                <w:sz w:val="24"/>
                <w:szCs w:val="24"/>
              </w:rPr>
              <w:tab/>
            </w:r>
            <w:r>
              <w:rPr>
                <w:rFonts w:ascii="Times New Roman" w:hAnsi="Times New Roman" w:cs="Times New Roman"/>
                <w:b/>
                <w:noProof/>
                <w:webHidden/>
                <w:sz w:val="24"/>
                <w:szCs w:val="24"/>
              </w:rPr>
              <w:fldChar w:fldCharType="begin"/>
            </w:r>
            <w:r>
              <w:rPr>
                <w:rFonts w:ascii="Times New Roman" w:hAnsi="Times New Roman" w:cs="Times New Roman"/>
                <w:b/>
                <w:noProof/>
                <w:webHidden/>
                <w:sz w:val="24"/>
                <w:szCs w:val="24"/>
              </w:rPr>
              <w:instrText xml:space="preserve"> PAGEREF _Toc466452959 \h </w:instrText>
            </w:r>
            <w:r>
              <w:rPr>
                <w:rFonts w:ascii="Times New Roman" w:hAnsi="Times New Roman" w:cs="Times New Roman"/>
                <w:b/>
                <w:noProof/>
                <w:webHidden/>
                <w:sz w:val="24"/>
                <w:szCs w:val="24"/>
              </w:rPr>
            </w:r>
            <w:r>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28</w:t>
            </w:r>
            <w:r>
              <w:rPr>
                <w:rFonts w:ascii="Times New Roman" w:hAnsi="Times New Roman" w:cs="Times New Roman"/>
                <w:b/>
                <w:noProof/>
                <w:webHidden/>
                <w:sz w:val="24"/>
                <w:szCs w:val="24"/>
              </w:rPr>
              <w:fldChar w:fldCharType="end"/>
            </w:r>
          </w:hyperlink>
        </w:p>
        <w:p w:rsidR="00B32D69" w:rsidRDefault="00FB661A">
          <w:pPr>
            <w:pStyle w:val="TOC2"/>
            <w:rPr>
              <w:rFonts w:eastAsiaTheme="minorEastAsia"/>
              <w:sz w:val="24"/>
              <w:szCs w:val="24"/>
              <w:lang w:eastAsia="en-GB"/>
            </w:rPr>
          </w:pPr>
          <w:hyperlink w:anchor="_Toc466452960" w:history="1">
            <w:r>
              <w:rPr>
                <w:rStyle w:val="Hyperlink"/>
                <w:rFonts w:eastAsiaTheme="majorEastAsia"/>
                <w:bCs/>
                <w:sz w:val="24"/>
                <w:szCs w:val="24"/>
              </w:rPr>
              <w:t>2.4. Risks</w:t>
            </w:r>
            <w:r>
              <w:rPr>
                <w:webHidden/>
                <w:sz w:val="24"/>
                <w:szCs w:val="24"/>
              </w:rPr>
              <w:tab/>
            </w:r>
            <w:r>
              <w:rPr>
                <w:webHidden/>
                <w:sz w:val="24"/>
                <w:szCs w:val="24"/>
              </w:rPr>
              <w:fldChar w:fldCharType="begin"/>
            </w:r>
            <w:r>
              <w:rPr>
                <w:webHidden/>
                <w:sz w:val="24"/>
                <w:szCs w:val="24"/>
              </w:rPr>
              <w:instrText xml:space="preserve"> PAGEREF _Toc466452960 \h </w:instrText>
            </w:r>
            <w:r>
              <w:rPr>
                <w:webHidden/>
                <w:sz w:val="24"/>
                <w:szCs w:val="24"/>
              </w:rPr>
            </w:r>
            <w:r>
              <w:rPr>
                <w:webHidden/>
                <w:sz w:val="24"/>
                <w:szCs w:val="24"/>
              </w:rPr>
              <w:fldChar w:fldCharType="separate"/>
            </w:r>
            <w:r>
              <w:rPr>
                <w:webHidden/>
                <w:sz w:val="24"/>
                <w:szCs w:val="24"/>
              </w:rPr>
              <w:t>41</w:t>
            </w:r>
            <w:r>
              <w:rPr>
                <w:webHidden/>
                <w:sz w:val="24"/>
                <w:szCs w:val="24"/>
              </w:rPr>
              <w:fldChar w:fldCharType="end"/>
            </w:r>
          </w:hyperlink>
        </w:p>
        <w:p w:rsidR="00B32D69" w:rsidRDefault="00FB661A">
          <w:pPr>
            <w:pStyle w:val="TOC2"/>
            <w:rPr>
              <w:rFonts w:eastAsiaTheme="minorEastAsia"/>
              <w:sz w:val="24"/>
              <w:szCs w:val="24"/>
              <w:lang w:eastAsia="en-GB"/>
            </w:rPr>
          </w:pPr>
          <w:hyperlink w:anchor="_Toc466452962" w:history="1">
            <w:r>
              <w:rPr>
                <w:rStyle w:val="Hyperlink"/>
                <w:rFonts w:eastAsiaTheme="majorEastAsia"/>
                <w:bCs/>
                <w:sz w:val="24"/>
                <w:szCs w:val="24"/>
              </w:rPr>
              <w:t>2.5. Baseline scenario</w:t>
            </w:r>
            <w:r>
              <w:rPr>
                <w:webHidden/>
                <w:sz w:val="24"/>
                <w:szCs w:val="24"/>
              </w:rPr>
              <w:tab/>
            </w:r>
            <w:r>
              <w:rPr>
                <w:webHidden/>
                <w:sz w:val="24"/>
                <w:szCs w:val="24"/>
              </w:rPr>
              <w:fldChar w:fldCharType="begin"/>
            </w:r>
            <w:r>
              <w:rPr>
                <w:webHidden/>
                <w:sz w:val="24"/>
                <w:szCs w:val="24"/>
              </w:rPr>
              <w:instrText xml:space="preserve"> PAGEREF _Toc466452962 \h </w:instrText>
            </w:r>
            <w:r>
              <w:rPr>
                <w:webHidden/>
                <w:sz w:val="24"/>
                <w:szCs w:val="24"/>
              </w:rPr>
            </w:r>
            <w:r>
              <w:rPr>
                <w:webHidden/>
                <w:sz w:val="24"/>
                <w:szCs w:val="24"/>
              </w:rPr>
              <w:fldChar w:fldCharType="separate"/>
            </w:r>
            <w:r>
              <w:rPr>
                <w:webHidden/>
                <w:sz w:val="24"/>
                <w:szCs w:val="24"/>
              </w:rPr>
              <w:t>42</w:t>
            </w:r>
            <w:r>
              <w:rPr>
                <w:webHidden/>
                <w:sz w:val="24"/>
                <w:szCs w:val="24"/>
              </w:rPr>
              <w:fldChar w:fldCharType="end"/>
            </w:r>
          </w:hyperlink>
        </w:p>
        <w:p w:rsidR="00B32D69" w:rsidRDefault="00FB661A">
          <w:pPr>
            <w:pStyle w:val="TOC2"/>
            <w:rPr>
              <w:rFonts w:eastAsiaTheme="minorEastAsia"/>
              <w:sz w:val="24"/>
              <w:szCs w:val="24"/>
              <w:lang w:eastAsia="en-GB"/>
            </w:rPr>
          </w:pPr>
          <w:hyperlink w:anchor="_Toc466452964" w:history="1">
            <w:r>
              <w:rPr>
                <w:rStyle w:val="Hyperlink"/>
                <w:rFonts w:eastAsiaTheme="majorEastAsia"/>
                <w:bCs/>
                <w:sz w:val="24"/>
                <w:szCs w:val="24"/>
              </w:rPr>
              <w:t>2.6. The EU's right to act, subsidiarity, necessity and proportionality</w:t>
            </w:r>
            <w:r>
              <w:rPr>
                <w:webHidden/>
                <w:sz w:val="24"/>
                <w:szCs w:val="24"/>
              </w:rPr>
              <w:tab/>
            </w:r>
            <w:r>
              <w:rPr>
                <w:webHidden/>
                <w:sz w:val="24"/>
                <w:szCs w:val="24"/>
              </w:rPr>
              <w:fldChar w:fldCharType="begin"/>
            </w:r>
            <w:r>
              <w:rPr>
                <w:webHidden/>
                <w:sz w:val="24"/>
                <w:szCs w:val="24"/>
              </w:rPr>
              <w:instrText xml:space="preserve"> PAGEREF _Toc466452964 \h </w:instrText>
            </w:r>
            <w:r>
              <w:rPr>
                <w:webHidden/>
                <w:sz w:val="24"/>
                <w:szCs w:val="24"/>
              </w:rPr>
            </w:r>
            <w:r>
              <w:rPr>
                <w:webHidden/>
                <w:sz w:val="24"/>
                <w:szCs w:val="24"/>
              </w:rPr>
              <w:fldChar w:fldCharType="separate"/>
            </w:r>
            <w:r>
              <w:rPr>
                <w:webHidden/>
                <w:sz w:val="24"/>
                <w:szCs w:val="24"/>
              </w:rPr>
              <w:t>43</w:t>
            </w:r>
            <w:r>
              <w:rPr>
                <w:webHidden/>
                <w:sz w:val="24"/>
                <w:szCs w:val="24"/>
              </w:rPr>
              <w:fldChar w:fldCharType="end"/>
            </w:r>
          </w:hyperlink>
        </w:p>
        <w:p w:rsidR="00B32D69" w:rsidRDefault="00FB661A">
          <w:pPr>
            <w:pStyle w:val="TOC1"/>
            <w:rPr>
              <w:rFonts w:eastAsiaTheme="minorEastAsia"/>
              <w:b w:val="0"/>
              <w:sz w:val="24"/>
              <w:szCs w:val="24"/>
              <w:lang w:val="en-GB" w:eastAsia="en-GB"/>
            </w:rPr>
          </w:pPr>
          <w:hyperlink w:anchor="_Toc466452965" w:history="1">
            <w:r>
              <w:rPr>
                <w:rStyle w:val="Hyperlink"/>
                <w:rFonts w:eastAsiaTheme="majorEastAsia"/>
                <w:bCs/>
                <w:sz w:val="24"/>
                <w:szCs w:val="24"/>
              </w:rPr>
              <w:t>3. OBJECTIVES</w:t>
            </w:r>
            <w:r>
              <w:rPr>
                <w:webHidden/>
                <w:sz w:val="24"/>
                <w:szCs w:val="24"/>
              </w:rPr>
              <w:tab/>
            </w:r>
            <w:r>
              <w:rPr>
                <w:webHidden/>
                <w:sz w:val="24"/>
                <w:szCs w:val="24"/>
              </w:rPr>
              <w:fldChar w:fldCharType="begin"/>
            </w:r>
            <w:r>
              <w:rPr>
                <w:webHidden/>
                <w:sz w:val="24"/>
                <w:szCs w:val="24"/>
              </w:rPr>
              <w:instrText xml:space="preserve"> PAGEREF _Toc466452965 \h </w:instrText>
            </w:r>
            <w:r>
              <w:rPr>
                <w:webHidden/>
                <w:sz w:val="24"/>
                <w:szCs w:val="24"/>
              </w:rPr>
            </w:r>
            <w:r>
              <w:rPr>
                <w:webHidden/>
                <w:sz w:val="24"/>
                <w:szCs w:val="24"/>
              </w:rPr>
              <w:fldChar w:fldCharType="separate"/>
            </w:r>
            <w:r>
              <w:rPr>
                <w:webHidden/>
                <w:sz w:val="24"/>
                <w:szCs w:val="24"/>
              </w:rPr>
              <w:t>47</w:t>
            </w:r>
            <w:r>
              <w:rPr>
                <w:webHidden/>
                <w:sz w:val="24"/>
                <w:szCs w:val="24"/>
              </w:rPr>
              <w:fldChar w:fldCharType="end"/>
            </w:r>
          </w:hyperlink>
        </w:p>
        <w:p w:rsidR="00B32D69" w:rsidRDefault="00FB661A">
          <w:pPr>
            <w:pStyle w:val="TOC1"/>
            <w:rPr>
              <w:rFonts w:eastAsiaTheme="minorEastAsia"/>
              <w:b w:val="0"/>
              <w:sz w:val="24"/>
              <w:szCs w:val="24"/>
              <w:lang w:val="en-GB" w:eastAsia="en-GB"/>
            </w:rPr>
          </w:pPr>
          <w:hyperlink w:anchor="_Toc466452966" w:history="1">
            <w:r>
              <w:rPr>
                <w:rStyle w:val="Hyperlink"/>
                <w:rFonts w:eastAsia="Times New Roman"/>
                <w:bCs/>
                <w:sz w:val="24"/>
                <w:szCs w:val="24"/>
              </w:rPr>
              <w:t>4. HIGH-LEVEL OPTIONS</w:t>
            </w:r>
            <w:r>
              <w:rPr>
                <w:webHidden/>
                <w:sz w:val="24"/>
                <w:szCs w:val="24"/>
              </w:rPr>
              <w:tab/>
            </w:r>
            <w:r>
              <w:rPr>
                <w:webHidden/>
                <w:sz w:val="24"/>
                <w:szCs w:val="24"/>
              </w:rPr>
              <w:fldChar w:fldCharType="begin"/>
            </w:r>
            <w:r>
              <w:rPr>
                <w:webHidden/>
                <w:sz w:val="24"/>
                <w:szCs w:val="24"/>
              </w:rPr>
              <w:instrText xml:space="preserve"> PAGEREF _Toc466452966 \h </w:instrText>
            </w:r>
            <w:r>
              <w:rPr>
                <w:webHidden/>
                <w:sz w:val="24"/>
                <w:szCs w:val="24"/>
              </w:rPr>
            </w:r>
            <w:r>
              <w:rPr>
                <w:webHidden/>
                <w:sz w:val="24"/>
                <w:szCs w:val="24"/>
              </w:rPr>
              <w:fldChar w:fldCharType="separate"/>
            </w:r>
            <w:r>
              <w:rPr>
                <w:webHidden/>
                <w:sz w:val="24"/>
                <w:szCs w:val="24"/>
              </w:rPr>
              <w:t>48</w:t>
            </w:r>
            <w:r>
              <w:rPr>
                <w:webHidden/>
                <w:sz w:val="24"/>
                <w:szCs w:val="24"/>
              </w:rPr>
              <w:fldChar w:fldCharType="end"/>
            </w:r>
          </w:hyperlink>
        </w:p>
        <w:p w:rsidR="00B32D69" w:rsidRDefault="00FB661A">
          <w:pPr>
            <w:pStyle w:val="TOC2"/>
            <w:rPr>
              <w:rFonts w:eastAsiaTheme="minorEastAsia"/>
              <w:sz w:val="24"/>
              <w:szCs w:val="24"/>
              <w:lang w:eastAsia="en-GB"/>
            </w:rPr>
          </w:pPr>
          <w:hyperlink w:anchor="_Toc466452967" w:history="1">
            <w:r>
              <w:rPr>
                <w:rStyle w:val="Hyperlink"/>
                <w:rFonts w:eastAsia="Times New Roman"/>
                <w:bCs/>
                <w:iCs/>
                <w:sz w:val="24"/>
                <w:szCs w:val="24"/>
                <w:lang w:eastAsia="en-GB"/>
              </w:rPr>
              <w:t>4.1. Description of high level options</w:t>
            </w:r>
            <w:r>
              <w:rPr>
                <w:webHidden/>
                <w:sz w:val="24"/>
                <w:szCs w:val="24"/>
              </w:rPr>
              <w:tab/>
            </w:r>
            <w:r>
              <w:rPr>
                <w:webHidden/>
                <w:sz w:val="24"/>
                <w:szCs w:val="24"/>
              </w:rPr>
              <w:fldChar w:fldCharType="begin"/>
            </w:r>
            <w:r>
              <w:rPr>
                <w:webHidden/>
                <w:sz w:val="24"/>
                <w:szCs w:val="24"/>
              </w:rPr>
              <w:instrText xml:space="preserve"> PAGEREF _Toc466452967 \h </w:instrText>
            </w:r>
            <w:r>
              <w:rPr>
                <w:webHidden/>
                <w:sz w:val="24"/>
                <w:szCs w:val="24"/>
              </w:rPr>
            </w:r>
            <w:r>
              <w:rPr>
                <w:webHidden/>
                <w:sz w:val="24"/>
                <w:szCs w:val="24"/>
              </w:rPr>
              <w:fldChar w:fldCharType="separate"/>
            </w:r>
            <w:r>
              <w:rPr>
                <w:webHidden/>
                <w:sz w:val="24"/>
                <w:szCs w:val="24"/>
              </w:rPr>
              <w:t>48</w:t>
            </w:r>
            <w:r>
              <w:rPr>
                <w:webHidden/>
                <w:sz w:val="24"/>
                <w:szCs w:val="24"/>
              </w:rPr>
              <w:fldChar w:fldCharType="end"/>
            </w:r>
          </w:hyperlink>
        </w:p>
        <w:p w:rsidR="00B32D69" w:rsidRDefault="00FB661A">
          <w:pPr>
            <w:pStyle w:val="TOC2"/>
            <w:ind w:left="426" w:hanging="206"/>
            <w:rPr>
              <w:rFonts w:eastAsiaTheme="minorEastAsia"/>
              <w:sz w:val="24"/>
              <w:szCs w:val="24"/>
              <w:lang w:eastAsia="en-GB"/>
            </w:rPr>
          </w:pPr>
          <w:r>
            <w:rPr>
              <w:rStyle w:val="Hyperlink"/>
              <w:sz w:val="24"/>
              <w:szCs w:val="24"/>
              <w:u w:val="none"/>
            </w:rPr>
            <w:tab/>
          </w:r>
          <w:hyperlink w:anchor="_Toc466452968" w:history="1">
            <w:r>
              <w:rPr>
                <w:rStyle w:val="Hyperlink"/>
                <w:rFonts w:eastAsia="Times New Roman"/>
                <w:bCs/>
                <w:iCs/>
                <w:sz w:val="24"/>
                <w:szCs w:val="24"/>
                <w:lang w:eastAsia="en-GB"/>
              </w:rPr>
              <w:t>Option 1: Maintaining the status quo (baseline scenario)</w:t>
            </w:r>
            <w:r>
              <w:rPr>
                <w:webHidden/>
                <w:sz w:val="24"/>
                <w:szCs w:val="24"/>
              </w:rPr>
              <w:tab/>
            </w:r>
            <w:bookmarkStart w:id="1" w:name="_GoBack"/>
            <w:bookmarkEnd w:id="1"/>
            <w:r>
              <w:rPr>
                <w:webHidden/>
                <w:sz w:val="24"/>
                <w:szCs w:val="24"/>
              </w:rPr>
              <w:fldChar w:fldCharType="begin"/>
            </w:r>
            <w:r>
              <w:rPr>
                <w:webHidden/>
                <w:sz w:val="24"/>
                <w:szCs w:val="24"/>
              </w:rPr>
              <w:instrText xml:space="preserve"> PAGEREF _Toc466452968 \h </w:instrText>
            </w:r>
            <w:r>
              <w:rPr>
                <w:webHidden/>
                <w:sz w:val="24"/>
                <w:szCs w:val="24"/>
              </w:rPr>
            </w:r>
            <w:r>
              <w:rPr>
                <w:webHidden/>
                <w:sz w:val="24"/>
                <w:szCs w:val="24"/>
              </w:rPr>
              <w:fldChar w:fldCharType="separate"/>
            </w:r>
            <w:r>
              <w:rPr>
                <w:webHidden/>
                <w:sz w:val="24"/>
                <w:szCs w:val="24"/>
              </w:rPr>
              <w:t>48</w:t>
            </w:r>
            <w:r>
              <w:rPr>
                <w:webHidden/>
                <w:sz w:val="24"/>
                <w:szCs w:val="24"/>
              </w:rPr>
              <w:fldChar w:fldCharType="end"/>
            </w:r>
          </w:hyperlink>
        </w:p>
        <w:p w:rsidR="00B32D69" w:rsidRDefault="00FB661A">
          <w:pPr>
            <w:pStyle w:val="TOC2"/>
            <w:ind w:left="426" w:hanging="206"/>
            <w:rPr>
              <w:rFonts w:eastAsiaTheme="minorEastAsia"/>
              <w:sz w:val="24"/>
              <w:szCs w:val="24"/>
              <w:lang w:eastAsia="en-GB"/>
            </w:rPr>
          </w:pPr>
          <w:r>
            <w:rPr>
              <w:rStyle w:val="Hyperlink"/>
              <w:sz w:val="24"/>
              <w:szCs w:val="24"/>
              <w:u w:val="none"/>
            </w:rPr>
            <w:tab/>
          </w:r>
          <w:hyperlink w:anchor="_Toc466452969" w:history="1">
            <w:r>
              <w:rPr>
                <w:rStyle w:val="Hyperlink"/>
                <w:rFonts w:eastAsia="Times New Roman"/>
                <w:bCs/>
                <w:iCs/>
                <w:sz w:val="24"/>
                <w:szCs w:val="24"/>
                <w:lang w:eastAsia="en-GB"/>
              </w:rPr>
              <w:t>Option 2: Setting up a fully harmonised preventive restructuring procedure and a second chance framework</w:t>
            </w:r>
            <w:r>
              <w:rPr>
                <w:webHidden/>
                <w:sz w:val="24"/>
                <w:szCs w:val="24"/>
              </w:rPr>
              <w:tab/>
            </w:r>
            <w:r>
              <w:rPr>
                <w:webHidden/>
                <w:sz w:val="24"/>
                <w:szCs w:val="24"/>
              </w:rPr>
              <w:fldChar w:fldCharType="begin"/>
            </w:r>
            <w:r>
              <w:rPr>
                <w:webHidden/>
                <w:sz w:val="24"/>
                <w:szCs w:val="24"/>
              </w:rPr>
              <w:instrText xml:space="preserve"> PAGEREF _Toc466452969 \h </w:instrText>
            </w:r>
            <w:r>
              <w:rPr>
                <w:webHidden/>
                <w:sz w:val="24"/>
                <w:szCs w:val="24"/>
              </w:rPr>
            </w:r>
            <w:r>
              <w:rPr>
                <w:webHidden/>
                <w:sz w:val="24"/>
                <w:szCs w:val="24"/>
              </w:rPr>
              <w:fldChar w:fldCharType="separate"/>
            </w:r>
            <w:r>
              <w:rPr>
                <w:webHidden/>
                <w:sz w:val="24"/>
                <w:szCs w:val="24"/>
              </w:rPr>
              <w:t>48</w:t>
            </w:r>
            <w:r>
              <w:rPr>
                <w:webHidden/>
                <w:sz w:val="24"/>
                <w:szCs w:val="24"/>
              </w:rPr>
              <w:fldChar w:fldCharType="end"/>
            </w:r>
          </w:hyperlink>
        </w:p>
        <w:p w:rsidR="00B32D69" w:rsidRDefault="00FB661A">
          <w:pPr>
            <w:pStyle w:val="TOC2"/>
            <w:ind w:left="426" w:hanging="206"/>
            <w:rPr>
              <w:rFonts w:eastAsiaTheme="minorEastAsia"/>
              <w:sz w:val="24"/>
              <w:szCs w:val="24"/>
              <w:lang w:eastAsia="en-GB"/>
            </w:rPr>
          </w:pPr>
          <w:r>
            <w:rPr>
              <w:rStyle w:val="Hyperlink"/>
              <w:sz w:val="24"/>
              <w:szCs w:val="24"/>
              <w:u w:val="none"/>
            </w:rPr>
            <w:tab/>
          </w:r>
          <w:hyperlink w:anchor="_Toc466452970" w:history="1">
            <w:r>
              <w:rPr>
                <w:rStyle w:val="Hyperlink"/>
                <w:rFonts w:eastAsia="Times New Roman"/>
                <w:bCs/>
                <w:iCs/>
                <w:sz w:val="24"/>
                <w:szCs w:val="24"/>
                <w:lang w:eastAsia="en-GB"/>
              </w:rPr>
              <w:t>Option 3: Introducing an alternative, optional EU restructuring and second chance regime for cross-border cases</w:t>
            </w:r>
            <w:r>
              <w:rPr>
                <w:webHidden/>
                <w:sz w:val="24"/>
                <w:szCs w:val="24"/>
              </w:rPr>
              <w:tab/>
            </w:r>
            <w:r>
              <w:rPr>
                <w:webHidden/>
                <w:sz w:val="24"/>
                <w:szCs w:val="24"/>
              </w:rPr>
              <w:fldChar w:fldCharType="begin"/>
            </w:r>
            <w:r>
              <w:rPr>
                <w:webHidden/>
                <w:sz w:val="24"/>
                <w:szCs w:val="24"/>
              </w:rPr>
              <w:instrText xml:space="preserve"> PAGEREF _Toc466452970 \h </w:instrText>
            </w:r>
            <w:r>
              <w:rPr>
                <w:webHidden/>
                <w:sz w:val="24"/>
                <w:szCs w:val="24"/>
              </w:rPr>
            </w:r>
            <w:r>
              <w:rPr>
                <w:webHidden/>
                <w:sz w:val="24"/>
                <w:szCs w:val="24"/>
              </w:rPr>
              <w:fldChar w:fldCharType="separate"/>
            </w:r>
            <w:r>
              <w:rPr>
                <w:webHidden/>
                <w:sz w:val="24"/>
                <w:szCs w:val="24"/>
              </w:rPr>
              <w:t>49</w:t>
            </w:r>
            <w:r>
              <w:rPr>
                <w:webHidden/>
                <w:sz w:val="24"/>
                <w:szCs w:val="24"/>
              </w:rPr>
              <w:fldChar w:fldCharType="end"/>
            </w:r>
          </w:hyperlink>
        </w:p>
        <w:p w:rsidR="00B32D69" w:rsidRDefault="00FB661A">
          <w:pPr>
            <w:pStyle w:val="TOC2"/>
            <w:ind w:left="426" w:hanging="206"/>
            <w:rPr>
              <w:rFonts w:eastAsiaTheme="minorEastAsia"/>
              <w:sz w:val="24"/>
              <w:szCs w:val="24"/>
              <w:lang w:eastAsia="en-GB"/>
            </w:rPr>
          </w:pPr>
          <w:r>
            <w:rPr>
              <w:rStyle w:val="Hyperlink"/>
              <w:sz w:val="24"/>
              <w:szCs w:val="24"/>
              <w:u w:val="none"/>
            </w:rPr>
            <w:tab/>
          </w:r>
          <w:hyperlink w:anchor="_Toc466452972" w:history="1">
            <w:r>
              <w:rPr>
                <w:rStyle w:val="Hyperlink"/>
                <w:rFonts w:eastAsia="Times New Roman"/>
                <w:bCs/>
                <w:iCs/>
                <w:sz w:val="24"/>
                <w:szCs w:val="24"/>
                <w:lang w:eastAsia="en-GB"/>
              </w:rPr>
              <w:t>Opt</w:t>
            </w:r>
            <w:r>
              <w:rPr>
                <w:rStyle w:val="Hyperlink"/>
                <w:rFonts w:eastAsia="Times New Roman"/>
                <w:bCs/>
                <w:iCs/>
                <w:sz w:val="24"/>
                <w:szCs w:val="24"/>
                <w:lang w:eastAsia="en-GB"/>
              </w:rPr>
              <w:t>ion 4: Setting up a minimum harmonised legal framework in the area of restructuring and second chance for entrepreneurs</w:t>
            </w:r>
            <w:r>
              <w:rPr>
                <w:webHidden/>
                <w:sz w:val="24"/>
                <w:szCs w:val="24"/>
              </w:rPr>
              <w:tab/>
            </w:r>
            <w:r>
              <w:rPr>
                <w:webHidden/>
                <w:sz w:val="24"/>
                <w:szCs w:val="24"/>
              </w:rPr>
              <w:fldChar w:fldCharType="begin"/>
            </w:r>
            <w:r>
              <w:rPr>
                <w:webHidden/>
                <w:sz w:val="24"/>
                <w:szCs w:val="24"/>
              </w:rPr>
              <w:instrText xml:space="preserve"> PAGEREF _Toc466452972 \h </w:instrText>
            </w:r>
            <w:r>
              <w:rPr>
                <w:webHidden/>
                <w:sz w:val="24"/>
                <w:szCs w:val="24"/>
              </w:rPr>
            </w:r>
            <w:r>
              <w:rPr>
                <w:webHidden/>
                <w:sz w:val="24"/>
                <w:szCs w:val="24"/>
              </w:rPr>
              <w:fldChar w:fldCharType="separate"/>
            </w:r>
            <w:r>
              <w:rPr>
                <w:webHidden/>
                <w:sz w:val="24"/>
                <w:szCs w:val="24"/>
              </w:rPr>
              <w:t>49</w:t>
            </w:r>
            <w:r>
              <w:rPr>
                <w:webHidden/>
                <w:sz w:val="24"/>
                <w:szCs w:val="24"/>
              </w:rPr>
              <w:fldChar w:fldCharType="end"/>
            </w:r>
          </w:hyperlink>
        </w:p>
        <w:p w:rsidR="00B32D69" w:rsidRDefault="00FB661A">
          <w:pPr>
            <w:pStyle w:val="TOC2"/>
            <w:rPr>
              <w:rFonts w:eastAsiaTheme="minorEastAsia"/>
              <w:sz w:val="24"/>
              <w:szCs w:val="24"/>
              <w:lang w:eastAsia="en-GB"/>
            </w:rPr>
          </w:pPr>
          <w:hyperlink w:anchor="_Toc466452973" w:history="1">
            <w:r>
              <w:rPr>
                <w:rStyle w:val="Hyperlink"/>
                <w:color w:val="auto"/>
                <w:sz w:val="24"/>
                <w:szCs w:val="24"/>
              </w:rPr>
              <w:t>4.2. A</w:t>
            </w:r>
            <w:r>
              <w:rPr>
                <w:rStyle w:val="Hyperlink"/>
                <w:color w:val="auto"/>
                <w:sz w:val="24"/>
                <w:szCs w:val="24"/>
              </w:rPr>
              <w:t>nalysis of high level options and discarded options</w:t>
            </w:r>
            <w:r>
              <w:rPr>
                <w:webHidden/>
                <w:sz w:val="24"/>
                <w:szCs w:val="24"/>
              </w:rPr>
              <w:tab/>
            </w:r>
            <w:r>
              <w:rPr>
                <w:webHidden/>
                <w:sz w:val="24"/>
                <w:szCs w:val="24"/>
              </w:rPr>
              <w:fldChar w:fldCharType="begin"/>
            </w:r>
            <w:r>
              <w:rPr>
                <w:webHidden/>
                <w:sz w:val="24"/>
                <w:szCs w:val="24"/>
              </w:rPr>
              <w:instrText xml:space="preserve"> PAGEREF _Toc466452973 \h </w:instrText>
            </w:r>
            <w:r>
              <w:rPr>
                <w:webHidden/>
                <w:sz w:val="24"/>
                <w:szCs w:val="24"/>
              </w:rPr>
            </w:r>
            <w:r>
              <w:rPr>
                <w:webHidden/>
                <w:sz w:val="24"/>
                <w:szCs w:val="24"/>
              </w:rPr>
              <w:fldChar w:fldCharType="separate"/>
            </w:r>
            <w:r>
              <w:rPr>
                <w:webHidden/>
                <w:sz w:val="24"/>
                <w:szCs w:val="24"/>
              </w:rPr>
              <w:t>50</w:t>
            </w:r>
            <w:r>
              <w:rPr>
                <w:webHidden/>
                <w:sz w:val="24"/>
                <w:szCs w:val="24"/>
              </w:rPr>
              <w:fldChar w:fldCharType="end"/>
            </w:r>
          </w:hyperlink>
        </w:p>
        <w:p w:rsidR="00B32D69" w:rsidRDefault="00FB661A">
          <w:pPr>
            <w:pStyle w:val="TOC1"/>
            <w:rPr>
              <w:rFonts w:eastAsiaTheme="minorEastAsia"/>
              <w:b w:val="0"/>
              <w:sz w:val="24"/>
              <w:szCs w:val="24"/>
              <w:lang w:val="en-GB" w:eastAsia="en-GB"/>
            </w:rPr>
          </w:pPr>
          <w:hyperlink w:anchor="_Toc466452974" w:history="1">
            <w:r>
              <w:rPr>
                <w:rStyle w:val="Hyperlink"/>
                <w:rFonts w:eastAsiaTheme="majorEastAsia"/>
                <w:bCs/>
                <w:sz w:val="24"/>
                <w:szCs w:val="24"/>
              </w:rPr>
              <w:t xml:space="preserve">5. </w:t>
            </w:r>
            <w:r>
              <w:rPr>
                <w:rStyle w:val="Hyperlink"/>
                <w:rFonts w:eastAsia="Calibri"/>
                <w:bCs/>
                <w:sz w:val="24"/>
                <w:szCs w:val="24"/>
                <w:lang w:eastAsia="en-GB"/>
              </w:rPr>
              <w:t>SUBSTANTIVE SUB- OPTIONS AND ANALYSIS OF THEIR IMPACT</w:t>
            </w:r>
            <w:r>
              <w:rPr>
                <w:webHidden/>
                <w:sz w:val="24"/>
                <w:szCs w:val="24"/>
              </w:rPr>
              <w:tab/>
            </w:r>
            <w:r>
              <w:rPr>
                <w:webHidden/>
                <w:sz w:val="24"/>
                <w:szCs w:val="24"/>
              </w:rPr>
              <w:fldChar w:fldCharType="begin"/>
            </w:r>
            <w:r>
              <w:rPr>
                <w:webHidden/>
                <w:sz w:val="24"/>
                <w:szCs w:val="24"/>
              </w:rPr>
              <w:instrText xml:space="preserve"> PAGEREF _Toc466452974 \h </w:instrText>
            </w:r>
            <w:r>
              <w:rPr>
                <w:webHidden/>
                <w:sz w:val="24"/>
                <w:szCs w:val="24"/>
              </w:rPr>
            </w:r>
            <w:r>
              <w:rPr>
                <w:webHidden/>
                <w:sz w:val="24"/>
                <w:szCs w:val="24"/>
              </w:rPr>
              <w:fldChar w:fldCharType="separate"/>
            </w:r>
            <w:r>
              <w:rPr>
                <w:webHidden/>
                <w:sz w:val="24"/>
                <w:szCs w:val="24"/>
              </w:rPr>
              <w:t>55</w:t>
            </w:r>
            <w:r>
              <w:rPr>
                <w:webHidden/>
                <w:sz w:val="24"/>
                <w:szCs w:val="24"/>
              </w:rPr>
              <w:fldChar w:fldCharType="end"/>
            </w:r>
          </w:hyperlink>
        </w:p>
        <w:p w:rsidR="00B32D69" w:rsidRDefault="00FB661A">
          <w:pPr>
            <w:pStyle w:val="TOC2"/>
            <w:rPr>
              <w:rFonts w:eastAsiaTheme="minorEastAsia"/>
              <w:sz w:val="24"/>
              <w:szCs w:val="24"/>
              <w:lang w:eastAsia="en-GB"/>
            </w:rPr>
          </w:pPr>
          <w:hyperlink w:anchor="_Toc466452975" w:history="1">
            <w:r>
              <w:rPr>
                <w:rStyle w:val="Hyperlink"/>
                <w:bCs/>
                <w:iCs/>
                <w:sz w:val="24"/>
                <w:szCs w:val="24"/>
              </w:rPr>
              <w:t>5.1. Early restructuring possibility</w:t>
            </w:r>
            <w:r>
              <w:rPr>
                <w:webHidden/>
                <w:sz w:val="24"/>
                <w:szCs w:val="24"/>
              </w:rPr>
              <w:tab/>
            </w:r>
            <w:r>
              <w:rPr>
                <w:webHidden/>
                <w:sz w:val="24"/>
                <w:szCs w:val="24"/>
              </w:rPr>
              <w:fldChar w:fldCharType="begin"/>
            </w:r>
            <w:r>
              <w:rPr>
                <w:webHidden/>
                <w:sz w:val="24"/>
                <w:szCs w:val="24"/>
              </w:rPr>
              <w:instrText xml:space="preserve"> PAGEREF _Toc466452975 \h </w:instrText>
            </w:r>
            <w:r>
              <w:rPr>
                <w:webHidden/>
                <w:sz w:val="24"/>
                <w:szCs w:val="24"/>
              </w:rPr>
            </w:r>
            <w:r>
              <w:rPr>
                <w:webHidden/>
                <w:sz w:val="24"/>
                <w:szCs w:val="24"/>
              </w:rPr>
              <w:fldChar w:fldCharType="separate"/>
            </w:r>
            <w:r>
              <w:rPr>
                <w:webHidden/>
                <w:sz w:val="24"/>
                <w:szCs w:val="24"/>
              </w:rPr>
              <w:t>57</w:t>
            </w:r>
            <w:r>
              <w:rPr>
                <w:webHidden/>
                <w:sz w:val="24"/>
                <w:szCs w:val="24"/>
              </w:rPr>
              <w:fldChar w:fldCharType="end"/>
            </w:r>
          </w:hyperlink>
        </w:p>
        <w:p w:rsidR="00B32D69" w:rsidRDefault="00FB661A">
          <w:pPr>
            <w:pStyle w:val="TOC2"/>
            <w:rPr>
              <w:rFonts w:eastAsiaTheme="minorEastAsia"/>
              <w:sz w:val="24"/>
              <w:szCs w:val="24"/>
              <w:lang w:eastAsia="en-GB"/>
            </w:rPr>
          </w:pPr>
          <w:hyperlink w:anchor="_Toc466452976" w:history="1">
            <w:r>
              <w:rPr>
                <w:rStyle w:val="Hyperlink"/>
                <w:bCs/>
                <w:iCs/>
                <w:sz w:val="24"/>
                <w:szCs w:val="24"/>
              </w:rPr>
              <w:t>5.3. Debtor in possession</w:t>
            </w:r>
            <w:r>
              <w:rPr>
                <w:webHidden/>
                <w:sz w:val="24"/>
                <w:szCs w:val="24"/>
              </w:rPr>
              <w:tab/>
            </w:r>
            <w:r>
              <w:rPr>
                <w:webHidden/>
                <w:sz w:val="24"/>
                <w:szCs w:val="24"/>
              </w:rPr>
              <w:fldChar w:fldCharType="begin"/>
            </w:r>
            <w:r>
              <w:rPr>
                <w:webHidden/>
                <w:sz w:val="24"/>
                <w:szCs w:val="24"/>
              </w:rPr>
              <w:instrText xml:space="preserve"> PAGEREF _Toc466452976 \h </w:instrText>
            </w:r>
            <w:r>
              <w:rPr>
                <w:webHidden/>
                <w:sz w:val="24"/>
                <w:szCs w:val="24"/>
              </w:rPr>
            </w:r>
            <w:r>
              <w:rPr>
                <w:webHidden/>
                <w:sz w:val="24"/>
                <w:szCs w:val="24"/>
              </w:rPr>
              <w:fldChar w:fldCharType="separate"/>
            </w:r>
            <w:r>
              <w:rPr>
                <w:webHidden/>
                <w:sz w:val="24"/>
                <w:szCs w:val="24"/>
              </w:rPr>
              <w:t>64</w:t>
            </w:r>
            <w:r>
              <w:rPr>
                <w:webHidden/>
                <w:sz w:val="24"/>
                <w:szCs w:val="24"/>
              </w:rPr>
              <w:fldChar w:fldCharType="end"/>
            </w:r>
          </w:hyperlink>
        </w:p>
        <w:p w:rsidR="00B32D69" w:rsidRDefault="00FB661A">
          <w:pPr>
            <w:pStyle w:val="TOC2"/>
            <w:rPr>
              <w:rFonts w:eastAsiaTheme="minorEastAsia"/>
              <w:sz w:val="24"/>
              <w:szCs w:val="24"/>
              <w:lang w:eastAsia="en-GB"/>
            </w:rPr>
          </w:pPr>
          <w:hyperlink w:anchor="_Toc466452977" w:history="1">
            <w:r>
              <w:rPr>
                <w:rStyle w:val="Hyperlink"/>
                <w:bCs/>
                <w:iCs/>
                <w:sz w:val="24"/>
                <w:szCs w:val="24"/>
              </w:rPr>
              <w:t>5.4. Plan approval by a majority of creditors</w:t>
            </w:r>
            <w:r>
              <w:rPr>
                <w:webHidden/>
                <w:sz w:val="24"/>
                <w:szCs w:val="24"/>
              </w:rPr>
              <w:tab/>
            </w:r>
            <w:r>
              <w:rPr>
                <w:webHidden/>
                <w:sz w:val="24"/>
                <w:szCs w:val="24"/>
              </w:rPr>
              <w:fldChar w:fldCharType="begin"/>
            </w:r>
            <w:r>
              <w:rPr>
                <w:webHidden/>
                <w:sz w:val="24"/>
                <w:szCs w:val="24"/>
              </w:rPr>
              <w:instrText xml:space="preserve"> PAGEREF _Toc466452977 \h </w:instrText>
            </w:r>
            <w:r>
              <w:rPr>
                <w:webHidden/>
                <w:sz w:val="24"/>
                <w:szCs w:val="24"/>
              </w:rPr>
            </w:r>
            <w:r>
              <w:rPr>
                <w:webHidden/>
                <w:sz w:val="24"/>
                <w:szCs w:val="24"/>
              </w:rPr>
              <w:fldChar w:fldCharType="separate"/>
            </w:r>
            <w:r>
              <w:rPr>
                <w:webHidden/>
                <w:sz w:val="24"/>
                <w:szCs w:val="24"/>
              </w:rPr>
              <w:t>67</w:t>
            </w:r>
            <w:r>
              <w:rPr>
                <w:webHidden/>
                <w:sz w:val="24"/>
                <w:szCs w:val="24"/>
              </w:rPr>
              <w:fldChar w:fldCharType="end"/>
            </w:r>
          </w:hyperlink>
        </w:p>
        <w:p w:rsidR="00B32D69" w:rsidRDefault="00FB661A">
          <w:pPr>
            <w:pStyle w:val="TOC2"/>
            <w:rPr>
              <w:rFonts w:eastAsiaTheme="minorEastAsia"/>
              <w:sz w:val="24"/>
              <w:szCs w:val="24"/>
              <w:lang w:eastAsia="en-GB"/>
            </w:rPr>
          </w:pPr>
          <w:hyperlink w:anchor="_Toc466452978" w:history="1">
            <w:r>
              <w:rPr>
                <w:rStyle w:val="Hyperlink"/>
                <w:bCs/>
                <w:iCs/>
                <w:sz w:val="24"/>
                <w:szCs w:val="24"/>
              </w:rPr>
              <w:t>5.5. New financing and interim financing, safe harbour provisions and third party releases</w:t>
            </w:r>
            <w:r>
              <w:rPr>
                <w:webHidden/>
                <w:sz w:val="24"/>
                <w:szCs w:val="24"/>
              </w:rPr>
              <w:tab/>
            </w:r>
            <w:r>
              <w:rPr>
                <w:webHidden/>
                <w:sz w:val="24"/>
                <w:szCs w:val="24"/>
              </w:rPr>
              <w:fldChar w:fldCharType="begin"/>
            </w:r>
            <w:r>
              <w:rPr>
                <w:webHidden/>
                <w:sz w:val="24"/>
                <w:szCs w:val="24"/>
              </w:rPr>
              <w:instrText xml:space="preserve"> PAGEREF _Toc466452978 \h </w:instrText>
            </w:r>
            <w:r>
              <w:rPr>
                <w:webHidden/>
                <w:sz w:val="24"/>
                <w:szCs w:val="24"/>
              </w:rPr>
            </w:r>
            <w:r>
              <w:rPr>
                <w:webHidden/>
                <w:sz w:val="24"/>
                <w:szCs w:val="24"/>
              </w:rPr>
              <w:fldChar w:fldCharType="separate"/>
            </w:r>
            <w:r>
              <w:rPr>
                <w:webHidden/>
                <w:sz w:val="24"/>
                <w:szCs w:val="24"/>
              </w:rPr>
              <w:t>71</w:t>
            </w:r>
            <w:r>
              <w:rPr>
                <w:webHidden/>
                <w:sz w:val="24"/>
                <w:szCs w:val="24"/>
              </w:rPr>
              <w:fldChar w:fldCharType="end"/>
            </w:r>
          </w:hyperlink>
        </w:p>
        <w:p w:rsidR="00B32D69" w:rsidRDefault="00FB661A">
          <w:pPr>
            <w:pStyle w:val="TOC2"/>
            <w:rPr>
              <w:rFonts w:eastAsiaTheme="minorEastAsia"/>
              <w:sz w:val="24"/>
              <w:szCs w:val="24"/>
              <w:lang w:eastAsia="en-GB"/>
            </w:rPr>
          </w:pPr>
          <w:hyperlink w:anchor="_Toc466452979" w:history="1">
            <w:r>
              <w:rPr>
                <w:rStyle w:val="Hyperlink"/>
                <w:bCs/>
                <w:iCs/>
                <w:sz w:val="24"/>
                <w:szCs w:val="24"/>
              </w:rPr>
              <w:t>5.6.</w:t>
            </w:r>
            <w:r>
              <w:rPr>
                <w:rStyle w:val="Hyperlink"/>
                <w:bCs/>
                <w:iCs/>
                <w:sz w:val="24"/>
                <w:szCs w:val="24"/>
              </w:rPr>
              <w:t xml:space="preserve"> Reducing the formalities relating to court proceedings</w:t>
            </w:r>
            <w:r>
              <w:rPr>
                <w:webHidden/>
                <w:sz w:val="24"/>
                <w:szCs w:val="24"/>
              </w:rPr>
              <w:tab/>
            </w:r>
            <w:r>
              <w:rPr>
                <w:webHidden/>
                <w:sz w:val="24"/>
                <w:szCs w:val="24"/>
              </w:rPr>
              <w:fldChar w:fldCharType="begin"/>
            </w:r>
            <w:r>
              <w:rPr>
                <w:webHidden/>
                <w:sz w:val="24"/>
                <w:szCs w:val="24"/>
              </w:rPr>
              <w:instrText xml:space="preserve"> PAGEREF _Toc466452979 \h </w:instrText>
            </w:r>
            <w:r>
              <w:rPr>
                <w:webHidden/>
                <w:sz w:val="24"/>
                <w:szCs w:val="24"/>
              </w:rPr>
            </w:r>
            <w:r>
              <w:rPr>
                <w:webHidden/>
                <w:sz w:val="24"/>
                <w:szCs w:val="24"/>
              </w:rPr>
              <w:fldChar w:fldCharType="separate"/>
            </w:r>
            <w:r>
              <w:rPr>
                <w:webHidden/>
                <w:sz w:val="24"/>
                <w:szCs w:val="24"/>
              </w:rPr>
              <w:t>75</w:t>
            </w:r>
            <w:r>
              <w:rPr>
                <w:webHidden/>
                <w:sz w:val="24"/>
                <w:szCs w:val="24"/>
              </w:rPr>
              <w:fldChar w:fldCharType="end"/>
            </w:r>
          </w:hyperlink>
        </w:p>
        <w:p w:rsidR="00B32D69" w:rsidRDefault="00FB661A">
          <w:pPr>
            <w:pStyle w:val="TOC2"/>
            <w:rPr>
              <w:rFonts w:eastAsiaTheme="minorEastAsia"/>
              <w:sz w:val="24"/>
              <w:szCs w:val="24"/>
              <w:lang w:eastAsia="en-GB"/>
            </w:rPr>
          </w:pPr>
          <w:hyperlink w:anchor="_Toc466452981" w:history="1">
            <w:r>
              <w:rPr>
                <w:rStyle w:val="Hyperlink"/>
                <w:bCs/>
                <w:iCs/>
                <w:sz w:val="24"/>
                <w:szCs w:val="24"/>
              </w:rPr>
              <w:t>5.7. Lowering and aligning discharge periods for natural persons</w:t>
            </w:r>
            <w:r>
              <w:rPr>
                <w:webHidden/>
                <w:sz w:val="24"/>
                <w:szCs w:val="24"/>
              </w:rPr>
              <w:tab/>
            </w:r>
            <w:r>
              <w:rPr>
                <w:webHidden/>
                <w:sz w:val="24"/>
                <w:szCs w:val="24"/>
              </w:rPr>
              <w:fldChar w:fldCharType="begin"/>
            </w:r>
            <w:r>
              <w:rPr>
                <w:webHidden/>
                <w:sz w:val="24"/>
                <w:szCs w:val="24"/>
              </w:rPr>
              <w:instrText xml:space="preserve"> PAGE</w:instrText>
            </w:r>
            <w:r>
              <w:rPr>
                <w:webHidden/>
                <w:sz w:val="24"/>
                <w:szCs w:val="24"/>
              </w:rPr>
              <w:instrText xml:space="preserve">REF _Toc466452981 \h </w:instrText>
            </w:r>
            <w:r>
              <w:rPr>
                <w:webHidden/>
                <w:sz w:val="24"/>
                <w:szCs w:val="24"/>
              </w:rPr>
            </w:r>
            <w:r>
              <w:rPr>
                <w:webHidden/>
                <w:sz w:val="24"/>
                <w:szCs w:val="24"/>
              </w:rPr>
              <w:fldChar w:fldCharType="separate"/>
            </w:r>
            <w:r>
              <w:rPr>
                <w:webHidden/>
                <w:sz w:val="24"/>
                <w:szCs w:val="24"/>
              </w:rPr>
              <w:t>77</w:t>
            </w:r>
            <w:r>
              <w:rPr>
                <w:webHidden/>
                <w:sz w:val="24"/>
                <w:szCs w:val="24"/>
              </w:rPr>
              <w:fldChar w:fldCharType="end"/>
            </w:r>
          </w:hyperlink>
        </w:p>
        <w:p w:rsidR="00B32D69" w:rsidRDefault="00FB661A">
          <w:pPr>
            <w:pStyle w:val="TOC3"/>
            <w:tabs>
              <w:tab w:val="right" w:leader="dot" w:pos="9062"/>
            </w:tabs>
            <w:rPr>
              <w:rFonts w:ascii="Times New Roman" w:eastAsiaTheme="minorEastAsia" w:hAnsi="Times New Roman" w:cs="Times New Roman"/>
              <w:noProof/>
              <w:sz w:val="24"/>
              <w:szCs w:val="24"/>
              <w:lang w:eastAsia="en-GB"/>
            </w:rPr>
          </w:pPr>
          <w:hyperlink w:anchor="_Toc466452982" w:history="1">
            <w:r>
              <w:rPr>
                <w:rStyle w:val="Hyperlink"/>
                <w:rFonts w:ascii="Times New Roman" w:eastAsia="Calibri" w:hAnsi="Times New Roman" w:cs="Times New Roman"/>
                <w:b/>
                <w:bCs/>
                <w:noProof/>
                <w:sz w:val="24"/>
                <w:szCs w:val="24"/>
              </w:rPr>
              <w:t>5.7.1. Entrepreneurs</w:t>
            </w:r>
            <w:r>
              <w:rPr>
                <w:rFonts w:ascii="Times New Roman" w:hAnsi="Times New Roman" w:cs="Times New Roman"/>
                <w:noProof/>
                <w:webHidden/>
                <w:sz w:val="24"/>
                <w:szCs w:val="24"/>
              </w:rPr>
              <w:tab/>
            </w:r>
            <w:r>
              <w:rPr>
                <w:rFonts w:ascii="Times New Roman" w:hAnsi="Times New Roman" w:cs="Times New Roman"/>
                <w:b/>
                <w:noProof/>
                <w:webHidden/>
                <w:sz w:val="24"/>
                <w:szCs w:val="24"/>
              </w:rPr>
              <w:fldChar w:fldCharType="begin"/>
            </w:r>
            <w:r>
              <w:rPr>
                <w:rFonts w:ascii="Times New Roman" w:hAnsi="Times New Roman" w:cs="Times New Roman"/>
                <w:b/>
                <w:noProof/>
                <w:webHidden/>
                <w:sz w:val="24"/>
                <w:szCs w:val="24"/>
              </w:rPr>
              <w:instrText xml:space="preserve"> PAGEREF _Toc466452982 \h </w:instrText>
            </w:r>
            <w:r>
              <w:rPr>
                <w:rFonts w:ascii="Times New Roman" w:hAnsi="Times New Roman" w:cs="Times New Roman"/>
                <w:b/>
                <w:noProof/>
                <w:webHidden/>
                <w:sz w:val="24"/>
                <w:szCs w:val="24"/>
              </w:rPr>
            </w:r>
            <w:r>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77</w:t>
            </w:r>
            <w:r>
              <w:rPr>
                <w:rFonts w:ascii="Times New Roman" w:hAnsi="Times New Roman" w:cs="Times New Roman"/>
                <w:b/>
                <w:noProof/>
                <w:webHidden/>
                <w:sz w:val="24"/>
                <w:szCs w:val="24"/>
              </w:rPr>
              <w:fldChar w:fldCharType="end"/>
            </w:r>
          </w:hyperlink>
        </w:p>
        <w:p w:rsidR="00B32D69" w:rsidRDefault="00FB661A">
          <w:pPr>
            <w:pStyle w:val="TOC3"/>
            <w:tabs>
              <w:tab w:val="right" w:leader="dot" w:pos="9062"/>
            </w:tabs>
            <w:rPr>
              <w:rFonts w:ascii="Times New Roman" w:eastAsiaTheme="minorEastAsia" w:hAnsi="Times New Roman" w:cs="Times New Roman"/>
              <w:noProof/>
              <w:sz w:val="24"/>
              <w:szCs w:val="24"/>
              <w:lang w:eastAsia="en-GB"/>
            </w:rPr>
          </w:pPr>
          <w:hyperlink w:anchor="_Toc466452983" w:history="1">
            <w:r>
              <w:rPr>
                <w:rStyle w:val="Hyperlink"/>
                <w:rFonts w:ascii="Times New Roman" w:eastAsia="Calibri" w:hAnsi="Times New Roman" w:cs="Times New Roman"/>
                <w:b/>
                <w:bCs/>
                <w:noProof/>
                <w:sz w:val="24"/>
                <w:szCs w:val="24"/>
              </w:rPr>
              <w:t>5.7.2. Consumers</w:t>
            </w:r>
            <w:r>
              <w:rPr>
                <w:rFonts w:ascii="Times New Roman" w:hAnsi="Times New Roman" w:cs="Times New Roman"/>
                <w:noProof/>
                <w:webHidden/>
                <w:sz w:val="24"/>
                <w:szCs w:val="24"/>
              </w:rPr>
              <w:tab/>
            </w:r>
            <w:r>
              <w:rPr>
                <w:rFonts w:ascii="Times New Roman" w:hAnsi="Times New Roman" w:cs="Times New Roman"/>
                <w:b/>
                <w:noProof/>
                <w:webHidden/>
                <w:sz w:val="24"/>
                <w:szCs w:val="24"/>
              </w:rPr>
              <w:fldChar w:fldCharType="begin"/>
            </w:r>
            <w:r>
              <w:rPr>
                <w:rFonts w:ascii="Times New Roman" w:hAnsi="Times New Roman" w:cs="Times New Roman"/>
                <w:b/>
                <w:noProof/>
                <w:webHidden/>
                <w:sz w:val="24"/>
                <w:szCs w:val="24"/>
              </w:rPr>
              <w:instrText xml:space="preserve"> PAGEREF _Toc466452983 \h </w:instrText>
            </w:r>
            <w:r>
              <w:rPr>
                <w:rFonts w:ascii="Times New Roman" w:hAnsi="Times New Roman" w:cs="Times New Roman"/>
                <w:b/>
                <w:noProof/>
                <w:webHidden/>
                <w:sz w:val="24"/>
                <w:szCs w:val="24"/>
              </w:rPr>
            </w:r>
            <w:r>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82</w:t>
            </w:r>
            <w:r>
              <w:rPr>
                <w:rFonts w:ascii="Times New Roman" w:hAnsi="Times New Roman" w:cs="Times New Roman"/>
                <w:b/>
                <w:noProof/>
                <w:webHidden/>
                <w:sz w:val="24"/>
                <w:szCs w:val="24"/>
              </w:rPr>
              <w:fldChar w:fldCharType="end"/>
            </w:r>
          </w:hyperlink>
        </w:p>
        <w:p w:rsidR="00B32D69" w:rsidRDefault="00FB661A">
          <w:pPr>
            <w:pStyle w:val="TOC3"/>
            <w:tabs>
              <w:tab w:val="right" w:leader="dot" w:pos="9062"/>
            </w:tabs>
            <w:rPr>
              <w:rFonts w:ascii="Times New Roman" w:eastAsiaTheme="minorEastAsia" w:hAnsi="Times New Roman" w:cs="Times New Roman"/>
              <w:noProof/>
              <w:sz w:val="24"/>
              <w:szCs w:val="24"/>
              <w:lang w:eastAsia="en-GB"/>
            </w:rPr>
          </w:pPr>
          <w:hyperlink w:anchor="_Toc466452984" w:history="1">
            <w:r>
              <w:rPr>
                <w:rStyle w:val="Hyperlink"/>
                <w:rFonts w:ascii="Times New Roman" w:eastAsia="Calibri" w:hAnsi="Times New Roman" w:cs="Times New Roman"/>
                <w:b/>
                <w:bCs/>
                <w:noProof/>
                <w:sz w:val="24"/>
                <w:szCs w:val="24"/>
              </w:rPr>
              <w:t>5.8. Measures to increase the effectiveness of restructuring, insolvency and s</w:t>
            </w:r>
            <w:r>
              <w:rPr>
                <w:rStyle w:val="Hyperlink"/>
                <w:rFonts w:ascii="Times New Roman" w:eastAsia="Calibri" w:hAnsi="Times New Roman" w:cs="Times New Roman"/>
                <w:b/>
                <w:bCs/>
                <w:noProof/>
                <w:sz w:val="24"/>
                <w:szCs w:val="24"/>
              </w:rPr>
              <w:t>econd chance procedures</w:t>
            </w:r>
            <w:r>
              <w:rPr>
                <w:rFonts w:ascii="Times New Roman" w:hAnsi="Times New Roman" w:cs="Times New Roman"/>
                <w:noProof/>
                <w:webHidden/>
                <w:sz w:val="24"/>
                <w:szCs w:val="24"/>
              </w:rPr>
              <w:tab/>
            </w:r>
            <w:r>
              <w:rPr>
                <w:rFonts w:ascii="Times New Roman" w:hAnsi="Times New Roman" w:cs="Times New Roman"/>
                <w:b/>
                <w:noProof/>
                <w:webHidden/>
                <w:sz w:val="24"/>
                <w:szCs w:val="24"/>
              </w:rPr>
              <w:fldChar w:fldCharType="begin"/>
            </w:r>
            <w:r>
              <w:rPr>
                <w:rFonts w:ascii="Times New Roman" w:hAnsi="Times New Roman" w:cs="Times New Roman"/>
                <w:b/>
                <w:noProof/>
                <w:webHidden/>
                <w:sz w:val="24"/>
                <w:szCs w:val="24"/>
              </w:rPr>
              <w:instrText xml:space="preserve"> PAGEREF _Toc466452984 \h </w:instrText>
            </w:r>
            <w:r>
              <w:rPr>
                <w:rFonts w:ascii="Times New Roman" w:hAnsi="Times New Roman" w:cs="Times New Roman"/>
                <w:b/>
                <w:noProof/>
                <w:webHidden/>
                <w:sz w:val="24"/>
                <w:szCs w:val="24"/>
              </w:rPr>
            </w:r>
            <w:r>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86</w:t>
            </w:r>
            <w:r>
              <w:rPr>
                <w:rFonts w:ascii="Times New Roman" w:hAnsi="Times New Roman" w:cs="Times New Roman"/>
                <w:b/>
                <w:noProof/>
                <w:webHidden/>
                <w:sz w:val="24"/>
                <w:szCs w:val="24"/>
              </w:rPr>
              <w:fldChar w:fldCharType="end"/>
            </w:r>
          </w:hyperlink>
        </w:p>
        <w:p w:rsidR="00B32D69" w:rsidRDefault="00FB661A">
          <w:pPr>
            <w:pStyle w:val="TOC1"/>
            <w:rPr>
              <w:rFonts w:eastAsiaTheme="minorEastAsia"/>
              <w:b w:val="0"/>
              <w:sz w:val="24"/>
              <w:szCs w:val="24"/>
              <w:lang w:val="en-GB" w:eastAsia="en-GB"/>
            </w:rPr>
          </w:pPr>
          <w:hyperlink w:anchor="_Toc466452985" w:history="1">
            <w:r>
              <w:rPr>
                <w:rStyle w:val="Hyperlink"/>
                <w:rFonts w:eastAsia="Times New Roman"/>
                <w:bCs/>
                <w:sz w:val="24"/>
                <w:szCs w:val="24"/>
              </w:rPr>
              <w:t>6.</w:t>
            </w:r>
            <w:r>
              <w:rPr>
                <w:rFonts w:eastAsiaTheme="minorEastAsia"/>
                <w:b w:val="0"/>
                <w:sz w:val="24"/>
                <w:szCs w:val="24"/>
                <w:lang w:val="en-GB" w:eastAsia="en-GB"/>
              </w:rPr>
              <w:t xml:space="preserve"> </w:t>
            </w:r>
            <w:r>
              <w:rPr>
                <w:rStyle w:val="Hyperlink"/>
                <w:rFonts w:eastAsia="Times New Roman"/>
                <w:bCs/>
                <w:sz w:val="24"/>
                <w:szCs w:val="24"/>
              </w:rPr>
              <w:t>THE PREFERRED HIGH-LEVEL OPTION 4</w:t>
            </w:r>
            <w:r>
              <w:rPr>
                <w:webHidden/>
                <w:sz w:val="24"/>
                <w:szCs w:val="24"/>
              </w:rPr>
              <w:tab/>
            </w:r>
            <w:r>
              <w:rPr>
                <w:webHidden/>
                <w:sz w:val="24"/>
                <w:szCs w:val="24"/>
              </w:rPr>
              <w:fldChar w:fldCharType="begin"/>
            </w:r>
            <w:r>
              <w:rPr>
                <w:webHidden/>
                <w:sz w:val="24"/>
                <w:szCs w:val="24"/>
              </w:rPr>
              <w:instrText xml:space="preserve"> PAGEREF _Toc466452985 \h </w:instrText>
            </w:r>
            <w:r>
              <w:rPr>
                <w:webHidden/>
                <w:sz w:val="24"/>
                <w:szCs w:val="24"/>
              </w:rPr>
            </w:r>
            <w:r>
              <w:rPr>
                <w:webHidden/>
                <w:sz w:val="24"/>
                <w:szCs w:val="24"/>
              </w:rPr>
              <w:fldChar w:fldCharType="separate"/>
            </w:r>
            <w:r>
              <w:rPr>
                <w:webHidden/>
                <w:sz w:val="24"/>
                <w:szCs w:val="24"/>
              </w:rPr>
              <w:t>89</w:t>
            </w:r>
            <w:r>
              <w:rPr>
                <w:webHidden/>
                <w:sz w:val="24"/>
                <w:szCs w:val="24"/>
              </w:rPr>
              <w:fldChar w:fldCharType="end"/>
            </w:r>
          </w:hyperlink>
        </w:p>
        <w:p w:rsidR="00B32D69" w:rsidRDefault="00FB661A">
          <w:pPr>
            <w:pStyle w:val="TOC1"/>
            <w:rPr>
              <w:rFonts w:eastAsiaTheme="minorEastAsia"/>
              <w:b w:val="0"/>
              <w:sz w:val="24"/>
              <w:szCs w:val="24"/>
              <w:lang w:val="en-GB" w:eastAsia="en-GB"/>
            </w:rPr>
          </w:pPr>
          <w:hyperlink w:anchor="_Toc466452986" w:history="1">
            <w:r>
              <w:rPr>
                <w:rStyle w:val="Hyperlink"/>
                <w:sz w:val="24"/>
                <w:szCs w:val="24"/>
              </w:rPr>
              <w:t>7. ANALYSIS OF OVERALL IMPACTS OF THE PREFERRED HIGH-LEVEL OPTION 4</w:t>
            </w:r>
            <w:r>
              <w:rPr>
                <w:webHidden/>
                <w:sz w:val="24"/>
                <w:szCs w:val="24"/>
              </w:rPr>
              <w:tab/>
            </w:r>
            <w:r>
              <w:rPr>
                <w:webHidden/>
                <w:sz w:val="24"/>
                <w:szCs w:val="24"/>
              </w:rPr>
              <w:fldChar w:fldCharType="begin"/>
            </w:r>
            <w:r>
              <w:rPr>
                <w:webHidden/>
                <w:sz w:val="24"/>
                <w:szCs w:val="24"/>
              </w:rPr>
              <w:instrText xml:space="preserve"> PAGEREF _Toc466452986 \h </w:instrText>
            </w:r>
            <w:r>
              <w:rPr>
                <w:webHidden/>
                <w:sz w:val="24"/>
                <w:szCs w:val="24"/>
              </w:rPr>
            </w:r>
            <w:r>
              <w:rPr>
                <w:webHidden/>
                <w:sz w:val="24"/>
                <w:szCs w:val="24"/>
              </w:rPr>
              <w:fldChar w:fldCharType="separate"/>
            </w:r>
            <w:r>
              <w:rPr>
                <w:webHidden/>
                <w:sz w:val="24"/>
                <w:szCs w:val="24"/>
              </w:rPr>
              <w:t>93</w:t>
            </w:r>
            <w:r>
              <w:rPr>
                <w:webHidden/>
                <w:sz w:val="24"/>
                <w:szCs w:val="24"/>
              </w:rPr>
              <w:fldChar w:fldCharType="end"/>
            </w:r>
          </w:hyperlink>
        </w:p>
        <w:p w:rsidR="00B32D69" w:rsidRDefault="00FB661A">
          <w:pPr>
            <w:pStyle w:val="TOC1"/>
            <w:rPr>
              <w:rFonts w:eastAsiaTheme="minorEastAsia"/>
              <w:b w:val="0"/>
              <w:sz w:val="24"/>
              <w:szCs w:val="24"/>
              <w:lang w:val="en-GB" w:eastAsia="en-GB"/>
            </w:rPr>
          </w:pPr>
          <w:hyperlink w:anchor="_Toc466452987" w:history="1">
            <w:r>
              <w:rPr>
                <w:rStyle w:val="Hyperlink"/>
                <w:rFonts w:eastAsiaTheme="majorEastAsia"/>
                <w:bCs/>
                <w:sz w:val="24"/>
                <w:szCs w:val="24"/>
              </w:rPr>
              <w:t>8. MONITORING AND EVALUATION</w:t>
            </w:r>
            <w:r>
              <w:rPr>
                <w:webHidden/>
                <w:sz w:val="24"/>
                <w:szCs w:val="24"/>
              </w:rPr>
              <w:tab/>
            </w:r>
            <w:r>
              <w:rPr>
                <w:webHidden/>
                <w:sz w:val="24"/>
                <w:szCs w:val="24"/>
              </w:rPr>
              <w:fldChar w:fldCharType="begin"/>
            </w:r>
            <w:r>
              <w:rPr>
                <w:webHidden/>
                <w:sz w:val="24"/>
                <w:szCs w:val="24"/>
              </w:rPr>
              <w:instrText xml:space="preserve"> PAGEREF _Toc466452987 \h </w:instrText>
            </w:r>
            <w:r>
              <w:rPr>
                <w:webHidden/>
                <w:sz w:val="24"/>
                <w:szCs w:val="24"/>
              </w:rPr>
            </w:r>
            <w:r>
              <w:rPr>
                <w:webHidden/>
                <w:sz w:val="24"/>
                <w:szCs w:val="24"/>
              </w:rPr>
              <w:fldChar w:fldCharType="separate"/>
            </w:r>
            <w:r>
              <w:rPr>
                <w:webHidden/>
                <w:sz w:val="24"/>
                <w:szCs w:val="24"/>
              </w:rPr>
              <w:t>103</w:t>
            </w:r>
            <w:r>
              <w:rPr>
                <w:webHidden/>
                <w:sz w:val="24"/>
                <w:szCs w:val="24"/>
              </w:rPr>
              <w:fldChar w:fldCharType="end"/>
            </w:r>
          </w:hyperlink>
        </w:p>
        <w:p w:rsidR="00B32D69" w:rsidRDefault="00FB661A">
          <w:pPr>
            <w:pStyle w:val="TOC1"/>
            <w:rPr>
              <w:rFonts w:eastAsiaTheme="minorEastAsia"/>
              <w:b w:val="0"/>
              <w:sz w:val="24"/>
              <w:szCs w:val="24"/>
              <w:lang w:val="en-GB" w:eastAsia="en-GB"/>
            </w:rPr>
          </w:pPr>
          <w:hyperlink w:anchor="_Toc466452988" w:history="1">
            <w:r>
              <w:rPr>
                <w:rStyle w:val="Hyperlink"/>
                <w:rFonts w:eastAsiaTheme="majorEastAsia"/>
                <w:bCs/>
                <w:sz w:val="24"/>
                <w:szCs w:val="24"/>
              </w:rPr>
              <w:t>9. ANNEXES</w:t>
            </w:r>
            <w:r>
              <w:rPr>
                <w:webHidden/>
                <w:sz w:val="24"/>
                <w:szCs w:val="24"/>
              </w:rPr>
              <w:tab/>
            </w:r>
            <w:r>
              <w:rPr>
                <w:webHidden/>
                <w:sz w:val="24"/>
                <w:szCs w:val="24"/>
              </w:rPr>
              <w:fldChar w:fldCharType="begin"/>
            </w:r>
            <w:r>
              <w:rPr>
                <w:webHidden/>
                <w:sz w:val="24"/>
                <w:szCs w:val="24"/>
              </w:rPr>
              <w:instrText xml:space="preserve"> PAGEREF _Toc466452988 \h </w:instrText>
            </w:r>
            <w:r>
              <w:rPr>
                <w:webHidden/>
                <w:sz w:val="24"/>
                <w:szCs w:val="24"/>
              </w:rPr>
            </w:r>
            <w:r>
              <w:rPr>
                <w:webHidden/>
                <w:sz w:val="24"/>
                <w:szCs w:val="24"/>
              </w:rPr>
              <w:fldChar w:fldCharType="separate"/>
            </w:r>
            <w:r>
              <w:rPr>
                <w:webHidden/>
                <w:sz w:val="24"/>
                <w:szCs w:val="24"/>
              </w:rPr>
              <w:t>104</w:t>
            </w:r>
            <w:r>
              <w:rPr>
                <w:webHidden/>
                <w:sz w:val="24"/>
                <w:szCs w:val="24"/>
              </w:rPr>
              <w:fldChar w:fldCharType="end"/>
            </w:r>
          </w:hyperlink>
        </w:p>
        <w:p w:rsidR="00B32D69" w:rsidRDefault="00FB661A">
          <w:pPr>
            <w:pStyle w:val="TOC1"/>
            <w:rPr>
              <w:b w:val="0"/>
            </w:rPr>
          </w:pPr>
          <w:r>
            <w:rPr>
              <w:b w:val="0"/>
              <w:bCs/>
              <w:sz w:val="24"/>
              <w:szCs w:val="24"/>
            </w:rPr>
            <w:fldChar w:fldCharType="end"/>
          </w:r>
        </w:p>
      </w:sdtContent>
    </w:sdt>
    <w:p w:rsidR="00B32D69" w:rsidRDefault="00FB661A">
      <w:pPr>
        <w:jc w:val="center"/>
        <w:rPr>
          <w:rFonts w:ascii="Times New Roman" w:hAnsi="Times New Roman" w:cs="Times New Roman"/>
          <w:b/>
          <w:noProof/>
          <w:sz w:val="24"/>
          <w:szCs w:val="24"/>
          <w:u w:val="single"/>
        </w:rPr>
      </w:pPr>
      <w:r>
        <w:rPr>
          <w:rFonts w:ascii="Times New Roman" w:hAnsi="Times New Roman" w:cs="Times New Roman"/>
          <w:b/>
          <w:noProof/>
          <w:sz w:val="24"/>
          <w:szCs w:val="24"/>
          <w:u w:val="single"/>
        </w:rPr>
        <w:br w:type="page"/>
      </w:r>
      <w:r>
        <w:rPr>
          <w:rFonts w:ascii="Times New Roman" w:hAnsi="Times New Roman" w:cs="Times New Roman"/>
          <w:b/>
          <w:noProof/>
          <w:sz w:val="24"/>
          <w:szCs w:val="24"/>
        </w:rPr>
        <w:lastRenderedPageBreak/>
        <w:t>IMPACT ASSESSMENT REPORT</w:t>
      </w:r>
    </w:p>
    <w:p w:rsidR="00B32D69" w:rsidRDefault="00FB661A">
      <w:pPr>
        <w:spacing w:before="240" w:after="240"/>
        <w:jc w:val="center"/>
        <w:rPr>
          <w:rFonts w:ascii="Times New Roman" w:hAnsi="Times New Roman" w:cs="Times New Roman"/>
          <w:b/>
          <w:noProof/>
          <w:sz w:val="24"/>
          <w:szCs w:val="24"/>
        </w:rPr>
      </w:pPr>
      <w:r>
        <w:rPr>
          <w:rFonts w:ascii="Times New Roman" w:hAnsi="Times New Roman" w:cs="Times New Roman"/>
          <w:b/>
          <w:noProof/>
          <w:sz w:val="24"/>
          <w:szCs w:val="24"/>
        </w:rPr>
        <w:t>RESTRUCTURING AND SECOND CHANCE</w:t>
      </w:r>
    </w:p>
    <w:p w:rsidR="00B32D69" w:rsidRDefault="00FB661A">
      <w:pPr>
        <w:keepNext/>
        <w:keepLines/>
        <w:spacing w:before="480" w:after="240"/>
        <w:outlineLvl w:val="0"/>
        <w:rPr>
          <w:rFonts w:ascii="Times New Roman" w:eastAsiaTheme="majorEastAsia" w:hAnsi="Times New Roman" w:cs="Times New Roman"/>
          <w:b/>
          <w:bCs/>
          <w:noProof/>
          <w:sz w:val="24"/>
          <w:szCs w:val="24"/>
        </w:rPr>
      </w:pPr>
      <w:bookmarkStart w:id="2" w:name="_Toc466452953"/>
      <w:r>
        <w:rPr>
          <w:rFonts w:ascii="Times New Roman" w:eastAsiaTheme="majorEastAsia" w:hAnsi="Times New Roman" w:cs="Times New Roman"/>
          <w:b/>
          <w:bCs/>
          <w:noProof/>
          <w:sz w:val="24"/>
          <w:szCs w:val="24"/>
        </w:rPr>
        <w:t>1. INTRODUCTION</w:t>
      </w:r>
      <w:bookmarkEnd w:id="2"/>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Insolvency rules in their widest sense cover a wide range of measures from early intervention before a company gets into </w:t>
      </w:r>
      <w:r>
        <w:rPr>
          <w:rFonts w:ascii="Times New Roman" w:hAnsi="Times New Roman" w:cs="Times New Roman"/>
          <w:noProof/>
          <w:sz w:val="24"/>
          <w:szCs w:val="24"/>
        </w:rPr>
        <w:t>serious difficulties, timely restructuring to ensure that viable business parts are preserved, giving a second chance to honest entrepreneurs and liquidation proceedings. A well-functioning insolvency framework covering all these measures is an essential e</w:t>
      </w:r>
      <w:r>
        <w:rPr>
          <w:rFonts w:ascii="Times New Roman" w:hAnsi="Times New Roman" w:cs="Times New Roman"/>
          <w:noProof/>
          <w:sz w:val="24"/>
          <w:szCs w:val="24"/>
        </w:rPr>
        <w:t>lement of a good business environment and it is a key condition for sustainable growth and jobs creation, which is a key priority of the European Commission. A reliable and predictable insolvency framework maximises the efficiency, predictability and effec</w:t>
      </w:r>
      <w:r>
        <w:rPr>
          <w:rFonts w:ascii="Times New Roman" w:hAnsi="Times New Roman" w:cs="Times New Roman"/>
          <w:noProof/>
          <w:sz w:val="24"/>
          <w:szCs w:val="24"/>
        </w:rPr>
        <w:t>tiveness of insolvency proceedings, which ultimately results in an effective credit system and a favourable investment climate. Insolvency frameworks providing for transparent, predictable and cost-effective mechanisms for resolution of over-indebtedness s</w:t>
      </w:r>
      <w:r>
        <w:rPr>
          <w:rFonts w:ascii="Times New Roman" w:hAnsi="Times New Roman" w:cs="Times New Roman"/>
          <w:noProof/>
          <w:sz w:val="24"/>
          <w:szCs w:val="24"/>
        </w:rPr>
        <w:t>hould make it possible to save viable businesses in difficulties (by restructuring the existing company or by selling it as a "going concern") or make it easier to liquidate a company and its assets if the company does not have any prospect of survival. Ef</w:t>
      </w:r>
      <w:r>
        <w:rPr>
          <w:rFonts w:ascii="Times New Roman" w:hAnsi="Times New Roman" w:cs="Times New Roman"/>
          <w:noProof/>
          <w:sz w:val="24"/>
          <w:szCs w:val="24"/>
        </w:rPr>
        <w:t>ficient insolvency rules, thus, help increase the recovery rate of debts and avoid the build-up of non-performing loans in the financial system At the same time, allowing honest entrepreneurs to benefit from a second chance after overcoming bankruptcy is c</w:t>
      </w:r>
      <w:r>
        <w:rPr>
          <w:rFonts w:ascii="Times New Roman" w:hAnsi="Times New Roman" w:cs="Times New Roman"/>
          <w:noProof/>
          <w:sz w:val="24"/>
          <w:szCs w:val="24"/>
        </w:rPr>
        <w:t>rucial for ensuring a dynamic business environment and promoting innovation. Restructuring and second chance for individuals are therefore critical parts of an appropriate insolvency framework.</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Good insolvency frameworks should define procedures for dealin</w:t>
      </w:r>
      <w:r>
        <w:rPr>
          <w:rFonts w:ascii="Times New Roman" w:hAnsi="Times New Roman" w:cs="Times New Roman"/>
          <w:noProof/>
          <w:sz w:val="24"/>
          <w:szCs w:val="24"/>
        </w:rPr>
        <w:t xml:space="preserve">g with </w:t>
      </w:r>
    </w:p>
    <w:p w:rsidR="00B32D69" w:rsidRDefault="00FB661A">
      <w:pPr>
        <w:spacing w:after="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t>businesses in financial difficulties, but not yet insolvent (where the restructuring framework is most useful),</w:t>
      </w:r>
    </w:p>
    <w:p w:rsidR="00B32D69" w:rsidRDefault="00FB661A">
      <w:pPr>
        <w:spacing w:after="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t>companies that are very close to insolvency or already insolvent (where any means of recovery the value for creditors are most im</w:t>
      </w:r>
      <w:r>
        <w:rPr>
          <w:rFonts w:ascii="Times New Roman" w:hAnsi="Times New Roman" w:cs="Times New Roman"/>
          <w:noProof/>
          <w:sz w:val="24"/>
          <w:szCs w:val="24"/>
        </w:rPr>
        <w:t xml:space="preserve">portant), </w:t>
      </w:r>
    </w:p>
    <w:p w:rsidR="00B32D69" w:rsidRDefault="00FB661A">
      <w:pPr>
        <w:spacing w:after="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t>a possibility of a fresh start of economic activity for natural persons, in particular entrepreneurs (debt discharge).</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core of any insolvency law is the most efficient use of the resources used by a distressed company and allocation of po</w:t>
      </w:r>
      <w:r>
        <w:rPr>
          <w:rFonts w:ascii="Times New Roman" w:hAnsi="Times New Roman" w:cs="Times New Roman"/>
          <w:noProof/>
          <w:sz w:val="24"/>
          <w:szCs w:val="24"/>
        </w:rPr>
        <w:t>tential costs. This primary economic efficiency objective is complemented by specific redistributive goals</w:t>
      </w:r>
      <w:r>
        <w:rPr>
          <w:rFonts w:ascii="Times New Roman" w:hAnsi="Times New Roman" w:cs="Times New Roman"/>
          <w:noProof/>
          <w:sz w:val="24"/>
          <w:szCs w:val="24"/>
          <w:vertAlign w:val="superscript"/>
        </w:rPr>
        <w:footnoteReference w:id="1"/>
      </w:r>
      <w:r>
        <w:rPr>
          <w:rFonts w:ascii="Times New Roman" w:hAnsi="Times New Roman" w:cs="Times New Roman"/>
          <w:noProof/>
          <w:sz w:val="24"/>
          <w:szCs w:val="24"/>
        </w:rPr>
        <w:t xml:space="preserve"> which result from cultural and social value patterns of a given society and may vary between countries. Insolvency legislation therefore sets out co</w:t>
      </w:r>
      <w:r>
        <w:rPr>
          <w:rFonts w:ascii="Times New Roman" w:hAnsi="Times New Roman" w:cs="Times New Roman"/>
          <w:noProof/>
          <w:sz w:val="24"/>
          <w:szCs w:val="24"/>
        </w:rPr>
        <w:t>nditions for initiating insolvency procedures, outlines creditors’ and debtors’ rights and obligations, describes the role of courts, as well as the steps and the timeframe to be followed once the procedure starts.</w:t>
      </w: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An effective insolvency regime should not</w:t>
      </w:r>
      <w:r>
        <w:rPr>
          <w:rFonts w:ascii="Times New Roman" w:hAnsi="Times New Roman" w:cs="Times New Roman"/>
          <w:noProof/>
          <w:sz w:val="24"/>
          <w:szCs w:val="24"/>
        </w:rPr>
        <w:t xml:space="preserve"> only ensure a fair and timely distribution of assets among creditors through liquidation proceedings, but it should also allow viable debtors to restructure at an early stage and thus avoid insolvency and the related loss of value, jobs and know-how. In a</w:t>
      </w:r>
      <w:r>
        <w:rPr>
          <w:rFonts w:ascii="Times New Roman" w:hAnsi="Times New Roman" w:cs="Times New Roman"/>
          <w:noProof/>
          <w:sz w:val="24"/>
          <w:szCs w:val="24"/>
        </w:rPr>
        <w:t>ddition, in a cross-border context, each of the countries affected has an interest in regulating insolvency of an entrepreneur whose activities or assets are located on its territory</w:t>
      </w:r>
      <w:r>
        <w:rPr>
          <w:rFonts w:ascii="Times New Roman" w:hAnsi="Times New Roman" w:cs="Times New Roman"/>
          <w:noProof/>
          <w:sz w:val="24"/>
          <w:szCs w:val="24"/>
          <w:vertAlign w:val="superscript"/>
        </w:rPr>
        <w:footnoteReference w:id="2"/>
      </w:r>
      <w:r>
        <w:rPr>
          <w:rFonts w:ascii="Times New Roman" w:hAnsi="Times New Roman" w:cs="Times New Roman"/>
          <w:noProof/>
          <w:sz w:val="24"/>
          <w:szCs w:val="24"/>
        </w:rPr>
        <w:t>. An effective restructuring and second chance framework should also prov</w:t>
      </w:r>
      <w:r>
        <w:rPr>
          <w:rFonts w:ascii="Times New Roman" w:hAnsi="Times New Roman" w:cs="Times New Roman"/>
          <w:noProof/>
          <w:sz w:val="24"/>
          <w:szCs w:val="24"/>
        </w:rPr>
        <w:t>ide for safeguards against possible moral hazard risks which are inherent but which should not impede the adoption of restructuring and second chance frameworks. This brings about problems which cannot be resolved solely by rules determining the applicable</w:t>
      </w:r>
      <w:r>
        <w:rPr>
          <w:rFonts w:ascii="Times New Roman" w:hAnsi="Times New Roman" w:cs="Times New Roman"/>
          <w:noProof/>
          <w:sz w:val="24"/>
          <w:szCs w:val="24"/>
        </w:rPr>
        <w:t xml:space="preserve"> law and jurisdiction. These aspects have been partly addressed through the Regulation (EU) 2015/848 on insolvency proceedings</w:t>
      </w:r>
      <w:r>
        <w:rPr>
          <w:rFonts w:ascii="Times New Roman" w:hAnsi="Times New Roman" w:cs="Times New Roman"/>
          <w:noProof/>
          <w:sz w:val="24"/>
          <w:szCs w:val="24"/>
          <w:vertAlign w:val="superscript"/>
        </w:rPr>
        <w:footnoteReference w:id="3"/>
      </w:r>
      <w:r>
        <w:rPr>
          <w:rFonts w:ascii="Times New Roman" w:hAnsi="Times New Roman" w:cs="Times New Roman"/>
          <w:noProof/>
          <w:sz w:val="24"/>
          <w:szCs w:val="24"/>
        </w:rPr>
        <w:t xml:space="preserve"> (the Insolvency Regulation), which includes provisions on jurisdiction for opening insolvency proceedings, recognition and enfor</w:t>
      </w:r>
      <w:r>
        <w:rPr>
          <w:rFonts w:ascii="Times New Roman" w:hAnsi="Times New Roman" w:cs="Times New Roman"/>
          <w:noProof/>
          <w:sz w:val="24"/>
          <w:szCs w:val="24"/>
        </w:rPr>
        <w:t>cement of judgments issued in such proceedings, as well as provisions regarding the law applicable to insolvency proceedings. However, even under such rules, in a number of situations, more than one law and jurisdiction will have a competence to handle the</w:t>
      </w:r>
      <w:r>
        <w:rPr>
          <w:rFonts w:ascii="Times New Roman" w:hAnsi="Times New Roman" w:cs="Times New Roman"/>
          <w:noProof/>
          <w:sz w:val="24"/>
          <w:szCs w:val="24"/>
        </w:rPr>
        <w:t xml:space="preserve"> cross-border insolvency and the differences in these laws will hinder a successful resolution of such a case</w:t>
      </w:r>
      <w:r>
        <w:rPr>
          <w:rFonts w:ascii="Times New Roman" w:hAnsi="Times New Roman" w:cs="Times New Roman"/>
          <w:noProof/>
          <w:sz w:val="24"/>
          <w:szCs w:val="24"/>
          <w:vertAlign w:val="superscript"/>
        </w:rPr>
        <w:footnoteReference w:id="4"/>
      </w:r>
      <w:r>
        <w:rPr>
          <w:rFonts w:ascii="Times New Roman" w:hAnsi="Times New Roman" w:cs="Times New Roman"/>
          <w:noProof/>
          <w:sz w:val="24"/>
          <w:szCs w:val="24"/>
        </w:rPr>
        <w:t>.</w:t>
      </w:r>
    </w:p>
    <w:p w:rsidR="00B32D69" w:rsidRDefault="00FB661A">
      <w:pPr>
        <w:keepNext/>
        <w:keepLines/>
        <w:spacing w:before="240" w:after="0"/>
        <w:outlineLvl w:val="0"/>
        <w:rPr>
          <w:rFonts w:ascii="Times New Roman" w:eastAsiaTheme="majorEastAsia" w:hAnsi="Times New Roman" w:cs="Times New Roman"/>
          <w:b/>
          <w:bCs/>
          <w:noProof/>
          <w:sz w:val="24"/>
          <w:szCs w:val="24"/>
        </w:rPr>
      </w:pPr>
      <w:bookmarkStart w:id="3" w:name="_Toc466452954"/>
      <w:r>
        <w:rPr>
          <w:rFonts w:ascii="Times New Roman" w:eastAsiaTheme="majorEastAsia" w:hAnsi="Times New Roman" w:cs="Times New Roman"/>
          <w:b/>
          <w:bCs/>
          <w:noProof/>
          <w:sz w:val="24"/>
          <w:szCs w:val="24"/>
        </w:rPr>
        <w:t>2. POLICY CONTEXT, ECONOMIC CONTEXT, PROBLEM DEFINITION AND SUBSIDIARITY</w:t>
      </w:r>
      <w:bookmarkEnd w:id="3"/>
    </w:p>
    <w:p w:rsidR="00B32D69" w:rsidRDefault="00FB661A">
      <w:pPr>
        <w:keepNext/>
        <w:keepLines/>
        <w:spacing w:before="200" w:after="240"/>
        <w:outlineLvl w:val="1"/>
        <w:rPr>
          <w:rFonts w:ascii="Times New Roman" w:eastAsiaTheme="majorEastAsia" w:hAnsi="Times New Roman" w:cs="Times New Roman"/>
          <w:b/>
          <w:bCs/>
          <w:noProof/>
          <w:sz w:val="24"/>
          <w:szCs w:val="24"/>
        </w:rPr>
      </w:pPr>
      <w:bookmarkStart w:id="4" w:name="_Toc466452955"/>
      <w:r>
        <w:rPr>
          <w:rFonts w:ascii="Times New Roman" w:eastAsiaTheme="majorEastAsia" w:hAnsi="Times New Roman" w:cs="Times New Roman"/>
          <w:b/>
          <w:bCs/>
          <w:noProof/>
          <w:sz w:val="24"/>
          <w:szCs w:val="24"/>
        </w:rPr>
        <w:t>2.1.</w:t>
      </w:r>
      <w:r>
        <w:rPr>
          <w:rFonts w:ascii="Times New Roman" w:eastAsiaTheme="majorEastAsia" w:hAnsi="Times New Roman" w:cs="Times New Roman"/>
          <w:b/>
          <w:bCs/>
          <w:noProof/>
          <w:sz w:val="24"/>
          <w:szCs w:val="24"/>
        </w:rPr>
        <w:tab/>
        <w:t>Policy context</w:t>
      </w:r>
      <w:bookmarkEnd w:id="4"/>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Efficient insolvency frameworks play a key role in </w:t>
      </w:r>
      <w:r>
        <w:rPr>
          <w:rFonts w:ascii="Times New Roman" w:hAnsi="Times New Roman" w:cs="Times New Roman"/>
          <w:noProof/>
          <w:sz w:val="24"/>
          <w:szCs w:val="24"/>
        </w:rPr>
        <w:t xml:space="preserve">economic policy since they can contribute in a tangible way to create jobs and sustainable growth by helping companies in difficulties, but still viable, to get back on their feet and quickly taking companies beyond rescue off the market. For this reason, </w:t>
      </w:r>
      <w:r>
        <w:rPr>
          <w:rFonts w:ascii="Times New Roman" w:hAnsi="Times New Roman" w:cs="Times New Roman"/>
          <w:noProof/>
          <w:sz w:val="24"/>
          <w:szCs w:val="24"/>
        </w:rPr>
        <w:t>the issue has attracted considerable interest at the level of the European Union for quite some time. In 2011, the European Parliament adopted a Resolution on insolvency proceedings</w:t>
      </w:r>
      <w:r>
        <w:rPr>
          <w:rFonts w:ascii="Times New Roman" w:hAnsi="Times New Roman" w:cs="Times New Roman"/>
          <w:noProof/>
          <w:sz w:val="24"/>
          <w:szCs w:val="24"/>
          <w:vertAlign w:val="superscript"/>
        </w:rPr>
        <w:footnoteReference w:id="5"/>
      </w:r>
      <w:r>
        <w:rPr>
          <w:rFonts w:ascii="Times New Roman" w:hAnsi="Times New Roman" w:cs="Times New Roman"/>
          <w:noProof/>
          <w:sz w:val="24"/>
          <w:szCs w:val="24"/>
        </w:rPr>
        <w:t xml:space="preserve"> which contained recommendations for harmonising specific aspects of subst</w:t>
      </w:r>
      <w:r>
        <w:rPr>
          <w:rFonts w:ascii="Times New Roman" w:hAnsi="Times New Roman" w:cs="Times New Roman"/>
          <w:noProof/>
          <w:sz w:val="24"/>
          <w:szCs w:val="24"/>
        </w:rPr>
        <w:t>antive insolvency law, including restructurings, and company law. The recommendations regarding the harmonisation of specific aspects of insolvency and company law concerned certain aspects of the opening of insolvency, certain aspects of the filing of cla</w:t>
      </w:r>
      <w:r>
        <w:rPr>
          <w:rFonts w:ascii="Times New Roman" w:hAnsi="Times New Roman" w:cs="Times New Roman"/>
          <w:noProof/>
          <w:sz w:val="24"/>
          <w:szCs w:val="24"/>
        </w:rPr>
        <w:t>ims, aspects of avoidance actions, general aspects of the requirements for the qualification and work of liquidators, as well as aspects of restructuring plans. An accompanying study</w:t>
      </w:r>
      <w:r>
        <w:rPr>
          <w:rFonts w:ascii="Times New Roman" w:hAnsi="Times New Roman" w:cs="Times New Roman"/>
          <w:noProof/>
          <w:sz w:val="24"/>
          <w:szCs w:val="24"/>
          <w:vertAlign w:val="superscript"/>
        </w:rPr>
        <w:footnoteReference w:id="6"/>
      </w:r>
      <w:r>
        <w:rPr>
          <w:rFonts w:ascii="Times New Roman" w:hAnsi="Times New Roman" w:cs="Times New Roman"/>
          <w:noProof/>
          <w:sz w:val="24"/>
          <w:szCs w:val="24"/>
        </w:rPr>
        <w:t xml:space="preserve"> confirmed that there were ‘certain areas of insolvency law where harmoni</w:t>
      </w:r>
      <w:r>
        <w:rPr>
          <w:rFonts w:ascii="Times New Roman" w:hAnsi="Times New Roman" w:cs="Times New Roman"/>
          <w:noProof/>
          <w:sz w:val="24"/>
          <w:szCs w:val="24"/>
        </w:rPr>
        <w:t>sation is worthwhile and achievable', in particular as regards the efficiency of restructuring procedures. Also the Competitiveness Council conclusions of 2011 called on Member States to reduce the discharge period for entrepreneurs to 3 years.</w:t>
      </w:r>
    </w:p>
    <w:p w:rsidR="00B32D69" w:rsidRDefault="00B32D69">
      <w:pPr>
        <w:spacing w:before="240" w:after="240" w:line="240" w:lineRule="auto"/>
        <w:jc w:val="both"/>
        <w:rPr>
          <w:rFonts w:ascii="Times New Roman" w:hAnsi="Times New Roman" w:cs="Times New Roman"/>
          <w:noProof/>
          <w:sz w:val="24"/>
          <w:szCs w:val="24"/>
        </w:rPr>
      </w:pPr>
    </w:p>
    <w:p w:rsidR="00B32D69" w:rsidRDefault="00FB661A">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Against th</w:t>
      </w:r>
      <w:r>
        <w:rPr>
          <w:rFonts w:ascii="Times New Roman" w:hAnsi="Times New Roman" w:cs="Times New Roman"/>
          <w:noProof/>
          <w:sz w:val="24"/>
          <w:szCs w:val="24"/>
        </w:rPr>
        <w:t>is background and recognising the significant differences between national insolvency frameworks, the European Commission issued in December 2012 a Communication</w:t>
      </w:r>
      <w:r>
        <w:rPr>
          <w:rFonts w:ascii="Times New Roman" w:hAnsi="Times New Roman" w:cs="Times New Roman"/>
          <w:noProof/>
          <w:sz w:val="24"/>
          <w:szCs w:val="24"/>
          <w:vertAlign w:val="superscript"/>
        </w:rPr>
        <w:footnoteReference w:id="7"/>
      </w:r>
      <w:r>
        <w:rPr>
          <w:rFonts w:ascii="Times New Roman" w:hAnsi="Times New Roman" w:cs="Times New Roman"/>
          <w:noProof/>
          <w:sz w:val="24"/>
          <w:szCs w:val="24"/>
        </w:rPr>
        <w:t xml:space="preserve"> which highlighted a need for a step-by-step approach as regards certain areas where differenc</w:t>
      </w:r>
      <w:r>
        <w:rPr>
          <w:rFonts w:ascii="Times New Roman" w:hAnsi="Times New Roman" w:cs="Times New Roman"/>
          <w:noProof/>
          <w:sz w:val="24"/>
          <w:szCs w:val="24"/>
        </w:rPr>
        <w:t>es between domestic insolvency laws could hamper the functioning of an efficient internal market</w:t>
      </w:r>
      <w:r>
        <w:rPr>
          <w:rFonts w:ascii="Times New Roman" w:hAnsi="Times New Roman" w:cs="Times New Roman"/>
          <w:noProof/>
          <w:sz w:val="24"/>
          <w:szCs w:val="24"/>
          <w:vertAlign w:val="superscript"/>
        </w:rPr>
        <w:footnoteReference w:id="8"/>
      </w:r>
      <w:r>
        <w:rPr>
          <w:rFonts w:ascii="Times New Roman" w:hAnsi="Times New Roman" w:cs="Times New Roman"/>
          <w:noProof/>
          <w:sz w:val="24"/>
          <w:szCs w:val="24"/>
        </w:rPr>
        <w:t>. The subsequent first action under this approach was the modification of Regulation (EC) No 1346/2000</w:t>
      </w:r>
      <w:r>
        <w:rPr>
          <w:rFonts w:ascii="Times New Roman" w:hAnsi="Times New Roman" w:cs="Times New Roman"/>
          <w:noProof/>
          <w:sz w:val="24"/>
          <w:szCs w:val="24"/>
          <w:vertAlign w:val="superscript"/>
        </w:rPr>
        <w:footnoteReference w:id="9"/>
      </w:r>
      <w:r>
        <w:rPr>
          <w:rFonts w:ascii="Times New Roman" w:hAnsi="Times New Roman" w:cs="Times New Roman"/>
          <w:noProof/>
          <w:sz w:val="24"/>
          <w:szCs w:val="24"/>
        </w:rPr>
        <w:t xml:space="preserve"> accomplished by the adoption of the Insolvency Regulati</w:t>
      </w:r>
      <w:r>
        <w:rPr>
          <w:rFonts w:ascii="Times New Roman" w:hAnsi="Times New Roman" w:cs="Times New Roman"/>
          <w:noProof/>
          <w:sz w:val="24"/>
          <w:szCs w:val="24"/>
        </w:rPr>
        <w:t>on. The Insolvency Regulation focuses on resolving the conflicts of jurisdiction and laws in cross-border insolvency proceedings, and ensures the recognition of insolvency-related judgments across the EU. It does not harmonise the substantive insolvency la</w:t>
      </w:r>
      <w:r>
        <w:rPr>
          <w:rFonts w:ascii="Times New Roman" w:hAnsi="Times New Roman" w:cs="Times New Roman"/>
          <w:noProof/>
          <w:sz w:val="24"/>
          <w:szCs w:val="24"/>
        </w:rPr>
        <w:t xml:space="preserve">ws of the Member States. </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As a next step, the Commission adopted in 2014 the Recommendation on restructuring and second chance (the Recommendation)</w:t>
      </w:r>
      <w:r>
        <w:rPr>
          <w:rFonts w:ascii="Times New Roman" w:hAnsi="Times New Roman" w:cs="Times New Roman"/>
          <w:noProof/>
          <w:sz w:val="24"/>
          <w:szCs w:val="24"/>
          <w:vertAlign w:val="superscript"/>
        </w:rPr>
        <w:footnoteReference w:id="10"/>
      </w:r>
      <w:r>
        <w:rPr>
          <w:rFonts w:ascii="Times New Roman" w:hAnsi="Times New Roman" w:cs="Times New Roman"/>
          <w:noProof/>
          <w:sz w:val="24"/>
          <w:szCs w:val="24"/>
        </w:rPr>
        <w:t>. The Recommendation focused on restructuring and second chance, since it was considered that in these two f</w:t>
      </w:r>
      <w:r>
        <w:rPr>
          <w:rFonts w:ascii="Times New Roman" w:hAnsi="Times New Roman" w:cs="Times New Roman"/>
          <w:noProof/>
          <w:sz w:val="24"/>
          <w:szCs w:val="24"/>
        </w:rPr>
        <w:t>ields the action at EU level would bring most added-value</w:t>
      </w:r>
      <w:r>
        <w:rPr>
          <w:rFonts w:ascii="Times New Roman" w:hAnsi="Times New Roman" w:cs="Times New Roman"/>
          <w:noProof/>
          <w:sz w:val="24"/>
          <w:szCs w:val="24"/>
          <w:vertAlign w:val="superscript"/>
        </w:rPr>
        <w:footnoteReference w:id="11"/>
      </w:r>
      <w:r>
        <w:rPr>
          <w:rFonts w:ascii="Times New Roman" w:hAnsi="Times New Roman" w:cs="Times New Roman"/>
          <w:noProof/>
          <w:sz w:val="24"/>
          <w:szCs w:val="24"/>
        </w:rPr>
        <w:t>. The Recommendation invited Member States to put in place (i) effective pre-insolvency procedures with the aim of helping viable debtors to restructure and thus avoid insolvency and (ii) second cha</w:t>
      </w:r>
      <w:r>
        <w:rPr>
          <w:rFonts w:ascii="Times New Roman" w:hAnsi="Times New Roman" w:cs="Times New Roman"/>
          <w:noProof/>
          <w:sz w:val="24"/>
          <w:szCs w:val="24"/>
        </w:rPr>
        <w:t>nce provisions for entrepreneurs enabling them to have a discharge in no more than three years after insolvency. In particular the Recommendation focused on:</w:t>
      </w:r>
    </w:p>
    <w:p w:rsidR="00B32D69" w:rsidRDefault="00FB661A">
      <w:pPr>
        <w:autoSpaceDE w:val="0"/>
        <w:autoSpaceDN w:val="0"/>
        <w:adjustRightInd w:val="0"/>
        <w:spacing w:after="240" w:line="240" w:lineRule="auto"/>
        <w:ind w:left="567" w:hanging="567"/>
        <w:jc w:val="both"/>
        <w:rPr>
          <w:rFonts w:ascii="Times New Roman" w:hAnsi="Times New Roman"/>
          <w:noProof/>
          <w:sz w:val="24"/>
          <w:szCs w:val="24"/>
        </w:rPr>
      </w:pPr>
      <w:r>
        <w:rPr>
          <w:rFonts w:ascii="Times New Roman" w:hAnsi="Times New Roman"/>
          <w:noProof/>
          <w:sz w:val="24"/>
          <w:szCs w:val="24"/>
        </w:rPr>
        <w:t>(i)</w:t>
      </w:r>
      <w:r>
        <w:rPr>
          <w:rFonts w:ascii="Times New Roman" w:hAnsi="Times New Roman"/>
          <w:noProof/>
          <w:sz w:val="24"/>
          <w:szCs w:val="24"/>
        </w:rPr>
        <w:tab/>
        <w:t>availability of a preventive restructuring framework,</w:t>
      </w:r>
    </w:p>
    <w:p w:rsidR="00B32D69" w:rsidRDefault="00FB661A">
      <w:pPr>
        <w:autoSpaceDE w:val="0"/>
        <w:autoSpaceDN w:val="0"/>
        <w:adjustRightInd w:val="0"/>
        <w:spacing w:after="240" w:line="240" w:lineRule="auto"/>
        <w:ind w:left="567" w:hanging="567"/>
        <w:jc w:val="both"/>
        <w:rPr>
          <w:rFonts w:ascii="Times New Roman" w:hAnsi="Times New Roman"/>
          <w:noProof/>
          <w:sz w:val="24"/>
          <w:szCs w:val="24"/>
        </w:rPr>
      </w:pPr>
      <w:r>
        <w:rPr>
          <w:rFonts w:ascii="Times New Roman" w:hAnsi="Times New Roman"/>
          <w:noProof/>
          <w:sz w:val="24"/>
          <w:szCs w:val="24"/>
        </w:rPr>
        <w:t>(ii)</w:t>
      </w:r>
      <w:r>
        <w:rPr>
          <w:rFonts w:ascii="Times New Roman" w:hAnsi="Times New Roman"/>
          <w:noProof/>
          <w:sz w:val="24"/>
          <w:szCs w:val="24"/>
        </w:rPr>
        <w:tab/>
        <w:t xml:space="preserve">facilitating negotiations of </w:t>
      </w:r>
      <w:r>
        <w:rPr>
          <w:rFonts w:ascii="Times New Roman" w:hAnsi="Times New Roman"/>
          <w:noProof/>
          <w:sz w:val="24"/>
          <w:szCs w:val="24"/>
        </w:rPr>
        <w:t>restructuring plans, including appointment of a mediator or a supervisor, stay of individual enforcement actions and suspension of insolvency proceedings,</w:t>
      </w:r>
    </w:p>
    <w:p w:rsidR="00B32D69" w:rsidRDefault="00FB661A">
      <w:pPr>
        <w:autoSpaceDE w:val="0"/>
        <w:autoSpaceDN w:val="0"/>
        <w:adjustRightInd w:val="0"/>
        <w:spacing w:after="240" w:line="240" w:lineRule="auto"/>
        <w:ind w:left="567" w:hanging="567"/>
        <w:jc w:val="both"/>
        <w:rPr>
          <w:rFonts w:ascii="Times New Roman" w:hAnsi="Times New Roman"/>
          <w:noProof/>
          <w:sz w:val="24"/>
          <w:szCs w:val="24"/>
        </w:rPr>
      </w:pPr>
      <w:r>
        <w:rPr>
          <w:rFonts w:ascii="Times New Roman" w:hAnsi="Times New Roman"/>
          <w:noProof/>
          <w:sz w:val="24"/>
          <w:szCs w:val="24"/>
        </w:rPr>
        <w:t>(iii)</w:t>
      </w:r>
      <w:r>
        <w:rPr>
          <w:rFonts w:ascii="Times New Roman" w:hAnsi="Times New Roman"/>
          <w:noProof/>
          <w:sz w:val="24"/>
          <w:szCs w:val="24"/>
        </w:rPr>
        <w:tab/>
        <w:t>restructuring plans, including contents of restructuring plans, adoption of restructuring plans</w:t>
      </w:r>
      <w:r>
        <w:rPr>
          <w:rFonts w:ascii="Times New Roman" w:hAnsi="Times New Roman"/>
          <w:noProof/>
          <w:sz w:val="24"/>
          <w:szCs w:val="24"/>
        </w:rPr>
        <w:t xml:space="preserve"> by creditors, court confirmation of the restructuring plan, rights of creditors, and effects of a restructuring plan,</w:t>
      </w:r>
    </w:p>
    <w:p w:rsidR="00B32D69" w:rsidRDefault="00FB661A">
      <w:pPr>
        <w:autoSpaceDE w:val="0"/>
        <w:autoSpaceDN w:val="0"/>
        <w:adjustRightInd w:val="0"/>
        <w:spacing w:after="240" w:line="240" w:lineRule="auto"/>
        <w:ind w:left="567" w:hanging="567"/>
        <w:jc w:val="both"/>
        <w:rPr>
          <w:rFonts w:ascii="Times New Roman" w:hAnsi="Times New Roman"/>
          <w:noProof/>
          <w:sz w:val="24"/>
          <w:szCs w:val="24"/>
        </w:rPr>
      </w:pPr>
      <w:r>
        <w:rPr>
          <w:rFonts w:ascii="Times New Roman" w:hAnsi="Times New Roman"/>
          <w:noProof/>
          <w:sz w:val="24"/>
          <w:szCs w:val="24"/>
        </w:rPr>
        <w:t>(iv)</w:t>
      </w:r>
      <w:r>
        <w:rPr>
          <w:rFonts w:ascii="Times New Roman" w:hAnsi="Times New Roman"/>
          <w:noProof/>
          <w:sz w:val="24"/>
          <w:szCs w:val="24"/>
        </w:rPr>
        <w:tab/>
        <w:t>protection for new financing, and</w:t>
      </w:r>
    </w:p>
    <w:p w:rsidR="00B32D69" w:rsidRDefault="00FB661A">
      <w:pPr>
        <w:autoSpaceDE w:val="0"/>
        <w:autoSpaceDN w:val="0"/>
        <w:adjustRightInd w:val="0"/>
        <w:spacing w:after="240" w:line="240" w:lineRule="auto"/>
        <w:ind w:left="567" w:hanging="567"/>
        <w:jc w:val="both"/>
        <w:rPr>
          <w:rFonts w:ascii="Times New Roman" w:hAnsi="Times New Roman"/>
          <w:noProof/>
          <w:sz w:val="24"/>
          <w:szCs w:val="24"/>
        </w:rPr>
      </w:pPr>
      <w:r>
        <w:rPr>
          <w:rFonts w:ascii="Times New Roman" w:hAnsi="Times New Roman"/>
          <w:noProof/>
          <w:sz w:val="24"/>
          <w:szCs w:val="24"/>
        </w:rPr>
        <w:t>(v)</w:t>
      </w:r>
      <w:r>
        <w:rPr>
          <w:rFonts w:ascii="Times New Roman" w:hAnsi="Times New Roman"/>
          <w:noProof/>
          <w:sz w:val="24"/>
          <w:szCs w:val="24"/>
        </w:rPr>
        <w:tab/>
        <w:t>second chance for entrepreneurs, including discharge periods.</w:t>
      </w:r>
    </w:p>
    <w:p w:rsidR="00B32D69" w:rsidRDefault="00FB661A">
      <w:pPr>
        <w:spacing w:after="240" w:line="240" w:lineRule="auto"/>
        <w:jc w:val="both"/>
        <w:rPr>
          <w:rFonts w:ascii="Times New Roman" w:hAnsi="Times New Roman"/>
          <w:noProof/>
          <w:sz w:val="24"/>
          <w:szCs w:val="24"/>
        </w:rPr>
      </w:pPr>
      <w:r>
        <w:rPr>
          <w:rFonts w:ascii="Times New Roman" w:hAnsi="Times New Roman"/>
          <w:noProof/>
          <w:sz w:val="24"/>
          <w:szCs w:val="24"/>
        </w:rPr>
        <w:t>Following its adoption,</w:t>
      </w:r>
      <w:r>
        <w:rPr>
          <w:rFonts w:ascii="Times New Roman" w:hAnsi="Times New Roman"/>
          <w:b/>
          <w:noProof/>
          <w:sz w:val="24"/>
          <w:szCs w:val="24"/>
        </w:rPr>
        <w:t xml:space="preserve"> </w:t>
      </w:r>
      <w:r>
        <w:rPr>
          <w:rFonts w:ascii="Times New Roman" w:hAnsi="Times New Roman"/>
          <w:noProof/>
          <w:sz w:val="24"/>
          <w:szCs w:val="24"/>
        </w:rPr>
        <w:t>an evalu</w:t>
      </w:r>
      <w:r>
        <w:rPr>
          <w:rFonts w:ascii="Times New Roman" w:hAnsi="Times New Roman"/>
          <w:noProof/>
          <w:sz w:val="24"/>
          <w:szCs w:val="24"/>
        </w:rPr>
        <w:t>ation of its implementation was conducted</w:t>
      </w:r>
      <w:r>
        <w:rPr>
          <w:rFonts w:ascii="Times New Roman" w:hAnsi="Times New Roman" w:cs="Times New Roman"/>
          <w:noProof/>
          <w:sz w:val="24"/>
          <w:szCs w:val="24"/>
          <w:vertAlign w:val="superscript"/>
        </w:rPr>
        <w:footnoteReference w:id="12"/>
      </w:r>
      <w:r>
        <w:rPr>
          <w:rFonts w:ascii="Times New Roman" w:hAnsi="Times New Roman"/>
          <w:noProof/>
          <w:sz w:val="24"/>
          <w:szCs w:val="24"/>
        </w:rPr>
        <w:t xml:space="preserve"> and two data collection rounds were carried out after one year and after two years, respectively. Already on the occasion of these two reviews which were carried out in 2015 and 2016</w:t>
      </w:r>
      <w:r>
        <w:rPr>
          <w:rStyle w:val="FootnoteReference"/>
          <w:rFonts w:ascii="Times New Roman" w:hAnsi="Times New Roman"/>
          <w:noProof/>
          <w:sz w:val="24"/>
          <w:szCs w:val="24"/>
        </w:rPr>
        <w:footnoteReference w:id="13"/>
      </w:r>
      <w:r>
        <w:rPr>
          <w:rFonts w:ascii="Times New Roman" w:hAnsi="Times New Roman"/>
          <w:noProof/>
          <w:sz w:val="24"/>
          <w:szCs w:val="24"/>
        </w:rPr>
        <w:t>, it was apparent that most Me</w:t>
      </w:r>
      <w:r>
        <w:rPr>
          <w:rFonts w:ascii="Times New Roman" w:hAnsi="Times New Roman"/>
          <w:noProof/>
          <w:sz w:val="24"/>
          <w:szCs w:val="24"/>
        </w:rPr>
        <w:t xml:space="preserve">mber States which were already lagging behind in this area were not making sufficient progress. </w:t>
      </w:r>
    </w:p>
    <w:p w:rsidR="00B32D69" w:rsidRDefault="00FB661A">
      <w:pPr>
        <w:autoSpaceDE w:val="0"/>
        <w:autoSpaceDN w:val="0"/>
        <w:adjustRightInd w:val="0"/>
        <w:spacing w:after="240" w:line="240" w:lineRule="auto"/>
        <w:jc w:val="both"/>
        <w:rPr>
          <w:rFonts w:ascii="Times New Roman" w:hAnsi="Times New Roman"/>
          <w:noProof/>
          <w:sz w:val="24"/>
          <w:szCs w:val="24"/>
        </w:rPr>
      </w:pPr>
      <w:r>
        <w:rPr>
          <w:rFonts w:ascii="Times New Roman" w:hAnsi="Times New Roman"/>
          <w:noProof/>
          <w:sz w:val="24"/>
          <w:szCs w:val="24"/>
        </w:rPr>
        <w:t>These reviews also revealed that while the Recommendation has provided useful focus for those Member States undertaking reforms in the area of insolvency, it h</w:t>
      </w:r>
      <w:r>
        <w:rPr>
          <w:rFonts w:ascii="Times New Roman" w:hAnsi="Times New Roman"/>
          <w:noProof/>
          <w:sz w:val="24"/>
          <w:szCs w:val="24"/>
        </w:rPr>
        <w:t>as not led to the desired impact in terms of consistent changes across all Member States, facilitating the rescue of businesses in financial difficulty and in giving a second chance to entrepreneurs. This was due to its partial implementation in a signific</w:t>
      </w:r>
      <w:r>
        <w:rPr>
          <w:rFonts w:ascii="Times New Roman" w:hAnsi="Times New Roman"/>
          <w:noProof/>
          <w:sz w:val="24"/>
          <w:szCs w:val="24"/>
        </w:rPr>
        <w:t xml:space="preserve">ant number of Member States, including those having launched certain reforms. </w:t>
      </w:r>
    </w:p>
    <w:p w:rsidR="00B32D69" w:rsidRDefault="00FB661A">
      <w:pPr>
        <w:autoSpaceDE w:val="0"/>
        <w:autoSpaceDN w:val="0"/>
        <w:adjustRightInd w:val="0"/>
        <w:spacing w:after="240" w:line="240" w:lineRule="auto"/>
        <w:jc w:val="both"/>
        <w:rPr>
          <w:rFonts w:ascii="Times New Roman" w:hAnsi="Times New Roman"/>
          <w:noProof/>
          <w:sz w:val="24"/>
          <w:szCs w:val="24"/>
        </w:rPr>
      </w:pPr>
      <w:r>
        <w:rPr>
          <w:rFonts w:ascii="Times New Roman" w:hAnsi="Times New Roman"/>
          <w:noProof/>
          <w:sz w:val="24"/>
          <w:szCs w:val="24"/>
        </w:rPr>
        <w:t>By way of example, it can be outlined that on restructuring, there are still several Member States where it is not possible to restructure a business before it is insolvent (DK,</w:t>
      </w:r>
      <w:r>
        <w:rPr>
          <w:rFonts w:ascii="Times New Roman" w:hAnsi="Times New Roman"/>
          <w:noProof/>
          <w:sz w:val="24"/>
          <w:szCs w:val="24"/>
        </w:rPr>
        <w:t xml:space="preserve"> CZ, BG, HU, SK, LT). CY, SI and PL introduced new preventive restructuring procedures but they differ in certain points form the Recommendation (in SI commercial creditors for example cannot participate in preventive restructuring which is limited to fina</w:t>
      </w:r>
      <w:r>
        <w:rPr>
          <w:rFonts w:ascii="Times New Roman" w:hAnsi="Times New Roman"/>
          <w:noProof/>
          <w:sz w:val="24"/>
          <w:szCs w:val="24"/>
        </w:rPr>
        <w:t>ncial creditors); while EL, ES, SL, RO and IT brought some limited improvements to their existing procedures</w:t>
      </w:r>
      <w:r>
        <w:rPr>
          <w:rStyle w:val="FootnoteReference"/>
          <w:rFonts w:ascii="Times New Roman" w:hAnsi="Times New Roman"/>
          <w:noProof/>
          <w:sz w:val="24"/>
          <w:szCs w:val="24"/>
        </w:rPr>
        <w:footnoteReference w:id="14"/>
      </w:r>
      <w:r>
        <w:rPr>
          <w:rFonts w:ascii="Times New Roman" w:hAnsi="Times New Roman"/>
          <w:noProof/>
          <w:sz w:val="24"/>
          <w:szCs w:val="24"/>
        </w:rPr>
        <w:t>. On second chance, since the adoption of the Recommendation, several Member States (e.g. ES, RO, HU, HR) have introduced for the first time a debt</w:t>
      </w:r>
      <w:r>
        <w:rPr>
          <w:rFonts w:ascii="Times New Roman" w:hAnsi="Times New Roman"/>
          <w:noProof/>
          <w:sz w:val="24"/>
          <w:szCs w:val="24"/>
        </w:rPr>
        <w:t xml:space="preserve"> discharge regime for natural persons. In EL, discharge for entrepreneurs was reduced to 3 years. However, in most Member States where reforms were recently introduced, the duration of the discharge period and the conditions for having access to discharge </w:t>
      </w:r>
      <w:r>
        <w:rPr>
          <w:rFonts w:ascii="Times New Roman" w:hAnsi="Times New Roman"/>
          <w:noProof/>
          <w:sz w:val="24"/>
          <w:szCs w:val="24"/>
        </w:rPr>
        <w:t>do not comply with the Recommendation: in general discharge periods are five year or more (ES, RO, HU) and sometimes there are impossible repayment obligations attached (in HU, 50% of debt needs to be repaid to benefit from discharge). In Romania, only con</w:t>
      </w:r>
      <w:r>
        <w:rPr>
          <w:rFonts w:ascii="Times New Roman" w:hAnsi="Times New Roman"/>
          <w:noProof/>
          <w:sz w:val="24"/>
          <w:szCs w:val="24"/>
        </w:rPr>
        <w:t>sumers benefit from the discharge regime, but not the entrepreneurs. Other differences in the implementation of the Recommendation are described in more detail below in section 2.3.2. on problem drivers. Such differences in Member States frameworks transla</w:t>
      </w:r>
      <w:r>
        <w:rPr>
          <w:rFonts w:ascii="Times New Roman" w:hAnsi="Times New Roman"/>
          <w:noProof/>
          <w:sz w:val="24"/>
          <w:szCs w:val="24"/>
        </w:rPr>
        <w:t xml:space="preserve">te into continuing legal uncertainty, additional costs for investors in assessing their risks, less developed capital markets and persisting barriers to the efficient restructuring of viable companies in the EU, including cross-border enterprise groups. </w:t>
      </w:r>
    </w:p>
    <w:p w:rsidR="00B32D69" w:rsidRDefault="00FB661A">
      <w:pPr>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noProof/>
          <w:sz w:val="24"/>
          <w:szCs w:val="24"/>
        </w:rPr>
        <w:t>A</w:t>
      </w:r>
      <w:r>
        <w:rPr>
          <w:rFonts w:ascii="Times New Roman" w:hAnsi="Times New Roman"/>
          <w:noProof/>
          <w:sz w:val="24"/>
          <w:szCs w:val="24"/>
        </w:rPr>
        <w:t xml:space="preserve"> comparative legal study on differences between insolvency and restructuring regimes in Member States concluded that "there appears to be the incomplete and inconsistent implementation of the Recommendation."</w:t>
      </w:r>
      <w:r>
        <w:rPr>
          <w:rStyle w:val="FootnoteReference"/>
          <w:rFonts w:ascii="Times New Roman" w:hAnsi="Times New Roman"/>
          <w:noProof/>
          <w:sz w:val="24"/>
          <w:szCs w:val="24"/>
        </w:rPr>
        <w:footnoteReference w:id="15"/>
      </w:r>
      <w:r>
        <w:rPr>
          <w:rFonts w:ascii="Times New Roman" w:hAnsi="Times New Roman"/>
          <w:noProof/>
          <w:sz w:val="24"/>
          <w:szCs w:val="24"/>
        </w:rPr>
        <w:t xml:space="preserve"> </w:t>
      </w:r>
      <w:r>
        <w:rPr>
          <w:rFonts w:ascii="Times New Roman" w:hAnsi="Times New Roman" w:cs="Times New Roman"/>
          <w:noProof/>
          <w:sz w:val="24"/>
          <w:szCs w:val="24"/>
        </w:rPr>
        <w:t>Following the adoption of the Insolvency Regul</w:t>
      </w:r>
      <w:r>
        <w:rPr>
          <w:rFonts w:ascii="Times New Roman" w:hAnsi="Times New Roman" w:cs="Times New Roman"/>
          <w:noProof/>
          <w:sz w:val="24"/>
          <w:szCs w:val="24"/>
        </w:rPr>
        <w:t>ation, the Commission reflected on ways forward to deal with the disparities between substantive insolvency laws</w:t>
      </w:r>
      <w:r>
        <w:rPr>
          <w:rFonts w:ascii="Times New Roman" w:hAnsi="Times New Roman" w:cs="Times New Roman"/>
          <w:noProof/>
          <w:sz w:val="24"/>
          <w:szCs w:val="24"/>
          <w:vertAlign w:val="superscript"/>
        </w:rPr>
        <w:footnoteReference w:id="16"/>
      </w:r>
      <w:r>
        <w:rPr>
          <w:rFonts w:ascii="Times New Roman" w:hAnsi="Times New Roman" w:cs="Times New Roman"/>
          <w:noProof/>
          <w:sz w:val="24"/>
          <w:szCs w:val="24"/>
        </w:rPr>
        <w:t>. Evidence from the public consultation on the Green Paper on the Capital Markets Union</w:t>
      </w:r>
      <w:r>
        <w:rPr>
          <w:rFonts w:ascii="Times New Roman" w:hAnsi="Times New Roman" w:cs="Times New Roman"/>
          <w:noProof/>
          <w:sz w:val="24"/>
          <w:szCs w:val="24"/>
          <w:vertAlign w:val="superscript"/>
        </w:rPr>
        <w:footnoteReference w:id="17"/>
      </w:r>
      <w:r>
        <w:rPr>
          <w:rFonts w:ascii="Times New Roman" w:hAnsi="Times New Roman" w:cs="Times New Roman"/>
          <w:noProof/>
          <w:sz w:val="24"/>
          <w:szCs w:val="24"/>
        </w:rPr>
        <w:t>, which included explicit questions on insolvency frame</w:t>
      </w:r>
      <w:r>
        <w:rPr>
          <w:rFonts w:ascii="Times New Roman" w:hAnsi="Times New Roman" w:cs="Times New Roman"/>
          <w:noProof/>
          <w:sz w:val="24"/>
          <w:szCs w:val="24"/>
        </w:rPr>
        <w:t>works, as well as the Doing Business data of the World Bank</w:t>
      </w:r>
      <w:r>
        <w:rPr>
          <w:rFonts w:ascii="Times New Roman" w:hAnsi="Times New Roman" w:cs="Times New Roman"/>
          <w:noProof/>
          <w:sz w:val="24"/>
          <w:szCs w:val="24"/>
          <w:vertAlign w:val="superscript"/>
        </w:rPr>
        <w:footnoteReference w:id="18"/>
      </w:r>
      <w:r>
        <w:rPr>
          <w:rFonts w:ascii="Times New Roman" w:hAnsi="Times New Roman" w:cs="Times New Roman"/>
          <w:noProof/>
          <w:sz w:val="24"/>
          <w:szCs w:val="24"/>
        </w:rPr>
        <w:t xml:space="preserve"> on the global practices for resolving insolvency confirmed the critical importance of restructuring processes as workable alternatives to liquidation processes for viable businesses. In parallel,</w:t>
      </w:r>
      <w:r>
        <w:rPr>
          <w:rFonts w:ascii="Times New Roman" w:hAnsi="Times New Roman" w:cs="Times New Roman"/>
          <w:noProof/>
          <w:sz w:val="24"/>
          <w:szCs w:val="24"/>
        </w:rPr>
        <w:t xml:space="preserve"> studies and reports on entrepreneurial activities</w:t>
      </w:r>
      <w:r>
        <w:rPr>
          <w:rFonts w:ascii="Times New Roman" w:hAnsi="Times New Roman" w:cs="Times New Roman"/>
          <w:noProof/>
          <w:sz w:val="24"/>
          <w:szCs w:val="24"/>
          <w:vertAlign w:val="superscript"/>
        </w:rPr>
        <w:footnoteReference w:id="19"/>
      </w:r>
      <w:r>
        <w:rPr>
          <w:rFonts w:ascii="Times New Roman" w:hAnsi="Times New Roman" w:cs="Times New Roman"/>
          <w:noProof/>
          <w:sz w:val="24"/>
          <w:szCs w:val="24"/>
        </w:rPr>
        <w:t xml:space="preserve"> concluded that entrepreneurs should not be stigmatised when honest business endeavours fail. On the one hand, individuals should not be deterred from entrepreneurial activity, resuming consumption or taki</w:t>
      </w:r>
      <w:r>
        <w:rPr>
          <w:rFonts w:ascii="Times New Roman" w:hAnsi="Times New Roman" w:cs="Times New Roman"/>
          <w:noProof/>
          <w:sz w:val="24"/>
          <w:szCs w:val="24"/>
        </w:rPr>
        <w:t>ng up gainful employment; on the other hand, any rules providing for debt discharge should prevent abuse and incentivise careful debt management. In light of these assessments, it was apparent that  non-binding measures at the European level would not be s</w:t>
      </w:r>
      <w:r>
        <w:rPr>
          <w:rFonts w:ascii="Times New Roman" w:hAnsi="Times New Roman" w:cs="Times New Roman"/>
          <w:noProof/>
          <w:sz w:val="24"/>
          <w:szCs w:val="24"/>
        </w:rPr>
        <w:t xml:space="preserve">ufficient to bring about these changes. </w:t>
      </w:r>
    </w:p>
    <w:p w:rsidR="00B32D69" w:rsidRDefault="00FB661A">
      <w:pPr>
        <w:spacing w:after="240"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lang w:eastAsia="en-GB"/>
        </w:rPr>
        <w:t>The</w:t>
      </w:r>
      <w:r>
        <w:rPr>
          <w:rFonts w:ascii="Arial" w:eastAsia="Times New Roman" w:hAnsi="Arial" w:cs="Arial"/>
          <w:noProof/>
          <w:sz w:val="20"/>
          <w:szCs w:val="20"/>
          <w:lang w:eastAsia="en-GB"/>
        </w:rPr>
        <w:t xml:space="preserve"> </w:t>
      </w:r>
      <w:r>
        <w:rPr>
          <w:rFonts w:ascii="Times New Roman" w:hAnsi="Times New Roman" w:cs="Times New Roman"/>
          <w:noProof/>
          <w:sz w:val="24"/>
          <w:szCs w:val="24"/>
        </w:rPr>
        <w:t>"Five Presidents' report" of 22 June 2015 on "Completing Europe's Economic and Monetary Union" listed the area of insolvency law among the most important bottlenecks preventing the integration of capital markets</w:t>
      </w:r>
      <w:r>
        <w:rPr>
          <w:rFonts w:ascii="Times New Roman" w:hAnsi="Times New Roman" w:cs="Times New Roman"/>
          <w:noProof/>
          <w:sz w:val="24"/>
          <w:szCs w:val="24"/>
        </w:rPr>
        <w:t xml:space="preserve"> in the euro area and beyond</w:t>
      </w:r>
      <w:r>
        <w:rPr>
          <w:rFonts w:ascii="Times New Roman" w:hAnsi="Times New Roman"/>
          <w:noProof/>
          <w:sz w:val="24"/>
          <w:szCs w:val="24"/>
          <w:vertAlign w:val="superscript"/>
        </w:rPr>
        <w:footnoteReference w:id="20"/>
      </w:r>
      <w:r>
        <w:rPr>
          <w:rFonts w:ascii="Times New Roman" w:hAnsi="Times New Roman" w:cs="Times New Roman"/>
          <w:noProof/>
          <w:sz w:val="24"/>
          <w:szCs w:val="24"/>
        </w:rPr>
        <w:t>. Convergence of insolvency and restructuring proceedings would facilitate greater legal certainty for cross-border investors and encourage the timely restructuring of viable companies in financial distress. The inefficiency an</w:t>
      </w:r>
      <w:r>
        <w:rPr>
          <w:rFonts w:ascii="Times New Roman" w:hAnsi="Times New Roman" w:cs="Times New Roman"/>
          <w:noProof/>
          <w:sz w:val="24"/>
          <w:szCs w:val="24"/>
        </w:rPr>
        <w:t>d divergence of insolvency laws make it both harder for investors to assess credit risk in general and particularly as regards cross-border investments. More cross-border risk-sharing, deeper and more liquid capital markets and diversified sources of fundi</w:t>
      </w:r>
      <w:r>
        <w:rPr>
          <w:rFonts w:ascii="Times New Roman" w:hAnsi="Times New Roman" w:cs="Times New Roman"/>
          <w:noProof/>
          <w:sz w:val="24"/>
          <w:szCs w:val="24"/>
        </w:rPr>
        <w:t>ng for EU businesses will deepen financial integration, lower costs and increase the EU's competitiveness. This in turn will contribute to job creation and sustainable growth.</w:t>
      </w:r>
    </w:p>
    <w:p w:rsidR="00B32D69" w:rsidRDefault="00FB661A">
      <w:pPr>
        <w:spacing w:after="240" w:line="240" w:lineRule="auto"/>
        <w:jc w:val="both"/>
        <w:rPr>
          <w:rFonts w:ascii="Times New Roman" w:hAnsi="Times New Roman"/>
          <w:noProof/>
          <w:sz w:val="24"/>
          <w:szCs w:val="24"/>
        </w:rPr>
      </w:pPr>
      <w:r>
        <w:rPr>
          <w:rFonts w:ascii="Times New Roman" w:hAnsi="Times New Roman" w:cs="Times New Roman"/>
          <w:noProof/>
          <w:sz w:val="24"/>
          <w:szCs w:val="24"/>
        </w:rPr>
        <w:t>The 2015 Capital Markets Union Action Plan</w:t>
      </w:r>
      <w:r>
        <w:rPr>
          <w:rFonts w:ascii="Times New Roman" w:hAnsi="Times New Roman" w:cs="Times New Roman"/>
          <w:noProof/>
          <w:sz w:val="24"/>
          <w:szCs w:val="24"/>
          <w:vertAlign w:val="superscript"/>
        </w:rPr>
        <w:footnoteReference w:id="21"/>
      </w:r>
      <w:r>
        <w:rPr>
          <w:rFonts w:ascii="Times New Roman" w:hAnsi="Times New Roman" w:cs="Times New Roman"/>
          <w:noProof/>
          <w:sz w:val="24"/>
          <w:szCs w:val="24"/>
        </w:rPr>
        <w:t xml:space="preserve"> therefore announced a legislative in</w:t>
      </w:r>
      <w:r>
        <w:rPr>
          <w:rFonts w:ascii="Times New Roman" w:hAnsi="Times New Roman" w:cs="Times New Roman"/>
          <w:noProof/>
          <w:sz w:val="24"/>
          <w:szCs w:val="24"/>
        </w:rPr>
        <w:t xml:space="preserve">itiative on business insolvency, including early restructuring and second chance. This initiative is intended to address the most important barriers to the free flow of capital and build on national regimes that work well. </w:t>
      </w:r>
      <w:r>
        <w:rPr>
          <w:rFonts w:ascii="Times New Roman" w:hAnsi="Times New Roman"/>
          <w:noProof/>
          <w:sz w:val="24"/>
          <w:szCs w:val="24"/>
        </w:rPr>
        <w:t>In the public consultation of the</w:t>
      </w:r>
      <w:r>
        <w:rPr>
          <w:rFonts w:ascii="Times New Roman" w:hAnsi="Times New Roman"/>
          <w:noProof/>
          <w:sz w:val="24"/>
          <w:szCs w:val="24"/>
        </w:rPr>
        <w:t xml:space="preserve"> Green Paper on the Capital Markets Union Action Plan which took place in summer 2015 the majority of stakeholders highlighted the need of further action going beyond the 2014 Recommendation on restructuring and second chance regarding on restructuring of </w:t>
      </w:r>
      <w:r>
        <w:rPr>
          <w:rFonts w:ascii="Times New Roman" w:hAnsi="Times New Roman"/>
          <w:noProof/>
          <w:sz w:val="24"/>
          <w:szCs w:val="24"/>
        </w:rPr>
        <w:t>companies, stay on individual creditor claims and definition of a common discharge period, efficiency and effectiveness of insolvency practitioners and the courts</w:t>
      </w:r>
      <w:r>
        <w:rPr>
          <w:rStyle w:val="FootnoteReference"/>
          <w:rFonts w:ascii="Times New Roman" w:hAnsi="Times New Roman"/>
          <w:noProof/>
          <w:sz w:val="24"/>
          <w:szCs w:val="24"/>
        </w:rPr>
        <w:footnoteReference w:id="22"/>
      </w:r>
      <w:r>
        <w:rPr>
          <w:rFonts w:ascii="Times New Roman" w:hAnsi="Times New Roman"/>
          <w:noProof/>
          <w:sz w:val="24"/>
          <w:szCs w:val="24"/>
        </w:rPr>
        <w:t xml:space="preserve">. </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At the same time, the Single Market Strategy stated that the Commission would support hone</w:t>
      </w:r>
      <w:r>
        <w:rPr>
          <w:rFonts w:ascii="Times New Roman" w:hAnsi="Times New Roman" w:cs="Times New Roman"/>
          <w:noProof/>
          <w:sz w:val="24"/>
          <w:szCs w:val="24"/>
        </w:rPr>
        <w:t>st entrepreneurs and propose legislation to ensure that Member States provide a regulatory environment that is able to accommodate failure without dissuading entrepreneurs from trying new ideas again</w:t>
      </w:r>
      <w:r>
        <w:rPr>
          <w:rFonts w:ascii="Times New Roman" w:hAnsi="Times New Roman" w:cs="Times New Roman"/>
          <w:noProof/>
          <w:sz w:val="24"/>
          <w:szCs w:val="24"/>
          <w:vertAlign w:val="superscript"/>
        </w:rPr>
        <w:footnoteReference w:id="23"/>
      </w:r>
      <w:r>
        <w:rPr>
          <w:rFonts w:ascii="Times New Roman" w:hAnsi="Times New Roman" w:cs="Times New Roman"/>
          <w:noProof/>
          <w:sz w:val="24"/>
          <w:szCs w:val="24"/>
        </w:rPr>
        <w:t xml:space="preserve">. </w:t>
      </w: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More specifically as regards the banking sector, the </w:t>
      </w:r>
      <w:r>
        <w:rPr>
          <w:rFonts w:ascii="Times New Roman" w:hAnsi="Times New Roman" w:cs="Times New Roman"/>
          <w:noProof/>
          <w:sz w:val="24"/>
          <w:szCs w:val="24"/>
        </w:rPr>
        <w:t>Communication Towards the Completion of Banking Union</w:t>
      </w:r>
      <w:r>
        <w:rPr>
          <w:rFonts w:ascii="Times New Roman" w:hAnsi="Times New Roman" w:cs="Times New Roman"/>
          <w:noProof/>
          <w:sz w:val="24"/>
          <w:szCs w:val="24"/>
          <w:vertAlign w:val="superscript"/>
        </w:rPr>
        <w:footnoteReference w:id="24"/>
      </w:r>
      <w:r>
        <w:rPr>
          <w:rFonts w:ascii="Times New Roman" w:hAnsi="Times New Roman" w:cs="Times New Roman"/>
          <w:noProof/>
          <w:sz w:val="24"/>
          <w:szCs w:val="24"/>
        </w:rPr>
        <w:t xml:space="preserve"> published in November 2015 confirmed that (i) there is a need for greater convergence in insolvency law and restructuring proceedings across Member States, (ii) the inefficiency and divergence of insol</w:t>
      </w:r>
      <w:r>
        <w:rPr>
          <w:rFonts w:ascii="Times New Roman" w:hAnsi="Times New Roman" w:cs="Times New Roman"/>
          <w:noProof/>
          <w:sz w:val="24"/>
          <w:szCs w:val="24"/>
        </w:rPr>
        <w:t>vency laws make it harder to assess and manage credit risk, and that (iii) enhancing legal certainty and encouraging the timely restructuring of borrowers in financial distress is particularly relevant for the success of strategies to address the problem o</w:t>
      </w:r>
      <w:r>
        <w:rPr>
          <w:rFonts w:ascii="Times New Roman" w:hAnsi="Times New Roman" w:cs="Times New Roman"/>
          <w:noProof/>
          <w:sz w:val="24"/>
          <w:szCs w:val="24"/>
        </w:rPr>
        <w:t xml:space="preserve">f non-performing loans in some Member States. </w:t>
      </w:r>
    </w:p>
    <w:p w:rsidR="00B32D69" w:rsidRDefault="00B32D69">
      <w:pPr>
        <w:spacing w:after="0" w:line="240" w:lineRule="auto"/>
        <w:jc w:val="both"/>
        <w:rPr>
          <w:rFonts w:ascii="Times New Roman" w:hAnsi="Times New Roman" w:cs="Times New Roman"/>
          <w:noProof/>
          <w:sz w:val="24"/>
          <w:szCs w:val="24"/>
        </w:rPr>
      </w:pP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ECOFIN Council Conclusions of July 2016 on a roadmap to complete the Banking Union underlined the importance of the work carried out by the Commission to propose a legislative proposal for minimum harmoni</w:t>
      </w:r>
      <w:r>
        <w:rPr>
          <w:rFonts w:ascii="Times New Roman" w:hAnsi="Times New Roman" w:cs="Times New Roman"/>
          <w:noProof/>
          <w:sz w:val="24"/>
          <w:szCs w:val="24"/>
        </w:rPr>
        <w:t>sation in the field of insolvency law in the context of the Capital Markets Union (CMU), noting that this may also support efforts to reduce future levels of non-performing loans.</w:t>
      </w:r>
      <w:r>
        <w:rPr>
          <w:rStyle w:val="FootnoteReference"/>
          <w:rFonts w:ascii="Times New Roman" w:hAnsi="Times New Roman"/>
          <w:noProof/>
          <w:sz w:val="24"/>
          <w:szCs w:val="24"/>
        </w:rPr>
        <w:footnoteReference w:id="25"/>
      </w:r>
    </w:p>
    <w:p w:rsidR="00B32D69" w:rsidRDefault="00FB661A">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More recently, it its Communication on Capital Markets Union - Accelerating</w:t>
      </w:r>
      <w:r>
        <w:rPr>
          <w:rFonts w:ascii="Times New Roman" w:hAnsi="Times New Roman" w:cs="Times New Roman"/>
          <w:noProof/>
          <w:sz w:val="24"/>
          <w:szCs w:val="24"/>
        </w:rPr>
        <w:t xml:space="preserve"> Reform the Commission  reiterated that inefficiencies and differences in national insolvency frameworks generate legal uncertainty, obstacles to recovery of value by creditors, and barriers to the efficient restructuring of viable companies in the EU, inc</w:t>
      </w:r>
      <w:r>
        <w:rPr>
          <w:rFonts w:ascii="Times New Roman" w:hAnsi="Times New Roman" w:cs="Times New Roman"/>
          <w:noProof/>
          <w:sz w:val="24"/>
          <w:szCs w:val="24"/>
        </w:rPr>
        <w:t>luding for cross-border groups.</w:t>
      </w:r>
      <w:r>
        <w:rPr>
          <w:rStyle w:val="FootnoteReference"/>
          <w:rFonts w:ascii="Times New Roman" w:hAnsi="Times New Roman"/>
          <w:noProof/>
          <w:sz w:val="24"/>
          <w:szCs w:val="24"/>
        </w:rPr>
        <w:footnoteReference w:id="26"/>
      </w:r>
    </w:p>
    <w:p w:rsidR="00B32D69" w:rsidRDefault="00FB661A">
      <w:pPr>
        <w:keepNext/>
        <w:keepLines/>
        <w:spacing w:before="200" w:after="240"/>
        <w:outlineLvl w:val="1"/>
        <w:rPr>
          <w:rFonts w:ascii="Times New Roman" w:eastAsiaTheme="majorEastAsia" w:hAnsi="Times New Roman" w:cs="Times New Roman"/>
          <w:b/>
          <w:bCs/>
          <w:noProof/>
          <w:sz w:val="24"/>
          <w:szCs w:val="24"/>
        </w:rPr>
      </w:pPr>
      <w:bookmarkStart w:id="5" w:name="_Toc466452956"/>
      <w:r>
        <w:rPr>
          <w:rFonts w:ascii="Times New Roman" w:eastAsiaTheme="majorEastAsia" w:hAnsi="Times New Roman" w:cs="Times New Roman"/>
          <w:b/>
          <w:bCs/>
          <w:noProof/>
          <w:sz w:val="24"/>
          <w:szCs w:val="24"/>
        </w:rPr>
        <w:t>2.2. Economic context</w:t>
      </w:r>
      <w:bookmarkEnd w:id="5"/>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recent years, an average of 200,000 firms went bankrupt each year in the EU, resulting in direct job losses totalling 5.1 million over three years</w:t>
      </w:r>
      <w:r>
        <w:rPr>
          <w:rFonts w:ascii="Times New Roman" w:hAnsi="Times New Roman" w:cs="Times New Roman"/>
          <w:noProof/>
          <w:sz w:val="24"/>
          <w:szCs w:val="24"/>
          <w:vertAlign w:val="superscript"/>
        </w:rPr>
        <w:footnoteReference w:id="27"/>
      </w:r>
      <w:r>
        <w:rPr>
          <w:rFonts w:ascii="Times New Roman" w:hAnsi="Times New Roman" w:cs="Times New Roman"/>
          <w:noProof/>
          <w:sz w:val="24"/>
          <w:szCs w:val="24"/>
        </w:rPr>
        <w:t xml:space="preserve">. About one-quarter of these bankruptcies involved </w:t>
      </w:r>
      <w:r>
        <w:rPr>
          <w:rFonts w:ascii="Times New Roman" w:hAnsi="Times New Roman" w:cs="Times New Roman"/>
          <w:noProof/>
          <w:sz w:val="24"/>
          <w:szCs w:val="24"/>
        </w:rPr>
        <w:t>creditors and debtors in more than one EU Member State</w:t>
      </w:r>
      <w:r>
        <w:rPr>
          <w:rFonts w:ascii="Times New Roman" w:hAnsi="Times New Roman" w:cs="Times New Roman"/>
          <w:noProof/>
          <w:sz w:val="24"/>
          <w:szCs w:val="24"/>
          <w:vertAlign w:val="superscript"/>
        </w:rPr>
        <w:footnoteReference w:id="28"/>
      </w:r>
      <w:r>
        <w:rPr>
          <w:rFonts w:ascii="Times New Roman" w:hAnsi="Times New Roman" w:cs="Times New Roman"/>
          <w:noProof/>
          <w:sz w:val="24"/>
          <w:szCs w:val="24"/>
        </w:rPr>
        <w:t>. However, the single market dimension of the problems  is even larger than these figures suggest since many companies avoid expanding or investing cross-border in the first place, due to the non-conve</w:t>
      </w:r>
      <w:r>
        <w:rPr>
          <w:rFonts w:ascii="Times New Roman" w:hAnsi="Times New Roman" w:cs="Times New Roman"/>
          <w:noProof/>
          <w:sz w:val="24"/>
          <w:szCs w:val="24"/>
        </w:rPr>
        <w:t>rgence of insolvency frameworks and uncertainty about the effectiveness of the applicable rules, as described in section 2.1. T</w:t>
      </w:r>
      <w:r>
        <w:rPr>
          <w:rFonts w:ascii="Times New Roman" w:eastAsia="Times New Roman" w:hAnsi="Times New Roman" w:cs="Times New Roman"/>
          <w:noProof/>
          <w:sz w:val="24"/>
          <w:szCs w:val="24"/>
        </w:rPr>
        <w:t>he trends in the number of corporate insolvencies are provided below as provided below in the table show the increasing number of</w:t>
      </w:r>
      <w:r>
        <w:rPr>
          <w:rFonts w:ascii="Times New Roman" w:eastAsia="Times New Roman" w:hAnsi="Times New Roman" w:cs="Times New Roman"/>
          <w:noProof/>
          <w:sz w:val="24"/>
          <w:szCs w:val="24"/>
        </w:rPr>
        <w:t xml:space="preserve"> insolvencies starting with the peak of the economic crisis in 2009 and still remaining high.</w:t>
      </w:r>
    </w:p>
    <w:p w:rsidR="00B32D69" w:rsidRDefault="00FB661A">
      <w:pPr>
        <w:keepNext/>
        <w:spacing w:before="240" w:after="240" w:line="240" w:lineRule="auto"/>
        <w:rPr>
          <w:rFonts w:ascii="Times New Roman" w:hAnsi="Times New Roman" w:cs="Times New Roman"/>
          <w:b/>
          <w:i/>
          <w:noProof/>
          <w:sz w:val="24"/>
          <w:szCs w:val="24"/>
          <w:lang w:eastAsia="en-GB"/>
        </w:rPr>
      </w:pPr>
      <w:r>
        <w:rPr>
          <w:rFonts w:ascii="Times New Roman" w:hAnsi="Times New Roman" w:cs="Times New Roman"/>
          <w:b/>
          <w:i/>
          <w:noProof/>
          <w:sz w:val="24"/>
          <w:szCs w:val="24"/>
          <w:lang w:eastAsia="en-GB"/>
        </w:rPr>
        <w:t>Table 1: Trends in number of business bankruptcies and other forms of unvoluntary business cessations selected Member States 2007 to 2014</w:t>
      </w:r>
      <w:r>
        <w:rPr>
          <w:rFonts w:ascii="Times New Roman" w:hAnsi="Times New Roman" w:cs="Times New Roman"/>
          <w:b/>
          <w:i/>
          <w:noProof/>
          <w:sz w:val="24"/>
          <w:szCs w:val="24"/>
          <w:vertAlign w:val="superscript"/>
          <w:lang w:eastAsia="en-GB"/>
        </w:rPr>
        <w:footnoteReference w:id="29"/>
      </w:r>
      <w:r>
        <w:rPr>
          <w:rFonts w:ascii="Times New Roman" w:hAnsi="Times New Roman" w:cs="Times New Roman"/>
          <w:b/>
          <w:i/>
          <w:noProof/>
          <w:sz w:val="24"/>
          <w:szCs w:val="24"/>
          <w:lang w:eastAsia="en-GB"/>
        </w:rPr>
        <w:t xml:space="preserve"> – 2009=100 % (the numbe</w:t>
      </w:r>
      <w:r>
        <w:rPr>
          <w:rFonts w:ascii="Times New Roman" w:hAnsi="Times New Roman" w:cs="Times New Roman"/>
          <w:b/>
          <w:i/>
          <w:noProof/>
          <w:sz w:val="24"/>
          <w:szCs w:val="24"/>
          <w:lang w:eastAsia="en-GB"/>
        </w:rPr>
        <w:t>rs in the table are given in 100%)</w:t>
      </w:r>
      <w:r>
        <w:rPr>
          <w:rFonts w:ascii="Times New Roman" w:hAnsi="Times New Roman" w:cs="Times New Roman"/>
          <w:b/>
          <w:i/>
          <w:noProof/>
          <w:sz w:val="24"/>
          <w:szCs w:val="24"/>
          <w:vertAlign w:val="superscript"/>
          <w:lang w:eastAsia="en-GB"/>
        </w:rPr>
        <w:footnoteReference w:id="30"/>
      </w:r>
      <w:r>
        <w:rPr>
          <w:rFonts w:ascii="Times New Roman" w:hAnsi="Times New Roman" w:cs="Times New Roman"/>
          <w:b/>
          <w:i/>
          <w:noProof/>
          <w:sz w:val="24"/>
          <w:szCs w:val="24"/>
          <w:lang w:eastAsia="en-GB"/>
        </w:rPr>
        <w:t>.</w:t>
      </w:r>
    </w:p>
    <w:tbl>
      <w:tblPr>
        <w:tblW w:w="9299" w:type="dxa"/>
        <w:tblInd w:w="113" w:type="dxa"/>
        <w:tblLook w:val="04A0" w:firstRow="1" w:lastRow="0" w:firstColumn="1" w:lastColumn="0" w:noHBand="0" w:noVBand="1"/>
      </w:tblPr>
      <w:tblGrid>
        <w:gridCol w:w="1033"/>
        <w:gridCol w:w="1033"/>
        <w:gridCol w:w="1033"/>
        <w:gridCol w:w="1033"/>
        <w:gridCol w:w="1034"/>
        <w:gridCol w:w="1033"/>
        <w:gridCol w:w="1033"/>
        <w:gridCol w:w="1033"/>
        <w:gridCol w:w="1034"/>
      </w:tblGrid>
      <w:tr w:rsidR="00B32D69">
        <w:trPr>
          <w:trHeight w:val="563"/>
        </w:trPr>
        <w:tc>
          <w:tcPr>
            <w:tcW w:w="1033" w:type="dxa"/>
            <w:tcBorders>
              <w:top w:val="single" w:sz="4" w:space="0" w:color="FFFFFF"/>
              <w:left w:val="single" w:sz="4" w:space="0" w:color="FFFFFF"/>
              <w:bottom w:val="single" w:sz="4" w:space="0" w:color="FFFFFF"/>
              <w:right w:val="single" w:sz="4" w:space="0" w:color="FFFFFF"/>
            </w:tcBorders>
            <w:shd w:val="clear" w:color="000000" w:fill="ED7D31"/>
            <w:noWrap/>
            <w:vAlign w:val="bottom"/>
          </w:tcPr>
          <w:p w:rsidR="00B32D69" w:rsidRDefault="00FB661A">
            <w:pPr>
              <w:spacing w:line="240" w:lineRule="auto"/>
              <w:rPr>
                <w:rFonts w:ascii="EC Square Sans Pro" w:eastAsia="Times New Roman" w:hAnsi="EC Square Sans Pro" w:cs="Times New Roman"/>
                <w:noProof/>
                <w:color w:val="000000"/>
                <w:sz w:val="20"/>
                <w:szCs w:val="20"/>
                <w:lang w:eastAsia="en-GB"/>
              </w:rPr>
            </w:pPr>
            <w:r>
              <w:rPr>
                <w:rFonts w:ascii="EC Square Sans Pro" w:eastAsia="Times New Roman" w:hAnsi="EC Square Sans Pro" w:cs="Times New Roman"/>
                <w:noProof/>
                <w:color w:val="000000"/>
                <w:sz w:val="20"/>
                <w:szCs w:val="20"/>
                <w:lang w:eastAsia="en-GB"/>
              </w:rPr>
              <w:t>Member State</w:t>
            </w:r>
          </w:p>
        </w:tc>
        <w:tc>
          <w:tcPr>
            <w:tcW w:w="1033" w:type="dxa"/>
            <w:tcBorders>
              <w:top w:val="single" w:sz="4" w:space="0" w:color="FFFFFF"/>
              <w:left w:val="single" w:sz="4" w:space="0" w:color="FFFFFF"/>
              <w:bottom w:val="single" w:sz="4" w:space="0" w:color="FFFFFF"/>
              <w:right w:val="single" w:sz="4" w:space="0" w:color="FFFFFF"/>
            </w:tcBorders>
            <w:shd w:val="clear" w:color="000000" w:fill="ED7D31"/>
          </w:tcPr>
          <w:p w:rsidR="00B32D69" w:rsidRDefault="00FB661A">
            <w:pPr>
              <w:spacing w:line="240" w:lineRule="auto"/>
              <w:jc w:val="center"/>
              <w:rPr>
                <w:rFonts w:ascii="EC Square Sans Pro" w:eastAsia="Times New Roman" w:hAnsi="EC Square Sans Pro" w:cs="Times New Roman"/>
                <w:noProof/>
                <w:color w:val="000000"/>
                <w:sz w:val="20"/>
                <w:szCs w:val="20"/>
                <w:lang w:eastAsia="en-GB"/>
              </w:rPr>
            </w:pPr>
            <w:r>
              <w:rPr>
                <w:rFonts w:ascii="EC Square Sans Pro" w:hAnsi="EC Square Sans Pro"/>
                <w:noProof/>
                <w:sz w:val="20"/>
                <w:szCs w:val="20"/>
              </w:rPr>
              <w:t>2007</w:t>
            </w:r>
          </w:p>
        </w:tc>
        <w:tc>
          <w:tcPr>
            <w:tcW w:w="1033" w:type="dxa"/>
            <w:tcBorders>
              <w:top w:val="single" w:sz="4" w:space="0" w:color="FFFFFF"/>
              <w:left w:val="single" w:sz="4" w:space="0" w:color="FFFFFF"/>
              <w:bottom w:val="single" w:sz="4" w:space="0" w:color="FFFFFF"/>
              <w:right w:val="single" w:sz="4" w:space="0" w:color="FFFFFF"/>
            </w:tcBorders>
            <w:shd w:val="clear" w:color="000000" w:fill="ED7D31"/>
          </w:tcPr>
          <w:p w:rsidR="00B32D69" w:rsidRDefault="00FB661A">
            <w:pPr>
              <w:spacing w:line="240" w:lineRule="auto"/>
              <w:jc w:val="center"/>
              <w:rPr>
                <w:rFonts w:ascii="EC Square Sans Pro" w:eastAsia="Times New Roman" w:hAnsi="EC Square Sans Pro" w:cs="Times New Roman"/>
                <w:noProof/>
                <w:color w:val="000000"/>
                <w:sz w:val="20"/>
                <w:szCs w:val="20"/>
                <w:lang w:eastAsia="en-GB"/>
              </w:rPr>
            </w:pPr>
            <w:r>
              <w:rPr>
                <w:rFonts w:ascii="EC Square Sans Pro" w:hAnsi="EC Square Sans Pro"/>
                <w:noProof/>
                <w:sz w:val="20"/>
                <w:szCs w:val="20"/>
              </w:rPr>
              <w:t>2008</w:t>
            </w:r>
          </w:p>
        </w:tc>
        <w:tc>
          <w:tcPr>
            <w:tcW w:w="1033" w:type="dxa"/>
            <w:tcBorders>
              <w:top w:val="single" w:sz="4" w:space="0" w:color="FFFFFF"/>
              <w:left w:val="single" w:sz="4" w:space="0" w:color="FFFFFF"/>
              <w:bottom w:val="single" w:sz="4" w:space="0" w:color="FFFFFF"/>
              <w:right w:val="single" w:sz="4" w:space="0" w:color="FFFFFF"/>
            </w:tcBorders>
            <w:shd w:val="clear" w:color="000000" w:fill="ED7D31"/>
          </w:tcPr>
          <w:p w:rsidR="00B32D69" w:rsidRDefault="00FB661A">
            <w:pPr>
              <w:spacing w:line="240" w:lineRule="auto"/>
              <w:jc w:val="center"/>
              <w:rPr>
                <w:rFonts w:ascii="EC Square Sans Pro" w:eastAsia="Times New Roman" w:hAnsi="EC Square Sans Pro" w:cs="Times New Roman"/>
                <w:noProof/>
                <w:color w:val="000000"/>
                <w:sz w:val="20"/>
                <w:szCs w:val="20"/>
                <w:lang w:eastAsia="en-GB"/>
              </w:rPr>
            </w:pPr>
            <w:r>
              <w:rPr>
                <w:rFonts w:ascii="EC Square Sans Pro" w:hAnsi="EC Square Sans Pro"/>
                <w:noProof/>
                <w:sz w:val="20"/>
                <w:szCs w:val="20"/>
              </w:rPr>
              <w:t>2009</w:t>
            </w:r>
          </w:p>
        </w:tc>
        <w:tc>
          <w:tcPr>
            <w:tcW w:w="1034" w:type="dxa"/>
            <w:tcBorders>
              <w:top w:val="single" w:sz="4" w:space="0" w:color="FFFFFF"/>
              <w:left w:val="single" w:sz="4" w:space="0" w:color="FFFFFF"/>
              <w:bottom w:val="single" w:sz="4" w:space="0" w:color="FFFFFF"/>
              <w:right w:val="single" w:sz="4" w:space="0" w:color="FFFFFF"/>
            </w:tcBorders>
            <w:shd w:val="clear" w:color="000000" w:fill="ED7D31"/>
          </w:tcPr>
          <w:p w:rsidR="00B32D69" w:rsidRDefault="00FB661A">
            <w:pPr>
              <w:spacing w:line="240" w:lineRule="auto"/>
              <w:jc w:val="center"/>
              <w:rPr>
                <w:rFonts w:ascii="EC Square Sans Pro" w:eastAsia="Times New Roman" w:hAnsi="EC Square Sans Pro" w:cs="Times New Roman"/>
                <w:noProof/>
                <w:color w:val="000000"/>
                <w:sz w:val="20"/>
                <w:szCs w:val="20"/>
                <w:lang w:eastAsia="en-GB"/>
              </w:rPr>
            </w:pPr>
            <w:r>
              <w:rPr>
                <w:rFonts w:ascii="EC Square Sans Pro" w:hAnsi="EC Square Sans Pro"/>
                <w:noProof/>
                <w:sz w:val="20"/>
                <w:szCs w:val="20"/>
              </w:rPr>
              <w:t>2010</w:t>
            </w:r>
          </w:p>
        </w:tc>
        <w:tc>
          <w:tcPr>
            <w:tcW w:w="1033" w:type="dxa"/>
            <w:tcBorders>
              <w:top w:val="single" w:sz="4" w:space="0" w:color="FFFFFF"/>
              <w:left w:val="single" w:sz="4" w:space="0" w:color="FFFFFF"/>
              <w:bottom w:val="single" w:sz="4" w:space="0" w:color="FFFFFF"/>
              <w:right w:val="single" w:sz="4" w:space="0" w:color="FFFFFF"/>
            </w:tcBorders>
            <w:shd w:val="clear" w:color="000000" w:fill="ED7D31"/>
          </w:tcPr>
          <w:p w:rsidR="00B32D69" w:rsidRDefault="00FB661A">
            <w:pPr>
              <w:spacing w:line="240" w:lineRule="auto"/>
              <w:jc w:val="center"/>
              <w:rPr>
                <w:rFonts w:ascii="EC Square Sans Pro" w:eastAsia="Times New Roman" w:hAnsi="EC Square Sans Pro" w:cs="Times New Roman"/>
                <w:noProof/>
                <w:color w:val="000000"/>
                <w:sz w:val="20"/>
                <w:szCs w:val="20"/>
                <w:lang w:eastAsia="en-GB"/>
              </w:rPr>
            </w:pPr>
            <w:r>
              <w:rPr>
                <w:rFonts w:ascii="EC Square Sans Pro" w:hAnsi="EC Square Sans Pro"/>
                <w:noProof/>
                <w:sz w:val="20"/>
                <w:szCs w:val="20"/>
              </w:rPr>
              <w:t>2011</w:t>
            </w:r>
          </w:p>
        </w:tc>
        <w:tc>
          <w:tcPr>
            <w:tcW w:w="1033" w:type="dxa"/>
            <w:tcBorders>
              <w:top w:val="single" w:sz="4" w:space="0" w:color="FFFFFF"/>
              <w:left w:val="single" w:sz="4" w:space="0" w:color="FFFFFF"/>
              <w:bottom w:val="single" w:sz="4" w:space="0" w:color="FFFFFF"/>
              <w:right w:val="single" w:sz="4" w:space="0" w:color="FFFFFF"/>
            </w:tcBorders>
            <w:shd w:val="clear" w:color="000000" w:fill="ED7D31"/>
          </w:tcPr>
          <w:p w:rsidR="00B32D69" w:rsidRDefault="00FB661A">
            <w:pPr>
              <w:spacing w:line="240" w:lineRule="auto"/>
              <w:jc w:val="center"/>
              <w:rPr>
                <w:rFonts w:ascii="EC Square Sans Pro" w:eastAsia="Times New Roman" w:hAnsi="EC Square Sans Pro" w:cs="Times New Roman"/>
                <w:noProof/>
                <w:color w:val="000000"/>
                <w:sz w:val="20"/>
                <w:szCs w:val="20"/>
                <w:lang w:eastAsia="en-GB"/>
              </w:rPr>
            </w:pPr>
            <w:r>
              <w:rPr>
                <w:rFonts w:ascii="EC Square Sans Pro" w:hAnsi="EC Square Sans Pro"/>
                <w:noProof/>
                <w:sz w:val="20"/>
                <w:szCs w:val="20"/>
              </w:rPr>
              <w:t>2012</w:t>
            </w:r>
          </w:p>
        </w:tc>
        <w:tc>
          <w:tcPr>
            <w:tcW w:w="1033" w:type="dxa"/>
            <w:tcBorders>
              <w:top w:val="single" w:sz="4" w:space="0" w:color="FFFFFF"/>
              <w:left w:val="single" w:sz="4" w:space="0" w:color="FFFFFF"/>
              <w:bottom w:val="single" w:sz="4" w:space="0" w:color="FFFFFF"/>
              <w:right w:val="single" w:sz="4" w:space="0" w:color="FFFFFF"/>
            </w:tcBorders>
            <w:shd w:val="clear" w:color="000000" w:fill="ED7D31"/>
          </w:tcPr>
          <w:p w:rsidR="00B32D69" w:rsidRDefault="00FB661A">
            <w:pPr>
              <w:spacing w:line="240" w:lineRule="auto"/>
              <w:jc w:val="center"/>
              <w:rPr>
                <w:rFonts w:ascii="EC Square Sans Pro" w:eastAsia="Times New Roman" w:hAnsi="EC Square Sans Pro" w:cs="Times New Roman"/>
                <w:noProof/>
                <w:color w:val="000000"/>
                <w:sz w:val="20"/>
                <w:szCs w:val="20"/>
                <w:lang w:eastAsia="en-GB"/>
              </w:rPr>
            </w:pPr>
            <w:r>
              <w:rPr>
                <w:rFonts w:ascii="EC Square Sans Pro" w:hAnsi="EC Square Sans Pro"/>
                <w:noProof/>
                <w:sz w:val="20"/>
                <w:szCs w:val="20"/>
              </w:rPr>
              <w:t>2013</w:t>
            </w:r>
          </w:p>
        </w:tc>
        <w:tc>
          <w:tcPr>
            <w:tcW w:w="1034" w:type="dxa"/>
            <w:tcBorders>
              <w:top w:val="single" w:sz="4" w:space="0" w:color="FFFFFF"/>
              <w:left w:val="single" w:sz="4" w:space="0" w:color="FFFFFF"/>
              <w:bottom w:val="single" w:sz="4" w:space="0" w:color="FFFFFF"/>
              <w:right w:val="single" w:sz="4" w:space="0" w:color="FFFFFF"/>
            </w:tcBorders>
            <w:shd w:val="clear" w:color="000000" w:fill="ED7D31"/>
          </w:tcPr>
          <w:p w:rsidR="00B32D69" w:rsidRDefault="00FB661A">
            <w:pPr>
              <w:spacing w:line="240" w:lineRule="auto"/>
              <w:jc w:val="center"/>
              <w:rPr>
                <w:rFonts w:ascii="EC Square Sans Pro" w:eastAsia="Times New Roman" w:hAnsi="EC Square Sans Pro" w:cs="Times New Roman"/>
                <w:noProof/>
                <w:color w:val="000000"/>
                <w:sz w:val="20"/>
                <w:szCs w:val="20"/>
                <w:lang w:eastAsia="en-GB"/>
              </w:rPr>
            </w:pPr>
            <w:r>
              <w:rPr>
                <w:rFonts w:ascii="EC Square Sans Pro" w:hAnsi="EC Square Sans Pro"/>
                <w:noProof/>
                <w:sz w:val="20"/>
                <w:szCs w:val="20"/>
              </w:rPr>
              <w:t>2014</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line="240" w:lineRule="auto"/>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AT</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91.2</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91.5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92.4</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85.0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87.5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79.1</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78.6</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line="240" w:lineRule="auto"/>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BE</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81.5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90.0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101.6</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108.5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112.4</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124.6</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114.0</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line="240" w:lineRule="auto"/>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BG</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B32D69">
            <w:pPr>
              <w:spacing w:line="240" w:lineRule="auto"/>
              <w:jc w:val="center"/>
              <w:rPr>
                <w:rFonts w:ascii="EC Square Sans Pro" w:eastAsia="Times New Roman" w:hAnsi="EC Square Sans Pro" w:cs="Times New Roman"/>
                <w:noProof/>
                <w:color w:val="000000"/>
                <w:sz w:val="18"/>
                <w:szCs w:val="18"/>
                <w:lang w:eastAsia="en-GB"/>
              </w:rPr>
            </w:pP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B32D69">
            <w:pPr>
              <w:spacing w:line="240" w:lineRule="auto"/>
              <w:jc w:val="center"/>
              <w:rPr>
                <w:rFonts w:ascii="EC Square Sans Pro" w:eastAsia="Times New Roman" w:hAnsi="EC Square Sans Pro" w:cs="Times New Roman"/>
                <w:noProof/>
                <w:color w:val="000000"/>
                <w:sz w:val="18"/>
                <w:szCs w:val="18"/>
                <w:lang w:eastAsia="en-GB"/>
              </w:rPr>
            </w:pP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125.2</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145.1</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177.6</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193.8</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170.6</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line="240" w:lineRule="auto"/>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CY</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88.7</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84.9</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107.5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114.5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83.6</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118.9</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102.5</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line="240" w:lineRule="auto"/>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CZ</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67.3</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72.3</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109.1</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119.7</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131.0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sz w:val="18"/>
                <w:szCs w:val="18"/>
                <w:lang w:eastAsia="en-GB"/>
              </w:rPr>
            </w:pPr>
            <w:r>
              <w:rPr>
                <w:rFonts w:ascii="EC Square Sans Pro" w:hAnsi="EC Square Sans Pro"/>
                <w:noProof/>
                <w:sz w:val="18"/>
                <w:szCs w:val="18"/>
              </w:rPr>
              <w:t>151.1</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144.3</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line="240" w:lineRule="auto"/>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DK</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42.0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65.0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113.2</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95.8</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95.6</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87.4</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70.6</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line="240" w:lineRule="auto"/>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EE</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19.1</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40.1</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97.4</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59.1</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46.9</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43.5</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40.6</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line="240" w:lineRule="auto"/>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EL</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144.5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101.1</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125.4</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116.9</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110.4</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93.0</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line="240" w:lineRule="auto"/>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ES</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19.9</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55.6</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94.5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109.5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148.9</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167.2</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114.0</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line="240" w:lineRule="auto"/>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FI</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68.8</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79.8</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87.5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90.0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90.4</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95.6</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91.2</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line="240" w:lineRule="auto"/>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FR</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81.2</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87.9</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95.5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94.1</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96.7</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99.0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98.9</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line="240" w:lineRule="auto"/>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HU</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B32D69">
            <w:pPr>
              <w:spacing w:line="240" w:lineRule="auto"/>
              <w:jc w:val="center"/>
              <w:rPr>
                <w:rFonts w:ascii="EC Square Sans Pro" w:eastAsia="Times New Roman" w:hAnsi="EC Square Sans Pro" w:cs="Times New Roman"/>
                <w:noProof/>
                <w:color w:val="000000"/>
                <w:sz w:val="18"/>
                <w:szCs w:val="18"/>
                <w:lang w:eastAsia="en-GB"/>
              </w:rPr>
            </w:pP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84.7</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104.4</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83.0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68.7</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93.1</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149.1</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line="240" w:lineRule="auto"/>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IR</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53.6</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66.0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100.8</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113.0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109.0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95.6</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B32D69">
            <w:pPr>
              <w:spacing w:line="240" w:lineRule="auto"/>
              <w:jc w:val="center"/>
              <w:rPr>
                <w:rFonts w:ascii="EC Square Sans Pro" w:eastAsia="Times New Roman" w:hAnsi="EC Square Sans Pro" w:cs="Times New Roman"/>
                <w:noProof/>
                <w:color w:val="000000"/>
                <w:sz w:val="18"/>
                <w:szCs w:val="18"/>
                <w:lang w:eastAsia="en-GB"/>
              </w:rPr>
            </w:pP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line="240" w:lineRule="auto"/>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IT</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65.6</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80.0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119.7</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129.5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130.6</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150.6</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167.5</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line="240" w:lineRule="auto"/>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LT</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32.9</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51.9</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88.8</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69.0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76.0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84.2</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91.4</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line="240" w:lineRule="auto"/>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LU</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95.1</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82.8</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132.5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141.1</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151.5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151.4</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122.7</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line="240" w:lineRule="auto"/>
              <w:rPr>
                <w:rFonts w:ascii="EC Square Sans Pro" w:hAnsi="EC Square Sans Pro"/>
                <w:noProof/>
                <w:sz w:val="18"/>
                <w:szCs w:val="18"/>
              </w:rPr>
            </w:pPr>
            <w:r>
              <w:rPr>
                <w:rFonts w:ascii="EC Square Sans Pro" w:hAnsi="EC Square Sans Pro"/>
                <w:noProof/>
                <w:sz w:val="18"/>
                <w:szCs w:val="18"/>
              </w:rPr>
              <w:t>LV</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0.0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56.4</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121.9</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41.2</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40.0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36.5</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42.9</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line="240" w:lineRule="auto"/>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NL</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B32D69">
            <w:pPr>
              <w:spacing w:line="240" w:lineRule="auto"/>
              <w:jc w:val="center"/>
              <w:rPr>
                <w:rFonts w:ascii="EC Square Sans Pro" w:eastAsia="Times New Roman" w:hAnsi="EC Square Sans Pro" w:cs="Times New Roman"/>
                <w:noProof/>
                <w:color w:val="000000"/>
                <w:sz w:val="18"/>
                <w:szCs w:val="18"/>
                <w:lang w:eastAsia="en-GB"/>
              </w:rPr>
            </w:pP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B32D69">
            <w:pPr>
              <w:spacing w:line="240" w:lineRule="auto"/>
              <w:jc w:val="center"/>
              <w:rPr>
                <w:rFonts w:ascii="EC Square Sans Pro" w:eastAsia="Times New Roman" w:hAnsi="EC Square Sans Pro" w:cs="Times New Roman"/>
                <w:noProof/>
                <w:color w:val="000000"/>
                <w:sz w:val="18"/>
                <w:szCs w:val="18"/>
                <w:lang w:eastAsia="en-GB"/>
              </w:rPr>
            </w:pP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88.8</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88.1</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105.9</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120.7</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95.7</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line="240" w:lineRule="auto"/>
              <w:rPr>
                <w:rFonts w:ascii="EC Square Sans Pro" w:hAnsi="EC Square Sans Pro"/>
                <w:noProof/>
                <w:sz w:val="18"/>
                <w:szCs w:val="18"/>
              </w:rPr>
            </w:pPr>
            <w:r>
              <w:rPr>
                <w:rFonts w:ascii="EC Square Sans Pro" w:hAnsi="EC Square Sans Pro"/>
                <w:noProof/>
                <w:sz w:val="18"/>
                <w:szCs w:val="18"/>
              </w:rPr>
              <w:t>PT</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68.5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92.5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107.2</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124.4</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175.3</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158.1</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105.3</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line="240" w:lineRule="auto"/>
              <w:rPr>
                <w:rFonts w:ascii="EC Square Sans Pro" w:hAnsi="EC Square Sans Pro"/>
                <w:noProof/>
                <w:sz w:val="18"/>
                <w:szCs w:val="18"/>
              </w:rPr>
            </w:pPr>
            <w:r>
              <w:rPr>
                <w:rFonts w:ascii="EC Square Sans Pro" w:hAnsi="EC Square Sans Pro"/>
                <w:noProof/>
                <w:sz w:val="18"/>
                <w:szCs w:val="18"/>
              </w:rPr>
              <w:t>SE</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75.8</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82.5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95.2</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91.1</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97.8</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100.8</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93.7</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line="240" w:lineRule="auto"/>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SK</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61.2</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90.9</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124.6</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135.9</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130.4</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142.8</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148.6</w:t>
            </w:r>
          </w:p>
        </w:tc>
      </w:tr>
      <w:tr w:rsidR="00B32D69">
        <w:trPr>
          <w:trHeight w:val="300"/>
        </w:trPr>
        <w:tc>
          <w:tcPr>
            <w:tcW w:w="1033" w:type="dxa"/>
            <w:tcBorders>
              <w:top w:val="nil"/>
              <w:left w:val="single" w:sz="4" w:space="0" w:color="FFFFFF"/>
              <w:bottom w:val="nil"/>
              <w:right w:val="single" w:sz="4" w:space="0" w:color="FFFFFF"/>
            </w:tcBorders>
            <w:shd w:val="clear" w:color="000000" w:fill="F8CBAD"/>
            <w:noWrap/>
          </w:tcPr>
          <w:p w:rsidR="00B32D69" w:rsidRDefault="00FB661A">
            <w:pPr>
              <w:spacing w:line="240" w:lineRule="auto"/>
              <w:rPr>
                <w:rFonts w:ascii="EC Square Sans Pro" w:hAnsi="EC Square Sans Pro"/>
                <w:noProof/>
                <w:sz w:val="18"/>
                <w:szCs w:val="18"/>
              </w:rPr>
            </w:pPr>
            <w:r>
              <w:rPr>
                <w:rFonts w:ascii="EC Square Sans Pro" w:hAnsi="EC Square Sans Pro"/>
                <w:noProof/>
                <w:sz w:val="18"/>
                <w:szCs w:val="18"/>
              </w:rPr>
              <w:t>UK</w:t>
            </w:r>
          </w:p>
        </w:tc>
        <w:tc>
          <w:tcPr>
            <w:tcW w:w="1033" w:type="dxa"/>
            <w:tcBorders>
              <w:top w:val="nil"/>
              <w:left w:val="single" w:sz="4" w:space="0" w:color="FFFFFF"/>
              <w:bottom w:val="nil"/>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62.8</w:t>
            </w:r>
          </w:p>
        </w:tc>
        <w:tc>
          <w:tcPr>
            <w:tcW w:w="1033" w:type="dxa"/>
            <w:tcBorders>
              <w:top w:val="nil"/>
              <w:left w:val="single" w:sz="4" w:space="0" w:color="FFFFFF"/>
              <w:bottom w:val="nil"/>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86.2</w:t>
            </w:r>
          </w:p>
        </w:tc>
        <w:tc>
          <w:tcPr>
            <w:tcW w:w="1033" w:type="dxa"/>
            <w:tcBorders>
              <w:top w:val="nil"/>
              <w:left w:val="single" w:sz="4" w:space="0" w:color="FFFFFF"/>
              <w:bottom w:val="nil"/>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100.0</w:t>
            </w:r>
          </w:p>
        </w:tc>
        <w:tc>
          <w:tcPr>
            <w:tcW w:w="1034" w:type="dxa"/>
            <w:tcBorders>
              <w:top w:val="nil"/>
              <w:left w:val="single" w:sz="4" w:space="0" w:color="FFFFFF"/>
              <w:bottom w:val="nil"/>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85.8</w:t>
            </w:r>
          </w:p>
        </w:tc>
        <w:tc>
          <w:tcPr>
            <w:tcW w:w="1033" w:type="dxa"/>
            <w:tcBorders>
              <w:top w:val="nil"/>
              <w:left w:val="single" w:sz="4" w:space="0" w:color="FFFFFF"/>
              <w:bottom w:val="nil"/>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89.7</w:t>
            </w:r>
          </w:p>
        </w:tc>
        <w:tc>
          <w:tcPr>
            <w:tcW w:w="1033" w:type="dxa"/>
            <w:tcBorders>
              <w:top w:val="nil"/>
              <w:left w:val="single" w:sz="4" w:space="0" w:color="FFFFFF"/>
              <w:bottom w:val="nil"/>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85.5</w:t>
            </w:r>
          </w:p>
        </w:tc>
        <w:tc>
          <w:tcPr>
            <w:tcW w:w="1033" w:type="dxa"/>
            <w:tcBorders>
              <w:top w:val="nil"/>
              <w:left w:val="single" w:sz="4" w:space="0" w:color="FFFFFF"/>
              <w:bottom w:val="nil"/>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75.9</w:t>
            </w:r>
          </w:p>
        </w:tc>
        <w:tc>
          <w:tcPr>
            <w:tcW w:w="1034" w:type="dxa"/>
            <w:tcBorders>
              <w:top w:val="nil"/>
              <w:left w:val="single" w:sz="4" w:space="0" w:color="FFFFFF"/>
              <w:bottom w:val="nil"/>
              <w:right w:val="single" w:sz="4" w:space="0" w:color="FFFFFF"/>
            </w:tcBorders>
            <w:shd w:val="clear" w:color="000000" w:fill="F8CBAD"/>
          </w:tcPr>
          <w:p w:rsidR="00B32D69" w:rsidRDefault="00FB661A">
            <w:pPr>
              <w:spacing w:line="240" w:lineRule="auto"/>
              <w:jc w:val="center"/>
              <w:rPr>
                <w:rFonts w:ascii="EC Square Sans Pro" w:eastAsia="Times New Roman" w:hAnsi="EC Square Sans Pro" w:cs="Times New Roman"/>
                <w:noProof/>
                <w:color w:val="000000"/>
                <w:sz w:val="18"/>
                <w:szCs w:val="18"/>
                <w:lang w:eastAsia="en-GB"/>
              </w:rPr>
            </w:pPr>
            <w:r>
              <w:rPr>
                <w:rFonts w:ascii="EC Square Sans Pro" w:hAnsi="EC Square Sans Pro"/>
                <w:noProof/>
                <w:sz w:val="18"/>
                <w:szCs w:val="18"/>
              </w:rPr>
              <w:t>69.7</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B32D69">
            <w:pPr>
              <w:spacing w:line="240" w:lineRule="auto"/>
              <w:rPr>
                <w:rFonts w:ascii="EC Square Sans Pro" w:hAnsi="EC Square Sans Pro"/>
                <w:noProof/>
                <w:sz w:val="18"/>
                <w:szCs w:val="18"/>
              </w:rPr>
            </w:pP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B32D69">
            <w:pPr>
              <w:spacing w:line="240" w:lineRule="auto"/>
              <w:jc w:val="center"/>
              <w:rPr>
                <w:rFonts w:ascii="EC Square Sans Pro" w:hAnsi="EC Square Sans Pro"/>
                <w:noProof/>
                <w:sz w:val="18"/>
                <w:szCs w:val="18"/>
              </w:rPr>
            </w:pP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B32D69">
            <w:pPr>
              <w:spacing w:line="240" w:lineRule="auto"/>
              <w:jc w:val="center"/>
              <w:rPr>
                <w:rFonts w:ascii="EC Square Sans Pro" w:hAnsi="EC Square Sans Pro"/>
                <w:noProof/>
                <w:sz w:val="18"/>
                <w:szCs w:val="18"/>
              </w:rPr>
            </w:pP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B32D69">
            <w:pPr>
              <w:spacing w:line="240" w:lineRule="auto"/>
              <w:jc w:val="center"/>
              <w:rPr>
                <w:rFonts w:ascii="EC Square Sans Pro" w:hAnsi="EC Square Sans Pro"/>
                <w:noProof/>
                <w:sz w:val="18"/>
                <w:szCs w:val="18"/>
              </w:rPr>
            </w:pP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B32D69">
            <w:pPr>
              <w:spacing w:line="240" w:lineRule="auto"/>
              <w:jc w:val="center"/>
              <w:rPr>
                <w:rFonts w:ascii="EC Square Sans Pro" w:hAnsi="EC Square Sans Pro"/>
                <w:noProof/>
                <w:sz w:val="18"/>
                <w:szCs w:val="18"/>
              </w:rPr>
            </w:pP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B32D69">
            <w:pPr>
              <w:spacing w:line="240" w:lineRule="auto"/>
              <w:jc w:val="center"/>
              <w:rPr>
                <w:rFonts w:ascii="EC Square Sans Pro" w:hAnsi="EC Square Sans Pro"/>
                <w:noProof/>
                <w:sz w:val="18"/>
                <w:szCs w:val="18"/>
              </w:rPr>
            </w:pP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B32D69">
            <w:pPr>
              <w:spacing w:line="240" w:lineRule="auto"/>
              <w:jc w:val="center"/>
              <w:rPr>
                <w:rFonts w:ascii="EC Square Sans Pro" w:hAnsi="EC Square Sans Pro"/>
                <w:noProof/>
                <w:sz w:val="18"/>
                <w:szCs w:val="18"/>
              </w:rPr>
            </w:pP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B32D69">
            <w:pPr>
              <w:spacing w:line="240" w:lineRule="auto"/>
              <w:jc w:val="center"/>
              <w:rPr>
                <w:rFonts w:ascii="EC Square Sans Pro" w:hAnsi="EC Square Sans Pro"/>
                <w:noProof/>
                <w:sz w:val="18"/>
                <w:szCs w:val="18"/>
              </w:rPr>
            </w:pP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B32D69">
            <w:pPr>
              <w:spacing w:line="240" w:lineRule="auto"/>
              <w:jc w:val="center"/>
              <w:rPr>
                <w:rFonts w:ascii="EC Square Sans Pro" w:hAnsi="EC Square Sans Pro"/>
                <w:noProof/>
                <w:sz w:val="18"/>
                <w:szCs w:val="18"/>
              </w:rPr>
            </w:pPr>
          </w:p>
        </w:tc>
      </w:tr>
    </w:tbl>
    <w:p w:rsidR="00B32D69" w:rsidRDefault="00FB661A">
      <w:pPr>
        <w:autoSpaceDE w:val="0"/>
        <w:autoSpaceDN w:val="0"/>
        <w:adjustRightInd w:val="0"/>
        <w:spacing w:before="120" w:after="240" w:line="240" w:lineRule="auto"/>
        <w:jc w:val="both"/>
        <w:rPr>
          <w:rFonts w:ascii="Times New Roman" w:eastAsia="Times New Roman" w:hAnsi="Times New Roman" w:cs="Times New Roman"/>
          <w:i/>
          <w:noProof/>
          <w:sz w:val="16"/>
          <w:szCs w:val="16"/>
        </w:rPr>
      </w:pPr>
      <w:r>
        <w:rPr>
          <w:rFonts w:ascii="Times New Roman" w:eastAsia="Times New Roman" w:hAnsi="Times New Roman" w:cs="Times New Roman"/>
          <w:i/>
          <w:noProof/>
          <w:sz w:val="16"/>
          <w:szCs w:val="16"/>
        </w:rPr>
        <w:t xml:space="preserve">Sources: London Economics based on data from AT: Kreditschutzverband; BE: Statistics of the Belgium Federal Public Service Economy; BG: provided </w:t>
      </w:r>
      <w:r>
        <w:rPr>
          <w:rFonts w:ascii="Times New Roman" w:eastAsia="Times New Roman" w:hAnsi="Times New Roman" w:cs="Times New Roman"/>
          <w:i/>
          <w:noProof/>
          <w:sz w:val="16"/>
          <w:szCs w:val="16"/>
        </w:rPr>
        <w:t>by official of Ministry of Economy; CY: Department of Registrar of Companies and Official Receiver; CZ: CRIF from Insolvency Register of Ministry of Justice: DK: Statistics Denmark; EE: Krediitiinfo SA; ES: OECD; Statistics Finland; FR: Insee: EL: OECD; HU</w:t>
      </w:r>
      <w:r>
        <w:rPr>
          <w:rFonts w:ascii="Times New Roman" w:eastAsia="Times New Roman" w:hAnsi="Times New Roman" w:cs="Times New Roman"/>
          <w:i/>
          <w:noProof/>
          <w:sz w:val="16"/>
          <w:szCs w:val="16"/>
        </w:rPr>
        <w:t>: Hungarian Central Statistical Office; IR: Dpt of Jobs, Enterprise and Innovation; IT: Cerved; LT: Statistics Lithuania; LU: Statec; LV: Lursoft; NL: Statistics Netherlands; PT: COSEC SA: Swedish Agency for Growth Policy Analysis; SE: SK: Ministry of Just</w:t>
      </w:r>
      <w:r>
        <w:rPr>
          <w:rFonts w:ascii="Times New Roman" w:eastAsia="Times New Roman" w:hAnsi="Times New Roman" w:cs="Times New Roman"/>
          <w:i/>
          <w:noProof/>
          <w:sz w:val="16"/>
          <w:szCs w:val="16"/>
        </w:rPr>
        <w:t>ice Slovakia; UK: Insolvency Service</w:t>
      </w:r>
    </w:p>
    <w:p w:rsidR="00B32D69" w:rsidRDefault="00FB661A">
      <w:pPr>
        <w:autoSpaceDE w:val="0"/>
        <w:autoSpaceDN w:val="0"/>
        <w:adjustRightInd w:val="0"/>
        <w:spacing w:line="240" w:lineRule="exact"/>
        <w:jc w:val="both"/>
        <w:rPr>
          <w:rFonts w:ascii="Times New Roman" w:hAnsi="Times New Roman" w:cs="Times New Roman"/>
          <w:noProof/>
          <w:sz w:val="24"/>
          <w:szCs w:val="24"/>
        </w:rPr>
      </w:pPr>
      <w:r>
        <w:rPr>
          <w:rFonts w:ascii="Times New Roman" w:hAnsi="Times New Roman" w:cs="Times New Roman"/>
          <w:noProof/>
          <w:sz w:val="24"/>
          <w:szCs w:val="24"/>
        </w:rPr>
        <w:t xml:space="preserve">Today in Europe half of all businesses do not survive the first 5 years of their existence. </w:t>
      </w:r>
      <w:r>
        <w:rPr>
          <w:rFonts w:ascii="Times New Roman" w:eastAsia="Times New Roman" w:hAnsi="Times New Roman" w:cs="Times New Roman"/>
          <w:noProof/>
          <w:sz w:val="24"/>
          <w:szCs w:val="24"/>
        </w:rPr>
        <w:t>In a number of Member States, the peak of bankruptcies was reached during the initial years of the crisis, i.e. in 2009 (Austri</w:t>
      </w:r>
      <w:r>
        <w:rPr>
          <w:rFonts w:ascii="Times New Roman" w:eastAsia="Times New Roman" w:hAnsi="Times New Roman" w:cs="Times New Roman"/>
          <w:noProof/>
          <w:sz w:val="24"/>
          <w:szCs w:val="24"/>
        </w:rPr>
        <w:t>a, Estonia, Finland, France, Lithuania, United Kingdom) or in 2010 (Denmark, Hungary, Latvia). In another group of Member States the peak was reached in 2012 (Luxembourg, Portugal) or in 2013 (Belgium, Bulgaria, Cyprus, Czech Republic, Luxembourg, Netherla</w:t>
      </w:r>
      <w:r>
        <w:rPr>
          <w:rFonts w:ascii="Times New Roman" w:eastAsia="Times New Roman" w:hAnsi="Times New Roman" w:cs="Times New Roman"/>
          <w:noProof/>
          <w:sz w:val="24"/>
          <w:szCs w:val="24"/>
        </w:rPr>
        <w:t>nds, Spain and Sweden)</w:t>
      </w:r>
      <w:r>
        <w:rPr>
          <w:rFonts w:ascii="Times New Roman" w:eastAsia="Times New Roman" w:hAnsi="Times New Roman" w:cs="Times New Roman"/>
          <w:noProof/>
          <w:sz w:val="24"/>
          <w:szCs w:val="24"/>
          <w:vertAlign w:val="superscript"/>
        </w:rPr>
        <w:footnoteReference w:id="31"/>
      </w:r>
      <w:r>
        <w:rPr>
          <w:rFonts w:ascii="Times New Roman" w:eastAsia="Times New Roman" w:hAnsi="Times New Roman" w:cs="Times New Roman"/>
          <w:noProof/>
          <w:sz w:val="24"/>
          <w:szCs w:val="24"/>
        </w:rPr>
        <w:t xml:space="preserve">. However, even if the number of bankruptcies can be expected to stabilise and re-converge to pre-crisis trends, the economic case for more efficient and convergent insolvency frameworks remains.  </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case of liquidation, companies </w:t>
      </w:r>
      <w:r>
        <w:rPr>
          <w:rFonts w:ascii="Times New Roman" w:hAnsi="Times New Roman" w:cs="Times New Roman"/>
          <w:noProof/>
          <w:sz w:val="24"/>
          <w:szCs w:val="24"/>
        </w:rPr>
        <w:t>trading with the insolvent company may not receive anything at all if their debt was not secured; also secured creditors have to take into account the possibility of a substantial reduction in value of their claims</w:t>
      </w:r>
      <w:r>
        <w:rPr>
          <w:rFonts w:ascii="Times New Roman" w:hAnsi="Times New Roman" w:cs="Times New Roman"/>
          <w:noProof/>
          <w:sz w:val="24"/>
          <w:szCs w:val="24"/>
          <w:vertAlign w:val="superscript"/>
        </w:rPr>
        <w:footnoteReference w:id="32"/>
      </w:r>
      <w:r>
        <w:rPr>
          <w:rFonts w:ascii="Times New Roman" w:hAnsi="Times New Roman" w:cs="Times New Roman"/>
          <w:noProof/>
          <w:sz w:val="24"/>
          <w:szCs w:val="24"/>
        </w:rPr>
        <w:t xml:space="preserve">. In case of restructuring, on the other </w:t>
      </w:r>
      <w:r>
        <w:rPr>
          <w:rFonts w:ascii="Times New Roman" w:hAnsi="Times New Roman" w:cs="Times New Roman"/>
          <w:noProof/>
          <w:sz w:val="24"/>
          <w:szCs w:val="24"/>
        </w:rPr>
        <w:t>hand, insolvency is avoided, contract debts are in general paid, and negotiations concern in most cases only the financial debt. Restructuring is in general beneficial for the creditors if the business is viable. Hence, restructuring instead of liquidation</w:t>
      </w:r>
      <w:r>
        <w:rPr>
          <w:rFonts w:ascii="Times New Roman" w:hAnsi="Times New Roman" w:cs="Times New Roman"/>
          <w:noProof/>
          <w:sz w:val="24"/>
          <w:szCs w:val="24"/>
        </w:rPr>
        <w:t xml:space="preserve"> constitutes a gain for all stakeholders involved, provided that restructured companies are able to stick to their new repayment plan. </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Regarding second chance, a distinction between entrepreneurs and consumers needs to be made, since the economic rational</w:t>
      </w:r>
      <w:r>
        <w:rPr>
          <w:rFonts w:ascii="Times New Roman" w:hAnsi="Times New Roman" w:cs="Times New Roman"/>
          <w:noProof/>
          <w:sz w:val="24"/>
          <w:szCs w:val="24"/>
        </w:rPr>
        <w:t>e for offering each of them a second chance is different in the two cases. Offering a second chance to entrepreneurs means that they have a chance to restart a business activity and there is evidence that those starting for a second time learn from their m</w:t>
      </w:r>
      <w:r>
        <w:rPr>
          <w:rFonts w:ascii="Times New Roman" w:hAnsi="Times New Roman" w:cs="Times New Roman"/>
          <w:noProof/>
          <w:sz w:val="24"/>
          <w:szCs w:val="24"/>
        </w:rPr>
        <w:t>istakes and their next businesses are more viable</w:t>
      </w:r>
      <w:r>
        <w:rPr>
          <w:rFonts w:ascii="Times New Roman" w:hAnsi="Times New Roman" w:cs="Times New Roman"/>
          <w:noProof/>
          <w:sz w:val="24"/>
          <w:szCs w:val="24"/>
          <w:vertAlign w:val="superscript"/>
        </w:rPr>
        <w:footnoteReference w:id="33"/>
      </w:r>
      <w:r>
        <w:rPr>
          <w:rFonts w:ascii="Times New Roman" w:hAnsi="Times New Roman" w:cs="Times New Roman"/>
          <w:noProof/>
          <w:sz w:val="24"/>
          <w:szCs w:val="24"/>
        </w:rPr>
        <w:t>. For consumers, the rationale of providing them with a second chance is not only economic but also social. Consumers discharged of debts can start buying services and products and therefore contributing to</w:t>
      </w:r>
      <w:r>
        <w:rPr>
          <w:rFonts w:ascii="Times New Roman" w:hAnsi="Times New Roman" w:cs="Times New Roman"/>
          <w:noProof/>
          <w:sz w:val="24"/>
          <w:szCs w:val="24"/>
        </w:rPr>
        <w:t xml:space="preserve"> the rise of GDP. But most importantly, consumers and their families could avoid being caught in a debt-trap for life, with all the precarious social consequences that this situation may cause to individuals and families. </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some Member States natural per</w:t>
      </w:r>
      <w:r>
        <w:rPr>
          <w:rFonts w:ascii="Times New Roman" w:hAnsi="Times New Roman" w:cs="Times New Roman"/>
          <w:noProof/>
          <w:sz w:val="24"/>
          <w:szCs w:val="24"/>
        </w:rPr>
        <w:t>sons entrepreneurs (with unlimited liability) constitute more than 50% of all businesses, since the creation or management of limited liability companies has not been facilitated in those Member States</w:t>
      </w:r>
      <w:r>
        <w:rPr>
          <w:rFonts w:ascii="Times New Roman" w:hAnsi="Times New Roman" w:cs="Times New Roman"/>
          <w:noProof/>
          <w:sz w:val="24"/>
          <w:szCs w:val="24"/>
          <w:vertAlign w:val="superscript"/>
        </w:rPr>
        <w:footnoteReference w:id="34"/>
      </w:r>
      <w:r>
        <w:rPr>
          <w:rFonts w:ascii="Times New Roman" w:hAnsi="Times New Roman" w:cs="Times New Roman"/>
          <w:noProof/>
          <w:sz w:val="24"/>
          <w:szCs w:val="24"/>
        </w:rPr>
        <w:t>. Therefore, a discharge, even for entrepreneurs or ma</w:t>
      </w:r>
      <w:r>
        <w:rPr>
          <w:rFonts w:ascii="Times New Roman" w:hAnsi="Times New Roman" w:cs="Times New Roman"/>
          <w:noProof/>
          <w:sz w:val="24"/>
          <w:szCs w:val="24"/>
        </w:rPr>
        <w:t>nagers of single-member limited liability companies, could have a significant impact on the economy going beyond what is usually associated with local businesses. A number of such companies, registered as "sole traders", have cross-border activity which in</w:t>
      </w:r>
      <w:r>
        <w:rPr>
          <w:rFonts w:ascii="Times New Roman" w:hAnsi="Times New Roman" w:cs="Times New Roman"/>
          <w:noProof/>
          <w:sz w:val="24"/>
          <w:szCs w:val="24"/>
        </w:rPr>
        <w:t xml:space="preserve"> other Member States is normally performed by their corporate equivalents. </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Moreover, entrepreneurial debts are often intertwined with personal debts (e.g. using the same car both for business and private purposes). In addition, in order to start a limited</w:t>
      </w:r>
      <w:r>
        <w:rPr>
          <w:rFonts w:ascii="Times New Roman" w:hAnsi="Times New Roman" w:cs="Times New Roman"/>
          <w:noProof/>
          <w:sz w:val="24"/>
          <w:szCs w:val="24"/>
        </w:rPr>
        <w:t xml:space="preserve"> liability company, credit institutions require a security on private houses as a prerequisite to a loan</w:t>
      </w:r>
      <w:r>
        <w:rPr>
          <w:rFonts w:ascii="Times New Roman" w:hAnsi="Times New Roman" w:cs="Times New Roman"/>
          <w:noProof/>
          <w:sz w:val="24"/>
          <w:szCs w:val="24"/>
          <w:vertAlign w:val="superscript"/>
        </w:rPr>
        <w:footnoteReference w:id="35"/>
      </w:r>
      <w:r>
        <w:rPr>
          <w:rFonts w:ascii="Times New Roman" w:hAnsi="Times New Roman" w:cs="Times New Roman"/>
          <w:noProof/>
          <w:sz w:val="24"/>
          <w:szCs w:val="24"/>
        </w:rPr>
        <w:t>. This means that economic consequences of entrepreneurial debts, and a possible discharge of them, go beyond the economic activity of an entrepreneur.</w:t>
      </w:r>
      <w:r>
        <w:rPr>
          <w:rFonts w:ascii="Times New Roman" w:hAnsi="Times New Roman" w:cs="Times New Roman"/>
          <w:noProof/>
          <w:sz w:val="24"/>
          <w:szCs w:val="24"/>
        </w:rPr>
        <w:t xml:space="preserve"> </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focus on restructuring of corporate entities and discharge of natural persons is complementary and allows dealing with the economic consequences of debts regardless of the legal form which created such debts. The debts of natural persons-entrepreneur</w:t>
      </w:r>
      <w:r>
        <w:rPr>
          <w:rFonts w:ascii="Times New Roman" w:hAnsi="Times New Roman" w:cs="Times New Roman"/>
          <w:noProof/>
          <w:sz w:val="24"/>
          <w:szCs w:val="24"/>
        </w:rPr>
        <w:t>s would be subject to discharge, whereas the debts of limited liability companies would be treated in restructuring or liquidation proceedings.</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Enterprise mortality is closely linked to the problem of non-performing loans which is the most usual cause of l</w:t>
      </w:r>
      <w:r>
        <w:rPr>
          <w:rFonts w:ascii="Times New Roman" w:hAnsi="Times New Roman" w:cs="Times New Roman"/>
          <w:noProof/>
          <w:sz w:val="24"/>
          <w:szCs w:val="24"/>
        </w:rPr>
        <w:t>iquidation of companies. The European Central Bank’s 2015 comprehensive assessment identified a total of EUR 980 billion in non-performing exposures in the banking system</w:t>
      </w:r>
      <w:r>
        <w:rPr>
          <w:rFonts w:ascii="Times New Roman" w:hAnsi="Times New Roman" w:cs="Times New Roman"/>
          <w:noProof/>
          <w:sz w:val="24"/>
          <w:szCs w:val="24"/>
          <w:vertAlign w:val="superscript"/>
        </w:rPr>
        <w:footnoteReference w:id="36"/>
      </w:r>
      <w:r>
        <w:rPr>
          <w:rFonts w:ascii="Times New Roman" w:hAnsi="Times New Roman" w:cs="Times New Roman"/>
          <w:noProof/>
          <w:sz w:val="24"/>
          <w:szCs w:val="24"/>
        </w:rPr>
        <w:t>. The table below compares the change in non-performing loans between 2004 and 2014 i</w:t>
      </w:r>
      <w:r>
        <w:rPr>
          <w:rFonts w:ascii="Times New Roman" w:hAnsi="Times New Roman" w:cs="Times New Roman"/>
          <w:noProof/>
          <w:sz w:val="24"/>
          <w:szCs w:val="24"/>
        </w:rPr>
        <w:t>n the EU, the United States and Japan. It demonstrates that the Eurozone had the greatest difficulties in liquidating the large portfolios of non-performing loans. Whilst there are several reasons for this, it is clear that cumbersome and lengthy insolvenc</w:t>
      </w:r>
      <w:r>
        <w:rPr>
          <w:rFonts w:ascii="Times New Roman" w:hAnsi="Times New Roman" w:cs="Times New Roman"/>
          <w:noProof/>
          <w:sz w:val="24"/>
          <w:szCs w:val="24"/>
        </w:rPr>
        <w:t>y proceedings, as well as lack of modern restructuring and second chance frameworks contribute significantly to this problem</w:t>
      </w:r>
      <w:r>
        <w:rPr>
          <w:rFonts w:ascii="Times New Roman" w:hAnsi="Times New Roman" w:cs="Times New Roman"/>
          <w:noProof/>
          <w:sz w:val="24"/>
          <w:szCs w:val="24"/>
          <w:vertAlign w:val="superscript"/>
        </w:rPr>
        <w:footnoteReference w:id="37"/>
      </w:r>
      <w:r>
        <w:rPr>
          <w:rFonts w:ascii="Times New Roman" w:hAnsi="Times New Roman" w:cs="Times New Roman"/>
          <w:noProof/>
          <w:sz w:val="24"/>
          <w:szCs w:val="24"/>
        </w:rPr>
        <w:t>.</w:t>
      </w:r>
    </w:p>
    <w:p w:rsidR="00B32D69" w:rsidRDefault="00FB661A">
      <w:pPr>
        <w:spacing w:after="240" w:line="240" w:lineRule="auto"/>
        <w:jc w:val="both"/>
        <w:rPr>
          <w:rFonts w:ascii="Times New Roman" w:hAnsi="Times New Roman" w:cs="Times New Roman"/>
          <w:b/>
          <w:i/>
          <w:noProof/>
          <w:sz w:val="24"/>
          <w:szCs w:val="24"/>
        </w:rPr>
      </w:pPr>
      <w:r>
        <w:rPr>
          <w:rFonts w:ascii="Times New Roman" w:hAnsi="Times New Roman" w:cs="Times New Roman"/>
          <w:b/>
          <w:i/>
          <w:noProof/>
          <w:sz w:val="24"/>
          <w:szCs w:val="24"/>
        </w:rPr>
        <w:t>Chart 1: Non-performing Loans, Provisions and Write-offs in the United States, Eurozone and Japan</w:t>
      </w:r>
    </w:p>
    <w:p w:rsidR="00B32D69" w:rsidRDefault="00FB661A">
      <w:pPr>
        <w:spacing w:after="240" w:line="240" w:lineRule="auto"/>
        <w:jc w:val="center"/>
        <w:rPr>
          <w:rFonts w:ascii="Times New Roman" w:hAnsi="Times New Roman" w:cs="Times New Roman"/>
          <w:b/>
          <w:noProof/>
          <w:sz w:val="24"/>
          <w:szCs w:val="24"/>
        </w:rPr>
      </w:pPr>
      <w:r>
        <w:rPr>
          <w:rFonts w:ascii="Times New Roman" w:hAnsi="Times New Roman" w:cs="Times New Roman"/>
          <w:noProof/>
          <w:sz w:val="24"/>
          <w:szCs w:val="24"/>
          <w:lang w:eastAsia="en-GB"/>
        </w:rPr>
        <w:drawing>
          <wp:inline distT="0" distB="0" distL="0" distR="0">
            <wp:extent cx="2934586" cy="3096402"/>
            <wp:effectExtent l="0" t="0" r="0" b="8890"/>
            <wp:docPr id="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6" name="Content Placeholder 4"/>
                    <pic:cNvPicPr>
                      <a:picLocks noGrp="1"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9015" cy="3101075"/>
                    </a:xfrm>
                    <a:prstGeom prst="rect">
                      <a:avLst/>
                    </a:prstGeom>
                    <a:noFill/>
                    <a:ln>
                      <a:noFill/>
                    </a:ln>
                    <a:effectLst/>
                    <a:extLst/>
                  </pic:spPr>
                </pic:pic>
              </a:graphicData>
            </a:graphic>
          </wp:inline>
        </w:drawing>
      </w:r>
    </w:p>
    <w:p w:rsidR="00B32D69" w:rsidRDefault="00FB661A">
      <w:pPr>
        <w:spacing w:after="240" w:line="240" w:lineRule="auto"/>
        <w:jc w:val="both"/>
        <w:rPr>
          <w:rFonts w:ascii="Times New Roman" w:hAnsi="Times New Roman" w:cs="Times New Roman"/>
          <w:i/>
          <w:noProof/>
          <w:sz w:val="20"/>
          <w:szCs w:val="20"/>
        </w:rPr>
      </w:pPr>
      <w:r>
        <w:rPr>
          <w:rFonts w:ascii="Times New Roman" w:hAnsi="Times New Roman" w:cs="Times New Roman"/>
          <w:i/>
          <w:noProof/>
          <w:sz w:val="20"/>
          <w:szCs w:val="20"/>
        </w:rPr>
        <w:t xml:space="preserve">Source: Euro Area Policies, </w:t>
      </w:r>
      <w:r>
        <w:rPr>
          <w:rFonts w:ascii="Times New Roman" w:hAnsi="Times New Roman" w:cs="Times New Roman"/>
          <w:i/>
          <w:noProof/>
          <w:sz w:val="20"/>
          <w:szCs w:val="20"/>
        </w:rPr>
        <w:t>Selected Issues, IMF July 2015</w:t>
      </w:r>
      <w:r>
        <w:rPr>
          <w:rFonts w:ascii="Times New Roman" w:hAnsi="Times New Roman" w:cs="Times New Roman"/>
          <w:i/>
          <w:noProof/>
          <w:sz w:val="20"/>
          <w:szCs w:val="20"/>
          <w:vertAlign w:val="superscript"/>
        </w:rPr>
        <w:footnoteReference w:id="38"/>
      </w: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with less efficient insolvency frameworks to deleverage non-performing loans are faced with the weight of existing company debt which deters investors, holds back consumption, and creates a situation of debt ov</w:t>
      </w:r>
      <w:r>
        <w:rPr>
          <w:rFonts w:ascii="Times New Roman" w:hAnsi="Times New Roman" w:cs="Times New Roman"/>
          <w:noProof/>
          <w:sz w:val="24"/>
          <w:szCs w:val="24"/>
        </w:rPr>
        <w:t>erhang</w:t>
      </w:r>
      <w:r>
        <w:rPr>
          <w:rFonts w:ascii="Times New Roman" w:hAnsi="Times New Roman" w:cs="Times New Roman"/>
          <w:noProof/>
          <w:sz w:val="24"/>
          <w:szCs w:val="24"/>
          <w:vertAlign w:val="superscript"/>
        </w:rPr>
        <w:footnoteReference w:id="39"/>
      </w:r>
      <w:r>
        <w:rPr>
          <w:rFonts w:ascii="Times New Roman" w:hAnsi="Times New Roman" w:cs="Times New Roman"/>
          <w:noProof/>
          <w:sz w:val="24"/>
          <w:szCs w:val="24"/>
        </w:rPr>
        <w:t>. High levels of non-performing loans in banks' portfolios also undermine their lending capacity for banks and impacts job creation and growth. Studies and data from the International Monetary Fund</w:t>
      </w:r>
      <w:r>
        <w:rPr>
          <w:rFonts w:ascii="Times New Roman" w:hAnsi="Times New Roman" w:cs="Times New Roman"/>
          <w:noProof/>
          <w:sz w:val="24"/>
          <w:szCs w:val="24"/>
          <w:vertAlign w:val="superscript"/>
        </w:rPr>
        <w:footnoteReference w:id="40"/>
      </w:r>
      <w:r>
        <w:rPr>
          <w:rFonts w:ascii="Times New Roman" w:hAnsi="Times New Roman" w:cs="Times New Roman"/>
          <w:noProof/>
          <w:sz w:val="24"/>
          <w:szCs w:val="24"/>
        </w:rPr>
        <w:t xml:space="preserve"> suggest that high indebtedness of EU companies and</w:t>
      </w:r>
      <w:r>
        <w:rPr>
          <w:rFonts w:ascii="Times New Roman" w:hAnsi="Times New Roman" w:cs="Times New Roman"/>
          <w:noProof/>
          <w:sz w:val="24"/>
          <w:szCs w:val="24"/>
        </w:rPr>
        <w:t xml:space="preserve"> the problem of non-performing loans represent an investment barrier and prevent economic growth. As the graph above shows, in the EU the progress has been slower in resolving these impaired loans in comparison to the U.S. or Japan. As long as private debt</w:t>
      </w:r>
      <w:r>
        <w:rPr>
          <w:rFonts w:ascii="Times New Roman" w:hAnsi="Times New Roman" w:cs="Times New Roman"/>
          <w:noProof/>
          <w:sz w:val="24"/>
          <w:szCs w:val="24"/>
        </w:rPr>
        <w:t>s remain at high levels, economic activity may struggle to pick up. The International Monetary Fund calculates that freeing-up capital disposed for non-performing loans could unlock new lending of between EUR 167–€522 billion, provided there is a correspon</w:t>
      </w:r>
      <w:r>
        <w:rPr>
          <w:rFonts w:ascii="Times New Roman" w:hAnsi="Times New Roman" w:cs="Times New Roman"/>
          <w:noProof/>
          <w:sz w:val="24"/>
          <w:szCs w:val="24"/>
        </w:rPr>
        <w:t>ding demand for new loans</w:t>
      </w:r>
      <w:r>
        <w:rPr>
          <w:rFonts w:ascii="Times New Roman" w:hAnsi="Times New Roman" w:cs="Times New Roman"/>
          <w:noProof/>
          <w:sz w:val="24"/>
          <w:szCs w:val="24"/>
          <w:vertAlign w:val="superscript"/>
        </w:rPr>
        <w:footnoteReference w:id="41"/>
      </w:r>
      <w:r>
        <w:rPr>
          <w:rFonts w:ascii="Times New Roman" w:hAnsi="Times New Roman" w:cs="Times New Roman"/>
          <w:noProof/>
          <w:sz w:val="24"/>
          <w:szCs w:val="24"/>
        </w:rPr>
        <w:t xml:space="preserve">. </w:t>
      </w:r>
    </w:p>
    <w:p w:rsidR="00B32D69" w:rsidRDefault="00B32D69">
      <w:pPr>
        <w:spacing w:after="0" w:line="240" w:lineRule="auto"/>
        <w:jc w:val="both"/>
        <w:rPr>
          <w:rFonts w:ascii="Times New Roman" w:hAnsi="Times New Roman" w:cs="Times New Roman"/>
          <w:noProof/>
          <w:sz w:val="24"/>
          <w:szCs w:val="24"/>
        </w:rPr>
      </w:pPr>
    </w:p>
    <w:p w:rsidR="00B32D69" w:rsidRDefault="00FB661A">
      <w:pPr>
        <w:pStyle w:val="Standard"/>
        <w:rPr>
          <w:noProof/>
          <w:sz w:val="24"/>
          <w:szCs w:val="24"/>
        </w:rPr>
      </w:pPr>
      <w:r>
        <w:rPr>
          <w:noProof/>
          <w:sz w:val="24"/>
          <w:szCs w:val="24"/>
        </w:rPr>
        <w:t>Efficient insolvency and restructuring laws can serve to avoid future build-up of non-performing loans since loans on which performance ceases could be enforced more efficiently. Improving legal settings of enforcement regimes</w:t>
      </w:r>
      <w:r>
        <w:rPr>
          <w:noProof/>
          <w:sz w:val="24"/>
          <w:szCs w:val="24"/>
        </w:rPr>
        <w:t xml:space="preserve"> will thus not resolve the issue of existing NPLs over which enforcement proceedings have already started. However, reinforcement of the judiciary setting could still help to speed up the remaining steps of the proceedings. High levels of NPLs have a direc</w:t>
      </w:r>
      <w:r>
        <w:rPr>
          <w:noProof/>
          <w:sz w:val="24"/>
          <w:szCs w:val="24"/>
        </w:rPr>
        <w:t>t consequence on the capacity of banks to support growth. According to the IMF Article IV review of the Euro area, “high levels of NPLs and debt have held back bank lending and investment, limiting the pass through of easier financial conditions.</w:t>
      </w:r>
      <w:r>
        <w:rPr>
          <w:noProof/>
          <w:sz w:val="24"/>
          <w:szCs w:val="24"/>
          <w:vertAlign w:val="superscript"/>
        </w:rPr>
        <w:t xml:space="preserve"> </w:t>
      </w:r>
      <w:r>
        <w:rPr>
          <w:noProof/>
          <w:sz w:val="24"/>
          <w:szCs w:val="24"/>
          <w:vertAlign w:val="superscript"/>
        </w:rPr>
        <w:footnoteReference w:id="42"/>
      </w:r>
      <w:r>
        <w:rPr>
          <w:noProof/>
          <w:sz w:val="24"/>
          <w:szCs w:val="24"/>
        </w:rPr>
        <w:t>” In thi</w:t>
      </w:r>
      <w:r>
        <w:rPr>
          <w:noProof/>
          <w:sz w:val="24"/>
          <w:szCs w:val="24"/>
        </w:rPr>
        <w:t>s way, reforms of insolvency laws can complement other ongoing reforms at the EU level in the banking sector and as regards capital markets.</w:t>
      </w:r>
    </w:p>
    <w:p w:rsidR="00B32D69" w:rsidRDefault="00FB661A">
      <w:pPr>
        <w:keepNext/>
        <w:keepLines/>
        <w:spacing w:before="240" w:after="240" w:line="240" w:lineRule="auto"/>
        <w:outlineLvl w:val="1"/>
        <w:rPr>
          <w:rFonts w:ascii="Times New Roman" w:eastAsiaTheme="majorEastAsia" w:hAnsi="Times New Roman" w:cs="Times New Roman"/>
          <w:b/>
          <w:bCs/>
          <w:noProof/>
          <w:sz w:val="24"/>
          <w:szCs w:val="24"/>
        </w:rPr>
      </w:pPr>
      <w:bookmarkStart w:id="6" w:name="_Toc466452957"/>
      <w:r>
        <w:rPr>
          <w:rFonts w:ascii="Times New Roman" w:eastAsiaTheme="majorEastAsia" w:hAnsi="Times New Roman" w:cs="Times New Roman"/>
          <w:b/>
          <w:bCs/>
          <w:noProof/>
          <w:sz w:val="24"/>
          <w:szCs w:val="24"/>
        </w:rPr>
        <w:t>2.3. Drivers and problems</w:t>
      </w:r>
      <w:bookmarkEnd w:id="6"/>
    </w:p>
    <w:p w:rsidR="00B32D69" w:rsidRDefault="00FB661A">
      <w:pPr>
        <w:rPr>
          <w:noProof/>
        </w:rPr>
      </w:pPr>
      <w:r>
        <w:rPr>
          <w:noProof/>
          <w:lang w:eastAsia="en-GB"/>
        </w:rPr>
        <w:drawing>
          <wp:inline distT="0" distB="0" distL="0" distR="0">
            <wp:extent cx="5760720" cy="39922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er-problems_rev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992245"/>
                    </a:xfrm>
                    <a:prstGeom prst="rect">
                      <a:avLst/>
                    </a:prstGeom>
                  </pic:spPr>
                </pic:pic>
              </a:graphicData>
            </a:graphic>
          </wp:inline>
        </w:drawing>
      </w:r>
    </w:p>
    <w:p w:rsidR="00B32D69" w:rsidRDefault="00FB661A">
      <w:pPr>
        <w:keepNext/>
        <w:keepLines/>
        <w:spacing w:before="600" w:after="240"/>
        <w:outlineLvl w:val="2"/>
        <w:rPr>
          <w:rFonts w:ascii="Times New Roman" w:eastAsiaTheme="majorEastAsia" w:hAnsi="Times New Roman" w:cs="Times New Roman"/>
          <w:b/>
          <w:bCs/>
          <w:noProof/>
          <w:sz w:val="24"/>
          <w:szCs w:val="24"/>
        </w:rPr>
      </w:pPr>
      <w:bookmarkStart w:id="7" w:name="_Toc466452958"/>
      <w:r>
        <w:rPr>
          <w:rFonts w:ascii="Times New Roman" w:eastAsiaTheme="majorEastAsia" w:hAnsi="Times New Roman" w:cs="Times New Roman"/>
          <w:b/>
          <w:bCs/>
          <w:noProof/>
          <w:sz w:val="24"/>
          <w:szCs w:val="24"/>
        </w:rPr>
        <w:t>2.3.1. Drivers</w:t>
      </w:r>
      <w:bookmarkEnd w:id="7"/>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sub-section describes the main drivers which give rise to the </w:t>
      </w:r>
      <w:r>
        <w:rPr>
          <w:rFonts w:ascii="Times New Roman" w:hAnsi="Times New Roman" w:cs="Times New Roman"/>
          <w:noProof/>
          <w:sz w:val="24"/>
          <w:szCs w:val="24"/>
        </w:rPr>
        <w:t>problems explained in section 2.3.2. These drivers were raised by stakeholders in the performed public consultations, in particular in the public consultation on the Green Paper on the Action Plan of the Capital Markets Union</w:t>
      </w:r>
      <w:r>
        <w:rPr>
          <w:rStyle w:val="FootnoteReference"/>
          <w:rFonts w:ascii="Times New Roman" w:hAnsi="Times New Roman"/>
          <w:noProof/>
          <w:sz w:val="24"/>
          <w:szCs w:val="24"/>
        </w:rPr>
        <w:footnoteReference w:id="43"/>
      </w:r>
      <w:r>
        <w:rPr>
          <w:rFonts w:ascii="Times New Roman" w:hAnsi="Times New Roman" w:cs="Times New Roman"/>
          <w:noProof/>
          <w:sz w:val="24"/>
          <w:szCs w:val="24"/>
        </w:rPr>
        <w:t>. Overall, respondents indicat</w:t>
      </w:r>
      <w:r>
        <w:rPr>
          <w:rFonts w:ascii="Times New Roman" w:hAnsi="Times New Roman" w:cs="Times New Roman"/>
          <w:noProof/>
          <w:sz w:val="24"/>
          <w:szCs w:val="24"/>
        </w:rPr>
        <w:t>ed a number of specific issues within the area of insolvency which in their view should be harmonised at EU level, such as preventive restructuring proceedings, out-of-court and hybrid restructuring procedures, second chance for</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entrepreneurs, regulation o</w:t>
      </w:r>
      <w:r>
        <w:rPr>
          <w:rFonts w:ascii="Times New Roman" w:hAnsi="Times New Roman" w:cs="Times New Roman"/>
          <w:noProof/>
          <w:sz w:val="24"/>
          <w:szCs w:val="24"/>
        </w:rPr>
        <w:t>f qualifications, tasks and rights of insolvency practitioners, liability of directors and shadow directors, introduction of a time cap on insolvency procedures, establishment of an EU register with information on insolvencies and a harmonised form for pet</w:t>
      </w:r>
      <w:r>
        <w:rPr>
          <w:rFonts w:ascii="Times New Roman" w:hAnsi="Times New Roman" w:cs="Times New Roman"/>
          <w:noProof/>
          <w:sz w:val="24"/>
          <w:szCs w:val="24"/>
        </w:rPr>
        <w:t>ition claims. Stakeholders suggestions also aimed at harmonisation of requirements for opening insolvency proceedings, including a common definition of default and avoidance actions, restructuring of companies, stay on individual creditor claims and defini</w:t>
      </w:r>
      <w:r>
        <w:rPr>
          <w:rFonts w:ascii="Times New Roman" w:hAnsi="Times New Roman" w:cs="Times New Roman"/>
          <w:noProof/>
          <w:sz w:val="24"/>
          <w:szCs w:val="24"/>
        </w:rPr>
        <w:t>tion of a common discharge period. Other frequently quoted proposals for action suggested harmonisation of ranking of creditors' claims and the issue of personal insolvency</w:t>
      </w:r>
      <w:r>
        <w:rPr>
          <w:rStyle w:val="FootnoteReference"/>
          <w:rFonts w:ascii="Times New Roman" w:hAnsi="Times New Roman"/>
          <w:noProof/>
          <w:sz w:val="24"/>
          <w:szCs w:val="24"/>
        </w:rPr>
        <w:footnoteReference w:id="44"/>
      </w:r>
      <w:r>
        <w:rPr>
          <w:rFonts w:ascii="Times New Roman" w:hAnsi="Times New Roman" w:cs="Times New Roman"/>
          <w:noProof/>
          <w:sz w:val="24"/>
          <w:szCs w:val="24"/>
        </w:rPr>
        <w:t>. Following the consultations with the group of insolvency experts, relevant stakeh</w:t>
      </w:r>
      <w:r>
        <w:rPr>
          <w:rFonts w:ascii="Times New Roman" w:hAnsi="Times New Roman" w:cs="Times New Roman"/>
          <w:noProof/>
          <w:sz w:val="24"/>
          <w:szCs w:val="24"/>
        </w:rPr>
        <w:t>olders and Member States experts, all the issues raised were examined and most of them, although not all</w:t>
      </w:r>
      <w:r>
        <w:rPr>
          <w:rStyle w:val="FootnoteReference"/>
          <w:rFonts w:ascii="Times New Roman" w:hAnsi="Times New Roman"/>
          <w:noProof/>
          <w:sz w:val="24"/>
          <w:szCs w:val="24"/>
        </w:rPr>
        <w:footnoteReference w:id="45"/>
      </w:r>
      <w:r>
        <w:rPr>
          <w:rFonts w:ascii="Times New Roman" w:hAnsi="Times New Roman" w:cs="Times New Roman"/>
          <w:noProof/>
          <w:sz w:val="24"/>
          <w:szCs w:val="24"/>
        </w:rPr>
        <w:t xml:space="preserve">, have been made subject to a deeper analysis and regulatory action as described in the following sub-section A. to E. and in section 5 on substantive </w:t>
      </w:r>
      <w:r>
        <w:rPr>
          <w:rFonts w:ascii="Times New Roman" w:hAnsi="Times New Roman" w:cs="Times New Roman"/>
          <w:noProof/>
          <w:sz w:val="24"/>
          <w:szCs w:val="24"/>
        </w:rPr>
        <w:t>sub-options.</w:t>
      </w:r>
    </w:p>
    <w:p w:rsidR="00B32D69" w:rsidRDefault="00FB661A">
      <w:pPr>
        <w:rPr>
          <w:rFonts w:ascii="Times New Roman" w:hAnsi="Times New Roman" w:cs="Times New Roman"/>
          <w:b/>
          <w:noProof/>
          <w:sz w:val="24"/>
          <w:szCs w:val="24"/>
        </w:rPr>
      </w:pPr>
      <w:r>
        <w:rPr>
          <w:rFonts w:ascii="Times New Roman" w:hAnsi="Times New Roman" w:cs="Times New Roman"/>
          <w:b/>
          <w:noProof/>
          <w:sz w:val="24"/>
          <w:szCs w:val="24"/>
        </w:rPr>
        <w:t>A.</w:t>
      </w:r>
      <w:r>
        <w:rPr>
          <w:rFonts w:ascii="Times New Roman" w:hAnsi="Times New Roman" w:cs="Times New Roman"/>
          <w:b/>
          <w:noProof/>
          <w:sz w:val="24"/>
          <w:szCs w:val="24"/>
        </w:rPr>
        <w:tab/>
        <w:t>Preventive restructuring</w:t>
      </w:r>
    </w:p>
    <w:p w:rsidR="00B32D69" w:rsidRDefault="00FB661A">
      <w:pPr>
        <w:rPr>
          <w:rFonts w:ascii="Times New Roman" w:hAnsi="Times New Roman" w:cs="Times New Roman"/>
          <w:b/>
          <w:noProof/>
          <w:sz w:val="24"/>
          <w:szCs w:val="24"/>
        </w:rPr>
      </w:pPr>
      <w:r>
        <w:rPr>
          <w:rFonts w:ascii="Times New Roman" w:hAnsi="Times New Roman" w:cs="Times New Roman"/>
          <w:b/>
          <w:noProof/>
          <w:sz w:val="24"/>
          <w:szCs w:val="24"/>
        </w:rPr>
        <w:t>A.1. Rules on the possibility of restructuring at an early stage</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later a business initiates restructuring proceedings, the higher the costs of restructuring and the lower the management powers and success rate. </w:t>
      </w:r>
      <w:r>
        <w:rPr>
          <w:rFonts w:ascii="Times New Roman" w:hAnsi="Times New Roman" w:cs="Times New Roman"/>
          <w:noProof/>
          <w:sz w:val="24"/>
          <w:szCs w:val="24"/>
        </w:rPr>
        <w:t>Therefore debtors in financial difficulties should have the possibility to restructure their debts before they are insolvent. That said, the risk of insolvency has to be apparent, for example, because the debtor is unlikely to be able to repay his debts as</w:t>
      </w:r>
      <w:r>
        <w:rPr>
          <w:rFonts w:ascii="Times New Roman" w:hAnsi="Times New Roman" w:cs="Times New Roman"/>
          <w:noProof/>
          <w:sz w:val="24"/>
          <w:szCs w:val="24"/>
        </w:rPr>
        <w:t xml:space="preserve"> they fall due in the foreseeable future</w:t>
      </w:r>
      <w:r>
        <w:rPr>
          <w:rFonts w:ascii="Times New Roman" w:hAnsi="Times New Roman" w:cs="Times New Roman"/>
          <w:noProof/>
          <w:sz w:val="24"/>
          <w:szCs w:val="24"/>
          <w:vertAlign w:val="superscript"/>
        </w:rPr>
        <w:footnoteReference w:id="46"/>
      </w:r>
      <w:r>
        <w:rPr>
          <w:rFonts w:ascii="Times New Roman" w:hAnsi="Times New Roman" w:cs="Times New Roman"/>
          <w:noProof/>
          <w:sz w:val="24"/>
          <w:szCs w:val="24"/>
        </w:rPr>
        <w:t>. However, the overall general statistics demonstrate that less formal procedures are not applied very often in the majority of Member States</w:t>
      </w:r>
      <w:r>
        <w:rPr>
          <w:rFonts w:ascii="Times New Roman" w:hAnsi="Times New Roman" w:cs="Times New Roman"/>
          <w:noProof/>
          <w:sz w:val="24"/>
          <w:szCs w:val="24"/>
          <w:vertAlign w:val="superscript"/>
        </w:rPr>
        <w:footnoteReference w:id="47"/>
      </w:r>
      <w:r>
        <w:rPr>
          <w:rFonts w:ascii="Times New Roman" w:hAnsi="Times New Roman" w:cs="Times New Roman"/>
          <w:noProof/>
          <w:sz w:val="24"/>
          <w:szCs w:val="24"/>
        </w:rPr>
        <w:t>. The highest proportion of restructurings in relation to the overall num</w:t>
      </w:r>
      <w:r>
        <w:rPr>
          <w:rFonts w:ascii="Times New Roman" w:hAnsi="Times New Roman" w:cs="Times New Roman"/>
          <w:noProof/>
          <w:sz w:val="24"/>
          <w:szCs w:val="24"/>
        </w:rPr>
        <w:t>ber of insolvency proceedings in the EU appears to be in France with around 30 % of restructuring proceedings</w:t>
      </w:r>
      <w:r>
        <w:rPr>
          <w:rFonts w:ascii="Times New Roman" w:hAnsi="Times New Roman" w:cs="Times New Roman"/>
          <w:noProof/>
          <w:sz w:val="24"/>
          <w:szCs w:val="24"/>
          <w:vertAlign w:val="superscript"/>
        </w:rPr>
        <w:footnoteReference w:id="48"/>
      </w:r>
      <w:r>
        <w:rPr>
          <w:rFonts w:ascii="Times New Roman" w:hAnsi="Times New Roman" w:cs="Times New Roman"/>
          <w:noProof/>
          <w:sz w:val="24"/>
          <w:szCs w:val="24"/>
        </w:rPr>
        <w:t xml:space="preserve">. For instance, in Spain, where restructuring proceedings have been recently introduced and which shows a situation common to most Member States, </w:t>
      </w:r>
      <w:r>
        <w:rPr>
          <w:rFonts w:ascii="Times New Roman" w:hAnsi="Times New Roman" w:cs="Times New Roman"/>
          <w:noProof/>
          <w:sz w:val="24"/>
          <w:szCs w:val="24"/>
        </w:rPr>
        <w:t>out of all the agreements reached in 2014, only 9.7% were made in an early composition agreement. Since 2010, a smaller number of agreements has been made (with exception of 2013) compared with 2006, 2007 and 2009 where the rates were 22.4%, 25.4% and 21.8</w:t>
      </w:r>
      <w:r>
        <w:rPr>
          <w:rFonts w:ascii="Times New Roman" w:hAnsi="Times New Roman" w:cs="Times New Roman"/>
          <w:noProof/>
          <w:sz w:val="24"/>
          <w:szCs w:val="24"/>
        </w:rPr>
        <w:t xml:space="preserve"> respectively. Most agreements are made as part of ordinary insolvency proceedings and this is the case even more in the last years which might suggest that the latest changes in the law did not succeed in promoting less formal proceedings, or that debtors</w:t>
      </w:r>
      <w:r>
        <w:rPr>
          <w:rFonts w:ascii="Times New Roman" w:hAnsi="Times New Roman" w:cs="Times New Roman"/>
          <w:noProof/>
          <w:sz w:val="24"/>
          <w:szCs w:val="24"/>
        </w:rPr>
        <w:t xml:space="preserve"> are using alternatives, such as the homologation refinancing agreement. This is despite the fact that the median value of recovery rates in the early composition agreements in 2014 was 68.7% of the nominal present value of the debt, whereas in the ordinar</w:t>
      </w:r>
      <w:r>
        <w:rPr>
          <w:rFonts w:ascii="Times New Roman" w:hAnsi="Times New Roman" w:cs="Times New Roman"/>
          <w:noProof/>
          <w:sz w:val="24"/>
          <w:szCs w:val="24"/>
        </w:rPr>
        <w:t>y composition agreement it was only 44.3%. Additionally, recovery rates in early composition agreements were in general higher always higher than in the ordinary composition agreement (see figure below).</w:t>
      </w:r>
    </w:p>
    <w:p w:rsidR="00B32D69" w:rsidRDefault="00FB661A">
      <w:pPr>
        <w:spacing w:line="240" w:lineRule="auto"/>
        <w:jc w:val="both"/>
        <w:rPr>
          <w:rFonts w:ascii="Times New Roman" w:eastAsia="Calibri" w:hAnsi="Times New Roman" w:cs="Times New Roman"/>
          <w:b/>
          <w:bCs/>
          <w:i/>
          <w:noProof/>
          <w:sz w:val="20"/>
          <w:szCs w:val="18"/>
        </w:rPr>
      </w:pPr>
      <w:r>
        <w:rPr>
          <w:rFonts w:ascii="Times New Roman" w:eastAsia="Calibri" w:hAnsi="Times New Roman" w:cs="Times New Roman"/>
          <w:b/>
          <w:bCs/>
          <w:i/>
          <w:noProof/>
          <w:sz w:val="20"/>
          <w:szCs w:val="18"/>
        </w:rPr>
        <w:t>Chart 2: Comparison of median recovery rates in Spai</w:t>
      </w:r>
      <w:r>
        <w:rPr>
          <w:rFonts w:ascii="Times New Roman" w:eastAsia="Calibri" w:hAnsi="Times New Roman" w:cs="Times New Roman"/>
          <w:b/>
          <w:bCs/>
          <w:i/>
          <w:noProof/>
          <w:sz w:val="20"/>
          <w:szCs w:val="18"/>
        </w:rPr>
        <w:t>n between ordinary composition agreements and early composition agreements</w:t>
      </w:r>
    </w:p>
    <w:p w:rsidR="00B32D69" w:rsidRDefault="00FB661A">
      <w:pPr>
        <w:keepNext/>
        <w:spacing w:after="270" w:line="270" w:lineRule="atLeast"/>
        <w:jc w:val="center"/>
        <w:rPr>
          <w:rFonts w:ascii="Century Gothic" w:hAnsi="Century Gothic" w:cs="Times New Roman"/>
          <w:noProof/>
          <w:sz w:val="23"/>
          <w:szCs w:val="20"/>
          <w:lang w:eastAsia="da-DK"/>
        </w:rPr>
      </w:pPr>
      <w:r>
        <w:rPr>
          <w:rFonts w:ascii="Century Gothic" w:hAnsi="Century Gothic" w:cs="Times New Roman"/>
          <w:noProof/>
          <w:sz w:val="23"/>
          <w:szCs w:val="20"/>
          <w:lang w:eastAsia="en-GB"/>
        </w:rPr>
        <w:drawing>
          <wp:inline distT="0" distB="0" distL="0" distR="0">
            <wp:extent cx="4876800" cy="2314575"/>
            <wp:effectExtent l="0" t="0" r="1905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32D69" w:rsidRDefault="00FB661A">
      <w:pPr>
        <w:spacing w:after="120" w:line="240" w:lineRule="auto"/>
        <w:rPr>
          <w:rFonts w:ascii="Times New Roman" w:hAnsi="Times New Roman" w:cs="Times New Roman"/>
          <w:i/>
          <w:noProof/>
        </w:rPr>
      </w:pPr>
      <w:r>
        <w:rPr>
          <w:rFonts w:ascii="Times New Roman" w:hAnsi="Times New Roman" w:cs="Times New Roman"/>
          <w:i/>
          <w:noProof/>
          <w:sz w:val="16"/>
          <w:szCs w:val="16"/>
        </w:rPr>
        <w:t xml:space="preserve">Source: Own elaboration of VVA/ JIIP/ DTI/ Grimaldi  consortium using the data provided by Colegio de Registradores de la Propiedad, Bienes Muebles y Mercantiles de España; * The </w:t>
      </w:r>
      <w:r>
        <w:rPr>
          <w:rFonts w:ascii="Times New Roman" w:hAnsi="Times New Roman" w:cs="Times New Roman"/>
          <w:i/>
          <w:noProof/>
          <w:sz w:val="16"/>
          <w:szCs w:val="16"/>
        </w:rPr>
        <w:t>recovery rates refer to the recovery expectations of the nominal present value for the normal creditors and under the supposition of full payment of what is agreed</w:t>
      </w:r>
      <w:r>
        <w:rPr>
          <w:rFonts w:ascii="Times New Roman" w:hAnsi="Times New Roman" w:cs="Times New Roman"/>
          <w:i/>
          <w:noProof/>
          <w:sz w:val="16"/>
          <w:szCs w:val="16"/>
          <w:vertAlign w:val="superscript"/>
        </w:rPr>
        <w:footnoteReference w:id="49"/>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concern that such preventive procedures can be misused by debtors whose businesses are no</w:t>
      </w:r>
      <w:r>
        <w:rPr>
          <w:rFonts w:ascii="Times New Roman" w:hAnsi="Times New Roman" w:cs="Times New Roman"/>
          <w:noProof/>
          <w:sz w:val="24"/>
          <w:szCs w:val="24"/>
        </w:rPr>
        <w:t>t viable, and should rather be liquated than rescued, has led some Member States to impose high thresholds for entering these procedures. Furthermore, in some Member States debtors are under an obligation to file for formal insolvency procedures as soon as</w:t>
      </w:r>
      <w:r>
        <w:rPr>
          <w:rFonts w:ascii="Times New Roman" w:hAnsi="Times New Roman" w:cs="Times New Roman"/>
          <w:noProof/>
          <w:sz w:val="24"/>
          <w:szCs w:val="24"/>
        </w:rPr>
        <w:t xml:space="preserve"> they are over-indebted (balance sheet test), which may dissuade directors to file for preventive restructuring due to risks of personal liability. SMEs, in particular, are reported to have great difficulties recognising their financial difficulties and th</w:t>
      </w:r>
      <w:r>
        <w:rPr>
          <w:rFonts w:ascii="Times New Roman" w:hAnsi="Times New Roman" w:cs="Times New Roman"/>
          <w:noProof/>
          <w:sz w:val="24"/>
          <w:szCs w:val="24"/>
        </w:rPr>
        <w:t>e need to act quickly to contain the damage</w:t>
      </w:r>
      <w:r>
        <w:rPr>
          <w:rFonts w:ascii="Times New Roman" w:hAnsi="Times New Roman" w:cs="Times New Roman"/>
          <w:noProof/>
          <w:sz w:val="24"/>
          <w:szCs w:val="24"/>
          <w:vertAlign w:val="superscript"/>
        </w:rPr>
        <w:footnoteReference w:id="50"/>
      </w:r>
      <w:r>
        <w:rPr>
          <w:rFonts w:ascii="Times New Roman" w:hAnsi="Times New Roman" w:cs="Times New Roman"/>
          <w:noProof/>
          <w:sz w:val="24"/>
          <w:szCs w:val="24"/>
        </w:rPr>
        <w:t xml:space="preserve">. </w:t>
      </w:r>
    </w:p>
    <w:p w:rsidR="00B32D69" w:rsidRDefault="00FB661A">
      <w:pPr>
        <w:spacing w:line="240" w:lineRule="auto"/>
        <w:jc w:val="both"/>
        <w:rPr>
          <w:rFonts w:ascii="Times New Roman" w:hAnsi="Times New Roman" w:cs="Times New Roman"/>
          <w:b/>
          <w:noProof/>
          <w:sz w:val="24"/>
          <w:szCs w:val="24"/>
        </w:rPr>
      </w:pPr>
      <w:r>
        <w:rPr>
          <w:rFonts w:ascii="Times New Roman" w:hAnsi="Times New Roman" w:cs="Times New Roman"/>
          <w:b/>
          <w:i/>
          <w:noProof/>
          <w:sz w:val="24"/>
          <w:szCs w:val="24"/>
        </w:rPr>
        <w:t>Table 3: Situation in Member States as regards access to restructuring frameworks</w:t>
      </w:r>
    </w:p>
    <w:tbl>
      <w:tblPr>
        <w:tblStyle w:val="TableGrid"/>
        <w:tblW w:w="0" w:type="auto"/>
        <w:tblInd w:w="108" w:type="dxa"/>
        <w:tblLook w:val="04A0" w:firstRow="1" w:lastRow="0" w:firstColumn="1" w:lastColumn="0" w:noHBand="0" w:noVBand="1"/>
      </w:tblPr>
      <w:tblGrid>
        <w:gridCol w:w="6379"/>
        <w:gridCol w:w="2801"/>
      </w:tblGrid>
      <w:tr w:rsidR="00B32D69">
        <w:tc>
          <w:tcPr>
            <w:tcW w:w="6379" w:type="dxa"/>
            <w:shd w:val="clear" w:color="auto" w:fill="D9D9D9" w:themeFill="background1" w:themeFillShade="D9"/>
          </w:tcPr>
          <w:p w:rsidR="00B32D69" w:rsidRDefault="00FB661A">
            <w:pPr>
              <w:jc w:val="center"/>
              <w:rPr>
                <w:rFonts w:ascii="Times New Roman" w:hAnsi="Times New Roman"/>
                <w:b/>
                <w:noProof/>
                <w:sz w:val="24"/>
                <w:szCs w:val="24"/>
              </w:rPr>
            </w:pPr>
            <w:r>
              <w:rPr>
                <w:rFonts w:ascii="Times New Roman" w:hAnsi="Times New Roman"/>
                <w:b/>
                <w:noProof/>
                <w:sz w:val="24"/>
                <w:szCs w:val="24"/>
              </w:rPr>
              <w:t>Access to restructuring</w:t>
            </w:r>
          </w:p>
        </w:tc>
        <w:tc>
          <w:tcPr>
            <w:tcW w:w="2801" w:type="dxa"/>
            <w:shd w:val="clear" w:color="auto" w:fill="D9D9D9" w:themeFill="background1" w:themeFillShade="D9"/>
          </w:tcPr>
          <w:p w:rsidR="00B32D69" w:rsidRDefault="00FB661A">
            <w:pPr>
              <w:jc w:val="center"/>
              <w:rPr>
                <w:rFonts w:ascii="Times New Roman" w:hAnsi="Times New Roman"/>
                <w:b/>
                <w:noProof/>
                <w:sz w:val="24"/>
                <w:szCs w:val="24"/>
              </w:rPr>
            </w:pPr>
            <w:r>
              <w:rPr>
                <w:rFonts w:ascii="Times New Roman" w:hAnsi="Times New Roman"/>
                <w:b/>
                <w:noProof/>
                <w:sz w:val="24"/>
                <w:szCs w:val="24"/>
              </w:rPr>
              <w:t>Member States</w:t>
            </w:r>
          </w:p>
        </w:tc>
      </w:tr>
      <w:tr w:rsidR="00B32D69">
        <w:tc>
          <w:tcPr>
            <w:tcW w:w="6379" w:type="dxa"/>
          </w:tcPr>
          <w:p w:rsidR="00B32D69" w:rsidRDefault="00FB661A">
            <w:pPr>
              <w:jc w:val="both"/>
              <w:rPr>
                <w:rFonts w:ascii="Times New Roman" w:hAnsi="Times New Roman"/>
                <w:noProof/>
                <w:sz w:val="24"/>
                <w:szCs w:val="24"/>
              </w:rPr>
            </w:pPr>
            <w:r>
              <w:rPr>
                <w:rFonts w:ascii="Times New Roman" w:hAnsi="Times New Roman"/>
                <w:noProof/>
                <w:sz w:val="24"/>
                <w:szCs w:val="24"/>
              </w:rPr>
              <w:t xml:space="preserve">No access to any type of defined procedure to restructure debts with creditors before </w:t>
            </w:r>
            <w:r>
              <w:rPr>
                <w:rFonts w:ascii="Times New Roman" w:hAnsi="Times New Roman"/>
                <w:noProof/>
                <w:sz w:val="24"/>
                <w:szCs w:val="24"/>
              </w:rPr>
              <w:t>their companies are actually insolvent or are already late with payments</w:t>
            </w:r>
          </w:p>
        </w:tc>
        <w:tc>
          <w:tcPr>
            <w:tcW w:w="2801" w:type="dxa"/>
          </w:tcPr>
          <w:p w:rsidR="00B32D69" w:rsidRDefault="00FB661A">
            <w:pPr>
              <w:jc w:val="both"/>
              <w:rPr>
                <w:rFonts w:ascii="Times New Roman" w:hAnsi="Times New Roman"/>
                <w:noProof/>
                <w:sz w:val="24"/>
                <w:szCs w:val="24"/>
              </w:rPr>
            </w:pPr>
            <w:r>
              <w:rPr>
                <w:rFonts w:ascii="Times New Roman" w:hAnsi="Times New Roman"/>
                <w:noProof/>
                <w:sz w:val="24"/>
                <w:szCs w:val="24"/>
              </w:rPr>
              <w:t>BG, HU, SK and HR</w:t>
            </w:r>
          </w:p>
        </w:tc>
      </w:tr>
      <w:tr w:rsidR="00B32D69">
        <w:tc>
          <w:tcPr>
            <w:tcW w:w="6379" w:type="dxa"/>
          </w:tcPr>
          <w:p w:rsidR="00B32D69" w:rsidRDefault="00FB661A">
            <w:pPr>
              <w:jc w:val="both"/>
              <w:rPr>
                <w:rFonts w:ascii="Times New Roman" w:hAnsi="Times New Roman"/>
                <w:noProof/>
                <w:sz w:val="24"/>
                <w:szCs w:val="24"/>
              </w:rPr>
            </w:pPr>
            <w:r>
              <w:rPr>
                <w:rFonts w:ascii="Times New Roman" w:hAnsi="Times New Roman"/>
                <w:noProof/>
                <w:sz w:val="24"/>
                <w:szCs w:val="24"/>
              </w:rPr>
              <w:t xml:space="preserve">Possibility to restructure before being insolvent, but under very strict access conditions (e.g. an expert certificate must be filed or proof of a high majority of </w:t>
            </w:r>
            <w:r>
              <w:rPr>
                <w:rFonts w:ascii="Times New Roman" w:hAnsi="Times New Roman"/>
                <w:noProof/>
                <w:sz w:val="24"/>
                <w:szCs w:val="24"/>
              </w:rPr>
              <w:t>creditors already supporting the plan is required, imminent insolvency leading to late filing).</w:t>
            </w:r>
          </w:p>
        </w:tc>
        <w:tc>
          <w:tcPr>
            <w:tcW w:w="2801" w:type="dxa"/>
          </w:tcPr>
          <w:p w:rsidR="00B32D69" w:rsidRDefault="00FB661A">
            <w:pPr>
              <w:jc w:val="both"/>
              <w:rPr>
                <w:rFonts w:ascii="Times New Roman" w:hAnsi="Times New Roman"/>
                <w:noProof/>
                <w:sz w:val="24"/>
                <w:szCs w:val="24"/>
              </w:rPr>
            </w:pPr>
            <w:r>
              <w:rPr>
                <w:rFonts w:ascii="Times New Roman" w:hAnsi="Times New Roman"/>
                <w:noProof/>
                <w:sz w:val="24"/>
                <w:szCs w:val="24"/>
              </w:rPr>
              <w:t>AT, DE, DK, IT and PT</w:t>
            </w:r>
          </w:p>
        </w:tc>
      </w:tr>
      <w:tr w:rsidR="00B32D69" w:rsidRPr="00FB661A">
        <w:tc>
          <w:tcPr>
            <w:tcW w:w="6379" w:type="dxa"/>
          </w:tcPr>
          <w:p w:rsidR="00B32D69" w:rsidRDefault="00FB661A">
            <w:pPr>
              <w:jc w:val="both"/>
              <w:rPr>
                <w:rFonts w:ascii="Times New Roman" w:hAnsi="Times New Roman"/>
                <w:noProof/>
                <w:sz w:val="24"/>
                <w:szCs w:val="24"/>
              </w:rPr>
            </w:pPr>
            <w:r>
              <w:rPr>
                <w:rFonts w:ascii="Times New Roman" w:hAnsi="Times New Roman"/>
                <w:noProof/>
                <w:sz w:val="24"/>
                <w:szCs w:val="24"/>
              </w:rPr>
              <w:t>Possibility to restructure at an early stage when there is a likelihood of insolvency in the future, without strict conditions being atta</w:t>
            </w:r>
            <w:r>
              <w:rPr>
                <w:rFonts w:ascii="Times New Roman" w:hAnsi="Times New Roman"/>
                <w:noProof/>
                <w:sz w:val="24"/>
                <w:szCs w:val="24"/>
              </w:rPr>
              <w:t>ched</w:t>
            </w:r>
          </w:p>
        </w:tc>
        <w:tc>
          <w:tcPr>
            <w:tcW w:w="2801" w:type="dxa"/>
          </w:tcPr>
          <w:p w:rsidR="00B32D69" w:rsidRDefault="00FB661A">
            <w:pPr>
              <w:jc w:val="both"/>
              <w:rPr>
                <w:rFonts w:ascii="Times New Roman" w:hAnsi="Times New Roman"/>
                <w:noProof/>
                <w:sz w:val="24"/>
                <w:szCs w:val="24"/>
                <w:lang w:val="es-ES"/>
              </w:rPr>
            </w:pPr>
            <w:r>
              <w:rPr>
                <w:rFonts w:ascii="Times New Roman" w:hAnsi="Times New Roman"/>
                <w:noProof/>
                <w:sz w:val="24"/>
                <w:szCs w:val="24"/>
                <w:lang w:val="es-ES"/>
              </w:rPr>
              <w:t>BE, CZ, EE, FI, FR, EL, ES, LV, LT, LU, NL, PL, RO, SE, CY, IE and UK</w:t>
            </w:r>
          </w:p>
        </w:tc>
      </w:tr>
    </w:tbl>
    <w:p w:rsidR="00B32D69" w:rsidRDefault="00FB661A">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An early possibility of restructuring and a low threshold for entering into negotiations of a restructuring plan favours the saving of viable businesses channelling them away from </w:t>
      </w:r>
      <w:r>
        <w:rPr>
          <w:rFonts w:ascii="Times New Roman" w:hAnsi="Times New Roman" w:cs="Times New Roman"/>
          <w:noProof/>
          <w:sz w:val="24"/>
          <w:szCs w:val="24"/>
        </w:rPr>
        <w:t>liquidation</w:t>
      </w:r>
      <w:r>
        <w:rPr>
          <w:rFonts w:ascii="Times New Roman" w:hAnsi="Times New Roman" w:cs="Times New Roman"/>
          <w:noProof/>
          <w:sz w:val="24"/>
          <w:szCs w:val="24"/>
          <w:vertAlign w:val="superscript"/>
        </w:rPr>
        <w:footnoteReference w:id="51"/>
      </w:r>
      <w:r>
        <w:rPr>
          <w:rFonts w:ascii="Times New Roman" w:hAnsi="Times New Roman" w:cs="Times New Roman"/>
          <w:noProof/>
          <w:sz w:val="24"/>
          <w:szCs w:val="24"/>
        </w:rPr>
        <w:t xml:space="preserve">. The risk of misuse exists but should be addressed by a proper assessment of the viability of the business in the light of the restructuring plan, adopted by creditors, rather than by imposing strict entry conditions to access the procedures. </w:t>
      </w:r>
    </w:p>
    <w:p w:rsidR="00B32D69" w:rsidRDefault="00FB661A">
      <w:pPr>
        <w:spacing w:before="240"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In the public consultation and during the 'Sounding Board' meetings, most of the stakeholders from business and the financial sector as well as practitioners in the field of restructuring underlined that many economically viable business that could have e</w:t>
      </w:r>
      <w:r>
        <w:rPr>
          <w:rFonts w:ascii="Times New Roman" w:hAnsi="Times New Roman" w:cs="Times New Roman"/>
          <w:noProof/>
          <w:sz w:val="24"/>
          <w:szCs w:val="24"/>
        </w:rPr>
        <w:t>ventually avoid insolvency, end up in bankruptcy because they did not have the possibility to restructure effectively at an early stage. Business sector voiced that the death rate of companies can be reduced by the possibility of early restructuring for vi</w:t>
      </w:r>
      <w:r>
        <w:rPr>
          <w:rFonts w:ascii="Times New Roman" w:hAnsi="Times New Roman" w:cs="Times New Roman"/>
          <w:noProof/>
          <w:sz w:val="24"/>
          <w:szCs w:val="24"/>
        </w:rPr>
        <w:t>able business in difficulties as it would shift the focus away of liquidation. Financial sector also stressed that since creditors’ recovery rates are in general higher where the insolvency framework allows for early and efficient restructuring of viable f</w:t>
      </w:r>
      <w:r>
        <w:rPr>
          <w:rFonts w:ascii="Times New Roman" w:hAnsi="Times New Roman" w:cs="Times New Roman"/>
          <w:noProof/>
          <w:sz w:val="24"/>
          <w:szCs w:val="24"/>
        </w:rPr>
        <w:t>irms and quick resolution of the non-viable ones, the introduction of efficient restructuring procedures in EU will allow creditors to recover more than in the case of liquidation of an insolvent debtor. Trade Unions' representatives warned against the mor</w:t>
      </w:r>
      <w:r>
        <w:rPr>
          <w:rFonts w:ascii="Times New Roman" w:hAnsi="Times New Roman" w:cs="Times New Roman"/>
          <w:noProof/>
          <w:sz w:val="24"/>
          <w:szCs w:val="24"/>
        </w:rPr>
        <w:t>al hazard risk that business may use restructuring frameworks strategically to reduce their liabilities towards workers.</w:t>
      </w:r>
    </w:p>
    <w:p w:rsidR="00B32D69" w:rsidRDefault="00FB661A">
      <w:pPr>
        <w:rPr>
          <w:rFonts w:ascii="Times New Roman" w:hAnsi="Times New Roman" w:cs="Times New Roman"/>
          <w:b/>
          <w:noProof/>
          <w:sz w:val="24"/>
          <w:szCs w:val="24"/>
        </w:rPr>
      </w:pPr>
      <w:r>
        <w:rPr>
          <w:rFonts w:ascii="Times New Roman" w:hAnsi="Times New Roman" w:cs="Times New Roman"/>
          <w:b/>
          <w:noProof/>
          <w:sz w:val="24"/>
          <w:szCs w:val="24"/>
        </w:rPr>
        <w:t xml:space="preserve">A2.Rules on stay of enforcement actions (moratorium) </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stay on enforcement actions by a court suspends the right of a creditor to </w:t>
      </w:r>
      <w:r>
        <w:rPr>
          <w:rFonts w:ascii="Times New Roman" w:hAnsi="Times New Roman" w:cs="Times New Roman"/>
          <w:noProof/>
          <w:sz w:val="24"/>
          <w:szCs w:val="24"/>
        </w:rPr>
        <w:t>enforce its claim against a debtor</w:t>
      </w:r>
      <w:r>
        <w:rPr>
          <w:rFonts w:ascii="Times New Roman" w:hAnsi="Times New Roman" w:cs="Times New Roman"/>
          <w:noProof/>
          <w:sz w:val="24"/>
          <w:szCs w:val="24"/>
          <w:vertAlign w:val="superscript"/>
        </w:rPr>
        <w:footnoteReference w:id="52"/>
      </w:r>
      <w:r>
        <w:rPr>
          <w:rFonts w:ascii="Times New Roman" w:hAnsi="Times New Roman" w:cs="Times New Roman"/>
          <w:noProof/>
          <w:sz w:val="24"/>
          <w:szCs w:val="24"/>
        </w:rPr>
        <w:t>. A properly defined "stay" of individual or collective enforcement actions is a crucial element of any useful restructuring procedure</w:t>
      </w:r>
      <w:r>
        <w:rPr>
          <w:rFonts w:ascii="Times New Roman" w:hAnsi="Times New Roman" w:cs="Times New Roman"/>
          <w:noProof/>
          <w:sz w:val="24"/>
          <w:szCs w:val="24"/>
          <w:vertAlign w:val="superscript"/>
        </w:rPr>
        <w:footnoteReference w:id="53"/>
      </w:r>
      <w:r>
        <w:rPr>
          <w:rFonts w:ascii="Times New Roman" w:hAnsi="Times New Roman" w:cs="Times New Roman"/>
          <w:noProof/>
          <w:sz w:val="24"/>
          <w:szCs w:val="24"/>
        </w:rPr>
        <w:t>. Inadequate or overly restrictive stay provisions are likely to reduce the chances fo</w:t>
      </w:r>
      <w:r>
        <w:rPr>
          <w:rFonts w:ascii="Times New Roman" w:hAnsi="Times New Roman" w:cs="Times New Roman"/>
          <w:noProof/>
          <w:sz w:val="24"/>
          <w:szCs w:val="24"/>
        </w:rPr>
        <w:t>r a successful turnaround and damage the overall value of the business. The application of the stay, as one of the “fundamental debtor protections provided by the bankruptcy laws</w:t>
      </w:r>
      <w:r>
        <w:rPr>
          <w:rFonts w:ascii="Times New Roman" w:hAnsi="Times New Roman" w:cs="Times New Roman"/>
          <w:noProof/>
          <w:sz w:val="24"/>
          <w:szCs w:val="24"/>
          <w:vertAlign w:val="superscript"/>
        </w:rPr>
        <w:footnoteReference w:id="54"/>
      </w:r>
      <w:r>
        <w:rPr>
          <w:rFonts w:ascii="Times New Roman" w:hAnsi="Times New Roman" w:cs="Times New Roman"/>
          <w:noProof/>
          <w:sz w:val="24"/>
          <w:szCs w:val="24"/>
        </w:rPr>
        <w:t>, impacts on the prospects of viability of the company and may give higher re</w:t>
      </w:r>
      <w:r>
        <w:rPr>
          <w:rFonts w:ascii="Times New Roman" w:hAnsi="Times New Roman" w:cs="Times New Roman"/>
          <w:noProof/>
          <w:sz w:val="24"/>
          <w:szCs w:val="24"/>
        </w:rPr>
        <w:t>wards to creditors who started enforcement early</w:t>
      </w:r>
      <w:r>
        <w:rPr>
          <w:rFonts w:ascii="Times New Roman" w:hAnsi="Times New Roman" w:cs="Times New Roman"/>
          <w:noProof/>
          <w:sz w:val="24"/>
          <w:szCs w:val="24"/>
          <w:vertAlign w:val="superscript"/>
        </w:rPr>
        <w:footnoteReference w:id="55"/>
      </w:r>
      <w:r>
        <w:rPr>
          <w:rFonts w:ascii="Times New Roman" w:hAnsi="Times New Roman" w:cs="Times New Roman"/>
          <w:noProof/>
          <w:sz w:val="24"/>
          <w:szCs w:val="24"/>
        </w:rPr>
        <w:t>. This goal will be compromised, however, if creditors are able to seize assets that are essential to the carrying on of the company’s business</w:t>
      </w:r>
      <w:r>
        <w:rPr>
          <w:rFonts w:ascii="Times New Roman" w:hAnsi="Times New Roman" w:cs="Times New Roman"/>
          <w:noProof/>
          <w:sz w:val="24"/>
          <w:szCs w:val="24"/>
          <w:vertAlign w:val="superscript"/>
        </w:rPr>
        <w:footnoteReference w:id="56"/>
      </w:r>
      <w:r>
        <w:rPr>
          <w:rFonts w:ascii="Times New Roman" w:hAnsi="Times New Roman" w:cs="Times New Roman"/>
          <w:noProof/>
          <w:sz w:val="24"/>
          <w:szCs w:val="24"/>
        </w:rPr>
        <w:t xml:space="preserve">. It is thus essential to strike the right balance between the </w:t>
      </w:r>
      <w:r>
        <w:rPr>
          <w:rFonts w:ascii="Times New Roman" w:hAnsi="Times New Roman" w:cs="Times New Roman"/>
          <w:noProof/>
          <w:sz w:val="24"/>
          <w:szCs w:val="24"/>
        </w:rPr>
        <w:t xml:space="preserve">different interests at stake. </w:t>
      </w:r>
    </w:p>
    <w:p w:rsidR="00B32D69" w:rsidRDefault="00FB661A">
      <w:pPr>
        <w:spacing w:after="240" w:line="240" w:lineRule="auto"/>
        <w:jc w:val="both"/>
        <w:rPr>
          <w:rFonts w:ascii="Times New Roman" w:hAnsi="Times New Roman" w:cs="Times New Roman"/>
          <w:i/>
          <w:iCs/>
          <w:noProof/>
          <w:sz w:val="24"/>
          <w:szCs w:val="24"/>
        </w:rPr>
      </w:pPr>
      <w:r>
        <w:rPr>
          <w:rFonts w:ascii="Times New Roman" w:hAnsi="Times New Roman" w:cs="Times New Roman"/>
          <w:b/>
          <w:i/>
          <w:noProof/>
          <w:sz w:val="24"/>
          <w:szCs w:val="24"/>
        </w:rPr>
        <w:t>Table 4: Situation in Member States</w:t>
      </w:r>
      <w:r>
        <w:rPr>
          <w:rFonts w:ascii="Times New Roman" w:hAnsi="Times New Roman" w:cs="Times New Roman"/>
          <w:i/>
          <w:iCs/>
          <w:noProof/>
          <w:sz w:val="24"/>
          <w:szCs w:val="24"/>
        </w:rPr>
        <w:t xml:space="preserve"> </w:t>
      </w:r>
      <w:r>
        <w:rPr>
          <w:rFonts w:ascii="Times New Roman" w:hAnsi="Times New Roman" w:cs="Times New Roman"/>
          <w:b/>
          <w:i/>
          <w:iCs/>
          <w:noProof/>
          <w:sz w:val="24"/>
          <w:szCs w:val="24"/>
        </w:rPr>
        <w:t>as regards rules on stay of enforcement actions</w:t>
      </w:r>
    </w:p>
    <w:tbl>
      <w:tblPr>
        <w:tblStyle w:val="TableGrid"/>
        <w:tblW w:w="0" w:type="auto"/>
        <w:tblInd w:w="108" w:type="dxa"/>
        <w:tblLook w:val="04A0" w:firstRow="1" w:lastRow="0" w:firstColumn="1" w:lastColumn="0" w:noHBand="0" w:noVBand="1"/>
      </w:tblPr>
      <w:tblGrid>
        <w:gridCol w:w="6379"/>
        <w:gridCol w:w="2801"/>
      </w:tblGrid>
      <w:tr w:rsidR="00B32D69">
        <w:tc>
          <w:tcPr>
            <w:tcW w:w="6379" w:type="dxa"/>
            <w:shd w:val="clear" w:color="auto" w:fill="D9D9D9" w:themeFill="background1" w:themeFillShade="D9"/>
          </w:tcPr>
          <w:p w:rsidR="00B32D69" w:rsidRDefault="00FB661A">
            <w:pPr>
              <w:jc w:val="center"/>
              <w:rPr>
                <w:rFonts w:ascii="Times New Roman" w:hAnsi="Times New Roman"/>
                <w:b/>
                <w:noProof/>
                <w:sz w:val="24"/>
                <w:szCs w:val="24"/>
              </w:rPr>
            </w:pPr>
            <w:r>
              <w:rPr>
                <w:rFonts w:ascii="Times New Roman" w:hAnsi="Times New Roman"/>
                <w:b/>
                <w:noProof/>
                <w:sz w:val="24"/>
                <w:szCs w:val="24"/>
              </w:rPr>
              <w:t>Conditions of application of stay of enforcement actions</w:t>
            </w:r>
          </w:p>
        </w:tc>
        <w:tc>
          <w:tcPr>
            <w:tcW w:w="2801" w:type="dxa"/>
            <w:shd w:val="clear" w:color="auto" w:fill="D9D9D9" w:themeFill="background1" w:themeFillShade="D9"/>
          </w:tcPr>
          <w:p w:rsidR="00B32D69" w:rsidRDefault="00FB661A">
            <w:pPr>
              <w:jc w:val="center"/>
              <w:rPr>
                <w:rFonts w:ascii="Times New Roman" w:hAnsi="Times New Roman"/>
                <w:b/>
                <w:noProof/>
                <w:sz w:val="24"/>
                <w:szCs w:val="24"/>
              </w:rPr>
            </w:pPr>
            <w:r>
              <w:rPr>
                <w:rFonts w:ascii="Times New Roman" w:hAnsi="Times New Roman"/>
                <w:b/>
                <w:noProof/>
                <w:sz w:val="24"/>
                <w:szCs w:val="24"/>
              </w:rPr>
              <w:t>Member States</w:t>
            </w:r>
          </w:p>
        </w:tc>
      </w:tr>
      <w:tr w:rsidR="00B32D69">
        <w:tc>
          <w:tcPr>
            <w:tcW w:w="6379" w:type="dxa"/>
          </w:tcPr>
          <w:p w:rsidR="00B32D69" w:rsidRDefault="00FB661A">
            <w:pPr>
              <w:jc w:val="both"/>
              <w:rPr>
                <w:rFonts w:ascii="Times New Roman" w:hAnsi="Times New Roman"/>
                <w:noProof/>
                <w:sz w:val="24"/>
                <w:szCs w:val="24"/>
              </w:rPr>
            </w:pPr>
            <w:r>
              <w:rPr>
                <w:rFonts w:ascii="Times New Roman" w:hAnsi="Times New Roman"/>
                <w:noProof/>
                <w:sz w:val="24"/>
                <w:szCs w:val="24"/>
              </w:rPr>
              <w:t xml:space="preserve">No possibility to obtain a stay of individual enforcement actions in </w:t>
            </w:r>
            <w:r>
              <w:rPr>
                <w:rFonts w:ascii="Times New Roman" w:hAnsi="Times New Roman"/>
                <w:noProof/>
                <w:sz w:val="24"/>
                <w:szCs w:val="24"/>
              </w:rPr>
              <w:t>preventive restructuring procedures</w:t>
            </w:r>
          </w:p>
        </w:tc>
        <w:tc>
          <w:tcPr>
            <w:tcW w:w="2801" w:type="dxa"/>
          </w:tcPr>
          <w:p w:rsidR="00B32D69" w:rsidRDefault="00FB661A">
            <w:pPr>
              <w:jc w:val="both"/>
              <w:rPr>
                <w:rFonts w:ascii="Times New Roman" w:hAnsi="Times New Roman"/>
                <w:noProof/>
                <w:sz w:val="24"/>
                <w:szCs w:val="24"/>
              </w:rPr>
            </w:pPr>
            <w:r>
              <w:rPr>
                <w:rFonts w:ascii="Times New Roman" w:hAnsi="Times New Roman"/>
                <w:noProof/>
                <w:sz w:val="24"/>
                <w:szCs w:val="24"/>
              </w:rPr>
              <w:t>AT</w:t>
            </w:r>
          </w:p>
        </w:tc>
      </w:tr>
      <w:tr w:rsidR="00B32D69">
        <w:trPr>
          <w:trHeight w:val="763"/>
        </w:trPr>
        <w:tc>
          <w:tcPr>
            <w:tcW w:w="6379" w:type="dxa"/>
          </w:tcPr>
          <w:p w:rsidR="00B32D69" w:rsidRDefault="00FB661A">
            <w:pPr>
              <w:jc w:val="both"/>
              <w:rPr>
                <w:rFonts w:ascii="Times New Roman" w:hAnsi="Times New Roman"/>
                <w:noProof/>
                <w:sz w:val="24"/>
                <w:szCs w:val="24"/>
              </w:rPr>
            </w:pPr>
            <w:r>
              <w:rPr>
                <w:rFonts w:ascii="Times New Roman" w:hAnsi="Times New Roman"/>
                <w:noProof/>
                <w:sz w:val="24"/>
                <w:szCs w:val="24"/>
              </w:rPr>
              <w:t>Stay period limited in time, but extendable in more complex cases or upon evidence of progress in negotiations</w:t>
            </w:r>
          </w:p>
        </w:tc>
        <w:tc>
          <w:tcPr>
            <w:tcW w:w="2801" w:type="dxa"/>
          </w:tcPr>
          <w:p w:rsidR="00B32D69" w:rsidRDefault="00FB661A">
            <w:pPr>
              <w:jc w:val="both"/>
              <w:rPr>
                <w:rFonts w:ascii="Times New Roman" w:hAnsi="Times New Roman"/>
                <w:noProof/>
                <w:sz w:val="24"/>
                <w:szCs w:val="24"/>
              </w:rPr>
            </w:pPr>
            <w:r>
              <w:rPr>
                <w:rFonts w:ascii="Times New Roman" w:hAnsi="Times New Roman"/>
                <w:iCs/>
                <w:noProof/>
                <w:sz w:val="24"/>
                <w:szCs w:val="24"/>
              </w:rPr>
              <w:t>CZ, FR, IT, LV, LT, NL, PT, SE, SI, CY, IE and UK</w:t>
            </w:r>
          </w:p>
        </w:tc>
      </w:tr>
      <w:tr w:rsidR="00B32D69">
        <w:trPr>
          <w:trHeight w:val="451"/>
        </w:trPr>
        <w:tc>
          <w:tcPr>
            <w:tcW w:w="6379" w:type="dxa"/>
          </w:tcPr>
          <w:p w:rsidR="00B32D69" w:rsidRDefault="00FB661A">
            <w:pPr>
              <w:rPr>
                <w:rFonts w:ascii="Times New Roman" w:hAnsi="Times New Roman"/>
                <w:noProof/>
                <w:sz w:val="24"/>
                <w:szCs w:val="24"/>
              </w:rPr>
            </w:pPr>
            <w:r>
              <w:rPr>
                <w:rFonts w:ascii="Times New Roman" w:hAnsi="Times New Roman"/>
                <w:noProof/>
                <w:sz w:val="24"/>
                <w:szCs w:val="24"/>
              </w:rPr>
              <w:t>Stay period limited in time and non-extendable in more</w:t>
            </w:r>
            <w:r>
              <w:rPr>
                <w:rFonts w:ascii="Times New Roman" w:hAnsi="Times New Roman"/>
                <w:noProof/>
                <w:sz w:val="24"/>
                <w:szCs w:val="24"/>
              </w:rPr>
              <w:t xml:space="preserve"> complex cases or upon evidence of progress in negotiations</w:t>
            </w:r>
          </w:p>
        </w:tc>
        <w:tc>
          <w:tcPr>
            <w:tcW w:w="2801" w:type="dxa"/>
          </w:tcPr>
          <w:p w:rsidR="00B32D69" w:rsidRDefault="00FB661A">
            <w:pPr>
              <w:jc w:val="both"/>
              <w:rPr>
                <w:rFonts w:ascii="Times New Roman" w:hAnsi="Times New Roman"/>
                <w:iCs/>
                <w:noProof/>
                <w:sz w:val="24"/>
                <w:szCs w:val="24"/>
              </w:rPr>
            </w:pPr>
            <w:r>
              <w:rPr>
                <w:rFonts w:ascii="Times New Roman" w:hAnsi="Times New Roman"/>
                <w:iCs/>
                <w:noProof/>
                <w:sz w:val="24"/>
                <w:szCs w:val="24"/>
              </w:rPr>
              <w:t>DE, ES, EL, PL</w:t>
            </w:r>
          </w:p>
        </w:tc>
      </w:tr>
      <w:tr w:rsidR="00B32D69" w:rsidRPr="00FB661A">
        <w:trPr>
          <w:trHeight w:val="90"/>
        </w:trPr>
        <w:tc>
          <w:tcPr>
            <w:tcW w:w="6379" w:type="dxa"/>
          </w:tcPr>
          <w:p w:rsidR="00B32D69" w:rsidRDefault="00FB661A">
            <w:pPr>
              <w:jc w:val="both"/>
              <w:rPr>
                <w:rFonts w:ascii="Times New Roman" w:hAnsi="Times New Roman"/>
                <w:noProof/>
                <w:sz w:val="24"/>
                <w:szCs w:val="24"/>
              </w:rPr>
            </w:pPr>
            <w:r>
              <w:rPr>
                <w:rFonts w:ascii="Times New Roman" w:hAnsi="Times New Roman"/>
                <w:noProof/>
                <w:sz w:val="24"/>
                <w:szCs w:val="24"/>
              </w:rPr>
              <w:t>Stay may be lifted by the court before the expiry of the stay period if the objectives of the stay can no longer be achieved or evidence of abuse</w:t>
            </w:r>
          </w:p>
        </w:tc>
        <w:tc>
          <w:tcPr>
            <w:tcW w:w="2801" w:type="dxa"/>
          </w:tcPr>
          <w:p w:rsidR="00B32D69" w:rsidRDefault="00FB661A">
            <w:pPr>
              <w:jc w:val="both"/>
              <w:rPr>
                <w:rFonts w:ascii="Times New Roman" w:hAnsi="Times New Roman"/>
                <w:iCs/>
                <w:noProof/>
                <w:sz w:val="24"/>
                <w:szCs w:val="24"/>
                <w:lang w:val="es-ES"/>
              </w:rPr>
            </w:pPr>
            <w:r>
              <w:rPr>
                <w:rFonts w:ascii="Times New Roman" w:hAnsi="Times New Roman"/>
                <w:iCs/>
                <w:noProof/>
                <w:sz w:val="24"/>
                <w:szCs w:val="24"/>
                <w:lang w:val="es-ES"/>
              </w:rPr>
              <w:t>BE, DE, EL, SE, CY, IE</w:t>
            </w:r>
          </w:p>
        </w:tc>
      </w:tr>
      <w:tr w:rsidR="00B32D69">
        <w:tc>
          <w:tcPr>
            <w:tcW w:w="6379" w:type="dxa"/>
          </w:tcPr>
          <w:p w:rsidR="00B32D69" w:rsidRDefault="00FB661A">
            <w:pPr>
              <w:jc w:val="both"/>
              <w:rPr>
                <w:rFonts w:ascii="Times New Roman" w:hAnsi="Times New Roman"/>
                <w:noProof/>
                <w:sz w:val="24"/>
                <w:szCs w:val="24"/>
              </w:rPr>
            </w:pPr>
            <w:r>
              <w:rPr>
                <w:rFonts w:ascii="Times New Roman" w:hAnsi="Times New Roman"/>
                <w:iCs/>
                <w:noProof/>
                <w:sz w:val="24"/>
                <w:szCs w:val="24"/>
              </w:rPr>
              <w:t xml:space="preserve">Stay for </w:t>
            </w:r>
            <w:r>
              <w:rPr>
                <w:rFonts w:ascii="Times New Roman" w:hAnsi="Times New Roman"/>
                <w:iCs/>
                <w:noProof/>
                <w:sz w:val="24"/>
                <w:szCs w:val="24"/>
              </w:rPr>
              <w:t>an indefinite period until the restructuring plan is adopted or rejected</w:t>
            </w:r>
          </w:p>
        </w:tc>
        <w:tc>
          <w:tcPr>
            <w:tcW w:w="2801" w:type="dxa"/>
          </w:tcPr>
          <w:p w:rsidR="00B32D69" w:rsidRDefault="00FB661A">
            <w:pPr>
              <w:jc w:val="both"/>
              <w:rPr>
                <w:rFonts w:ascii="Times New Roman" w:hAnsi="Times New Roman"/>
                <w:noProof/>
                <w:sz w:val="24"/>
                <w:szCs w:val="24"/>
              </w:rPr>
            </w:pPr>
            <w:r>
              <w:rPr>
                <w:rFonts w:ascii="Times New Roman" w:hAnsi="Times New Roman"/>
                <w:iCs/>
                <w:noProof/>
                <w:sz w:val="24"/>
                <w:szCs w:val="24"/>
              </w:rPr>
              <w:t>BE, EE, FI, LU, RO and DK</w:t>
            </w:r>
          </w:p>
        </w:tc>
      </w:tr>
    </w:tbl>
    <w:p w:rsidR="00B32D69" w:rsidRDefault="00FB661A">
      <w:pPr>
        <w:spacing w:before="240" w:after="240" w:line="240" w:lineRule="auto"/>
        <w:jc w:val="both"/>
        <w:rPr>
          <w:rFonts w:ascii="Times New Roman" w:hAnsi="Times New Roman" w:cs="Times New Roman"/>
          <w:noProof/>
          <w:sz w:val="24"/>
          <w:szCs w:val="24"/>
        </w:rPr>
      </w:pPr>
      <w:r>
        <w:rPr>
          <w:rFonts w:ascii="Times New Roman" w:hAnsi="Times New Roman" w:cs="Times New Roman"/>
          <w:iCs/>
          <w:noProof/>
          <w:sz w:val="24"/>
          <w:szCs w:val="24"/>
        </w:rPr>
        <w:t>Most often the stay also means that formal insolvency procedures cannot be opened against the debtor. In some Member States certain actions cannot be "stayed" (e.g. in BE, DK and SE in respect of specific secured transactions; in EE in respect of employmen</w:t>
      </w:r>
      <w:r>
        <w:rPr>
          <w:rFonts w:ascii="Times New Roman" w:hAnsi="Times New Roman" w:cs="Times New Roman"/>
          <w:iCs/>
          <w:noProof/>
          <w:sz w:val="24"/>
          <w:szCs w:val="24"/>
        </w:rPr>
        <w:t xml:space="preserve">t claims). </w:t>
      </w:r>
    </w:p>
    <w:p w:rsidR="00B32D69" w:rsidRDefault="00FB661A">
      <w:pPr>
        <w:spacing w:after="240"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During negotiations of a restructuring plan, the debtor should be able to apply to a court for a suspension of individual enforcement actions ("stay"), otherwise the success of the restructuring process is in jeopardy. The "stay" could be reque</w:t>
      </w:r>
      <w:r>
        <w:rPr>
          <w:rFonts w:ascii="Times New Roman" w:hAnsi="Times New Roman" w:cs="Times New Roman"/>
          <w:iCs/>
          <w:noProof/>
          <w:sz w:val="24"/>
          <w:szCs w:val="24"/>
        </w:rPr>
        <w:t>sted against any type of creditor. The stay would not be effective if, at the same time, the debtor's duty to file for insolvency were not suspended for the period of the stay or if creditors were allowed to enforce their rights through a collective action</w:t>
      </w:r>
      <w:r>
        <w:rPr>
          <w:rFonts w:ascii="Times New Roman" w:hAnsi="Times New Roman" w:cs="Times New Roman"/>
          <w:iCs/>
          <w:noProof/>
          <w:sz w:val="24"/>
          <w:szCs w:val="24"/>
        </w:rPr>
        <w:t xml:space="preserve"> (i.e. opening insolvency proceedings) during this time</w:t>
      </w:r>
      <w:r>
        <w:rPr>
          <w:rFonts w:ascii="Times New Roman" w:hAnsi="Times New Roman" w:cs="Times New Roman"/>
          <w:iCs/>
          <w:noProof/>
          <w:sz w:val="24"/>
          <w:szCs w:val="24"/>
          <w:vertAlign w:val="superscript"/>
        </w:rPr>
        <w:footnoteReference w:id="57"/>
      </w:r>
      <w:r>
        <w:rPr>
          <w:rFonts w:ascii="Times New Roman" w:hAnsi="Times New Roman" w:cs="Times New Roman"/>
          <w:iCs/>
          <w:noProof/>
          <w:sz w:val="24"/>
          <w:szCs w:val="24"/>
        </w:rPr>
        <w:t xml:space="preserve">. </w:t>
      </w:r>
    </w:p>
    <w:p w:rsidR="00B32D69" w:rsidRDefault="00FB661A">
      <w:pPr>
        <w:spacing w:after="240"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During the consultation process, the business sector and experts in the field of restructuring have pointed out that the absence of a 'breathing space' (stay on individual or collective enforcement</w:t>
      </w:r>
      <w:r>
        <w:rPr>
          <w:rFonts w:ascii="Times New Roman" w:hAnsi="Times New Roman" w:cs="Times New Roman"/>
          <w:iCs/>
          <w:noProof/>
          <w:sz w:val="24"/>
          <w:szCs w:val="24"/>
        </w:rPr>
        <w:t xml:space="preserve"> actions) is likely to reduce the prospects of a successful restructuring. They were of the view that businesses in financial difficulties should have the possibility of a necessary amount of time to define a restructuring plan and avoid precipitate credit</w:t>
      </w:r>
      <w:r>
        <w:rPr>
          <w:rFonts w:ascii="Times New Roman" w:hAnsi="Times New Roman" w:cs="Times New Roman"/>
          <w:iCs/>
          <w:noProof/>
          <w:sz w:val="24"/>
          <w:szCs w:val="24"/>
        </w:rPr>
        <w:t>or action. In addition, the financial sector stressed that a stay of a proportionate and appropriate timeframe, along with the possibility for a creditor to lift it under conditions, can contribute to the efficiency of negotiations by striking a balance be</w:t>
      </w:r>
      <w:r>
        <w:rPr>
          <w:rFonts w:ascii="Times New Roman" w:hAnsi="Times New Roman" w:cs="Times New Roman"/>
          <w:iCs/>
          <w:noProof/>
          <w:sz w:val="24"/>
          <w:szCs w:val="24"/>
        </w:rPr>
        <w:t>tween the debtor's and creditors' interests.</w:t>
      </w:r>
    </w:p>
    <w:p w:rsidR="00B32D69" w:rsidRDefault="00FB661A">
      <w:pPr>
        <w:rPr>
          <w:rFonts w:ascii="Times New Roman" w:hAnsi="Times New Roman" w:cs="Times New Roman"/>
          <w:b/>
          <w:noProof/>
          <w:sz w:val="24"/>
          <w:szCs w:val="24"/>
        </w:rPr>
      </w:pPr>
      <w:r>
        <w:rPr>
          <w:rFonts w:ascii="Times New Roman" w:hAnsi="Times New Roman" w:cs="Times New Roman"/>
          <w:b/>
          <w:noProof/>
          <w:sz w:val="24"/>
          <w:szCs w:val="24"/>
        </w:rPr>
        <w:t xml:space="preserve">A3. Rules on debtor-in-possession </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debtor-in-possession is a mechanism ensuring that the management of the debtor will not be displaced in favour of an outside insolvency administrator. The use of this mecha</w:t>
      </w:r>
      <w:r>
        <w:rPr>
          <w:rFonts w:ascii="Times New Roman" w:hAnsi="Times New Roman" w:cs="Times New Roman"/>
          <w:noProof/>
          <w:sz w:val="24"/>
          <w:szCs w:val="24"/>
        </w:rPr>
        <w:t>nism encourages timely use of the restructuring option</w:t>
      </w:r>
      <w:r>
        <w:rPr>
          <w:rFonts w:ascii="Times New Roman" w:hAnsi="Times New Roman" w:cs="Times New Roman"/>
          <w:noProof/>
          <w:sz w:val="24"/>
          <w:szCs w:val="24"/>
          <w:vertAlign w:val="superscript"/>
        </w:rPr>
        <w:footnoteReference w:id="58"/>
      </w:r>
      <w:r>
        <w:rPr>
          <w:rFonts w:ascii="Times New Roman" w:hAnsi="Times New Roman" w:cs="Times New Roman"/>
          <w:noProof/>
          <w:sz w:val="24"/>
          <w:szCs w:val="24"/>
        </w:rPr>
        <w:t xml:space="preserve">. However, the debtor-in-possession is not available in all jurisdictions and not under the same conditions. </w:t>
      </w:r>
      <w:r>
        <w:rPr>
          <w:rFonts w:ascii="Times New Roman" w:hAnsi="Times New Roman" w:cs="Times New Roman"/>
          <w:noProof/>
          <w:snapToGrid w:val="0"/>
          <w:sz w:val="24"/>
          <w:szCs w:val="24"/>
          <w:lang w:eastAsia="zh-CN"/>
        </w:rPr>
        <w:t>The choice between debtor-in-possession and management displacement is not an ‘all-or-nothin</w:t>
      </w:r>
      <w:r>
        <w:rPr>
          <w:rFonts w:ascii="Times New Roman" w:hAnsi="Times New Roman" w:cs="Times New Roman"/>
          <w:noProof/>
          <w:snapToGrid w:val="0"/>
          <w:sz w:val="24"/>
          <w:szCs w:val="24"/>
          <w:lang w:eastAsia="zh-CN"/>
        </w:rPr>
        <w:t>g’ one and there</w:t>
      </w:r>
      <w:r>
        <w:rPr>
          <w:rFonts w:ascii="Times New Roman" w:hAnsi="Times New Roman" w:cs="Times New Roman"/>
          <w:noProof/>
          <w:sz w:val="24"/>
          <w:szCs w:val="24"/>
        </w:rPr>
        <w:t xml:space="preserve"> are in fact a plurality of possible approaches on this issue</w:t>
      </w:r>
      <w:r>
        <w:rPr>
          <w:rFonts w:ascii="Times New Roman" w:hAnsi="Times New Roman" w:cs="Times New Roman"/>
          <w:noProof/>
          <w:sz w:val="24"/>
          <w:szCs w:val="24"/>
          <w:vertAlign w:val="superscript"/>
        </w:rPr>
        <w:footnoteReference w:id="59"/>
      </w:r>
      <w:r>
        <w:rPr>
          <w:rFonts w:ascii="Times New Roman" w:hAnsi="Times New Roman" w:cs="Times New Roman"/>
          <w:noProof/>
          <w:sz w:val="24"/>
          <w:szCs w:val="24"/>
        </w:rPr>
        <w:t>. Evidence from the World Bank Doing Business Index suggests that average recovery rates for creditors in economies where insolvency administrators have a key role in deciding on</w:t>
      </w:r>
      <w:r>
        <w:rPr>
          <w:rFonts w:ascii="Times New Roman" w:hAnsi="Times New Roman" w:cs="Times New Roman"/>
          <w:noProof/>
          <w:sz w:val="24"/>
          <w:szCs w:val="24"/>
        </w:rPr>
        <w:t xml:space="preserve"> the viability of the business are more than 10% higher than in economies where that determination is done by other means</w:t>
      </w:r>
      <w:r>
        <w:rPr>
          <w:rFonts w:ascii="Times New Roman" w:hAnsi="Times New Roman" w:cs="Times New Roman"/>
          <w:noProof/>
          <w:vertAlign w:val="superscript"/>
        </w:rPr>
        <w:footnoteReference w:id="60"/>
      </w:r>
      <w:r>
        <w:rPr>
          <w:rFonts w:ascii="Times New Roman" w:hAnsi="Times New Roman" w:cs="Times New Roman"/>
          <w:noProof/>
          <w:sz w:val="24"/>
          <w:szCs w:val="24"/>
        </w:rPr>
        <w:t>.</w:t>
      </w:r>
    </w:p>
    <w:p w:rsidR="00B32D69" w:rsidRDefault="00B32D69">
      <w:pPr>
        <w:spacing w:after="240" w:line="240" w:lineRule="auto"/>
        <w:jc w:val="both"/>
        <w:rPr>
          <w:rFonts w:ascii="Times New Roman" w:hAnsi="Times New Roman" w:cs="Times New Roman"/>
          <w:noProof/>
          <w:sz w:val="24"/>
          <w:szCs w:val="24"/>
        </w:rPr>
      </w:pPr>
    </w:p>
    <w:p w:rsidR="00B32D69" w:rsidRDefault="00B32D69">
      <w:pPr>
        <w:spacing w:after="240" w:line="240" w:lineRule="auto"/>
        <w:jc w:val="both"/>
        <w:rPr>
          <w:rFonts w:ascii="Times New Roman" w:hAnsi="Times New Roman" w:cs="Times New Roman"/>
          <w:noProof/>
          <w:sz w:val="24"/>
          <w:szCs w:val="24"/>
        </w:rPr>
      </w:pPr>
    </w:p>
    <w:p w:rsidR="00B32D69" w:rsidRDefault="00FB661A">
      <w:pPr>
        <w:spacing w:line="240" w:lineRule="auto"/>
        <w:jc w:val="both"/>
        <w:rPr>
          <w:rFonts w:ascii="Times New Roman" w:hAnsi="Times New Roman" w:cs="Times New Roman"/>
          <w:i/>
          <w:noProof/>
          <w:sz w:val="24"/>
          <w:szCs w:val="24"/>
        </w:rPr>
      </w:pPr>
      <w:r>
        <w:rPr>
          <w:rFonts w:ascii="Times New Roman" w:hAnsi="Times New Roman" w:cs="Times New Roman"/>
          <w:b/>
          <w:i/>
          <w:noProof/>
          <w:sz w:val="24"/>
          <w:szCs w:val="24"/>
        </w:rPr>
        <w:t>Table 5: Situation in Member States</w:t>
      </w:r>
      <w:r>
        <w:rPr>
          <w:rFonts w:ascii="Times New Roman" w:hAnsi="Times New Roman" w:cs="Times New Roman"/>
          <w:i/>
          <w:noProof/>
          <w:sz w:val="24"/>
          <w:szCs w:val="24"/>
        </w:rPr>
        <w:t xml:space="preserve"> </w:t>
      </w:r>
      <w:r>
        <w:rPr>
          <w:rFonts w:ascii="Times New Roman" w:hAnsi="Times New Roman" w:cs="Times New Roman"/>
          <w:b/>
          <w:i/>
          <w:noProof/>
          <w:sz w:val="24"/>
          <w:szCs w:val="24"/>
        </w:rPr>
        <w:t>as regards debtor-in-possession rules</w:t>
      </w:r>
      <w:r>
        <w:rPr>
          <w:rFonts w:ascii="Times New Roman" w:hAnsi="Times New Roman" w:cs="Times New Roman"/>
          <w:i/>
          <w:noProof/>
          <w:sz w:val="24"/>
          <w:szCs w:val="24"/>
        </w:rPr>
        <w:t xml:space="preserve"> </w:t>
      </w:r>
    </w:p>
    <w:tbl>
      <w:tblPr>
        <w:tblStyle w:val="TableGrid"/>
        <w:tblW w:w="0" w:type="auto"/>
        <w:tblInd w:w="108" w:type="dxa"/>
        <w:tblLook w:val="04A0" w:firstRow="1" w:lastRow="0" w:firstColumn="1" w:lastColumn="0" w:noHBand="0" w:noVBand="1"/>
      </w:tblPr>
      <w:tblGrid>
        <w:gridCol w:w="6379"/>
        <w:gridCol w:w="2801"/>
      </w:tblGrid>
      <w:tr w:rsidR="00B32D69">
        <w:tc>
          <w:tcPr>
            <w:tcW w:w="6379" w:type="dxa"/>
            <w:shd w:val="clear" w:color="auto" w:fill="D9D9D9" w:themeFill="background1" w:themeFillShade="D9"/>
          </w:tcPr>
          <w:p w:rsidR="00B32D69" w:rsidRDefault="00FB661A">
            <w:pPr>
              <w:jc w:val="center"/>
              <w:rPr>
                <w:rFonts w:ascii="Times New Roman" w:hAnsi="Times New Roman"/>
                <w:b/>
                <w:noProof/>
                <w:sz w:val="24"/>
                <w:szCs w:val="24"/>
              </w:rPr>
            </w:pPr>
            <w:r>
              <w:rPr>
                <w:rFonts w:ascii="Times New Roman" w:hAnsi="Times New Roman"/>
                <w:b/>
                <w:noProof/>
                <w:sz w:val="24"/>
                <w:szCs w:val="24"/>
              </w:rPr>
              <w:t>Application of debtor-in-possession rules</w:t>
            </w:r>
          </w:p>
        </w:tc>
        <w:tc>
          <w:tcPr>
            <w:tcW w:w="2801" w:type="dxa"/>
            <w:shd w:val="clear" w:color="auto" w:fill="D9D9D9" w:themeFill="background1" w:themeFillShade="D9"/>
          </w:tcPr>
          <w:p w:rsidR="00B32D69" w:rsidRDefault="00FB661A">
            <w:pPr>
              <w:jc w:val="center"/>
              <w:rPr>
                <w:rFonts w:ascii="Times New Roman" w:hAnsi="Times New Roman"/>
                <w:b/>
                <w:noProof/>
                <w:sz w:val="24"/>
                <w:szCs w:val="24"/>
              </w:rPr>
            </w:pPr>
            <w:r>
              <w:rPr>
                <w:rFonts w:ascii="Times New Roman" w:hAnsi="Times New Roman"/>
                <w:b/>
                <w:noProof/>
                <w:sz w:val="24"/>
                <w:szCs w:val="24"/>
              </w:rPr>
              <w:t>Member States</w:t>
            </w:r>
          </w:p>
        </w:tc>
      </w:tr>
      <w:tr w:rsidR="00B32D69">
        <w:tc>
          <w:tcPr>
            <w:tcW w:w="6379" w:type="dxa"/>
          </w:tcPr>
          <w:p w:rsidR="00B32D69" w:rsidRDefault="00FB661A">
            <w:pPr>
              <w:jc w:val="both"/>
              <w:rPr>
                <w:rFonts w:ascii="Times New Roman" w:hAnsi="Times New Roman"/>
                <w:noProof/>
                <w:sz w:val="24"/>
                <w:szCs w:val="24"/>
              </w:rPr>
            </w:pPr>
            <w:r>
              <w:rPr>
                <w:rFonts w:ascii="Times New Roman" w:hAnsi="Times New Roman"/>
                <w:iCs/>
                <w:noProof/>
                <w:sz w:val="24"/>
                <w:szCs w:val="24"/>
              </w:rPr>
              <w:t>Debtor may lose certain powers of control over the business during preventive restructuring procedures</w:t>
            </w:r>
          </w:p>
        </w:tc>
        <w:tc>
          <w:tcPr>
            <w:tcW w:w="2801" w:type="dxa"/>
          </w:tcPr>
          <w:p w:rsidR="00B32D69" w:rsidRDefault="00FB661A">
            <w:pPr>
              <w:jc w:val="both"/>
              <w:rPr>
                <w:rFonts w:ascii="Times New Roman" w:hAnsi="Times New Roman"/>
                <w:noProof/>
                <w:sz w:val="24"/>
                <w:szCs w:val="24"/>
              </w:rPr>
            </w:pPr>
            <w:r>
              <w:rPr>
                <w:rFonts w:ascii="Times New Roman" w:hAnsi="Times New Roman"/>
                <w:iCs/>
                <w:noProof/>
                <w:sz w:val="24"/>
                <w:szCs w:val="24"/>
              </w:rPr>
              <w:t>FR, CY and NL</w:t>
            </w:r>
          </w:p>
        </w:tc>
      </w:tr>
      <w:tr w:rsidR="00B32D69">
        <w:trPr>
          <w:trHeight w:val="763"/>
        </w:trPr>
        <w:tc>
          <w:tcPr>
            <w:tcW w:w="6379" w:type="dxa"/>
          </w:tcPr>
          <w:p w:rsidR="00B32D69" w:rsidRDefault="00FB661A">
            <w:pPr>
              <w:jc w:val="both"/>
              <w:rPr>
                <w:rFonts w:ascii="Times New Roman" w:hAnsi="Times New Roman"/>
                <w:noProof/>
                <w:sz w:val="24"/>
                <w:szCs w:val="24"/>
              </w:rPr>
            </w:pPr>
            <w:r>
              <w:rPr>
                <w:rFonts w:ascii="Times New Roman" w:hAnsi="Times New Roman"/>
                <w:noProof/>
                <w:sz w:val="24"/>
                <w:szCs w:val="24"/>
              </w:rPr>
              <w:t>Debtor left in possession, but an insolvency practitioner or administrator is also appointed to supervise the debtor</w:t>
            </w:r>
          </w:p>
        </w:tc>
        <w:tc>
          <w:tcPr>
            <w:tcW w:w="2801" w:type="dxa"/>
          </w:tcPr>
          <w:p w:rsidR="00B32D69" w:rsidRDefault="00FB661A">
            <w:pPr>
              <w:jc w:val="both"/>
              <w:rPr>
                <w:rFonts w:ascii="Times New Roman" w:hAnsi="Times New Roman"/>
                <w:noProof/>
                <w:sz w:val="24"/>
                <w:szCs w:val="24"/>
              </w:rPr>
            </w:pPr>
            <w:r>
              <w:rPr>
                <w:rFonts w:ascii="Times New Roman" w:hAnsi="Times New Roman"/>
                <w:iCs/>
                <w:noProof/>
                <w:sz w:val="24"/>
                <w:szCs w:val="24"/>
              </w:rPr>
              <w:t>AT, CZ, EE, FI, DE,</w:t>
            </w:r>
            <w:r>
              <w:rPr>
                <w:rFonts w:ascii="Times New Roman" w:hAnsi="Times New Roman"/>
                <w:iCs/>
                <w:noProof/>
                <w:sz w:val="24"/>
                <w:szCs w:val="24"/>
              </w:rPr>
              <w:t xml:space="preserve"> LV, LT, LU, PL, RO, SK, SI, SE, UK, IE and HR</w:t>
            </w:r>
          </w:p>
        </w:tc>
      </w:tr>
      <w:tr w:rsidR="00B32D69">
        <w:trPr>
          <w:trHeight w:val="451"/>
        </w:trPr>
        <w:tc>
          <w:tcPr>
            <w:tcW w:w="6379" w:type="dxa"/>
          </w:tcPr>
          <w:p w:rsidR="00B32D69" w:rsidRDefault="00FB661A">
            <w:pPr>
              <w:rPr>
                <w:rFonts w:ascii="Times New Roman" w:hAnsi="Times New Roman"/>
                <w:noProof/>
                <w:sz w:val="24"/>
                <w:szCs w:val="24"/>
              </w:rPr>
            </w:pPr>
            <w:r>
              <w:rPr>
                <w:rFonts w:ascii="Times New Roman" w:hAnsi="Times New Roman"/>
                <w:iCs/>
                <w:noProof/>
                <w:sz w:val="24"/>
                <w:szCs w:val="24"/>
              </w:rPr>
              <w:t xml:space="preserve">Supervision of the debtor by the court </w:t>
            </w:r>
          </w:p>
        </w:tc>
        <w:tc>
          <w:tcPr>
            <w:tcW w:w="2801" w:type="dxa"/>
          </w:tcPr>
          <w:p w:rsidR="00B32D69" w:rsidRDefault="00FB661A">
            <w:pPr>
              <w:jc w:val="both"/>
              <w:rPr>
                <w:rFonts w:ascii="Times New Roman" w:hAnsi="Times New Roman"/>
                <w:iCs/>
                <w:noProof/>
                <w:sz w:val="24"/>
                <w:szCs w:val="24"/>
              </w:rPr>
            </w:pPr>
            <w:r>
              <w:rPr>
                <w:rFonts w:ascii="Times New Roman" w:hAnsi="Times New Roman"/>
                <w:iCs/>
                <w:noProof/>
                <w:sz w:val="24"/>
                <w:szCs w:val="24"/>
              </w:rPr>
              <w:t>BE</w:t>
            </w:r>
          </w:p>
        </w:tc>
      </w:tr>
      <w:tr w:rsidR="00B32D69">
        <w:trPr>
          <w:trHeight w:val="90"/>
        </w:trPr>
        <w:tc>
          <w:tcPr>
            <w:tcW w:w="6379" w:type="dxa"/>
          </w:tcPr>
          <w:p w:rsidR="00B32D69" w:rsidRDefault="00FB661A">
            <w:pPr>
              <w:jc w:val="both"/>
              <w:rPr>
                <w:rFonts w:ascii="Times New Roman" w:hAnsi="Times New Roman"/>
                <w:noProof/>
                <w:sz w:val="24"/>
                <w:szCs w:val="24"/>
              </w:rPr>
            </w:pPr>
            <w:r>
              <w:rPr>
                <w:rFonts w:ascii="Times New Roman" w:hAnsi="Times New Roman"/>
                <w:noProof/>
                <w:sz w:val="24"/>
                <w:szCs w:val="24"/>
              </w:rPr>
              <w:t>No obligation for a court to appoint insolvency practitioner or administrator (or out-of-court appointment possibility)</w:t>
            </w:r>
          </w:p>
        </w:tc>
        <w:tc>
          <w:tcPr>
            <w:tcW w:w="2801" w:type="dxa"/>
          </w:tcPr>
          <w:p w:rsidR="00B32D69" w:rsidRDefault="00FB661A">
            <w:pPr>
              <w:jc w:val="both"/>
              <w:rPr>
                <w:rFonts w:ascii="Times New Roman" w:hAnsi="Times New Roman"/>
                <w:iCs/>
                <w:noProof/>
                <w:sz w:val="24"/>
                <w:szCs w:val="24"/>
              </w:rPr>
            </w:pPr>
            <w:r>
              <w:rPr>
                <w:rFonts w:ascii="Times New Roman" w:hAnsi="Times New Roman"/>
                <w:iCs/>
                <w:noProof/>
                <w:sz w:val="24"/>
                <w:szCs w:val="24"/>
              </w:rPr>
              <w:t>EL, IT, PT and ES</w:t>
            </w:r>
          </w:p>
        </w:tc>
      </w:tr>
      <w:tr w:rsidR="00B32D69">
        <w:tc>
          <w:tcPr>
            <w:tcW w:w="6379" w:type="dxa"/>
          </w:tcPr>
          <w:p w:rsidR="00B32D69" w:rsidRDefault="00FB661A">
            <w:pPr>
              <w:jc w:val="both"/>
              <w:rPr>
                <w:rFonts w:ascii="Times New Roman" w:hAnsi="Times New Roman"/>
                <w:noProof/>
                <w:sz w:val="24"/>
                <w:szCs w:val="24"/>
              </w:rPr>
            </w:pPr>
            <w:r>
              <w:rPr>
                <w:rFonts w:ascii="Times New Roman" w:hAnsi="Times New Roman"/>
                <w:iCs/>
                <w:noProof/>
                <w:sz w:val="24"/>
                <w:szCs w:val="24"/>
              </w:rPr>
              <w:t>Supervision of insolvency</w:t>
            </w:r>
            <w:r>
              <w:rPr>
                <w:rFonts w:ascii="Times New Roman" w:hAnsi="Times New Roman"/>
                <w:iCs/>
                <w:noProof/>
                <w:sz w:val="24"/>
                <w:szCs w:val="24"/>
              </w:rPr>
              <w:t xml:space="preserve"> practitioner or administrator is not required in a simplified restructuring procedure.</w:t>
            </w:r>
          </w:p>
        </w:tc>
        <w:tc>
          <w:tcPr>
            <w:tcW w:w="2801" w:type="dxa"/>
          </w:tcPr>
          <w:p w:rsidR="00B32D69" w:rsidRDefault="00FB661A">
            <w:pPr>
              <w:jc w:val="both"/>
              <w:rPr>
                <w:rFonts w:ascii="Times New Roman" w:hAnsi="Times New Roman"/>
                <w:noProof/>
                <w:sz w:val="24"/>
                <w:szCs w:val="24"/>
              </w:rPr>
            </w:pPr>
            <w:r>
              <w:rPr>
                <w:rFonts w:ascii="Times New Roman" w:hAnsi="Times New Roman"/>
                <w:iCs/>
                <w:noProof/>
                <w:sz w:val="24"/>
                <w:szCs w:val="24"/>
              </w:rPr>
              <w:t>FI</w:t>
            </w:r>
          </w:p>
        </w:tc>
      </w:tr>
    </w:tbl>
    <w:p w:rsidR="00B32D69" w:rsidRDefault="00FB661A">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the principle of a debtor in possession is not controversial as such, the role and level of involvement of insolvency practitioners must strike a balance betw</w:t>
      </w:r>
      <w:r>
        <w:rPr>
          <w:rFonts w:ascii="Times New Roman" w:hAnsi="Times New Roman" w:cs="Times New Roman"/>
          <w:noProof/>
          <w:sz w:val="24"/>
          <w:szCs w:val="24"/>
        </w:rPr>
        <w:t xml:space="preserve">een the need to ensure the success of proceedings, including the necessary confidence, and cost and effective access to such procedures, in particular for SMEs. </w:t>
      </w:r>
    </w:p>
    <w:p w:rsidR="00B32D69" w:rsidRDefault="00FB661A">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Most of the stakeholders consulted were of the view that the productive capacity of a company </w:t>
      </w:r>
      <w:r>
        <w:rPr>
          <w:rFonts w:ascii="Times New Roman" w:hAnsi="Times New Roman" w:cs="Times New Roman"/>
          <w:noProof/>
          <w:sz w:val="24"/>
          <w:szCs w:val="24"/>
        </w:rPr>
        <w:t>is undermined if the debtors do not have the possibility to keep control over the day-to-day operations of their business. In the public consultation, the business sector particularly mentioned that debtor-in-possession arrangements can promote operational</w:t>
      </w:r>
      <w:r>
        <w:rPr>
          <w:rFonts w:ascii="Times New Roman" w:hAnsi="Times New Roman" w:cs="Times New Roman"/>
          <w:noProof/>
          <w:sz w:val="24"/>
          <w:szCs w:val="24"/>
        </w:rPr>
        <w:t xml:space="preserve"> efficiencies and realise significant cost savings. During the dedicated stakeholders' meetings, some business organisations also voiced that many SMEs are hindered from accessing restructuring, because of the costs and difficulties that the appointment of</w:t>
      </w:r>
      <w:r>
        <w:rPr>
          <w:rFonts w:ascii="Times New Roman" w:hAnsi="Times New Roman" w:cs="Times New Roman"/>
          <w:noProof/>
          <w:sz w:val="24"/>
          <w:szCs w:val="24"/>
        </w:rPr>
        <w:t xml:space="preserve"> a supervisor/administrator entails. On the other hand, it was supported by the business and financial sector that the appointment of a practitioner sometimes is proved necessary, for example, in complex cases or where it is the only way to achieve full tr</w:t>
      </w:r>
      <w:r>
        <w:rPr>
          <w:rFonts w:ascii="Times New Roman" w:hAnsi="Times New Roman" w:cs="Times New Roman"/>
          <w:noProof/>
          <w:sz w:val="24"/>
          <w:szCs w:val="24"/>
        </w:rPr>
        <w:t xml:space="preserve">ansparency for creditors and reduce the risk of abuse, </w:t>
      </w:r>
    </w:p>
    <w:p w:rsidR="00B32D69" w:rsidRDefault="00FB661A">
      <w:pPr>
        <w:rPr>
          <w:rFonts w:ascii="Times New Roman" w:hAnsi="Times New Roman" w:cs="Times New Roman"/>
          <w:b/>
          <w:noProof/>
          <w:sz w:val="24"/>
          <w:szCs w:val="24"/>
        </w:rPr>
      </w:pPr>
      <w:r>
        <w:rPr>
          <w:rFonts w:ascii="Times New Roman" w:hAnsi="Times New Roman" w:cs="Times New Roman"/>
          <w:b/>
          <w:noProof/>
          <w:sz w:val="24"/>
          <w:szCs w:val="24"/>
        </w:rPr>
        <w:t>A4. Rules on the preparation and adoption of restructuring plans</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A company’s ability to make use of a legal proceeding for the adoption of a restructuring plan is integral to any insolvency system aim</w:t>
      </w:r>
      <w:r>
        <w:rPr>
          <w:rFonts w:ascii="Times New Roman" w:hAnsi="Times New Roman" w:cs="Times New Roman"/>
          <w:noProof/>
          <w:color w:val="000000"/>
          <w:sz w:val="24"/>
          <w:szCs w:val="24"/>
        </w:rPr>
        <w:t xml:space="preserve">ing to avoid business failure where possible. </w:t>
      </w:r>
      <w:r>
        <w:rPr>
          <w:rFonts w:ascii="Times New Roman" w:hAnsi="Times New Roman" w:cs="Times New Roman"/>
          <w:noProof/>
          <w:sz w:val="24"/>
          <w:szCs w:val="24"/>
        </w:rPr>
        <w:t>The speed and rules of adoption of a restructuring plan are of crucial importance for a cross-border investor. Both secured and unsecured creditors need to know what the so-called cram down rules</w:t>
      </w:r>
      <w:r>
        <w:rPr>
          <w:rFonts w:ascii="Times New Roman" w:hAnsi="Times New Roman" w:cs="Times New Roman"/>
          <w:noProof/>
          <w:sz w:val="24"/>
          <w:szCs w:val="24"/>
          <w:vertAlign w:val="superscript"/>
        </w:rPr>
        <w:footnoteReference w:id="61"/>
      </w:r>
      <w:r>
        <w:rPr>
          <w:rFonts w:ascii="Times New Roman" w:hAnsi="Times New Roman" w:cs="Times New Roman"/>
          <w:noProof/>
          <w:sz w:val="24"/>
          <w:szCs w:val="24"/>
        </w:rPr>
        <w:t xml:space="preserve"> are, if any, </w:t>
      </w:r>
      <w:r>
        <w:rPr>
          <w:rFonts w:ascii="Times New Roman" w:hAnsi="Times New Roman" w:cs="Times New Roman"/>
          <w:noProof/>
          <w:sz w:val="24"/>
          <w:szCs w:val="24"/>
        </w:rPr>
        <w:t>in the country where the investment is made and what it means for their own prospects of recovery. If the creditor is a shareholder, he needs to know the rights of shareholders in the adoption of the restructuring plan itself and the rate of recovery.</w:t>
      </w:r>
    </w:p>
    <w:p w:rsidR="00B32D69" w:rsidRDefault="00B32D69">
      <w:pPr>
        <w:spacing w:after="240" w:line="240" w:lineRule="auto"/>
        <w:jc w:val="both"/>
        <w:rPr>
          <w:rFonts w:ascii="Times New Roman" w:hAnsi="Times New Roman" w:cs="Times New Roman"/>
          <w:noProof/>
          <w:sz w:val="24"/>
          <w:szCs w:val="24"/>
        </w:rPr>
      </w:pPr>
    </w:p>
    <w:p w:rsidR="00B32D69" w:rsidRDefault="00B32D69">
      <w:pPr>
        <w:spacing w:after="240" w:line="240" w:lineRule="auto"/>
        <w:jc w:val="both"/>
        <w:rPr>
          <w:rFonts w:ascii="Times New Roman" w:hAnsi="Times New Roman" w:cs="Times New Roman"/>
          <w:noProof/>
          <w:sz w:val="24"/>
          <w:szCs w:val="24"/>
        </w:rPr>
      </w:pPr>
    </w:p>
    <w:p w:rsidR="00B32D69" w:rsidRDefault="00FB661A">
      <w:pPr>
        <w:spacing w:line="240" w:lineRule="auto"/>
        <w:jc w:val="both"/>
        <w:rPr>
          <w:rFonts w:ascii="Times New Roman" w:hAnsi="Times New Roman" w:cs="Times New Roman"/>
          <w:i/>
          <w:noProof/>
          <w:sz w:val="24"/>
          <w:szCs w:val="24"/>
        </w:rPr>
      </w:pPr>
      <w:r>
        <w:rPr>
          <w:rFonts w:ascii="Times New Roman" w:hAnsi="Times New Roman" w:cs="Times New Roman"/>
          <w:b/>
          <w:i/>
          <w:noProof/>
          <w:sz w:val="24"/>
          <w:szCs w:val="24"/>
        </w:rPr>
        <w:t>Ta</w:t>
      </w:r>
      <w:r>
        <w:rPr>
          <w:rFonts w:ascii="Times New Roman" w:hAnsi="Times New Roman" w:cs="Times New Roman"/>
          <w:b/>
          <w:i/>
          <w:noProof/>
          <w:sz w:val="24"/>
          <w:szCs w:val="24"/>
        </w:rPr>
        <w:t>ble 6: Situation in Member States</w:t>
      </w:r>
      <w:r>
        <w:rPr>
          <w:rFonts w:ascii="Times New Roman" w:hAnsi="Times New Roman" w:cs="Times New Roman"/>
          <w:i/>
          <w:noProof/>
          <w:sz w:val="24"/>
          <w:szCs w:val="24"/>
        </w:rPr>
        <w:t xml:space="preserve"> </w:t>
      </w:r>
      <w:r>
        <w:rPr>
          <w:rFonts w:ascii="Times New Roman" w:hAnsi="Times New Roman" w:cs="Times New Roman"/>
          <w:b/>
          <w:i/>
          <w:noProof/>
          <w:sz w:val="24"/>
          <w:szCs w:val="24"/>
        </w:rPr>
        <w:t>regarding</w:t>
      </w:r>
      <w:r>
        <w:rPr>
          <w:rFonts w:ascii="Times New Roman" w:hAnsi="Times New Roman" w:cs="Times New Roman"/>
          <w:i/>
          <w:noProof/>
          <w:sz w:val="24"/>
          <w:szCs w:val="24"/>
        </w:rPr>
        <w:t xml:space="preserve"> </w:t>
      </w:r>
      <w:r>
        <w:rPr>
          <w:rFonts w:ascii="Times New Roman" w:hAnsi="Times New Roman" w:cs="Times New Roman"/>
          <w:b/>
          <w:i/>
          <w:noProof/>
          <w:sz w:val="24"/>
          <w:szCs w:val="24"/>
        </w:rPr>
        <w:t>the preparation and adoption of restructuring plans</w:t>
      </w:r>
      <w:r>
        <w:rPr>
          <w:rFonts w:ascii="Times New Roman" w:hAnsi="Times New Roman" w:cs="Times New Roman"/>
          <w:i/>
          <w:noProof/>
          <w:sz w:val="24"/>
          <w:szCs w:val="24"/>
        </w:rPr>
        <w:t xml:space="preserve"> </w:t>
      </w:r>
    </w:p>
    <w:tbl>
      <w:tblPr>
        <w:tblStyle w:val="TableGrid"/>
        <w:tblW w:w="0" w:type="auto"/>
        <w:tblInd w:w="108" w:type="dxa"/>
        <w:tblLook w:val="04A0" w:firstRow="1" w:lastRow="0" w:firstColumn="1" w:lastColumn="0" w:noHBand="0" w:noVBand="1"/>
      </w:tblPr>
      <w:tblGrid>
        <w:gridCol w:w="6379"/>
        <w:gridCol w:w="2801"/>
      </w:tblGrid>
      <w:tr w:rsidR="00B32D69">
        <w:tc>
          <w:tcPr>
            <w:tcW w:w="6379" w:type="dxa"/>
            <w:shd w:val="clear" w:color="auto" w:fill="D9D9D9" w:themeFill="background1" w:themeFillShade="D9"/>
          </w:tcPr>
          <w:p w:rsidR="00B32D69" w:rsidRDefault="00FB661A">
            <w:pPr>
              <w:jc w:val="center"/>
              <w:rPr>
                <w:rFonts w:ascii="Times New Roman" w:hAnsi="Times New Roman"/>
                <w:b/>
                <w:noProof/>
                <w:sz w:val="24"/>
                <w:szCs w:val="24"/>
              </w:rPr>
            </w:pPr>
            <w:r>
              <w:rPr>
                <w:rFonts w:ascii="Times New Roman" w:hAnsi="Times New Roman"/>
                <w:b/>
                <w:noProof/>
                <w:sz w:val="24"/>
                <w:szCs w:val="24"/>
              </w:rPr>
              <w:t>Preparation and adoption of restructuring plans</w:t>
            </w:r>
          </w:p>
        </w:tc>
        <w:tc>
          <w:tcPr>
            <w:tcW w:w="2801" w:type="dxa"/>
            <w:shd w:val="clear" w:color="auto" w:fill="D9D9D9" w:themeFill="background1" w:themeFillShade="D9"/>
          </w:tcPr>
          <w:p w:rsidR="00B32D69" w:rsidRDefault="00FB661A">
            <w:pPr>
              <w:jc w:val="center"/>
              <w:rPr>
                <w:rFonts w:ascii="Times New Roman" w:hAnsi="Times New Roman"/>
                <w:b/>
                <w:noProof/>
                <w:sz w:val="24"/>
                <w:szCs w:val="24"/>
              </w:rPr>
            </w:pPr>
            <w:r>
              <w:rPr>
                <w:rFonts w:ascii="Times New Roman" w:hAnsi="Times New Roman"/>
                <w:b/>
                <w:noProof/>
                <w:sz w:val="24"/>
                <w:szCs w:val="24"/>
              </w:rPr>
              <w:t>Member States</w:t>
            </w:r>
          </w:p>
        </w:tc>
      </w:tr>
      <w:tr w:rsidR="00B32D69">
        <w:tc>
          <w:tcPr>
            <w:tcW w:w="6379" w:type="dxa"/>
          </w:tcPr>
          <w:p w:rsidR="00B32D69" w:rsidRDefault="00FB661A">
            <w:pPr>
              <w:jc w:val="both"/>
              <w:rPr>
                <w:rFonts w:ascii="Times New Roman" w:hAnsi="Times New Roman"/>
                <w:noProof/>
                <w:sz w:val="24"/>
                <w:szCs w:val="24"/>
              </w:rPr>
            </w:pPr>
            <w:r>
              <w:rPr>
                <w:rFonts w:ascii="Times New Roman" w:hAnsi="Times New Roman"/>
                <w:iCs/>
                <w:noProof/>
                <w:sz w:val="24"/>
                <w:szCs w:val="24"/>
              </w:rPr>
              <w:t>No possibility of binding dissenting creditors by majority voting</w:t>
            </w:r>
          </w:p>
        </w:tc>
        <w:tc>
          <w:tcPr>
            <w:tcW w:w="2801" w:type="dxa"/>
          </w:tcPr>
          <w:p w:rsidR="00B32D69" w:rsidRDefault="00FB661A">
            <w:pPr>
              <w:jc w:val="both"/>
              <w:rPr>
                <w:rFonts w:ascii="Times New Roman" w:hAnsi="Times New Roman"/>
                <w:noProof/>
                <w:sz w:val="24"/>
                <w:szCs w:val="24"/>
              </w:rPr>
            </w:pPr>
            <w:r>
              <w:rPr>
                <w:rFonts w:ascii="Times New Roman" w:hAnsi="Times New Roman"/>
                <w:iCs/>
                <w:noProof/>
                <w:sz w:val="24"/>
                <w:szCs w:val="24"/>
              </w:rPr>
              <w:t>AT and LT</w:t>
            </w:r>
          </w:p>
        </w:tc>
      </w:tr>
      <w:tr w:rsidR="00B32D69">
        <w:trPr>
          <w:trHeight w:val="763"/>
        </w:trPr>
        <w:tc>
          <w:tcPr>
            <w:tcW w:w="6379" w:type="dxa"/>
          </w:tcPr>
          <w:p w:rsidR="00B32D69" w:rsidRDefault="00FB661A">
            <w:pPr>
              <w:jc w:val="both"/>
              <w:rPr>
                <w:rFonts w:ascii="Times New Roman" w:hAnsi="Times New Roman"/>
                <w:noProof/>
                <w:sz w:val="24"/>
                <w:szCs w:val="24"/>
              </w:rPr>
            </w:pPr>
            <w:r>
              <w:rPr>
                <w:rFonts w:ascii="Times New Roman" w:hAnsi="Times New Roman"/>
                <w:noProof/>
                <w:sz w:val="24"/>
                <w:szCs w:val="24"/>
              </w:rPr>
              <w:t xml:space="preserve">Possibility of </w:t>
            </w:r>
            <w:r>
              <w:rPr>
                <w:rFonts w:ascii="Times New Roman" w:hAnsi="Times New Roman"/>
                <w:noProof/>
                <w:sz w:val="24"/>
                <w:szCs w:val="24"/>
              </w:rPr>
              <w:t>binding dissenting creditors allowed, but certain categories of creditors are exempted (e.g. public creditors, workers, secured creditors, commercial creditors)</w:t>
            </w:r>
          </w:p>
        </w:tc>
        <w:tc>
          <w:tcPr>
            <w:tcW w:w="2801" w:type="dxa"/>
          </w:tcPr>
          <w:p w:rsidR="00B32D69" w:rsidRDefault="00FB661A">
            <w:pPr>
              <w:jc w:val="both"/>
              <w:rPr>
                <w:rFonts w:ascii="Times New Roman" w:hAnsi="Times New Roman"/>
                <w:noProof/>
                <w:sz w:val="24"/>
                <w:szCs w:val="24"/>
              </w:rPr>
            </w:pPr>
            <w:r>
              <w:rPr>
                <w:rFonts w:ascii="Times New Roman" w:hAnsi="Times New Roman"/>
                <w:iCs/>
                <w:noProof/>
                <w:sz w:val="24"/>
                <w:szCs w:val="24"/>
              </w:rPr>
              <w:t>CZ, EE, EL, ES, HR, IT, LV, LU, NL, PL, PT, SI and the UK</w:t>
            </w:r>
          </w:p>
        </w:tc>
      </w:tr>
      <w:tr w:rsidR="00B32D69">
        <w:trPr>
          <w:trHeight w:val="451"/>
        </w:trPr>
        <w:tc>
          <w:tcPr>
            <w:tcW w:w="6379" w:type="dxa"/>
          </w:tcPr>
          <w:p w:rsidR="00B32D69" w:rsidRDefault="00FB661A">
            <w:pPr>
              <w:rPr>
                <w:rFonts w:ascii="Times New Roman" w:hAnsi="Times New Roman"/>
                <w:noProof/>
                <w:sz w:val="24"/>
                <w:szCs w:val="24"/>
              </w:rPr>
            </w:pPr>
            <w:r>
              <w:rPr>
                <w:rFonts w:ascii="Times New Roman" w:hAnsi="Times New Roman"/>
                <w:iCs/>
                <w:noProof/>
                <w:sz w:val="24"/>
                <w:szCs w:val="24"/>
              </w:rPr>
              <w:t>Creditors are not treated in separat</w:t>
            </w:r>
            <w:r>
              <w:rPr>
                <w:rFonts w:ascii="Times New Roman" w:hAnsi="Times New Roman"/>
                <w:iCs/>
                <w:noProof/>
                <w:sz w:val="24"/>
                <w:szCs w:val="24"/>
              </w:rPr>
              <w:t>e classes for the purposes of voting on a restructuring plan and the restructuring plan is adopted if not opposed by a majority of creditors</w:t>
            </w:r>
          </w:p>
        </w:tc>
        <w:tc>
          <w:tcPr>
            <w:tcW w:w="2801" w:type="dxa"/>
          </w:tcPr>
          <w:p w:rsidR="00B32D69" w:rsidRDefault="00FB661A">
            <w:pPr>
              <w:jc w:val="both"/>
              <w:rPr>
                <w:rFonts w:ascii="Times New Roman" w:hAnsi="Times New Roman"/>
                <w:iCs/>
                <w:noProof/>
                <w:sz w:val="24"/>
                <w:szCs w:val="24"/>
              </w:rPr>
            </w:pPr>
            <w:r>
              <w:rPr>
                <w:rFonts w:ascii="Times New Roman" w:hAnsi="Times New Roman"/>
                <w:iCs/>
                <w:noProof/>
                <w:sz w:val="24"/>
                <w:szCs w:val="24"/>
              </w:rPr>
              <w:t>DK</w:t>
            </w:r>
          </w:p>
        </w:tc>
      </w:tr>
      <w:tr w:rsidR="00B32D69">
        <w:trPr>
          <w:trHeight w:val="90"/>
        </w:trPr>
        <w:tc>
          <w:tcPr>
            <w:tcW w:w="6379" w:type="dxa"/>
          </w:tcPr>
          <w:p w:rsidR="00B32D69" w:rsidRDefault="00FB661A">
            <w:pPr>
              <w:jc w:val="both"/>
              <w:rPr>
                <w:rFonts w:ascii="Times New Roman" w:hAnsi="Times New Roman"/>
                <w:noProof/>
                <w:sz w:val="24"/>
                <w:szCs w:val="24"/>
              </w:rPr>
            </w:pPr>
            <w:r>
              <w:rPr>
                <w:rFonts w:ascii="Times New Roman" w:hAnsi="Times New Roman"/>
                <w:noProof/>
                <w:sz w:val="24"/>
                <w:szCs w:val="24"/>
              </w:rPr>
              <w:t>Simple majority in value for a “cram-down” of liabilities in the course of a voluntary business arrangement</w:t>
            </w:r>
          </w:p>
        </w:tc>
        <w:tc>
          <w:tcPr>
            <w:tcW w:w="2801" w:type="dxa"/>
          </w:tcPr>
          <w:p w:rsidR="00B32D69" w:rsidRDefault="00FB661A">
            <w:pPr>
              <w:jc w:val="both"/>
              <w:rPr>
                <w:rFonts w:ascii="Times New Roman" w:hAnsi="Times New Roman"/>
                <w:iCs/>
                <w:noProof/>
                <w:sz w:val="24"/>
                <w:szCs w:val="24"/>
              </w:rPr>
            </w:pPr>
            <w:r>
              <w:rPr>
                <w:rFonts w:ascii="Times New Roman" w:hAnsi="Times New Roman"/>
                <w:iCs/>
                <w:noProof/>
                <w:sz w:val="24"/>
                <w:szCs w:val="24"/>
              </w:rPr>
              <w:t>CY</w:t>
            </w:r>
          </w:p>
        </w:tc>
      </w:tr>
      <w:tr w:rsidR="00B32D69">
        <w:trPr>
          <w:trHeight w:val="125"/>
        </w:trPr>
        <w:tc>
          <w:tcPr>
            <w:tcW w:w="6379" w:type="dxa"/>
          </w:tcPr>
          <w:p w:rsidR="00B32D69" w:rsidRDefault="00FB661A">
            <w:pPr>
              <w:rPr>
                <w:rFonts w:ascii="Times New Roman" w:hAnsi="Times New Roman"/>
                <w:noProof/>
                <w:sz w:val="24"/>
                <w:szCs w:val="24"/>
              </w:rPr>
            </w:pPr>
            <w:r>
              <w:rPr>
                <w:rFonts w:ascii="Times New Roman" w:hAnsi="Times New Roman"/>
                <w:noProof/>
                <w:sz w:val="24"/>
                <w:szCs w:val="24"/>
              </w:rPr>
              <w:t>Possibility of binding dissenting creditors, but all creditors must be involved, even those whose rights are not affected</w:t>
            </w:r>
          </w:p>
        </w:tc>
        <w:tc>
          <w:tcPr>
            <w:tcW w:w="2801" w:type="dxa"/>
          </w:tcPr>
          <w:p w:rsidR="00B32D69" w:rsidRDefault="00FB661A">
            <w:pPr>
              <w:jc w:val="both"/>
              <w:rPr>
                <w:rFonts w:ascii="Times New Roman" w:hAnsi="Times New Roman"/>
                <w:iCs/>
                <w:noProof/>
                <w:sz w:val="24"/>
                <w:szCs w:val="24"/>
              </w:rPr>
            </w:pPr>
            <w:r>
              <w:rPr>
                <w:rFonts w:ascii="Times New Roman" w:hAnsi="Times New Roman"/>
                <w:iCs/>
                <w:noProof/>
                <w:sz w:val="24"/>
                <w:szCs w:val="24"/>
              </w:rPr>
              <w:t>BE, DE and RO</w:t>
            </w:r>
          </w:p>
        </w:tc>
      </w:tr>
      <w:tr w:rsidR="00B32D69">
        <w:trPr>
          <w:trHeight w:val="140"/>
        </w:trPr>
        <w:tc>
          <w:tcPr>
            <w:tcW w:w="6379" w:type="dxa"/>
          </w:tcPr>
          <w:p w:rsidR="00B32D69" w:rsidRDefault="00FB661A">
            <w:pPr>
              <w:jc w:val="both"/>
              <w:rPr>
                <w:rFonts w:ascii="Times New Roman" w:hAnsi="Times New Roman"/>
                <w:noProof/>
                <w:sz w:val="24"/>
                <w:szCs w:val="24"/>
              </w:rPr>
            </w:pPr>
            <w:r>
              <w:rPr>
                <w:rFonts w:ascii="Times New Roman" w:hAnsi="Times New Roman"/>
                <w:noProof/>
                <w:sz w:val="24"/>
                <w:szCs w:val="24"/>
              </w:rPr>
              <w:t>Possibility that only certain categories of creditors which are affected by the plan are involved (e.g. financial cred</w:t>
            </w:r>
            <w:r>
              <w:rPr>
                <w:rFonts w:ascii="Times New Roman" w:hAnsi="Times New Roman"/>
                <w:noProof/>
                <w:sz w:val="24"/>
                <w:szCs w:val="24"/>
              </w:rPr>
              <w:t>itors)</w:t>
            </w:r>
          </w:p>
        </w:tc>
        <w:tc>
          <w:tcPr>
            <w:tcW w:w="2801" w:type="dxa"/>
          </w:tcPr>
          <w:p w:rsidR="00B32D69" w:rsidRDefault="00FB661A">
            <w:pPr>
              <w:jc w:val="both"/>
              <w:rPr>
                <w:rFonts w:ascii="Times New Roman" w:hAnsi="Times New Roman"/>
                <w:iCs/>
                <w:noProof/>
                <w:sz w:val="24"/>
                <w:szCs w:val="24"/>
              </w:rPr>
            </w:pPr>
            <w:r>
              <w:rPr>
                <w:rFonts w:ascii="Times New Roman" w:hAnsi="Times New Roman"/>
                <w:iCs/>
                <w:noProof/>
                <w:sz w:val="24"/>
                <w:szCs w:val="24"/>
              </w:rPr>
              <w:t>FI, FR and SI</w:t>
            </w:r>
          </w:p>
        </w:tc>
      </w:tr>
    </w:tbl>
    <w:p w:rsidR="00B32D69" w:rsidRDefault="00FB661A">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rules on adoption of restructuring plans should reflect the different interests of creditors (e.g. secured and unsecured) and shareholders and their likely recovery in the event of insolvency. For example, creditors or classes of creditors and sharehol</w:t>
      </w:r>
      <w:r>
        <w:rPr>
          <w:rFonts w:ascii="Times New Roman" w:hAnsi="Times New Roman" w:cs="Times New Roman"/>
          <w:noProof/>
          <w:sz w:val="24"/>
          <w:szCs w:val="24"/>
        </w:rPr>
        <w:t>ders who can no longer profit should not have a decisive say in the adoption of such plans. By giving a bigger say to creditors and shareholders who are "in the money", that is those who can still financially contribute to the rescue of the business, restr</w:t>
      </w:r>
      <w:r>
        <w:rPr>
          <w:rFonts w:ascii="Times New Roman" w:hAnsi="Times New Roman" w:cs="Times New Roman"/>
          <w:noProof/>
          <w:sz w:val="24"/>
          <w:szCs w:val="24"/>
        </w:rPr>
        <w:t xml:space="preserve">ucturing plans would have bigger chances of success in the long term and help debtors avoid relapsing into financial difficulties soon after a first restructuring. </w:t>
      </w:r>
    </w:p>
    <w:p w:rsidR="00B32D69" w:rsidRDefault="00FB661A">
      <w:pPr>
        <w:spacing w:before="240" w:after="240" w:line="240" w:lineRule="auto"/>
        <w:jc w:val="both"/>
        <w:rPr>
          <w:rFonts w:ascii="Times New Roman" w:hAnsi="Times New Roman" w:cs="Times New Roman"/>
          <w:noProof/>
          <w:sz w:val="24"/>
          <w:szCs w:val="24"/>
        </w:rPr>
      </w:pPr>
      <w:r>
        <w:rPr>
          <w:rFonts w:ascii="Georgia" w:hAnsi="Georgia"/>
          <w:b/>
          <w:i/>
          <w:noProof/>
          <w:color w:val="222222"/>
          <w:sz w:val="20"/>
          <w:szCs w:val="20"/>
          <w:lang w:eastAsia="en-GB"/>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0</wp:posOffset>
                </wp:positionV>
                <wp:extent cx="5710687" cy="1690576"/>
                <wp:effectExtent l="0" t="0" r="23495"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687" cy="1690576"/>
                        </a:xfrm>
                        <a:prstGeom prst="rect">
                          <a:avLst/>
                        </a:prstGeom>
                        <a:solidFill>
                          <a:srgbClr val="FFFFFF"/>
                        </a:solidFill>
                        <a:ln w="9525">
                          <a:solidFill>
                            <a:srgbClr val="000000"/>
                          </a:solidFill>
                          <a:miter lim="800000"/>
                          <a:headEnd/>
                          <a:tailEnd/>
                        </a:ln>
                      </wps:spPr>
                      <wps:txbx>
                        <w:txbxContent>
                          <w:p w:rsidR="00B32D69" w:rsidRDefault="00FB661A">
                            <w:pPr>
                              <w:spacing w:after="240" w:line="240" w:lineRule="auto"/>
                              <w:jc w:val="both"/>
                              <w:rPr>
                                <w:rFonts w:ascii="Times New Roman" w:hAnsi="Times New Roman" w:cs="Times New Roman"/>
                                <w:sz w:val="24"/>
                                <w:szCs w:val="24"/>
                              </w:rPr>
                            </w:pPr>
                            <w:r>
                              <w:rPr>
                                <w:rFonts w:ascii="Times New Roman" w:hAnsi="Times New Roman" w:cs="Times New Roman"/>
                                <w:b/>
                                <w:i/>
                                <w:sz w:val="24"/>
                                <w:szCs w:val="24"/>
                                <w:lang w:val="en-US"/>
                              </w:rPr>
                              <w:t>SoLocal</w:t>
                            </w:r>
                            <w:r>
                              <w:rPr>
                                <w:rFonts w:ascii="Times New Roman" w:hAnsi="Times New Roman" w:cs="Times New Roman"/>
                                <w:sz w:val="24"/>
                                <w:szCs w:val="24"/>
                                <w:lang w:val="en-US"/>
                              </w:rPr>
                              <w:t>, the French online marketing group (former YellowPages in France), has 4.400 workers and €1.164 billion euros in debt. On 19 October 2016, the shareholders rejected the group’s debt restructuring during a general meeting. The company’s “Conquer 2018” prop</w:t>
                            </w:r>
                            <w:r>
                              <w:rPr>
                                <w:rFonts w:ascii="Times New Roman" w:hAnsi="Times New Roman" w:cs="Times New Roman"/>
                                <w:sz w:val="24"/>
                                <w:szCs w:val="24"/>
                                <w:lang w:val="en-US"/>
                              </w:rPr>
                              <w:t xml:space="preserve">osal, which aimed at reducing the group’s debt to €400 million and featured a capital increase, required the </w:t>
                            </w:r>
                            <w:hyperlink r:id="rId19" w:tgtFrame="_blank" w:history="1">
                              <w:r>
                                <w:rPr>
                                  <w:rStyle w:val="Hyperlink"/>
                                  <w:rFonts w:ascii="Times New Roman" w:hAnsi="Times New Roman" w:cs="Times New Roman"/>
                                  <w:color w:val="auto"/>
                                  <w:sz w:val="24"/>
                                  <w:szCs w:val="24"/>
                                  <w:u w:val="none"/>
                                  <w:lang w:val="en-US"/>
                                </w:rPr>
                                <w:t>support</w:t>
                              </w:r>
                            </w:hyperlink>
                            <w:r>
                              <w:rPr>
                                <w:rFonts w:ascii="Times New Roman" w:hAnsi="Times New Roman" w:cs="Times New Roman"/>
                                <w:sz w:val="24"/>
                                <w:szCs w:val="24"/>
                                <w:lang w:val="en-US"/>
                              </w:rPr>
                              <w:t xml:space="preserve"> of two-thirds of shareholders, even after the required majority of creditors </w:t>
                            </w:r>
                            <w:hyperlink r:id="rId20" w:tgtFrame="_blank" w:history="1">
                              <w:r>
                                <w:rPr>
                                  <w:rStyle w:val="Hyperlink"/>
                                  <w:rFonts w:ascii="Times New Roman" w:hAnsi="Times New Roman" w:cs="Times New Roman"/>
                                  <w:color w:val="auto"/>
                                  <w:sz w:val="24"/>
                                  <w:szCs w:val="24"/>
                                  <w:u w:val="none"/>
                                  <w:lang w:val="en-US"/>
                                </w:rPr>
                                <w:t>approved</w:t>
                              </w:r>
                            </w:hyperlink>
                            <w:r>
                              <w:rPr>
                                <w:rFonts w:ascii="Times New Roman" w:hAnsi="Times New Roman" w:cs="Times New Roman"/>
                                <w:sz w:val="24"/>
                                <w:szCs w:val="24"/>
                                <w:lang w:val="en-US"/>
                              </w:rPr>
                              <w:t xml:space="preserve"> the financial restructuring. After the shareholders</w:t>
                            </w:r>
                            <w:r>
                              <w:rPr>
                                <w:rFonts w:ascii="Times New Roman" w:hAnsi="Times New Roman" w:cs="Times New Roman"/>
                                <w:sz w:val="24"/>
                                <w:szCs w:val="24"/>
                                <w:lang w:val="en-US"/>
                              </w:rPr>
                              <w:t xml:space="preserve">' vote, creditors have the right to demand immediate payment on SoLocal’s debt as it wouldn’t comply with its September and June leverage </w:t>
                            </w:r>
                            <w:hyperlink r:id="rId21" w:tgtFrame="_blank" w:history="1">
                              <w:r>
                                <w:rPr>
                                  <w:rStyle w:val="Hyperlink"/>
                                  <w:rFonts w:ascii="Times New Roman" w:hAnsi="Times New Roman" w:cs="Times New Roman"/>
                                  <w:color w:val="auto"/>
                                  <w:sz w:val="24"/>
                                  <w:szCs w:val="24"/>
                                  <w:u w:val="none"/>
                                  <w:lang w:val="en-US"/>
                                </w:rPr>
                                <w:t>covenants</w:t>
                              </w:r>
                            </w:hyperlink>
                            <w:r>
                              <w:rPr>
                                <w:rFonts w:ascii="Times New Roman" w:hAnsi="Times New Roman" w:cs="Times New Roman"/>
                                <w:sz w:val="24"/>
                                <w:szCs w:val="24"/>
                                <w:lang w:val="en-US"/>
                              </w:rPr>
                              <w:t>. The company future enters a phase of serious uncertainty.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49.65pt;height:133.1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">
                <v:textbox>
                  <w:txbxContent>
                    <w:p>
                      <w:pPr>
                        <w:spacing w:after="240" w:line="240" w:lineRule="auto"/>
                        <w:jc w:val="both"/>
                        <w:rPr>
                          <w:rFonts w:ascii="Times New Roman" w:hAnsi="Times New Roman" w:cs="Times New Roman"/>
                          <w:sz w:val="24"/>
                          <w:szCs w:val="24"/>
                        </w:rPr>
                      </w:pPr>
                      <w:r>
                        <w:rPr>
                          <w:rFonts w:ascii="Times New Roman" w:hAnsi="Times New Roman" w:cs="Times New Roman"/>
                          <w:b/>
                          <w:i/>
                          <w:sz w:val="24"/>
                          <w:szCs w:val="24"/>
                          <w:lang w:val="en-US"/>
                        </w:rPr>
                        <w:t>SoLocal</w:t>
                      </w:r>
                      <w:r>
                        <w:rPr>
                          <w:rFonts w:ascii="Times New Roman" w:hAnsi="Times New Roman" w:cs="Times New Roman"/>
                          <w:sz w:val="24"/>
                          <w:szCs w:val="24"/>
                          <w:lang w:val="en-US"/>
                        </w:rPr>
                        <w:t xml:space="preserve">, the French online marketing group (former YellowPages in France), has 4.400 workers and €1.164 billion euros in debt. On 19 October 2016, the shareholders rejected the group’s debt restructuring during a general meeting. The company’s “Conquer 2018” proposal, which aimed at reducing the group’s debt to €400 million and featured a capital increase, required the </w:t>
                      </w:r>
                      <w:hyperlink r:id="rId22" w:tgtFrame="_blank" w:history="1">
                        <w:r>
                          <w:rPr>
                            <w:rStyle w:val="Hyperlink"/>
                            <w:rFonts w:ascii="Times New Roman" w:hAnsi="Times New Roman" w:cs="Times New Roman"/>
                            <w:color w:val="auto"/>
                            <w:sz w:val="24"/>
                            <w:szCs w:val="24"/>
                            <w:u w:val="none"/>
                            <w:lang w:val="en-US"/>
                          </w:rPr>
                          <w:t>support</w:t>
                        </w:r>
                      </w:hyperlink>
                      <w:r>
                        <w:rPr>
                          <w:rFonts w:ascii="Times New Roman" w:hAnsi="Times New Roman" w:cs="Times New Roman"/>
                          <w:sz w:val="24"/>
                          <w:szCs w:val="24"/>
                          <w:lang w:val="en-US"/>
                        </w:rPr>
                        <w:t xml:space="preserve"> of two-thirds of shareholders, even after the required majority of creditors </w:t>
                      </w:r>
                      <w:hyperlink r:id="rId23" w:tgtFrame="_blank" w:history="1">
                        <w:r>
                          <w:rPr>
                            <w:rStyle w:val="Hyperlink"/>
                            <w:rFonts w:ascii="Times New Roman" w:hAnsi="Times New Roman" w:cs="Times New Roman"/>
                            <w:color w:val="auto"/>
                            <w:sz w:val="24"/>
                            <w:szCs w:val="24"/>
                            <w:u w:val="none"/>
                            <w:lang w:val="en-US"/>
                          </w:rPr>
                          <w:t>approved</w:t>
                        </w:r>
                      </w:hyperlink>
                      <w:r>
                        <w:rPr>
                          <w:rFonts w:ascii="Times New Roman" w:hAnsi="Times New Roman" w:cs="Times New Roman"/>
                          <w:sz w:val="24"/>
                          <w:szCs w:val="24"/>
                          <w:lang w:val="en-US"/>
                        </w:rPr>
                        <w:t xml:space="preserve"> the financial restructuring. After the shareholders' vote, creditors have the right to demand immediate payment on SoLocal’s debt as it wouldn’t comply with its September and June leverage </w:t>
                      </w:r>
                      <w:hyperlink r:id="rId24" w:tgtFrame="_blank" w:history="1">
                        <w:r>
                          <w:rPr>
                            <w:rStyle w:val="Hyperlink"/>
                            <w:rFonts w:ascii="Times New Roman" w:hAnsi="Times New Roman" w:cs="Times New Roman"/>
                            <w:color w:val="auto"/>
                            <w:sz w:val="24"/>
                            <w:szCs w:val="24"/>
                            <w:u w:val="none"/>
                            <w:lang w:val="en-US"/>
                          </w:rPr>
                          <w:t>covenants</w:t>
                        </w:r>
                      </w:hyperlink>
                      <w:r>
                        <w:rPr>
                          <w:rFonts w:ascii="Times New Roman" w:hAnsi="Times New Roman" w:cs="Times New Roman"/>
                          <w:sz w:val="24"/>
                          <w:szCs w:val="24"/>
                          <w:lang w:val="en-US"/>
                        </w:rPr>
                        <w:t>. The company future enters a phase of serious uncertainty.</w:t>
                      </w:r>
                    </w:p>
                  </w:txbxContent>
                </v:textbox>
              </v:shape>
            </w:pict>
          </mc:Fallback>
        </mc:AlternateContent>
      </w:r>
      <w:r>
        <w:rPr>
          <w:rFonts w:ascii="Georgia" w:hAnsi="Georgia"/>
          <w:noProof/>
          <w:color w:val="222222"/>
          <w:sz w:val="20"/>
          <w:szCs w:val="20"/>
          <w:lang w:val="en-US"/>
        </w:rPr>
        <w:br/>
      </w:r>
    </w:p>
    <w:p w:rsidR="00B32D69" w:rsidRDefault="00B32D69">
      <w:pPr>
        <w:spacing w:before="240" w:after="240" w:line="240" w:lineRule="auto"/>
        <w:jc w:val="both"/>
        <w:rPr>
          <w:rFonts w:ascii="Times New Roman" w:hAnsi="Times New Roman" w:cs="Times New Roman"/>
          <w:noProof/>
          <w:sz w:val="24"/>
          <w:szCs w:val="24"/>
        </w:rPr>
      </w:pPr>
    </w:p>
    <w:p w:rsidR="00B32D69" w:rsidRDefault="00B32D69">
      <w:pPr>
        <w:spacing w:before="240" w:after="240" w:line="240" w:lineRule="auto"/>
        <w:jc w:val="both"/>
        <w:rPr>
          <w:rFonts w:ascii="Times New Roman" w:hAnsi="Times New Roman" w:cs="Times New Roman"/>
          <w:noProof/>
          <w:sz w:val="24"/>
          <w:szCs w:val="24"/>
        </w:rPr>
      </w:pPr>
    </w:p>
    <w:p w:rsidR="00B32D69" w:rsidRDefault="00B32D69">
      <w:pPr>
        <w:spacing w:before="240" w:after="240" w:line="240" w:lineRule="auto"/>
        <w:jc w:val="both"/>
        <w:rPr>
          <w:rFonts w:ascii="Times New Roman" w:hAnsi="Times New Roman" w:cs="Times New Roman"/>
          <w:noProof/>
          <w:sz w:val="24"/>
          <w:szCs w:val="24"/>
        </w:rPr>
      </w:pPr>
    </w:p>
    <w:p w:rsidR="00B32D69" w:rsidRDefault="00B32D69">
      <w:pPr>
        <w:spacing w:before="240" w:after="240" w:line="240" w:lineRule="auto"/>
        <w:jc w:val="both"/>
        <w:rPr>
          <w:rFonts w:ascii="Times New Roman" w:hAnsi="Times New Roman" w:cs="Times New Roman"/>
          <w:noProof/>
          <w:sz w:val="24"/>
          <w:szCs w:val="24"/>
        </w:rPr>
      </w:pPr>
    </w:p>
    <w:p w:rsidR="00B32D69" w:rsidRDefault="00FB661A">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During the consultation process, busin</w:t>
      </w:r>
      <w:r>
        <w:rPr>
          <w:rFonts w:ascii="Times New Roman" w:hAnsi="Times New Roman" w:cs="Times New Roman"/>
          <w:noProof/>
          <w:sz w:val="24"/>
          <w:szCs w:val="24"/>
        </w:rPr>
        <w:t xml:space="preserve">ess sector and practitioners in restructuring said that restructuring cannot be effective and successful if there are no clear rules on the adoption of the plan and on the need for the plan to balance among the different interests. Specifically, they were </w:t>
      </w:r>
      <w:r>
        <w:rPr>
          <w:rFonts w:ascii="Times New Roman" w:hAnsi="Times New Roman" w:cs="Times New Roman"/>
          <w:noProof/>
          <w:sz w:val="24"/>
          <w:szCs w:val="24"/>
        </w:rPr>
        <w:t>of the view that restructuring can have bigger chances to success if the plan is fair and reasonable and leave no creditor worse off than they would be in the most likely alternative scenario, i.e. liquidation. Financial institutions also underlined that u</w:t>
      </w:r>
      <w:r>
        <w:rPr>
          <w:rFonts w:ascii="Times New Roman" w:hAnsi="Times New Roman" w:cs="Times New Roman"/>
          <w:noProof/>
          <w:sz w:val="24"/>
          <w:szCs w:val="24"/>
        </w:rPr>
        <w:t>ncertainty and higher financing costs can only be avoided by ensuring adequate safeguards for secured creditors in cram-down mechanisms. Trade Unions' representatives underlined the importance of preserving the workers' rights to information and consultati</w:t>
      </w:r>
      <w:r>
        <w:rPr>
          <w:rFonts w:ascii="Times New Roman" w:hAnsi="Times New Roman" w:cs="Times New Roman"/>
          <w:noProof/>
          <w:sz w:val="24"/>
          <w:szCs w:val="24"/>
        </w:rPr>
        <w:t xml:space="preserve">on, which are conferred by EU law, in particular where restructuring involves a transfer of parts of the business. </w:t>
      </w:r>
    </w:p>
    <w:p w:rsidR="00B32D69" w:rsidRDefault="00B32D69">
      <w:pPr>
        <w:spacing w:before="240" w:after="240" w:line="240" w:lineRule="auto"/>
        <w:jc w:val="both"/>
        <w:rPr>
          <w:rFonts w:ascii="Times New Roman" w:hAnsi="Times New Roman" w:cs="Times New Roman"/>
          <w:noProof/>
          <w:sz w:val="24"/>
          <w:szCs w:val="24"/>
        </w:rPr>
      </w:pPr>
    </w:p>
    <w:p w:rsidR="00B32D69" w:rsidRDefault="00FB661A">
      <w:pPr>
        <w:rPr>
          <w:rFonts w:ascii="Times New Roman" w:hAnsi="Times New Roman" w:cs="Times New Roman"/>
          <w:b/>
          <w:noProof/>
          <w:sz w:val="24"/>
          <w:szCs w:val="24"/>
        </w:rPr>
      </w:pPr>
      <w:r>
        <w:rPr>
          <w:rFonts w:ascii="Times New Roman" w:hAnsi="Times New Roman" w:cs="Times New Roman"/>
          <w:b/>
          <w:noProof/>
          <w:sz w:val="24"/>
          <w:szCs w:val="24"/>
        </w:rPr>
        <w:t>A5. Rules on provision of new financing in restructuring</w:t>
      </w:r>
    </w:p>
    <w:p w:rsidR="00B32D69" w:rsidRDefault="00FB661A">
      <w:pPr>
        <w:spacing w:after="240" w:line="240" w:lineRule="auto"/>
        <w:jc w:val="both"/>
        <w:rPr>
          <w:rFonts w:ascii="Times New Roman" w:hAnsi="Times New Roman" w:cs="Times New Roman"/>
          <w:i/>
          <w:noProof/>
          <w:sz w:val="24"/>
          <w:szCs w:val="24"/>
        </w:rPr>
      </w:pPr>
      <w:r>
        <w:rPr>
          <w:rFonts w:ascii="Times New Roman" w:hAnsi="Times New Roman" w:cs="Times New Roman"/>
          <w:noProof/>
          <w:sz w:val="24"/>
          <w:szCs w:val="24"/>
        </w:rPr>
        <w:t xml:space="preserve">If new financing is necessary for the success of restructuring, the protection of </w:t>
      </w:r>
      <w:r>
        <w:rPr>
          <w:rFonts w:ascii="Times New Roman" w:hAnsi="Times New Roman" w:cs="Times New Roman"/>
          <w:noProof/>
          <w:sz w:val="24"/>
          <w:szCs w:val="24"/>
        </w:rPr>
        <w:t>the parties providing this funding is of vital importance for the rescued company</w:t>
      </w:r>
      <w:r>
        <w:rPr>
          <w:rFonts w:ascii="Times New Roman" w:hAnsi="Times New Roman" w:cs="Times New Roman"/>
          <w:noProof/>
          <w:sz w:val="24"/>
          <w:szCs w:val="24"/>
          <w:vertAlign w:val="superscript"/>
        </w:rPr>
        <w:footnoteReference w:id="62"/>
      </w:r>
      <w:r>
        <w:rPr>
          <w:rFonts w:ascii="Times New Roman" w:hAnsi="Times New Roman" w:cs="Times New Roman"/>
          <w:i/>
          <w:noProof/>
          <w:sz w:val="24"/>
          <w:szCs w:val="24"/>
        </w:rPr>
        <w:t xml:space="preserve">. </w:t>
      </w:r>
      <w:r>
        <w:rPr>
          <w:rFonts w:ascii="Times New Roman" w:hAnsi="Times New Roman" w:cs="Times New Roman"/>
          <w:noProof/>
          <w:sz w:val="24"/>
          <w:szCs w:val="24"/>
        </w:rPr>
        <w:t>In the absence of debtor-in-possession financing arrangements, under which a company under court-supervised protection can receive additional financing, a distressed compan</w:t>
      </w:r>
      <w:r>
        <w:rPr>
          <w:rFonts w:ascii="Times New Roman" w:hAnsi="Times New Roman" w:cs="Times New Roman"/>
          <w:noProof/>
          <w:sz w:val="24"/>
          <w:szCs w:val="24"/>
        </w:rPr>
        <w:t xml:space="preserve">y has to rely on existing creditors to meet its interim funding requirements whilst a restructuring plan is devised. The process with a large number of financial institutions having differing strategies and involved in complicated cross-border proceedings </w:t>
      </w:r>
      <w:r>
        <w:rPr>
          <w:rFonts w:ascii="Times New Roman" w:hAnsi="Times New Roman" w:cs="Times New Roman"/>
          <w:noProof/>
          <w:sz w:val="24"/>
          <w:szCs w:val="24"/>
        </w:rPr>
        <w:t>often leads to conflicting objectives</w:t>
      </w:r>
      <w:r>
        <w:rPr>
          <w:rFonts w:ascii="Times New Roman" w:hAnsi="Times New Roman" w:cs="Times New Roman"/>
          <w:noProof/>
          <w:sz w:val="24"/>
          <w:szCs w:val="24"/>
          <w:vertAlign w:val="superscript"/>
        </w:rPr>
        <w:footnoteReference w:id="63"/>
      </w:r>
      <w:r>
        <w:rPr>
          <w:rFonts w:ascii="Times New Roman" w:hAnsi="Times New Roman" w:cs="Times New Roman"/>
          <w:noProof/>
          <w:sz w:val="24"/>
          <w:szCs w:val="24"/>
        </w:rPr>
        <w:t>. Weak protection of parties providing new sources of financing diminishes the prospects of viability of the company and also of recovery rates</w:t>
      </w:r>
      <w:r>
        <w:rPr>
          <w:rFonts w:ascii="Times New Roman" w:hAnsi="Times New Roman" w:cs="Times New Roman"/>
          <w:noProof/>
          <w:sz w:val="24"/>
          <w:szCs w:val="24"/>
          <w:vertAlign w:val="superscript"/>
        </w:rPr>
        <w:footnoteReference w:id="64"/>
      </w:r>
      <w:r>
        <w:rPr>
          <w:rFonts w:ascii="Times New Roman" w:hAnsi="Times New Roman" w:cs="Times New Roman"/>
          <w:i/>
          <w:noProof/>
          <w:sz w:val="24"/>
          <w:szCs w:val="24"/>
        </w:rPr>
        <w:t>.</w:t>
      </w:r>
    </w:p>
    <w:p w:rsidR="00B32D69" w:rsidRDefault="00FB661A">
      <w:pPr>
        <w:spacing w:after="240" w:line="240" w:lineRule="auto"/>
        <w:jc w:val="both"/>
        <w:rPr>
          <w:rFonts w:ascii="Times New Roman" w:hAnsi="Times New Roman" w:cs="Times New Roman"/>
          <w:i/>
          <w:noProof/>
          <w:sz w:val="24"/>
          <w:szCs w:val="24"/>
        </w:rPr>
      </w:pPr>
      <w:r>
        <w:rPr>
          <w:rFonts w:ascii="Times New Roman" w:hAnsi="Times New Roman" w:cs="Times New Roman"/>
          <w:b/>
          <w:i/>
          <w:noProof/>
          <w:sz w:val="24"/>
          <w:szCs w:val="24"/>
        </w:rPr>
        <w:t>Table 7: Situation in Member States as regards provision of new financin</w:t>
      </w:r>
      <w:r>
        <w:rPr>
          <w:rFonts w:ascii="Times New Roman" w:hAnsi="Times New Roman" w:cs="Times New Roman"/>
          <w:b/>
          <w:i/>
          <w:noProof/>
          <w:sz w:val="24"/>
          <w:szCs w:val="24"/>
        </w:rPr>
        <w:t>g in restructuring</w:t>
      </w:r>
    </w:p>
    <w:tbl>
      <w:tblPr>
        <w:tblStyle w:val="TableGrid"/>
        <w:tblW w:w="0" w:type="auto"/>
        <w:tblInd w:w="108" w:type="dxa"/>
        <w:tblLook w:val="04A0" w:firstRow="1" w:lastRow="0" w:firstColumn="1" w:lastColumn="0" w:noHBand="0" w:noVBand="1"/>
      </w:tblPr>
      <w:tblGrid>
        <w:gridCol w:w="1655"/>
        <w:gridCol w:w="5008"/>
        <w:gridCol w:w="2517"/>
      </w:tblGrid>
      <w:tr w:rsidR="00B32D69">
        <w:tc>
          <w:tcPr>
            <w:tcW w:w="6663" w:type="dxa"/>
            <w:gridSpan w:val="2"/>
            <w:shd w:val="clear" w:color="auto" w:fill="D9D9D9" w:themeFill="background1" w:themeFillShade="D9"/>
          </w:tcPr>
          <w:p w:rsidR="00B32D69" w:rsidRDefault="00FB661A">
            <w:pPr>
              <w:jc w:val="center"/>
              <w:rPr>
                <w:rFonts w:ascii="Times New Roman" w:hAnsi="Times New Roman"/>
                <w:b/>
                <w:noProof/>
                <w:sz w:val="24"/>
                <w:szCs w:val="24"/>
              </w:rPr>
            </w:pPr>
            <w:r>
              <w:rPr>
                <w:rFonts w:ascii="Times New Roman" w:hAnsi="Times New Roman"/>
                <w:b/>
                <w:noProof/>
                <w:sz w:val="24"/>
                <w:szCs w:val="24"/>
              </w:rPr>
              <w:t>Conditions of provision of new financing in restructuring</w:t>
            </w:r>
          </w:p>
        </w:tc>
        <w:tc>
          <w:tcPr>
            <w:tcW w:w="2517" w:type="dxa"/>
            <w:shd w:val="clear" w:color="auto" w:fill="D9D9D9" w:themeFill="background1" w:themeFillShade="D9"/>
          </w:tcPr>
          <w:p w:rsidR="00B32D69" w:rsidRDefault="00FB661A">
            <w:pPr>
              <w:jc w:val="center"/>
              <w:rPr>
                <w:rFonts w:ascii="Times New Roman" w:hAnsi="Times New Roman"/>
                <w:b/>
                <w:noProof/>
                <w:sz w:val="24"/>
                <w:szCs w:val="24"/>
              </w:rPr>
            </w:pPr>
            <w:r>
              <w:rPr>
                <w:rFonts w:ascii="Times New Roman" w:hAnsi="Times New Roman"/>
                <w:b/>
                <w:noProof/>
                <w:sz w:val="24"/>
                <w:szCs w:val="24"/>
              </w:rPr>
              <w:t>Member States</w:t>
            </w:r>
          </w:p>
        </w:tc>
      </w:tr>
      <w:tr w:rsidR="00B32D69">
        <w:tc>
          <w:tcPr>
            <w:tcW w:w="6663" w:type="dxa"/>
            <w:gridSpan w:val="2"/>
          </w:tcPr>
          <w:p w:rsidR="00B32D69" w:rsidRDefault="00FB661A">
            <w:pPr>
              <w:jc w:val="both"/>
              <w:rPr>
                <w:rFonts w:ascii="Times New Roman" w:hAnsi="Times New Roman"/>
                <w:noProof/>
                <w:sz w:val="24"/>
                <w:szCs w:val="24"/>
              </w:rPr>
            </w:pPr>
            <w:r>
              <w:rPr>
                <w:rFonts w:ascii="Times New Roman" w:hAnsi="Times New Roman"/>
                <w:noProof/>
                <w:sz w:val="24"/>
                <w:szCs w:val="24"/>
              </w:rPr>
              <w:t>No special protection provided in relation to parties who provide new financing</w:t>
            </w:r>
            <w:r>
              <w:rPr>
                <w:rFonts w:ascii="Times New Roman" w:hAnsi="Times New Roman"/>
                <w:noProof/>
                <w:sz w:val="24"/>
                <w:szCs w:val="24"/>
                <w:vertAlign w:val="superscript"/>
              </w:rPr>
              <w:footnoteReference w:id="65"/>
            </w:r>
          </w:p>
        </w:tc>
        <w:tc>
          <w:tcPr>
            <w:tcW w:w="2517" w:type="dxa"/>
          </w:tcPr>
          <w:p w:rsidR="00B32D69" w:rsidRDefault="00FB661A">
            <w:pPr>
              <w:jc w:val="both"/>
              <w:rPr>
                <w:rFonts w:ascii="Times New Roman" w:hAnsi="Times New Roman"/>
                <w:noProof/>
                <w:sz w:val="24"/>
                <w:szCs w:val="24"/>
              </w:rPr>
            </w:pPr>
            <w:r>
              <w:rPr>
                <w:rFonts w:ascii="Times New Roman" w:hAnsi="Times New Roman"/>
                <w:noProof/>
                <w:sz w:val="24"/>
                <w:szCs w:val="24"/>
              </w:rPr>
              <w:t>CZ, EE, DE, HU, LT, LU, MT, NL, SK, UK</w:t>
            </w:r>
          </w:p>
        </w:tc>
      </w:tr>
      <w:tr w:rsidR="00B32D69">
        <w:trPr>
          <w:trHeight w:val="763"/>
        </w:trPr>
        <w:tc>
          <w:tcPr>
            <w:tcW w:w="6663" w:type="dxa"/>
            <w:gridSpan w:val="2"/>
          </w:tcPr>
          <w:p w:rsidR="00B32D69" w:rsidRDefault="00FB661A">
            <w:pPr>
              <w:jc w:val="both"/>
              <w:rPr>
                <w:rFonts w:ascii="Times New Roman" w:hAnsi="Times New Roman"/>
                <w:noProof/>
                <w:sz w:val="24"/>
                <w:szCs w:val="24"/>
              </w:rPr>
            </w:pPr>
            <w:r>
              <w:rPr>
                <w:rFonts w:ascii="Times New Roman" w:hAnsi="Times New Roman"/>
                <w:noProof/>
                <w:sz w:val="24"/>
                <w:szCs w:val="24"/>
              </w:rPr>
              <w:t xml:space="preserve">New financing involving a connected person </w:t>
            </w:r>
            <w:r>
              <w:rPr>
                <w:rFonts w:ascii="Times New Roman" w:hAnsi="Times New Roman"/>
                <w:noProof/>
                <w:sz w:val="24"/>
                <w:szCs w:val="24"/>
              </w:rPr>
              <w:t>and provided within 6 months prior to the filing of bankruptcy proceedings can be set aside</w:t>
            </w:r>
          </w:p>
        </w:tc>
        <w:tc>
          <w:tcPr>
            <w:tcW w:w="2517" w:type="dxa"/>
          </w:tcPr>
          <w:p w:rsidR="00B32D69" w:rsidRDefault="00FB661A">
            <w:pPr>
              <w:jc w:val="both"/>
              <w:rPr>
                <w:rFonts w:ascii="Times New Roman" w:hAnsi="Times New Roman"/>
                <w:noProof/>
                <w:sz w:val="24"/>
                <w:szCs w:val="24"/>
              </w:rPr>
            </w:pPr>
            <w:r>
              <w:rPr>
                <w:rFonts w:ascii="Times New Roman" w:hAnsi="Times New Roman"/>
                <w:noProof/>
                <w:sz w:val="24"/>
                <w:szCs w:val="24"/>
              </w:rPr>
              <w:t>PL</w:t>
            </w:r>
          </w:p>
        </w:tc>
      </w:tr>
      <w:tr w:rsidR="00B32D69">
        <w:trPr>
          <w:trHeight w:val="451"/>
        </w:trPr>
        <w:tc>
          <w:tcPr>
            <w:tcW w:w="1655" w:type="dxa"/>
            <w:vMerge w:val="restart"/>
            <w:vAlign w:val="center"/>
          </w:tcPr>
          <w:p w:rsidR="00B32D69" w:rsidRDefault="00FB661A">
            <w:pPr>
              <w:jc w:val="center"/>
              <w:rPr>
                <w:rFonts w:ascii="Times New Roman" w:hAnsi="Times New Roman"/>
                <w:noProof/>
                <w:sz w:val="24"/>
                <w:szCs w:val="24"/>
              </w:rPr>
            </w:pPr>
            <w:r>
              <w:rPr>
                <w:rFonts w:ascii="Times New Roman" w:hAnsi="Times New Roman"/>
                <w:noProof/>
                <w:sz w:val="24"/>
                <w:szCs w:val="24"/>
              </w:rPr>
              <w:t>New financing cannot be challenged provided that</w:t>
            </w:r>
          </w:p>
        </w:tc>
        <w:tc>
          <w:tcPr>
            <w:tcW w:w="5008" w:type="dxa"/>
          </w:tcPr>
          <w:p w:rsidR="00B32D69" w:rsidRDefault="00FB661A">
            <w:pPr>
              <w:rPr>
                <w:rFonts w:ascii="Times New Roman" w:hAnsi="Times New Roman"/>
                <w:noProof/>
                <w:sz w:val="24"/>
                <w:szCs w:val="24"/>
              </w:rPr>
            </w:pPr>
            <w:r>
              <w:rPr>
                <w:rFonts w:ascii="Times New Roman" w:hAnsi="Times New Roman"/>
                <w:noProof/>
                <w:sz w:val="24"/>
                <w:szCs w:val="24"/>
              </w:rPr>
              <w:t>the lender supplied funds and it was in relation to a settlement that had been approved by the court</w:t>
            </w:r>
          </w:p>
        </w:tc>
        <w:tc>
          <w:tcPr>
            <w:tcW w:w="2517" w:type="dxa"/>
          </w:tcPr>
          <w:p w:rsidR="00B32D69" w:rsidRDefault="00FB661A">
            <w:pPr>
              <w:jc w:val="both"/>
              <w:rPr>
                <w:rFonts w:ascii="Times New Roman" w:hAnsi="Times New Roman"/>
                <w:iCs/>
                <w:noProof/>
                <w:sz w:val="24"/>
                <w:szCs w:val="24"/>
              </w:rPr>
            </w:pPr>
            <w:r>
              <w:rPr>
                <w:rFonts w:ascii="Times New Roman" w:hAnsi="Times New Roman"/>
                <w:noProof/>
                <w:sz w:val="24"/>
                <w:szCs w:val="24"/>
              </w:rPr>
              <w:t>FR</w:t>
            </w:r>
          </w:p>
        </w:tc>
      </w:tr>
      <w:tr w:rsidR="00B32D69">
        <w:trPr>
          <w:trHeight w:val="90"/>
        </w:trPr>
        <w:tc>
          <w:tcPr>
            <w:tcW w:w="1655" w:type="dxa"/>
            <w:vMerge/>
          </w:tcPr>
          <w:p w:rsidR="00B32D69" w:rsidRDefault="00B32D69">
            <w:pPr>
              <w:rPr>
                <w:rFonts w:ascii="Times New Roman" w:hAnsi="Times New Roman"/>
                <w:noProof/>
                <w:sz w:val="24"/>
                <w:szCs w:val="24"/>
              </w:rPr>
            </w:pPr>
          </w:p>
        </w:tc>
        <w:tc>
          <w:tcPr>
            <w:tcW w:w="5008" w:type="dxa"/>
          </w:tcPr>
          <w:p w:rsidR="00B32D69" w:rsidRDefault="00FB661A">
            <w:pPr>
              <w:jc w:val="both"/>
              <w:rPr>
                <w:rFonts w:ascii="Times New Roman" w:hAnsi="Times New Roman"/>
                <w:noProof/>
                <w:sz w:val="24"/>
                <w:szCs w:val="24"/>
              </w:rPr>
            </w:pPr>
            <w:r>
              <w:rPr>
                <w:rFonts w:ascii="Times New Roman" w:hAnsi="Times New Roman"/>
                <w:noProof/>
                <w:sz w:val="24"/>
                <w:szCs w:val="24"/>
              </w:rPr>
              <w:t xml:space="preserve">the new financing was provided pursuant to a </w:t>
            </w:r>
            <w:r>
              <w:rPr>
                <w:rFonts w:ascii="Times New Roman" w:hAnsi="Times New Roman"/>
                <w:i/>
                <w:noProof/>
                <w:sz w:val="24"/>
                <w:szCs w:val="24"/>
              </w:rPr>
              <w:t>bona fide</w:t>
            </w:r>
            <w:r>
              <w:rPr>
                <w:rFonts w:ascii="Times New Roman" w:hAnsi="Times New Roman"/>
                <w:noProof/>
                <w:sz w:val="24"/>
                <w:szCs w:val="24"/>
              </w:rPr>
              <w:t xml:space="preserve"> attempt to rehabilitate the insolvent and restructuring provisions were adhered to</w:t>
            </w:r>
          </w:p>
        </w:tc>
        <w:tc>
          <w:tcPr>
            <w:tcW w:w="2517" w:type="dxa"/>
          </w:tcPr>
          <w:p w:rsidR="00B32D69" w:rsidRDefault="00FB661A">
            <w:pPr>
              <w:jc w:val="both"/>
              <w:rPr>
                <w:rFonts w:ascii="Times New Roman" w:hAnsi="Times New Roman"/>
                <w:iCs/>
                <w:noProof/>
                <w:sz w:val="24"/>
                <w:szCs w:val="24"/>
              </w:rPr>
            </w:pPr>
            <w:r>
              <w:rPr>
                <w:rFonts w:ascii="Times New Roman" w:hAnsi="Times New Roman"/>
                <w:iCs/>
                <w:noProof/>
                <w:sz w:val="24"/>
                <w:szCs w:val="24"/>
              </w:rPr>
              <w:t>BG</w:t>
            </w:r>
          </w:p>
        </w:tc>
      </w:tr>
      <w:tr w:rsidR="00B32D69">
        <w:trPr>
          <w:trHeight w:val="125"/>
        </w:trPr>
        <w:tc>
          <w:tcPr>
            <w:tcW w:w="1655" w:type="dxa"/>
            <w:vMerge/>
          </w:tcPr>
          <w:p w:rsidR="00B32D69" w:rsidRDefault="00B32D69">
            <w:pPr>
              <w:rPr>
                <w:rFonts w:ascii="Times New Roman" w:hAnsi="Times New Roman"/>
                <w:noProof/>
                <w:sz w:val="24"/>
                <w:szCs w:val="24"/>
              </w:rPr>
            </w:pPr>
          </w:p>
        </w:tc>
        <w:tc>
          <w:tcPr>
            <w:tcW w:w="5008" w:type="dxa"/>
          </w:tcPr>
          <w:p w:rsidR="00B32D69" w:rsidRDefault="00FB661A">
            <w:pPr>
              <w:rPr>
                <w:rFonts w:ascii="Times New Roman" w:hAnsi="Times New Roman"/>
                <w:noProof/>
                <w:sz w:val="24"/>
                <w:szCs w:val="24"/>
              </w:rPr>
            </w:pPr>
            <w:r>
              <w:rPr>
                <w:rFonts w:ascii="Times New Roman" w:hAnsi="Times New Roman"/>
                <w:noProof/>
                <w:sz w:val="24"/>
                <w:szCs w:val="24"/>
              </w:rPr>
              <w:t>the new financing occurred during the execution of a restructuring plan</w:t>
            </w:r>
          </w:p>
        </w:tc>
        <w:tc>
          <w:tcPr>
            <w:tcW w:w="2517" w:type="dxa"/>
          </w:tcPr>
          <w:p w:rsidR="00B32D69" w:rsidRDefault="00FB661A">
            <w:pPr>
              <w:jc w:val="both"/>
              <w:rPr>
                <w:rFonts w:ascii="Times New Roman" w:hAnsi="Times New Roman"/>
                <w:iCs/>
                <w:noProof/>
                <w:sz w:val="24"/>
                <w:szCs w:val="24"/>
              </w:rPr>
            </w:pPr>
            <w:r>
              <w:rPr>
                <w:rFonts w:ascii="Times New Roman" w:hAnsi="Times New Roman"/>
                <w:noProof/>
                <w:sz w:val="24"/>
                <w:szCs w:val="24"/>
              </w:rPr>
              <w:t>EL</w:t>
            </w:r>
          </w:p>
        </w:tc>
      </w:tr>
      <w:tr w:rsidR="00B32D69">
        <w:trPr>
          <w:trHeight w:val="129"/>
        </w:trPr>
        <w:tc>
          <w:tcPr>
            <w:tcW w:w="1655" w:type="dxa"/>
            <w:vMerge/>
          </w:tcPr>
          <w:p w:rsidR="00B32D69" w:rsidRDefault="00B32D69">
            <w:pPr>
              <w:rPr>
                <w:rFonts w:ascii="Times New Roman" w:hAnsi="Times New Roman"/>
                <w:noProof/>
                <w:sz w:val="24"/>
                <w:szCs w:val="24"/>
              </w:rPr>
            </w:pPr>
          </w:p>
        </w:tc>
        <w:tc>
          <w:tcPr>
            <w:tcW w:w="5008" w:type="dxa"/>
          </w:tcPr>
          <w:p w:rsidR="00B32D69" w:rsidRDefault="00FB661A">
            <w:pPr>
              <w:rPr>
                <w:rFonts w:ascii="Times New Roman" w:hAnsi="Times New Roman"/>
                <w:noProof/>
                <w:sz w:val="24"/>
                <w:szCs w:val="24"/>
              </w:rPr>
            </w:pPr>
            <w:r>
              <w:rPr>
                <w:rFonts w:ascii="Times New Roman" w:hAnsi="Times New Roman"/>
                <w:noProof/>
                <w:sz w:val="24"/>
                <w:szCs w:val="24"/>
              </w:rPr>
              <w:t xml:space="preserve">the bankruptcy judge approves the </w:t>
            </w:r>
            <w:r>
              <w:rPr>
                <w:rFonts w:ascii="Times New Roman" w:hAnsi="Times New Roman"/>
                <w:noProof/>
                <w:sz w:val="24"/>
                <w:szCs w:val="24"/>
              </w:rPr>
              <w:t>reorganisation arrangement</w:t>
            </w:r>
          </w:p>
        </w:tc>
        <w:tc>
          <w:tcPr>
            <w:tcW w:w="2517" w:type="dxa"/>
          </w:tcPr>
          <w:p w:rsidR="00B32D69" w:rsidRDefault="00FB661A">
            <w:pPr>
              <w:jc w:val="both"/>
              <w:rPr>
                <w:rFonts w:ascii="Times New Roman" w:hAnsi="Times New Roman"/>
                <w:iCs/>
                <w:noProof/>
                <w:sz w:val="24"/>
                <w:szCs w:val="24"/>
              </w:rPr>
            </w:pPr>
            <w:r>
              <w:rPr>
                <w:rFonts w:ascii="Times New Roman" w:hAnsi="Times New Roman"/>
                <w:noProof/>
                <w:sz w:val="24"/>
                <w:szCs w:val="24"/>
              </w:rPr>
              <w:t>RO</w:t>
            </w:r>
          </w:p>
        </w:tc>
      </w:tr>
      <w:tr w:rsidR="00B32D69">
        <w:trPr>
          <w:trHeight w:val="118"/>
        </w:trPr>
        <w:tc>
          <w:tcPr>
            <w:tcW w:w="1655" w:type="dxa"/>
            <w:vMerge/>
          </w:tcPr>
          <w:p w:rsidR="00B32D69" w:rsidRDefault="00B32D69">
            <w:pPr>
              <w:jc w:val="both"/>
              <w:rPr>
                <w:rFonts w:ascii="Times New Roman" w:hAnsi="Times New Roman"/>
                <w:noProof/>
                <w:sz w:val="24"/>
                <w:szCs w:val="24"/>
              </w:rPr>
            </w:pPr>
          </w:p>
        </w:tc>
        <w:tc>
          <w:tcPr>
            <w:tcW w:w="5008" w:type="dxa"/>
          </w:tcPr>
          <w:p w:rsidR="00B32D69" w:rsidRDefault="00FB661A">
            <w:pPr>
              <w:rPr>
                <w:rFonts w:ascii="Times New Roman" w:hAnsi="Times New Roman"/>
                <w:noProof/>
                <w:sz w:val="24"/>
                <w:szCs w:val="24"/>
              </w:rPr>
            </w:pPr>
            <w:r>
              <w:rPr>
                <w:rFonts w:ascii="Times New Roman" w:hAnsi="Times New Roman"/>
                <w:noProof/>
                <w:sz w:val="24"/>
                <w:szCs w:val="24"/>
              </w:rPr>
              <w:t>certain specified conditions have occurred</w:t>
            </w:r>
            <w:r>
              <w:rPr>
                <w:rFonts w:ascii="Times New Roman" w:hAnsi="Times New Roman"/>
                <w:noProof/>
                <w:sz w:val="24"/>
                <w:szCs w:val="24"/>
                <w:vertAlign w:val="superscript"/>
              </w:rPr>
              <w:footnoteReference w:id="66"/>
            </w:r>
          </w:p>
        </w:tc>
        <w:tc>
          <w:tcPr>
            <w:tcW w:w="2517" w:type="dxa"/>
          </w:tcPr>
          <w:p w:rsidR="00B32D69" w:rsidRDefault="00FB661A">
            <w:pPr>
              <w:jc w:val="both"/>
              <w:rPr>
                <w:rFonts w:ascii="Times New Roman" w:hAnsi="Times New Roman"/>
                <w:iCs/>
                <w:noProof/>
                <w:sz w:val="24"/>
                <w:szCs w:val="24"/>
              </w:rPr>
            </w:pPr>
            <w:r>
              <w:rPr>
                <w:rFonts w:ascii="Times New Roman" w:hAnsi="Times New Roman"/>
                <w:iCs/>
                <w:noProof/>
                <w:sz w:val="24"/>
                <w:szCs w:val="24"/>
              </w:rPr>
              <w:t>ES</w:t>
            </w:r>
          </w:p>
        </w:tc>
      </w:tr>
      <w:tr w:rsidR="00B32D69">
        <w:trPr>
          <w:trHeight w:val="150"/>
        </w:trPr>
        <w:tc>
          <w:tcPr>
            <w:tcW w:w="1655" w:type="dxa"/>
            <w:vMerge/>
          </w:tcPr>
          <w:p w:rsidR="00B32D69" w:rsidRDefault="00B32D69">
            <w:pPr>
              <w:jc w:val="both"/>
              <w:rPr>
                <w:rFonts w:ascii="Times New Roman" w:hAnsi="Times New Roman"/>
                <w:noProof/>
                <w:sz w:val="24"/>
                <w:szCs w:val="24"/>
              </w:rPr>
            </w:pPr>
          </w:p>
        </w:tc>
        <w:tc>
          <w:tcPr>
            <w:tcW w:w="5008" w:type="dxa"/>
          </w:tcPr>
          <w:p w:rsidR="00B32D69" w:rsidRDefault="00FB661A">
            <w:pPr>
              <w:jc w:val="both"/>
              <w:rPr>
                <w:rFonts w:ascii="Times New Roman" w:hAnsi="Times New Roman"/>
                <w:noProof/>
                <w:sz w:val="24"/>
                <w:szCs w:val="24"/>
              </w:rPr>
            </w:pPr>
            <w:r>
              <w:rPr>
                <w:rFonts w:ascii="Times New Roman" w:hAnsi="Times New Roman"/>
                <w:noProof/>
                <w:sz w:val="24"/>
                <w:szCs w:val="24"/>
              </w:rPr>
              <w:t>the arrangement envisaged favourable treatment being bestowed on the financing</w:t>
            </w:r>
            <w:r>
              <w:rPr>
                <w:rFonts w:ascii="Times New Roman" w:hAnsi="Times New Roman"/>
                <w:noProof/>
                <w:sz w:val="24"/>
                <w:szCs w:val="24"/>
                <w:vertAlign w:val="superscript"/>
              </w:rPr>
              <w:footnoteReference w:id="67"/>
            </w:r>
          </w:p>
        </w:tc>
        <w:tc>
          <w:tcPr>
            <w:tcW w:w="2517" w:type="dxa"/>
          </w:tcPr>
          <w:p w:rsidR="00B32D69" w:rsidRDefault="00FB661A">
            <w:pPr>
              <w:jc w:val="both"/>
              <w:rPr>
                <w:rFonts w:ascii="Times New Roman" w:hAnsi="Times New Roman"/>
                <w:iCs/>
                <w:noProof/>
                <w:sz w:val="24"/>
                <w:szCs w:val="24"/>
              </w:rPr>
            </w:pPr>
            <w:r>
              <w:rPr>
                <w:rFonts w:ascii="Times New Roman" w:hAnsi="Times New Roman"/>
                <w:noProof/>
                <w:sz w:val="24"/>
                <w:szCs w:val="24"/>
              </w:rPr>
              <w:t>LV</w:t>
            </w:r>
          </w:p>
        </w:tc>
      </w:tr>
      <w:tr w:rsidR="00B32D69">
        <w:trPr>
          <w:trHeight w:val="107"/>
        </w:trPr>
        <w:tc>
          <w:tcPr>
            <w:tcW w:w="1655" w:type="dxa"/>
            <w:vMerge/>
          </w:tcPr>
          <w:p w:rsidR="00B32D69" w:rsidRDefault="00B32D69">
            <w:pPr>
              <w:jc w:val="both"/>
              <w:rPr>
                <w:rFonts w:ascii="Times New Roman" w:hAnsi="Times New Roman"/>
                <w:noProof/>
                <w:sz w:val="24"/>
                <w:szCs w:val="24"/>
              </w:rPr>
            </w:pPr>
          </w:p>
        </w:tc>
        <w:tc>
          <w:tcPr>
            <w:tcW w:w="5008" w:type="dxa"/>
          </w:tcPr>
          <w:p w:rsidR="00B32D69" w:rsidRDefault="00FB661A">
            <w:pPr>
              <w:jc w:val="both"/>
              <w:rPr>
                <w:rFonts w:ascii="Times New Roman" w:hAnsi="Times New Roman"/>
                <w:noProof/>
                <w:sz w:val="24"/>
                <w:szCs w:val="24"/>
              </w:rPr>
            </w:pPr>
            <w:r>
              <w:rPr>
                <w:rFonts w:ascii="Times New Roman" w:hAnsi="Times New Roman"/>
                <w:noProof/>
                <w:sz w:val="24"/>
                <w:szCs w:val="24"/>
              </w:rPr>
              <w:t xml:space="preserve">the action was designed to fulfil obligations under the restructuring scheme approved by </w:t>
            </w:r>
            <w:r>
              <w:rPr>
                <w:rFonts w:ascii="Times New Roman" w:hAnsi="Times New Roman"/>
                <w:noProof/>
                <w:sz w:val="24"/>
                <w:szCs w:val="24"/>
              </w:rPr>
              <w:t>the court</w:t>
            </w:r>
            <w:r>
              <w:rPr>
                <w:rFonts w:ascii="Times New Roman" w:hAnsi="Times New Roman"/>
                <w:noProof/>
                <w:sz w:val="24"/>
                <w:szCs w:val="24"/>
                <w:vertAlign w:val="superscript"/>
              </w:rPr>
              <w:footnoteReference w:id="68"/>
            </w:r>
          </w:p>
        </w:tc>
        <w:tc>
          <w:tcPr>
            <w:tcW w:w="2517" w:type="dxa"/>
          </w:tcPr>
          <w:p w:rsidR="00B32D69" w:rsidRDefault="00FB661A">
            <w:pPr>
              <w:jc w:val="both"/>
              <w:rPr>
                <w:rFonts w:ascii="Times New Roman" w:hAnsi="Times New Roman"/>
                <w:iCs/>
                <w:noProof/>
                <w:sz w:val="24"/>
                <w:szCs w:val="24"/>
              </w:rPr>
            </w:pPr>
            <w:r>
              <w:rPr>
                <w:rFonts w:ascii="Times New Roman" w:hAnsi="Times New Roman"/>
                <w:iCs/>
                <w:noProof/>
                <w:sz w:val="24"/>
                <w:szCs w:val="24"/>
              </w:rPr>
              <w:t>SI</w:t>
            </w:r>
          </w:p>
        </w:tc>
      </w:tr>
      <w:tr w:rsidR="00B32D69">
        <w:trPr>
          <w:trHeight w:val="139"/>
        </w:trPr>
        <w:tc>
          <w:tcPr>
            <w:tcW w:w="6663" w:type="dxa"/>
            <w:gridSpan w:val="2"/>
          </w:tcPr>
          <w:p w:rsidR="00B32D69" w:rsidRDefault="00FB661A">
            <w:pPr>
              <w:rPr>
                <w:rFonts w:ascii="Times New Roman" w:hAnsi="Times New Roman"/>
                <w:noProof/>
                <w:sz w:val="24"/>
                <w:szCs w:val="24"/>
              </w:rPr>
            </w:pPr>
            <w:r>
              <w:rPr>
                <w:rFonts w:ascii="Times New Roman" w:hAnsi="Times New Roman"/>
                <w:noProof/>
                <w:sz w:val="24"/>
                <w:szCs w:val="24"/>
              </w:rPr>
              <w:t xml:space="preserve">Any transaction involving new financing  and entered into pursuant to an effort to restructure is deemed not to have an intention of harming creditors </w:t>
            </w:r>
          </w:p>
        </w:tc>
        <w:tc>
          <w:tcPr>
            <w:tcW w:w="2517" w:type="dxa"/>
          </w:tcPr>
          <w:p w:rsidR="00B32D69" w:rsidRDefault="00FB661A">
            <w:pPr>
              <w:jc w:val="both"/>
              <w:rPr>
                <w:rFonts w:ascii="Times New Roman" w:hAnsi="Times New Roman"/>
                <w:iCs/>
                <w:noProof/>
                <w:sz w:val="24"/>
                <w:szCs w:val="24"/>
              </w:rPr>
            </w:pPr>
            <w:r>
              <w:rPr>
                <w:rFonts w:ascii="Times New Roman" w:hAnsi="Times New Roman"/>
                <w:iCs/>
                <w:noProof/>
                <w:sz w:val="24"/>
                <w:szCs w:val="24"/>
              </w:rPr>
              <w:t>DE</w:t>
            </w:r>
          </w:p>
        </w:tc>
      </w:tr>
    </w:tbl>
    <w:p w:rsidR="00B32D69" w:rsidRDefault="00FB661A">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Putting in place incentives for new financing is an essential element in ensuring a </w:t>
      </w:r>
      <w:r>
        <w:rPr>
          <w:rFonts w:ascii="Times New Roman" w:hAnsi="Times New Roman" w:cs="Times New Roman"/>
          <w:noProof/>
          <w:sz w:val="24"/>
          <w:szCs w:val="24"/>
        </w:rPr>
        <w:t>sustainable restructuring. Protection from avoidance actions</w:t>
      </w:r>
      <w:r>
        <w:rPr>
          <w:rFonts w:ascii="Times New Roman" w:hAnsi="Times New Roman" w:cs="Times New Roman"/>
          <w:noProof/>
          <w:sz w:val="24"/>
          <w:szCs w:val="24"/>
          <w:vertAlign w:val="superscript"/>
        </w:rPr>
        <w:footnoteReference w:id="69"/>
      </w:r>
      <w:r>
        <w:rPr>
          <w:rFonts w:ascii="Times New Roman" w:hAnsi="Times New Roman" w:cs="Times New Roman"/>
          <w:noProof/>
          <w:sz w:val="24"/>
          <w:szCs w:val="24"/>
        </w:rPr>
        <w:t xml:space="preserve"> in subsequent insolvency proceedings is therefore an essential element of restructuring plans. It seems necessary to extend such protection also to interim financing, i.e. financing necessary to</w:t>
      </w:r>
      <w:r>
        <w:rPr>
          <w:rFonts w:ascii="Times New Roman" w:hAnsi="Times New Roman" w:cs="Times New Roman"/>
          <w:noProof/>
          <w:sz w:val="24"/>
          <w:szCs w:val="24"/>
        </w:rPr>
        <w:t xml:space="preserve"> ensure the continuation of the debtor's business during negotiations (before the plan is adopted), in particular in respect of creditors who are stayed. Several Member States fall short of ensuring this basic protection. A super-priority status for new fi</w:t>
      </w:r>
      <w:r>
        <w:rPr>
          <w:rFonts w:ascii="Times New Roman" w:hAnsi="Times New Roman" w:cs="Times New Roman"/>
          <w:noProof/>
          <w:sz w:val="24"/>
          <w:szCs w:val="24"/>
        </w:rPr>
        <w:t>nancing exists in some Member States, however while being very effective in protecting new financing it is more controversial as it is sometimes considered to come into conflict with the principle of legal certainty and protection of property rights for ex</w:t>
      </w:r>
      <w:r>
        <w:rPr>
          <w:rFonts w:ascii="Times New Roman" w:hAnsi="Times New Roman" w:cs="Times New Roman"/>
          <w:noProof/>
          <w:sz w:val="24"/>
          <w:szCs w:val="24"/>
        </w:rPr>
        <w:t xml:space="preserve">isting creditors. </w:t>
      </w:r>
    </w:p>
    <w:p w:rsidR="00B32D69" w:rsidRDefault="00FB661A">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During the public consultation and the ‘Sounding Board’ meetings, protection of new financing was deemed by most of the stakeholders as a necessary incentive for restructuring.  The business sector underlined that if viable companies, in</w:t>
      </w:r>
      <w:r>
        <w:rPr>
          <w:rFonts w:ascii="Times New Roman" w:hAnsi="Times New Roman" w:cs="Times New Roman"/>
          <w:noProof/>
          <w:sz w:val="24"/>
          <w:szCs w:val="24"/>
        </w:rPr>
        <w:t xml:space="preserve"> need of working capital, are left without the possibility to finance their day to day operations, they will be driven to liquidation, to the detriment of the real economy. In addition, business sector and financial institutions stressed that potentially i</w:t>
      </w:r>
      <w:r>
        <w:rPr>
          <w:rFonts w:ascii="Times New Roman" w:hAnsi="Times New Roman" w:cs="Times New Roman"/>
          <w:noProof/>
          <w:sz w:val="24"/>
          <w:szCs w:val="24"/>
        </w:rPr>
        <w:t>nterested creditors should be encouraged; when creditors decide to inject liquidity in a distressed company, they should be given a sufficient degree of predictability on the recovery of their claims.</w:t>
      </w:r>
    </w:p>
    <w:p w:rsidR="00B32D69" w:rsidRDefault="00FB661A">
      <w:pPr>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A6. Intensity and quality of courts' and insolvency </w:t>
      </w:r>
      <w:r>
        <w:rPr>
          <w:rFonts w:ascii="Times New Roman" w:hAnsi="Times New Roman" w:cs="Times New Roman"/>
          <w:b/>
          <w:noProof/>
          <w:sz w:val="24"/>
          <w:szCs w:val="24"/>
        </w:rPr>
        <w:t>administrators' involvement</w:t>
      </w:r>
    </w:p>
    <w:p w:rsidR="00B32D69" w:rsidRDefault="00FB661A">
      <w:pPr>
        <w:spacing w:before="120"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Preventive restructuring frameworks allow debtors and creditors to negotiate informally before insolvency starts. However a number of jurisdictions allow only for restructuring through formal insolvency: within these jurisdictio</w:t>
      </w:r>
      <w:r>
        <w:rPr>
          <w:rFonts w:ascii="Times New Roman" w:eastAsia="Times New Roman" w:hAnsi="Times New Roman" w:cs="Times New Roman"/>
          <w:noProof/>
          <w:sz w:val="24"/>
          <w:szCs w:val="24"/>
        </w:rPr>
        <w:t>ns there are differences in the opening of the insolvency procedure that may generate problems in cross border situations</w:t>
      </w:r>
      <w:r>
        <w:rPr>
          <w:rFonts w:ascii="Times New Roman" w:eastAsia="Times New Roman" w:hAnsi="Times New Roman" w:cs="Times New Roman"/>
          <w:noProof/>
          <w:sz w:val="24"/>
          <w:szCs w:val="24"/>
          <w:vertAlign w:val="superscript"/>
        </w:rPr>
        <w:footnoteReference w:id="70"/>
      </w:r>
      <w:r>
        <w:rPr>
          <w:rFonts w:ascii="Times New Roman" w:eastAsia="Times New Roman" w:hAnsi="Times New Roman" w:cs="Times New Roman"/>
          <w:noProof/>
          <w:sz w:val="24"/>
          <w:szCs w:val="24"/>
        </w:rPr>
        <w:t xml:space="preserve">. </w:t>
      </w:r>
    </w:p>
    <w:p w:rsidR="00B32D69" w:rsidRDefault="00FB661A">
      <w:pPr>
        <w:spacing w:before="120" w:after="24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In most Member States, insolvency proceedings are administered by a judicial authority, through commercial courts, courts of genera</w:t>
      </w:r>
      <w:r>
        <w:rPr>
          <w:rFonts w:ascii="Times New Roman" w:eastAsia="Times New Roman" w:hAnsi="Times New Roman" w:cs="Times New Roman"/>
          <w:noProof/>
          <w:color w:val="000000"/>
          <w:sz w:val="24"/>
          <w:szCs w:val="24"/>
          <w:lang w:eastAsia="en-GB"/>
        </w:rPr>
        <w:t>l jurisdiction or through specialised insolvency courts. Sometimes judges have specialised knowledge and responsibility for insolvency matters, while in other cases insolvency matters are just one of a number of wider judicial responsibilities of the court</w:t>
      </w:r>
      <w:r>
        <w:rPr>
          <w:rFonts w:ascii="Times New Roman" w:eastAsia="Times New Roman" w:hAnsi="Times New Roman" w:cs="Times New Roman"/>
          <w:noProof/>
          <w:color w:val="000000"/>
          <w:sz w:val="24"/>
          <w:szCs w:val="24"/>
          <w:lang w:eastAsia="en-GB"/>
        </w:rPr>
        <w:t>s.</w:t>
      </w:r>
    </w:p>
    <w:p w:rsidR="00B32D69" w:rsidRDefault="00FB661A">
      <w:pPr>
        <w:spacing w:before="120" w:after="24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During the ‘Sounding Board’ meetings, most of the stakeholders, including the business and financial sector as well as practitioners in the field of restructuring agreed that rigidity, cost and time of the procedures can be reduced if there is less cour</w:t>
      </w:r>
      <w:r>
        <w:rPr>
          <w:rFonts w:ascii="Times New Roman" w:eastAsia="Times New Roman" w:hAnsi="Times New Roman" w:cs="Times New Roman"/>
          <w:noProof/>
          <w:color w:val="000000"/>
          <w:sz w:val="24"/>
          <w:szCs w:val="24"/>
          <w:lang w:eastAsia="en-GB"/>
        </w:rPr>
        <w:t>t involvement. The experts consulted were also of the view that court involvement should be required when there is a need to protect the interests of third parties and avoid abuse. Furthermore, in the public consultation, business and financial sector stre</w:t>
      </w:r>
      <w:r>
        <w:rPr>
          <w:rFonts w:ascii="Times New Roman" w:eastAsia="Times New Roman" w:hAnsi="Times New Roman" w:cs="Times New Roman"/>
          <w:noProof/>
          <w:color w:val="000000"/>
          <w:sz w:val="24"/>
          <w:szCs w:val="24"/>
          <w:lang w:eastAsia="en-GB"/>
        </w:rPr>
        <w:t>ssed that confidence in the operation of courts and efficiency of the restructuring procedures can be enhanced by improving the efficiency of insolvency practitioners as well as encouraging specialisation of judges.</w:t>
      </w:r>
    </w:p>
    <w:p w:rsidR="00B32D69" w:rsidRDefault="00FB661A">
      <w:pPr>
        <w:spacing w:before="120"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w:t>
      </w:r>
      <w:r>
        <w:rPr>
          <w:rFonts w:ascii="Times New Roman" w:eastAsia="Times New Roman" w:hAnsi="Times New Roman" w:cs="Times New Roman"/>
          <w:noProof/>
          <w:color w:val="000000"/>
          <w:sz w:val="24"/>
          <w:szCs w:val="24"/>
          <w:lang w:eastAsia="en-GB"/>
        </w:rPr>
        <w:t>he laws of Member States have different</w:t>
      </w:r>
      <w:r>
        <w:rPr>
          <w:rFonts w:ascii="Times New Roman" w:eastAsia="Times New Roman" w:hAnsi="Times New Roman" w:cs="Times New Roman"/>
          <w:noProof/>
          <w:color w:val="000000"/>
          <w:sz w:val="24"/>
          <w:szCs w:val="24"/>
          <w:lang w:eastAsia="en-GB"/>
        </w:rPr>
        <w:t xml:space="preserve"> rules on insolvency practitioners themselves, namely their qualifications, eligibility for their appointment, licensing, regulation, supervision, professional ethics and conduct. The questions related to insolvency practitioners concern any type of mediat</w:t>
      </w:r>
      <w:r>
        <w:rPr>
          <w:rFonts w:ascii="Times New Roman" w:eastAsia="Times New Roman" w:hAnsi="Times New Roman" w:cs="Times New Roman"/>
          <w:noProof/>
          <w:color w:val="000000"/>
          <w:sz w:val="24"/>
          <w:szCs w:val="24"/>
          <w:lang w:eastAsia="en-GB"/>
        </w:rPr>
        <w:t xml:space="preserve">ors or supervisors engaged in the insolvency process. </w:t>
      </w:r>
      <w:r>
        <w:rPr>
          <w:rFonts w:ascii="Times New Roman" w:eastAsia="Times New Roman" w:hAnsi="Times New Roman" w:cs="Times New Roman"/>
          <w:noProof/>
          <w:sz w:val="24"/>
          <w:szCs w:val="24"/>
        </w:rPr>
        <w:t>Depending on the extent of involvement of courts and/or insolvency practitioners one could distinguish:</w:t>
      </w:r>
    </w:p>
    <w:p w:rsidR="00B32D69" w:rsidRDefault="00FB661A">
      <w:pPr>
        <w:numPr>
          <w:ilvl w:val="0"/>
          <w:numId w:val="2"/>
        </w:numPr>
        <w:tabs>
          <w:tab w:val="left" w:pos="567"/>
        </w:tabs>
        <w:spacing w:before="120" w:after="240" w:line="240" w:lineRule="auto"/>
        <w:ind w:left="567" w:hanging="567"/>
        <w:jc w:val="both"/>
        <w:rPr>
          <w:rFonts w:ascii="Times New Roman" w:eastAsia="Times New Roman" w:hAnsi="Times New Roman" w:cs="Times New Roman"/>
          <w:noProof/>
          <w:sz w:val="24"/>
          <w:szCs w:val="24"/>
        </w:rPr>
      </w:pPr>
      <w:r>
        <w:rPr>
          <w:rFonts w:ascii="Times New Roman" w:eastAsia="Times New Roman" w:hAnsi="Times New Roman" w:cs="Times New Roman"/>
          <w:i/>
          <w:iCs/>
          <w:noProof/>
          <w:sz w:val="24"/>
          <w:szCs w:val="24"/>
        </w:rPr>
        <w:t xml:space="preserve">Pure out-of-court agreements: </w:t>
      </w:r>
      <w:r>
        <w:rPr>
          <w:rFonts w:ascii="Times New Roman" w:eastAsia="Times New Roman" w:hAnsi="Times New Roman" w:cs="Times New Roman"/>
          <w:noProof/>
          <w:sz w:val="24"/>
          <w:szCs w:val="24"/>
        </w:rPr>
        <w:t>private contractual arrangements that require all creditors' consens</w:t>
      </w:r>
      <w:r>
        <w:rPr>
          <w:rFonts w:ascii="Times New Roman" w:eastAsia="Times New Roman" w:hAnsi="Times New Roman" w:cs="Times New Roman"/>
          <w:noProof/>
          <w:sz w:val="24"/>
          <w:szCs w:val="24"/>
        </w:rPr>
        <w:t>us;</w:t>
      </w:r>
    </w:p>
    <w:p w:rsidR="00B32D69" w:rsidRDefault="00FB661A">
      <w:pPr>
        <w:numPr>
          <w:ilvl w:val="0"/>
          <w:numId w:val="2"/>
        </w:numPr>
        <w:tabs>
          <w:tab w:val="left" w:pos="567"/>
        </w:tabs>
        <w:spacing w:before="120" w:after="120" w:line="240" w:lineRule="auto"/>
        <w:ind w:left="567" w:hanging="567"/>
        <w:jc w:val="both"/>
        <w:rPr>
          <w:rFonts w:ascii="Times New Roman" w:eastAsia="Times New Roman" w:hAnsi="Times New Roman" w:cs="Times New Roman"/>
          <w:noProof/>
          <w:sz w:val="24"/>
          <w:szCs w:val="24"/>
        </w:rPr>
      </w:pPr>
      <w:r>
        <w:rPr>
          <w:rFonts w:ascii="Times New Roman" w:eastAsia="Times New Roman" w:hAnsi="Times New Roman" w:cs="Times New Roman"/>
          <w:i/>
          <w:iCs/>
          <w:noProof/>
          <w:sz w:val="24"/>
          <w:szCs w:val="24"/>
        </w:rPr>
        <w:t>Hybrid informal agreements:</w:t>
      </w:r>
      <w:r>
        <w:rPr>
          <w:rFonts w:ascii="Times New Roman" w:eastAsia="Times New Roman" w:hAnsi="Times New Roman" w:cs="Times New Roman"/>
          <w:noProof/>
          <w:sz w:val="24"/>
          <w:szCs w:val="24"/>
        </w:rPr>
        <w:t xml:space="preserve"> mechanisms which combine the benefits of judicial control and out-of-court easiness at low cost can rely on decisions by a majority of creditors.</w:t>
      </w:r>
    </w:p>
    <w:p w:rsidR="00B32D69" w:rsidRDefault="00FB661A">
      <w:pPr>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lowest degree of involvement of courts or insolvency administrators or </w:t>
      </w:r>
      <w:r>
        <w:rPr>
          <w:rFonts w:ascii="Times New Roman" w:eastAsia="Times New Roman" w:hAnsi="Times New Roman" w:cs="Times New Roman"/>
          <w:noProof/>
          <w:sz w:val="24"/>
          <w:szCs w:val="24"/>
        </w:rPr>
        <w:t>practitioners is in out-of court proceedings, whereas the highest in formal insolvency proceedings. The degree of involvement has an impact on costs. However, in Member States where no insolvency practitioner is involved in restructuring procedures, the de</w:t>
      </w:r>
      <w:r>
        <w:rPr>
          <w:rFonts w:ascii="Times New Roman" w:eastAsia="Times New Roman" w:hAnsi="Times New Roman" w:cs="Times New Roman"/>
          <w:noProof/>
          <w:sz w:val="24"/>
          <w:szCs w:val="24"/>
        </w:rPr>
        <w:t>btor is less likely to make use of the procedure and to do so quickly and effectively</w:t>
      </w:r>
      <w:r>
        <w:rPr>
          <w:rFonts w:ascii="Times New Roman" w:eastAsia="Times New Roman" w:hAnsi="Times New Roman" w:cs="Times New Roman"/>
          <w:noProof/>
          <w:sz w:val="24"/>
          <w:szCs w:val="24"/>
          <w:vertAlign w:val="superscript"/>
        </w:rPr>
        <w:footnoteReference w:id="71"/>
      </w:r>
      <w:r>
        <w:rPr>
          <w:rFonts w:ascii="Times New Roman" w:eastAsia="Times New Roman" w:hAnsi="Times New Roman" w:cs="Times New Roman"/>
          <w:noProof/>
          <w:sz w:val="24"/>
          <w:szCs w:val="24"/>
        </w:rPr>
        <w:t xml:space="preserve">. </w:t>
      </w:r>
    </w:p>
    <w:p w:rsidR="00B32D69" w:rsidRDefault="00FB661A">
      <w:pPr>
        <w:spacing w:after="240" w:line="240" w:lineRule="auto"/>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The high quality of insolvency practitioners and judges matters for the time of the proceedings. Specialised insolvency practitioners and judges can contribute greatly</w:t>
      </w:r>
      <w:r>
        <w:rPr>
          <w:rFonts w:ascii="Times New Roman" w:eastAsia="Times New Roman" w:hAnsi="Times New Roman" w:cs="Times New Roman"/>
          <w:noProof/>
          <w:color w:val="000000"/>
          <w:sz w:val="24"/>
          <w:szCs w:val="24"/>
          <w:lang w:eastAsia="en-GB"/>
        </w:rPr>
        <w:t xml:space="preserve"> towards reducing the length of procedures and bring other benefits</w:t>
      </w:r>
      <w:r>
        <w:rPr>
          <w:rFonts w:ascii="Times New Roman" w:eastAsia="Times New Roman" w:hAnsi="Times New Roman" w:cs="Times New Roman"/>
          <w:noProof/>
          <w:color w:val="000000"/>
          <w:sz w:val="24"/>
          <w:szCs w:val="24"/>
          <w:vertAlign w:val="superscript"/>
          <w:lang w:eastAsia="en-GB"/>
        </w:rPr>
        <w:footnoteReference w:id="72"/>
      </w:r>
      <w:r>
        <w:rPr>
          <w:rFonts w:ascii="Times New Roman" w:eastAsia="Times New Roman" w:hAnsi="Times New Roman" w:cs="Times New Roman"/>
          <w:noProof/>
          <w:color w:val="000000"/>
          <w:sz w:val="24"/>
          <w:szCs w:val="24"/>
          <w:lang w:eastAsia="en-GB"/>
        </w:rPr>
        <w:t>. Since cross-border restructurings and insolvencies presuppose a high level of cooperation between insolvency administrators and judges, it is even more crucial that they have a proper tr</w:t>
      </w:r>
      <w:r>
        <w:rPr>
          <w:rFonts w:ascii="Times New Roman" w:eastAsia="Times New Roman" w:hAnsi="Times New Roman" w:cs="Times New Roman"/>
          <w:noProof/>
          <w:color w:val="000000"/>
          <w:sz w:val="24"/>
          <w:szCs w:val="24"/>
          <w:lang w:eastAsia="en-GB"/>
        </w:rPr>
        <w:t>aining and resources and that they adhere by common ethical standards.</w:t>
      </w:r>
    </w:p>
    <w:p w:rsidR="00B32D69" w:rsidRDefault="00FB661A">
      <w:pPr>
        <w:spacing w:after="240" w:line="240" w:lineRule="auto"/>
        <w:jc w:val="both"/>
        <w:rPr>
          <w:rFonts w:ascii="Times New Roman" w:hAnsi="Times New Roman" w:cs="Times New Roman"/>
          <w:b/>
          <w:i/>
          <w:noProof/>
          <w:sz w:val="24"/>
          <w:szCs w:val="24"/>
        </w:rPr>
      </w:pPr>
      <w:r>
        <w:rPr>
          <w:rFonts w:ascii="Times New Roman" w:hAnsi="Times New Roman" w:cs="Times New Roman"/>
          <w:b/>
          <w:i/>
          <w:noProof/>
          <w:sz w:val="24"/>
          <w:szCs w:val="24"/>
        </w:rPr>
        <w:t>Table 8: Situation in Member States as regards intensity of courts' and insolvency administrators' involvement</w:t>
      </w:r>
    </w:p>
    <w:tbl>
      <w:tblPr>
        <w:tblStyle w:val="TableGrid"/>
        <w:tblW w:w="0" w:type="auto"/>
        <w:tblInd w:w="108" w:type="dxa"/>
        <w:tblLook w:val="04A0" w:firstRow="1" w:lastRow="0" w:firstColumn="1" w:lastColumn="0" w:noHBand="0" w:noVBand="1"/>
      </w:tblPr>
      <w:tblGrid>
        <w:gridCol w:w="6379"/>
        <w:gridCol w:w="2801"/>
      </w:tblGrid>
      <w:tr w:rsidR="00B32D69">
        <w:tc>
          <w:tcPr>
            <w:tcW w:w="6379" w:type="dxa"/>
            <w:shd w:val="clear" w:color="auto" w:fill="D9D9D9" w:themeFill="background1" w:themeFillShade="D9"/>
          </w:tcPr>
          <w:p w:rsidR="00B32D69" w:rsidRDefault="00B32D69">
            <w:pPr>
              <w:jc w:val="center"/>
              <w:rPr>
                <w:rFonts w:ascii="Times New Roman" w:hAnsi="Times New Roman"/>
                <w:b/>
                <w:noProof/>
                <w:sz w:val="24"/>
                <w:szCs w:val="24"/>
              </w:rPr>
            </w:pPr>
          </w:p>
        </w:tc>
        <w:tc>
          <w:tcPr>
            <w:tcW w:w="2801" w:type="dxa"/>
            <w:shd w:val="clear" w:color="auto" w:fill="D9D9D9" w:themeFill="background1" w:themeFillShade="D9"/>
          </w:tcPr>
          <w:p w:rsidR="00B32D69" w:rsidRDefault="00FB661A">
            <w:pPr>
              <w:jc w:val="center"/>
              <w:rPr>
                <w:rFonts w:ascii="Times New Roman" w:hAnsi="Times New Roman"/>
                <w:b/>
                <w:noProof/>
                <w:sz w:val="24"/>
                <w:szCs w:val="24"/>
              </w:rPr>
            </w:pPr>
            <w:r>
              <w:rPr>
                <w:rFonts w:ascii="Times New Roman" w:hAnsi="Times New Roman"/>
                <w:b/>
                <w:noProof/>
                <w:sz w:val="24"/>
                <w:szCs w:val="24"/>
              </w:rPr>
              <w:t>Member States</w:t>
            </w:r>
          </w:p>
        </w:tc>
      </w:tr>
      <w:tr w:rsidR="00B32D69">
        <w:tc>
          <w:tcPr>
            <w:tcW w:w="6379" w:type="dxa"/>
          </w:tcPr>
          <w:p w:rsidR="00B32D69" w:rsidRDefault="00FB661A">
            <w:pPr>
              <w:jc w:val="both"/>
              <w:rPr>
                <w:rFonts w:ascii="Times New Roman" w:hAnsi="Times New Roman"/>
                <w:noProof/>
                <w:sz w:val="24"/>
                <w:szCs w:val="24"/>
              </w:rPr>
            </w:pPr>
            <w:r>
              <w:rPr>
                <w:rFonts w:ascii="Times New Roman" w:hAnsi="Times New Roman"/>
                <w:noProof/>
                <w:sz w:val="24"/>
                <w:szCs w:val="24"/>
              </w:rPr>
              <w:t xml:space="preserve">Hybrid proceedings combine out-of-court and formal </w:t>
            </w:r>
            <w:r>
              <w:rPr>
                <w:rFonts w:ascii="Times New Roman" w:hAnsi="Times New Roman"/>
                <w:noProof/>
                <w:sz w:val="24"/>
                <w:szCs w:val="24"/>
              </w:rPr>
              <w:t>procedures</w:t>
            </w:r>
          </w:p>
        </w:tc>
        <w:tc>
          <w:tcPr>
            <w:tcW w:w="2801" w:type="dxa"/>
          </w:tcPr>
          <w:p w:rsidR="00B32D69" w:rsidRDefault="00FB661A">
            <w:pPr>
              <w:jc w:val="both"/>
              <w:rPr>
                <w:rFonts w:ascii="Times New Roman" w:hAnsi="Times New Roman"/>
                <w:noProof/>
                <w:sz w:val="24"/>
                <w:szCs w:val="24"/>
              </w:rPr>
            </w:pPr>
            <w:r>
              <w:rPr>
                <w:rFonts w:ascii="Times New Roman" w:hAnsi="Times New Roman"/>
                <w:noProof/>
                <w:color w:val="000000"/>
                <w:sz w:val="24"/>
                <w:szCs w:val="24"/>
                <w:lang w:eastAsia="en-GB"/>
              </w:rPr>
              <w:t>UK, EL, PT, ES, FR and AT</w:t>
            </w:r>
          </w:p>
        </w:tc>
      </w:tr>
      <w:tr w:rsidR="00B32D69">
        <w:trPr>
          <w:trHeight w:val="763"/>
        </w:trPr>
        <w:tc>
          <w:tcPr>
            <w:tcW w:w="6379" w:type="dxa"/>
          </w:tcPr>
          <w:p w:rsidR="00B32D69" w:rsidRDefault="00FB661A">
            <w:pPr>
              <w:jc w:val="both"/>
              <w:rPr>
                <w:rFonts w:ascii="Times New Roman" w:hAnsi="Times New Roman"/>
                <w:noProof/>
                <w:sz w:val="24"/>
                <w:szCs w:val="24"/>
              </w:rPr>
            </w:pPr>
            <w:r>
              <w:rPr>
                <w:rFonts w:ascii="Times New Roman" w:hAnsi="Times New Roman"/>
                <w:noProof/>
                <w:sz w:val="24"/>
                <w:szCs w:val="24"/>
              </w:rPr>
              <w:t>Formal insolvency proceedings needed with full involvement of the court/insolvency practitioners</w:t>
            </w:r>
          </w:p>
        </w:tc>
        <w:tc>
          <w:tcPr>
            <w:tcW w:w="2801" w:type="dxa"/>
          </w:tcPr>
          <w:p w:rsidR="00B32D69" w:rsidRDefault="00FB661A">
            <w:pPr>
              <w:jc w:val="both"/>
              <w:rPr>
                <w:rFonts w:ascii="Times New Roman" w:hAnsi="Times New Roman"/>
                <w:noProof/>
                <w:sz w:val="24"/>
                <w:szCs w:val="24"/>
              </w:rPr>
            </w:pPr>
            <w:r>
              <w:rPr>
                <w:rFonts w:ascii="Times New Roman" w:hAnsi="Times New Roman"/>
                <w:noProof/>
                <w:sz w:val="24"/>
                <w:szCs w:val="24"/>
              </w:rPr>
              <w:t>BG, HU, DK, CZ, SK, SI, HR, LT</w:t>
            </w:r>
          </w:p>
        </w:tc>
      </w:tr>
    </w:tbl>
    <w:p w:rsidR="00B32D69" w:rsidRDefault="00FB661A">
      <w:pPr>
        <w:spacing w:before="240" w:after="240" w:line="240" w:lineRule="auto"/>
        <w:jc w:val="both"/>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 xml:space="preserve">Providing for hybrid proceedings and the enforceability of private agreements would </w:t>
      </w:r>
      <w:r>
        <w:rPr>
          <w:rFonts w:ascii="Times New Roman" w:hAnsi="Times New Roman" w:cs="Times New Roman"/>
          <w:noProof/>
          <w:color w:val="000000"/>
          <w:sz w:val="24"/>
          <w:szCs w:val="24"/>
          <w:lang w:eastAsia="en-GB"/>
        </w:rPr>
        <w:t>increase the effectiveness of insolvency frameworks, especially as regards preserving value for debtors and creditors. It would provide more options to companies, instead of always having to go for more costly involvement of courts or insolvency administra</w:t>
      </w:r>
      <w:r>
        <w:rPr>
          <w:rFonts w:ascii="Times New Roman" w:hAnsi="Times New Roman" w:cs="Times New Roman"/>
          <w:noProof/>
          <w:color w:val="000000"/>
          <w:sz w:val="24"/>
          <w:szCs w:val="24"/>
          <w:lang w:eastAsia="en-GB"/>
        </w:rPr>
        <w:t xml:space="preserve">tors. The efficiency could further increase if judges or insolvency administrators had a high level of specialisation in insolvency and restructuring. According to the 2016 public consultation, the degree of specialisation of insolvency administrators and </w:t>
      </w:r>
      <w:r>
        <w:rPr>
          <w:rFonts w:ascii="Times New Roman" w:hAnsi="Times New Roman" w:cs="Times New Roman"/>
          <w:noProof/>
          <w:color w:val="000000"/>
          <w:sz w:val="24"/>
          <w:szCs w:val="24"/>
          <w:lang w:eastAsia="en-GB"/>
        </w:rPr>
        <w:t>of judges co-relates with increased recovery rates for creditors.</w:t>
      </w:r>
    </w:p>
    <w:p w:rsidR="00B32D69" w:rsidRDefault="00FB661A">
      <w:pPr>
        <w:spacing w:after="0" w:line="240" w:lineRule="auto"/>
        <w:jc w:val="both"/>
        <w:rPr>
          <w:rFonts w:ascii="Times New Roman" w:hAnsi="Times New Roman" w:cs="Times New Roman"/>
          <w:b/>
          <w:noProof/>
          <w:sz w:val="24"/>
          <w:szCs w:val="24"/>
        </w:rPr>
      </w:pPr>
      <w:r>
        <w:rPr>
          <w:rFonts w:ascii="Times New Roman" w:eastAsia="Calibri" w:hAnsi="Times New Roman" w:cs="Times New Roman"/>
          <w:b/>
          <w:bCs/>
          <w:noProof/>
          <w:sz w:val="24"/>
          <w:szCs w:val="24"/>
        </w:rPr>
        <w:t>B. Insolvency (</w:t>
      </w:r>
      <w:r>
        <w:rPr>
          <w:rFonts w:ascii="Times New Roman" w:hAnsi="Times New Roman" w:cs="Times New Roman"/>
          <w:b/>
          <w:noProof/>
          <w:sz w:val="24"/>
          <w:szCs w:val="24"/>
        </w:rPr>
        <w:t>liquidation) procedures</w:t>
      </w:r>
    </w:p>
    <w:p w:rsidR="00B32D69" w:rsidRDefault="00B32D69">
      <w:pPr>
        <w:spacing w:after="0" w:line="240" w:lineRule="auto"/>
        <w:jc w:val="both"/>
        <w:rPr>
          <w:rFonts w:ascii="Times New Roman" w:hAnsi="Times New Roman" w:cs="Times New Roman"/>
          <w:b/>
          <w:noProof/>
          <w:sz w:val="24"/>
          <w:szCs w:val="24"/>
        </w:rPr>
      </w:pP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Other drivers concern in particular rules related to formal insolvency (liquidation) proceedings such as: conditions for filing for insolvency (definition of insolvency), ranking of claims, the wider issue of avoidance actions, the length of formal insolve</w:t>
      </w:r>
      <w:r>
        <w:rPr>
          <w:rFonts w:ascii="Times New Roman" w:hAnsi="Times New Roman" w:cs="Times New Roman"/>
          <w:noProof/>
          <w:sz w:val="24"/>
          <w:szCs w:val="24"/>
        </w:rPr>
        <w:t xml:space="preserve">ncy proceedings, directors' responsibilities relating to insolvency. In the public consultation, although many stakeholders identified them as areas, which would merit some form of action at the EU level, they also acknowledged feasibility concerns due to </w:t>
      </w:r>
      <w:r>
        <w:rPr>
          <w:rFonts w:ascii="Times New Roman" w:hAnsi="Times New Roman" w:cs="Times New Roman"/>
          <w:noProof/>
          <w:sz w:val="24"/>
          <w:szCs w:val="24"/>
        </w:rPr>
        <w:t xml:space="preserve">the existing divergence of national rules, national specificities and implications on other areas of law. Moreover, most of the Member States expressed strong concerns with regard to those areas.  </w:t>
      </w:r>
    </w:p>
    <w:p w:rsidR="00B32D69" w:rsidRDefault="00B32D69">
      <w:pPr>
        <w:spacing w:after="0" w:line="240" w:lineRule="auto"/>
        <w:jc w:val="both"/>
        <w:rPr>
          <w:rFonts w:ascii="Times New Roman" w:hAnsi="Times New Roman" w:cs="Times New Roman"/>
          <w:noProof/>
          <w:sz w:val="24"/>
          <w:szCs w:val="24"/>
        </w:rPr>
      </w:pPr>
    </w:p>
    <w:p w:rsidR="00B32D69" w:rsidRDefault="00FB661A">
      <w:pPr>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B1. Definition of insolvency</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performed public cons</w:t>
      </w:r>
      <w:r>
        <w:rPr>
          <w:rFonts w:ascii="Times New Roman" w:hAnsi="Times New Roman" w:cs="Times New Roman"/>
          <w:noProof/>
          <w:sz w:val="24"/>
          <w:szCs w:val="24"/>
        </w:rPr>
        <w:t>ultation, the banking sector voiced that different definitions of insolvency result in different moments when insolvency is declared, therefore there is no clarity for creditors about the time span for the restructuring and when the opening of an insolvenc</w:t>
      </w:r>
      <w:r>
        <w:rPr>
          <w:rFonts w:ascii="Times New Roman" w:hAnsi="Times New Roman" w:cs="Times New Roman"/>
          <w:noProof/>
          <w:sz w:val="24"/>
          <w:szCs w:val="24"/>
        </w:rPr>
        <w:t xml:space="preserve">y proceedings in inevitable. In addition, some business organisations agreed that a </w:t>
      </w:r>
      <w:r>
        <w:rPr>
          <w:rFonts w:ascii="Times New Roman" w:hAnsi="Times New Roman" w:cs="Times New Roman"/>
          <w:b/>
          <w:noProof/>
          <w:sz w:val="24"/>
          <w:szCs w:val="24"/>
        </w:rPr>
        <w:t>common definition of insolvency</w:t>
      </w:r>
      <w:r>
        <w:rPr>
          <w:rFonts w:ascii="Times New Roman" w:hAnsi="Times New Roman" w:cs="Times New Roman"/>
          <w:noProof/>
          <w:sz w:val="24"/>
          <w:szCs w:val="24"/>
        </w:rPr>
        <w:t>, although difficult to achieve, would be very useful. However, the Expert Group on Insolvency</w:t>
      </w:r>
      <w:r>
        <w:rPr>
          <w:rFonts w:ascii="Times New Roman" w:hAnsi="Times New Roman" w:cs="Times New Roman"/>
          <w:noProof/>
          <w:sz w:val="24"/>
          <w:szCs w:val="24"/>
          <w:vertAlign w:val="superscript"/>
        </w:rPr>
        <w:footnoteReference w:id="73"/>
      </w:r>
      <w:r>
        <w:rPr>
          <w:rFonts w:ascii="Times New Roman" w:hAnsi="Times New Roman" w:cs="Times New Roman"/>
          <w:noProof/>
          <w:sz w:val="24"/>
          <w:szCs w:val="24"/>
        </w:rPr>
        <w:t xml:space="preserve"> expressed the view that a definition would no</w:t>
      </w:r>
      <w:r>
        <w:rPr>
          <w:rFonts w:ascii="Times New Roman" w:hAnsi="Times New Roman" w:cs="Times New Roman"/>
          <w:noProof/>
          <w:sz w:val="24"/>
          <w:szCs w:val="24"/>
        </w:rPr>
        <w:t xml:space="preserve">t be necessary in order to access early restructuring proceedings and that harmonising this aspect might have unintended consequences for other areas of national law, such as company law, employment law etc.. Certain experts were of the opinion that focus </w:t>
      </w:r>
      <w:r>
        <w:rPr>
          <w:rFonts w:ascii="Times New Roman" w:hAnsi="Times New Roman" w:cs="Times New Roman"/>
          <w:noProof/>
          <w:sz w:val="24"/>
          <w:szCs w:val="24"/>
        </w:rPr>
        <w:t>should be put on the triggering criteria, especially for early restructuring proceedings</w:t>
      </w:r>
      <w:r>
        <w:rPr>
          <w:rFonts w:ascii="Times New Roman" w:hAnsi="Times New Roman" w:cs="Times New Roman"/>
          <w:noProof/>
          <w:sz w:val="24"/>
          <w:szCs w:val="24"/>
          <w:vertAlign w:val="superscript"/>
        </w:rPr>
        <w:footnoteReference w:id="74"/>
      </w:r>
      <w:r>
        <w:rPr>
          <w:rFonts w:ascii="Times New Roman" w:hAnsi="Times New Roman" w:cs="Times New Roman"/>
          <w:noProof/>
          <w:sz w:val="24"/>
          <w:szCs w:val="24"/>
        </w:rPr>
        <w:t>. Against the background of the discussions with Member States' experts it appeared that there is opposition to a harmonisation of the definition of insolvency but als</w:t>
      </w:r>
      <w:r>
        <w:rPr>
          <w:rFonts w:ascii="Times New Roman" w:hAnsi="Times New Roman" w:cs="Times New Roman"/>
          <w:noProof/>
          <w:sz w:val="24"/>
          <w:szCs w:val="24"/>
        </w:rPr>
        <w:t>o that this is less relevant for the purposes of restructuring than the critical guidance on when the debtor can access early restructuring, on the terms of such restructuring and on the impact on the debtors' duty to file for formal insolvency proceedings</w:t>
      </w:r>
      <w:r>
        <w:rPr>
          <w:rFonts w:ascii="Times New Roman" w:hAnsi="Times New Roman" w:cs="Times New Roman"/>
          <w:noProof/>
          <w:sz w:val="24"/>
          <w:szCs w:val="24"/>
        </w:rPr>
        <w:t>. So while it may be important to define concepts, a definition of insolvency did not appear to be indispensable to ensure the efficiency of preventive insolvency procedures while for formal insolvency procedures, although helpful, a definition would not b</w:t>
      </w:r>
      <w:r>
        <w:rPr>
          <w:rFonts w:ascii="Times New Roman" w:hAnsi="Times New Roman" w:cs="Times New Roman"/>
          <w:noProof/>
          <w:sz w:val="24"/>
          <w:szCs w:val="24"/>
        </w:rPr>
        <w:t>e at this moment in time a priority.</w:t>
      </w:r>
    </w:p>
    <w:p w:rsidR="00B32D69" w:rsidRDefault="00FB661A">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B2. Order of priority of claims</w:t>
      </w:r>
    </w:p>
    <w:p w:rsidR="00B32D69" w:rsidRDefault="00FB661A">
      <w:pPr>
        <w:spacing w:line="240" w:lineRule="auto"/>
        <w:jc w:val="both"/>
        <w:rPr>
          <w:rFonts w:ascii="Times New Roman" w:hAnsi="Times New Roman" w:cs="Times New Roman"/>
          <w:noProof/>
          <w:color w:val="000000"/>
          <w:sz w:val="24"/>
          <w:szCs w:val="24"/>
          <w:lang w:eastAsia="en-GB"/>
        </w:rPr>
      </w:pPr>
      <w:r>
        <w:rPr>
          <w:rFonts w:ascii="Times New Roman" w:hAnsi="Times New Roman" w:cs="Times New Roman"/>
          <w:noProof/>
          <w:sz w:val="24"/>
          <w:szCs w:val="24"/>
        </w:rPr>
        <w:t xml:space="preserve">The laws of Member States differ significantly as regards the </w:t>
      </w:r>
      <w:r>
        <w:rPr>
          <w:rFonts w:ascii="Times New Roman" w:hAnsi="Times New Roman" w:cs="Times New Roman"/>
          <w:b/>
          <w:noProof/>
          <w:sz w:val="24"/>
          <w:szCs w:val="24"/>
        </w:rPr>
        <w:t>priority of claims</w:t>
      </w:r>
      <w:r>
        <w:rPr>
          <w:rFonts w:ascii="Times New Roman" w:hAnsi="Times New Roman" w:cs="Times New Roman"/>
          <w:noProof/>
          <w:sz w:val="24"/>
          <w:szCs w:val="24"/>
        </w:rPr>
        <w:t xml:space="preserve"> in insolvency. This has an impact on how insolvency proceedings are run and how debts are recovered. In th</w:t>
      </w:r>
      <w:r>
        <w:rPr>
          <w:rFonts w:ascii="Times New Roman" w:hAnsi="Times New Roman" w:cs="Times New Roman"/>
          <w:noProof/>
          <w:sz w:val="24"/>
          <w:szCs w:val="24"/>
        </w:rPr>
        <w:t>e public consultation, some stakeholders supported that differences in the areas of ranking of claims affect to a large or to a considerable extent the operation of the internal market. Moreover, others supported that a general harmonisation in this area w</w:t>
      </w:r>
      <w:r>
        <w:rPr>
          <w:rFonts w:ascii="Times New Roman" w:hAnsi="Times New Roman" w:cs="Times New Roman"/>
          <w:noProof/>
          <w:sz w:val="24"/>
          <w:szCs w:val="24"/>
        </w:rPr>
        <w:t>ould increase recovery rates for creditors. However, the banking sector voiced that although this issue is important when doing business on a cross border basis, it is not necessarily the essential driver of the decision to invest or not. Moreover, busines</w:t>
      </w:r>
      <w:r>
        <w:rPr>
          <w:rFonts w:ascii="Times New Roman" w:hAnsi="Times New Roman" w:cs="Times New Roman"/>
          <w:noProof/>
          <w:sz w:val="24"/>
          <w:szCs w:val="24"/>
        </w:rPr>
        <w:t>s organisations expressed scepticism on the feasibility of EU action in this area given how it is deeply rooted in national legal traditions, which carries the risk of unintended consequences in case of intervention. In addition, during the dedicated meeti</w:t>
      </w:r>
      <w:r>
        <w:rPr>
          <w:rFonts w:ascii="Times New Roman" w:hAnsi="Times New Roman" w:cs="Times New Roman"/>
          <w:noProof/>
          <w:sz w:val="24"/>
          <w:szCs w:val="24"/>
        </w:rPr>
        <w:t xml:space="preserve">ngs with the Member States, most of them, if not all, were opposed to a general harmonisation of ranking of claims because of national specificities and implications on other areas of law. Discussions in the Commission Expert Group revealed that this area </w:t>
      </w:r>
      <w:r>
        <w:rPr>
          <w:rFonts w:ascii="Times New Roman" w:hAnsi="Times New Roman" w:cs="Times New Roman"/>
          <w:noProof/>
          <w:sz w:val="24"/>
          <w:szCs w:val="24"/>
        </w:rPr>
        <w:t xml:space="preserve">is sensitive given that Member States have taken different approaches as regards preference for workers and state creditors (tax, social security etc.). This goes at the core of national discretion and competing values are at stake. </w:t>
      </w:r>
      <w:r>
        <w:rPr>
          <w:rFonts w:ascii="Times New Roman" w:hAnsi="Times New Roman" w:cs="Times New Roman"/>
          <w:noProof/>
          <w:color w:val="000000"/>
          <w:sz w:val="24"/>
          <w:szCs w:val="24"/>
          <w:lang w:eastAsia="en-GB"/>
        </w:rPr>
        <w:t>Nevertheless to incenti</w:t>
      </w:r>
      <w:r>
        <w:rPr>
          <w:rFonts w:ascii="Times New Roman" w:hAnsi="Times New Roman" w:cs="Times New Roman"/>
          <w:noProof/>
          <w:color w:val="000000"/>
          <w:sz w:val="24"/>
          <w:szCs w:val="24"/>
          <w:lang w:eastAsia="en-GB"/>
        </w:rPr>
        <w:t>vise companies to restructure at an early stage, tax and state aid rules should not be more burdensome in early restructuring than in insolvency procedures.</w:t>
      </w:r>
    </w:p>
    <w:p w:rsidR="00B32D69" w:rsidRDefault="00FB661A">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B3. Avoidance actions</w:t>
      </w:r>
    </w:p>
    <w:p w:rsidR="00B32D69" w:rsidRDefault="00B32D69">
      <w:pPr>
        <w:spacing w:after="0" w:line="240" w:lineRule="auto"/>
        <w:jc w:val="both"/>
        <w:rPr>
          <w:rFonts w:ascii="Times New Roman" w:hAnsi="Times New Roman" w:cs="Times New Roman"/>
          <w:b/>
          <w:noProof/>
          <w:sz w:val="24"/>
          <w:szCs w:val="24"/>
        </w:rPr>
      </w:pPr>
    </w:p>
    <w:p w:rsidR="00B32D69" w:rsidRDefault="00FB661A">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The laws of Member States also differ on possibilities for </w:t>
      </w:r>
      <w:r>
        <w:rPr>
          <w:rFonts w:ascii="Times New Roman" w:hAnsi="Times New Roman" w:cs="Times New Roman"/>
          <w:b/>
          <w:noProof/>
          <w:sz w:val="24"/>
          <w:szCs w:val="24"/>
        </w:rPr>
        <w:t>avoiding contract</w:t>
      </w:r>
      <w:r>
        <w:rPr>
          <w:rFonts w:ascii="Times New Roman" w:hAnsi="Times New Roman" w:cs="Times New Roman"/>
          <w:b/>
          <w:noProof/>
          <w:sz w:val="24"/>
          <w:szCs w:val="24"/>
        </w:rPr>
        <w:t>s detrimental to companies and creditors</w:t>
      </w:r>
      <w:r>
        <w:rPr>
          <w:rFonts w:ascii="Times New Roman" w:hAnsi="Times New Roman" w:cs="Times New Roman"/>
          <w:noProof/>
          <w:sz w:val="24"/>
          <w:szCs w:val="24"/>
        </w:rPr>
        <w:t>. Differences concern conditions under which a detrimental act can be avoided (avoidance actions) and the period within which such acts can be challenged. In the public consultation, a part of the respondents stresse</w:t>
      </w:r>
      <w:r>
        <w:rPr>
          <w:rFonts w:ascii="Times New Roman" w:hAnsi="Times New Roman" w:cs="Times New Roman"/>
          <w:noProof/>
          <w:sz w:val="24"/>
          <w:szCs w:val="24"/>
        </w:rPr>
        <w:t>d that divergence on avoidance actions affect to some extent the operation of the internal market and that harmonisation of avoidance actions (in particular of suspect periods) would contribute to increasing recovery rates for creditors. They stressed that</w:t>
      </w:r>
      <w:r>
        <w:rPr>
          <w:rFonts w:ascii="Times New Roman" w:hAnsi="Times New Roman" w:cs="Times New Roman"/>
          <w:noProof/>
          <w:sz w:val="24"/>
          <w:szCs w:val="24"/>
        </w:rPr>
        <w:t xml:space="preserve"> investors, companies and entrepreneurs would be more willing to invest or do business outside their Member States if they were provided with the assurance that certain types of transactions, entered into within a certain period of time, are prescribed thr</w:t>
      </w:r>
      <w:r>
        <w:rPr>
          <w:rFonts w:ascii="Times New Roman" w:hAnsi="Times New Roman" w:cs="Times New Roman"/>
          <w:noProof/>
          <w:sz w:val="24"/>
          <w:szCs w:val="24"/>
        </w:rPr>
        <w:t xml:space="preserve">oughout the EU. </w:t>
      </w:r>
      <w:r>
        <w:rPr>
          <w:rFonts w:ascii="Times New Roman" w:hAnsi="Times New Roman" w:cs="Times New Roman"/>
          <w:noProof/>
          <w:sz w:val="24"/>
          <w:szCs w:val="24"/>
          <w:lang w:val="en-US"/>
        </w:rPr>
        <w:t xml:space="preserve">Particularly, the banking sector acknowledged that rules on avoidance actions are essential to decide whether to deal with a debtor in financial trouble and insolvency practitioners’ organisations voiced that </w:t>
      </w:r>
      <w:r>
        <w:rPr>
          <w:rFonts w:ascii="Times New Roman" w:hAnsi="Times New Roman" w:cs="Times New Roman"/>
          <w:noProof/>
          <w:sz w:val="24"/>
          <w:szCs w:val="24"/>
        </w:rPr>
        <w:t>different standards in avoidanc</w:t>
      </w:r>
      <w:r>
        <w:rPr>
          <w:rFonts w:ascii="Times New Roman" w:hAnsi="Times New Roman" w:cs="Times New Roman"/>
          <w:noProof/>
          <w:sz w:val="24"/>
          <w:szCs w:val="24"/>
        </w:rPr>
        <w:t>e actions create legal uncertainty and it gives rise to substantial legal costs in insolvency proceedings. However, discussions in the Commission Expert group revealed that while avoidance actions could in principle be harmonised across the board, it would</w:t>
      </w:r>
      <w:r>
        <w:rPr>
          <w:rFonts w:ascii="Times New Roman" w:hAnsi="Times New Roman" w:cs="Times New Roman"/>
          <w:noProof/>
          <w:sz w:val="24"/>
          <w:szCs w:val="24"/>
        </w:rPr>
        <w:t xml:space="preserve"> be disproportionate to do so at this stage. Therefore, it was proposed to create a limited rule on avoidance actions, namely a harmonized safe harbour from avoidance actions for non-related party transaction related to restructuring negotiations.</w:t>
      </w:r>
    </w:p>
    <w:p w:rsidR="00B32D69" w:rsidRDefault="00B32D69">
      <w:pPr>
        <w:spacing w:after="0" w:line="240" w:lineRule="auto"/>
        <w:jc w:val="both"/>
        <w:rPr>
          <w:rFonts w:ascii="Times New Roman" w:hAnsi="Times New Roman" w:cs="Times New Roman"/>
          <w:noProof/>
          <w:sz w:val="24"/>
          <w:szCs w:val="24"/>
        </w:rPr>
      </w:pPr>
    </w:p>
    <w:p w:rsidR="00B32D69" w:rsidRDefault="00FB661A">
      <w:pPr>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B4. Liq</w:t>
      </w:r>
      <w:r>
        <w:rPr>
          <w:rFonts w:ascii="Times New Roman" w:hAnsi="Times New Roman" w:cs="Times New Roman"/>
          <w:b/>
          <w:noProof/>
          <w:sz w:val="24"/>
          <w:szCs w:val="24"/>
        </w:rPr>
        <w:t>uidation of assets</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some Member States the rules on the </w:t>
      </w:r>
      <w:r>
        <w:rPr>
          <w:rFonts w:ascii="Times New Roman" w:hAnsi="Times New Roman" w:cs="Times New Roman"/>
          <w:b/>
          <w:noProof/>
          <w:sz w:val="24"/>
          <w:szCs w:val="24"/>
        </w:rPr>
        <w:t>actual liquidations of assets</w:t>
      </w:r>
      <w:r>
        <w:rPr>
          <w:rFonts w:ascii="Times New Roman" w:hAnsi="Times New Roman" w:cs="Times New Roman"/>
          <w:noProof/>
          <w:sz w:val="24"/>
          <w:szCs w:val="24"/>
        </w:rPr>
        <w:t xml:space="preserve"> result in prolonging the proceedings. In the performed public consultation, when asked what are the key issues for the excessive length of insolvency proceedings, most </w:t>
      </w:r>
      <w:r>
        <w:rPr>
          <w:rFonts w:ascii="Times New Roman" w:hAnsi="Times New Roman" w:cs="Times New Roman"/>
          <w:noProof/>
          <w:sz w:val="24"/>
          <w:szCs w:val="24"/>
        </w:rPr>
        <w:t xml:space="preserve">of the respondents mentioned delays in the liquidation of the debtor's assets, activities related to the supervision of the debtors and litigation concerning the debtors' right and obligations. A smaller part of respondents considered lack of digitisation </w:t>
      </w:r>
      <w:r>
        <w:rPr>
          <w:rFonts w:ascii="Times New Roman" w:hAnsi="Times New Roman" w:cs="Times New Roman"/>
          <w:noProof/>
          <w:sz w:val="24"/>
          <w:szCs w:val="24"/>
        </w:rPr>
        <w:t>as a key issue for the excessive length of proceedings. Particularly, the banking sector explained that the foreseeable length of enforcement and insolvency proceedings are usually taken into consideration for investment decisions. Business organisations m</w:t>
      </w:r>
      <w:r>
        <w:rPr>
          <w:rFonts w:ascii="Times New Roman" w:hAnsi="Times New Roman" w:cs="Times New Roman"/>
          <w:noProof/>
          <w:sz w:val="24"/>
          <w:szCs w:val="24"/>
        </w:rPr>
        <w:t>entioned that measures to shorten the length of the proceedings would have a positive impact in recovery rates. . However, while some stakeholders were of the view that a target maximum duration for insolvency proceedings would be useful, a larger part wer</w:t>
      </w:r>
      <w:r>
        <w:rPr>
          <w:rFonts w:ascii="Times New Roman" w:hAnsi="Times New Roman" w:cs="Times New Roman"/>
          <w:noProof/>
          <w:sz w:val="24"/>
          <w:szCs w:val="24"/>
        </w:rPr>
        <w:t xml:space="preserve">e of the opinion that it would not be appropriate. Particularly, practitioners’ organisations expressed that the variety of proceedings is much too large for that and there are too many risks entailed. </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When asked what incentives could be put in place to </w:t>
      </w:r>
      <w:r>
        <w:rPr>
          <w:rFonts w:ascii="Times New Roman" w:hAnsi="Times New Roman" w:cs="Times New Roman"/>
          <w:noProof/>
          <w:sz w:val="24"/>
          <w:szCs w:val="24"/>
        </w:rPr>
        <w:t>reduce the length of insolvency proceedings, the respondents mentioned: electronic means of communication; specialisation of courts; supporting the courts' resources; less court involvement/supervisory role only; clear requirements for entering to insolven</w:t>
      </w:r>
      <w:r>
        <w:rPr>
          <w:rFonts w:ascii="Times New Roman" w:hAnsi="Times New Roman" w:cs="Times New Roman"/>
          <w:noProof/>
          <w:sz w:val="24"/>
          <w:szCs w:val="24"/>
        </w:rPr>
        <w:t>cy proceedings; ensuring that the thresholds are triggered early enough for restructuring; deadlines/time-limits for court proceedings; publicly accessible information as a (general) prevention; remuneration of insolvency practitioners.</w:t>
      </w:r>
    </w:p>
    <w:p w:rsidR="00B32D69" w:rsidRDefault="00FB661A">
      <w:pPr>
        <w:spacing w:after="240" w:line="240" w:lineRule="auto"/>
        <w:jc w:val="both"/>
        <w:rPr>
          <w:rFonts w:ascii="Times New Roman" w:hAnsi="Times New Roman" w:cs="Times New Roman"/>
          <w:b/>
          <w:noProof/>
          <w:color w:val="000000"/>
          <w:sz w:val="24"/>
          <w:szCs w:val="24"/>
          <w:lang w:eastAsia="en-GB"/>
        </w:rPr>
      </w:pPr>
      <w:r>
        <w:rPr>
          <w:rFonts w:ascii="Times New Roman" w:hAnsi="Times New Roman" w:cs="Times New Roman"/>
          <w:b/>
          <w:noProof/>
          <w:color w:val="000000"/>
          <w:sz w:val="24"/>
          <w:szCs w:val="24"/>
          <w:lang w:eastAsia="en-GB"/>
        </w:rPr>
        <w:t xml:space="preserve">B5. Directors and </w:t>
      </w:r>
      <w:r>
        <w:rPr>
          <w:rFonts w:ascii="Times New Roman" w:hAnsi="Times New Roman" w:cs="Times New Roman"/>
          <w:b/>
          <w:noProof/>
          <w:color w:val="000000"/>
          <w:sz w:val="24"/>
          <w:szCs w:val="24"/>
          <w:lang w:eastAsia="en-GB"/>
        </w:rPr>
        <w:t>shareholders</w:t>
      </w:r>
    </w:p>
    <w:p w:rsidR="00B32D69" w:rsidRDefault="00FB661A">
      <w:pPr>
        <w:spacing w:after="240" w:line="240" w:lineRule="auto"/>
        <w:jc w:val="both"/>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 xml:space="preserve">In a company, </w:t>
      </w:r>
      <w:r>
        <w:rPr>
          <w:rFonts w:ascii="Times New Roman" w:hAnsi="Times New Roman" w:cs="Times New Roman"/>
          <w:b/>
          <w:noProof/>
          <w:color w:val="000000"/>
          <w:sz w:val="24"/>
          <w:szCs w:val="24"/>
          <w:lang w:eastAsia="en-GB"/>
        </w:rPr>
        <w:t>directors</w:t>
      </w:r>
      <w:r>
        <w:rPr>
          <w:rFonts w:ascii="Times New Roman" w:hAnsi="Times New Roman" w:cs="Times New Roman"/>
          <w:noProof/>
          <w:color w:val="000000"/>
          <w:sz w:val="24"/>
          <w:szCs w:val="24"/>
          <w:lang w:eastAsia="en-GB"/>
        </w:rPr>
        <w:t xml:space="preserve"> exercise corporate powers which are generally balanced with duties of care prohibiting wrongful trading. Some Member States have certain obligations in place for directors in the period before insolvency occurs and impo</w:t>
      </w:r>
      <w:r>
        <w:rPr>
          <w:rFonts w:ascii="Times New Roman" w:hAnsi="Times New Roman" w:cs="Times New Roman"/>
          <w:noProof/>
          <w:color w:val="000000"/>
          <w:sz w:val="24"/>
          <w:szCs w:val="24"/>
          <w:lang w:eastAsia="en-GB"/>
        </w:rPr>
        <w:t xml:space="preserve">se liability for any harm caused by continuing to operate when it was either clear or should have been foreseen that insolvency could not be avoided. The rationale for such provisions is to create appropriate incentives for early action through the use of </w:t>
      </w:r>
      <w:r>
        <w:rPr>
          <w:rFonts w:ascii="Times New Roman" w:hAnsi="Times New Roman" w:cs="Times New Roman"/>
          <w:noProof/>
          <w:color w:val="000000"/>
          <w:sz w:val="24"/>
          <w:szCs w:val="24"/>
          <w:lang w:eastAsia="en-GB"/>
        </w:rPr>
        <w:t xml:space="preserve">voluntary restructuring negotiations. It may also encourage directors to obtain competent professional advice when financial difficulties occur and thus avoid insolvency. </w:t>
      </w:r>
      <w:r>
        <w:rPr>
          <w:rFonts w:ascii="Times New Roman" w:hAnsi="Times New Roman" w:cs="Times New Roman"/>
          <w:b/>
          <w:noProof/>
          <w:color w:val="000000"/>
          <w:sz w:val="24"/>
          <w:szCs w:val="24"/>
          <w:lang w:eastAsia="en-GB"/>
        </w:rPr>
        <w:t>Shareholders</w:t>
      </w:r>
      <w:r>
        <w:rPr>
          <w:rFonts w:ascii="Times New Roman" w:hAnsi="Times New Roman" w:cs="Times New Roman"/>
          <w:noProof/>
          <w:color w:val="000000"/>
          <w:sz w:val="24"/>
          <w:szCs w:val="24"/>
          <w:lang w:eastAsia="en-GB"/>
        </w:rPr>
        <w:t xml:space="preserve"> may obstruct a restructuring procedure which would return the company to</w:t>
      </w:r>
      <w:r>
        <w:rPr>
          <w:rFonts w:ascii="Times New Roman" w:hAnsi="Times New Roman" w:cs="Times New Roman"/>
          <w:noProof/>
          <w:color w:val="000000"/>
          <w:sz w:val="24"/>
          <w:szCs w:val="24"/>
          <w:lang w:eastAsia="en-GB"/>
        </w:rPr>
        <w:t xml:space="preserve"> viability. Allowing shareholders to oppose restructuring would likely reduce the number of successful restructurings.</w:t>
      </w:r>
    </w:p>
    <w:p w:rsidR="00B32D69" w:rsidRDefault="00FB661A">
      <w:pPr>
        <w:spacing w:after="240" w:line="240" w:lineRule="auto"/>
        <w:jc w:val="both"/>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In the public consultation, the majority of stakeholders</w:t>
      </w:r>
      <w:r>
        <w:rPr>
          <w:rStyle w:val="FootnoteReference"/>
          <w:rFonts w:ascii="Times New Roman" w:hAnsi="Times New Roman"/>
          <w:noProof/>
          <w:color w:val="000000"/>
          <w:sz w:val="24"/>
          <w:szCs w:val="24"/>
          <w:lang w:eastAsia="en-GB"/>
        </w:rPr>
        <w:footnoteReference w:id="75"/>
      </w:r>
      <w:r>
        <w:rPr>
          <w:rFonts w:ascii="Times New Roman" w:hAnsi="Times New Roman" w:cs="Times New Roman"/>
          <w:noProof/>
          <w:color w:val="000000"/>
          <w:sz w:val="24"/>
          <w:szCs w:val="24"/>
          <w:lang w:eastAsia="en-GB"/>
        </w:rPr>
        <w:t xml:space="preserve"> were of the view that directors of companies should be incentivised to take app</w:t>
      </w:r>
      <w:r>
        <w:rPr>
          <w:rFonts w:ascii="Times New Roman" w:hAnsi="Times New Roman" w:cs="Times New Roman"/>
          <w:noProof/>
          <w:color w:val="000000"/>
          <w:sz w:val="24"/>
          <w:szCs w:val="24"/>
          <w:lang w:eastAsia="en-GB"/>
        </w:rPr>
        <w:t>ropriate preventive measures if companies are in distress but not yet insolvent. Financial institutions voiced that it is necessary that directors should have a duty to act diligently in order to protect creditors and stakeholders. However, during the dedi</w:t>
      </w:r>
      <w:r>
        <w:rPr>
          <w:rFonts w:ascii="Times New Roman" w:hAnsi="Times New Roman" w:cs="Times New Roman"/>
          <w:noProof/>
          <w:color w:val="000000"/>
          <w:sz w:val="24"/>
          <w:szCs w:val="24"/>
          <w:lang w:eastAsia="en-GB"/>
        </w:rPr>
        <w:t xml:space="preserve">cated meetings with the Member States, although they acknowledged the need to incentivise directors for early restructuring, most of them were reluctant to mandatory detailed provisions on directors’ duties, due to the implications on company law. </w:t>
      </w:r>
    </w:p>
    <w:p w:rsidR="00B32D69" w:rsidRDefault="00FB661A">
      <w:pPr>
        <w:spacing w:after="240" w:line="240" w:lineRule="auto"/>
        <w:jc w:val="both"/>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On shar</w:t>
      </w:r>
      <w:r>
        <w:rPr>
          <w:rFonts w:ascii="Times New Roman" w:hAnsi="Times New Roman" w:cs="Times New Roman"/>
          <w:noProof/>
          <w:color w:val="000000"/>
          <w:sz w:val="24"/>
          <w:szCs w:val="24"/>
          <w:lang w:eastAsia="en-GB"/>
        </w:rPr>
        <w:t xml:space="preserve">eholders, many stakeholders from the business and financial sector said that the existing differences between the laws of the Member States regarding measures to clarify the position of shareholders of companies in insolvency or close to insolvency affect </w:t>
      </w:r>
      <w:r>
        <w:rPr>
          <w:rFonts w:ascii="Times New Roman" w:hAnsi="Times New Roman" w:cs="Times New Roman"/>
          <w:noProof/>
          <w:color w:val="000000"/>
          <w:sz w:val="24"/>
          <w:szCs w:val="24"/>
          <w:lang w:eastAsia="en-GB"/>
        </w:rPr>
        <w:t>the functioning of the Internal Market either to a considerable extent or to some extent. Financial institutions and investor associations (EBF, AFME,) said that the shareholders' rights within creditors' committee might need to be limited in certain circu</w:t>
      </w:r>
      <w:r>
        <w:rPr>
          <w:rFonts w:ascii="Times New Roman" w:hAnsi="Times New Roman" w:cs="Times New Roman"/>
          <w:noProof/>
          <w:color w:val="000000"/>
          <w:sz w:val="24"/>
          <w:szCs w:val="24"/>
          <w:lang w:eastAsia="en-GB"/>
        </w:rPr>
        <w:t>mstances, i.e. when they prevent the plan from being adopted although this plan is likely to ensure the continuation of the company's activity and the recovery of the debts.</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Overall, these other drivers while being relevant relate only indirectly to restru</w:t>
      </w:r>
      <w:r>
        <w:rPr>
          <w:rFonts w:ascii="Times New Roman" w:hAnsi="Times New Roman" w:cs="Times New Roman"/>
          <w:noProof/>
          <w:sz w:val="24"/>
          <w:szCs w:val="24"/>
        </w:rPr>
        <w:t>cturing and second chance and are strongly dependent on the existing national legal frameworks and the social, economic and political choices made in other areas of law. They will be looked at more closely in this impact assessment report but only in conne</w:t>
      </w:r>
      <w:r>
        <w:rPr>
          <w:rFonts w:ascii="Times New Roman" w:hAnsi="Times New Roman" w:cs="Times New Roman"/>
          <w:noProof/>
          <w:sz w:val="24"/>
          <w:szCs w:val="24"/>
        </w:rPr>
        <w:t>ction with the aspects which are related to preventive restructuring and second chance. The assessment in the preferred option touches upon some specific aspects relevant for these additional drivers, such as the availability of early restructurings, defin</w:t>
      </w:r>
      <w:r>
        <w:rPr>
          <w:rFonts w:ascii="Times New Roman" w:hAnsi="Times New Roman" w:cs="Times New Roman"/>
          <w:noProof/>
          <w:sz w:val="24"/>
          <w:szCs w:val="24"/>
        </w:rPr>
        <w:t>ition of conditions for new financing and their priority, cram down requirements or reduction court formalities which would impact positively on the costs, length and recovery rates of both preventive restructuring and formal insolvency procedures.</w:t>
      </w:r>
    </w:p>
    <w:p w:rsidR="00B32D69" w:rsidRDefault="00FB661A">
      <w:pPr>
        <w:rPr>
          <w:rFonts w:ascii="Times New Roman" w:hAnsi="Times New Roman" w:cs="Times New Roman"/>
          <w:b/>
          <w:noProof/>
          <w:sz w:val="24"/>
          <w:szCs w:val="24"/>
        </w:rPr>
      </w:pPr>
      <w:r>
        <w:rPr>
          <w:rFonts w:ascii="Times New Roman" w:hAnsi="Times New Roman" w:cs="Times New Roman"/>
          <w:b/>
          <w:noProof/>
          <w:sz w:val="24"/>
          <w:szCs w:val="24"/>
        </w:rPr>
        <w:t>C. Seco</w:t>
      </w:r>
      <w:r>
        <w:rPr>
          <w:rFonts w:ascii="Times New Roman" w:hAnsi="Times New Roman" w:cs="Times New Roman"/>
          <w:b/>
          <w:noProof/>
          <w:sz w:val="24"/>
          <w:szCs w:val="24"/>
        </w:rPr>
        <w:t>nd chance</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Discharge from debt is instrumental for those who wish to learn from their mistakes and have a fresh start. The need of discharge for natural persons is amplified by the fact that people starting business bring in their project also personal asse</w:t>
      </w:r>
      <w:r>
        <w:rPr>
          <w:rFonts w:ascii="Times New Roman" w:hAnsi="Times New Roman" w:cs="Times New Roman"/>
          <w:noProof/>
          <w:sz w:val="24"/>
          <w:szCs w:val="24"/>
        </w:rPr>
        <w:t>ts and credits taken in their personal capacity or help from the members of family</w:t>
      </w:r>
      <w:r>
        <w:rPr>
          <w:rFonts w:ascii="Times New Roman" w:hAnsi="Times New Roman" w:cs="Times New Roman"/>
          <w:noProof/>
          <w:sz w:val="24"/>
          <w:szCs w:val="24"/>
          <w:vertAlign w:val="superscript"/>
        </w:rPr>
        <w:footnoteReference w:id="76"/>
      </w:r>
      <w:r>
        <w:rPr>
          <w:rFonts w:ascii="Times New Roman" w:hAnsi="Times New Roman" w:cs="Times New Roman"/>
          <w:noProof/>
          <w:sz w:val="24"/>
          <w:szCs w:val="24"/>
        </w:rPr>
        <w:t xml:space="preserve">. </w:t>
      </w:r>
      <w:r>
        <w:rPr>
          <w:rFonts w:ascii="Times New Roman" w:eastAsia="Calibri" w:hAnsi="Times New Roman" w:cs="Times New Roman"/>
          <w:noProof/>
          <w:color w:val="000000"/>
          <w:sz w:val="24"/>
          <w:szCs w:val="24"/>
          <w:lang w:eastAsia="en-GB"/>
        </w:rPr>
        <w:t>Where debt settlement procedures are not available the entrepreneur will normally still have access to bankruptcy procedures available to corporate debtors</w:t>
      </w:r>
      <w:r>
        <w:rPr>
          <w:rFonts w:ascii="Times New Roman" w:eastAsia="Calibri" w:hAnsi="Times New Roman" w:cs="Times New Roman"/>
          <w:noProof/>
          <w:color w:val="000000"/>
          <w:sz w:val="24"/>
          <w:szCs w:val="24"/>
          <w:vertAlign w:val="superscript"/>
          <w:lang w:eastAsia="en-GB"/>
        </w:rPr>
        <w:footnoteReference w:id="77"/>
      </w:r>
      <w:r>
        <w:rPr>
          <w:rFonts w:ascii="Times New Roman" w:eastAsia="Calibri" w:hAnsi="Times New Roman" w:cs="Times New Roman"/>
          <w:noProof/>
          <w:color w:val="000000"/>
          <w:sz w:val="24"/>
          <w:szCs w:val="24"/>
          <w:lang w:eastAsia="en-GB"/>
        </w:rPr>
        <w:t xml:space="preserve">. At the same </w:t>
      </w:r>
      <w:r>
        <w:rPr>
          <w:rFonts w:ascii="Times New Roman" w:eastAsia="Calibri" w:hAnsi="Times New Roman" w:cs="Times New Roman"/>
          <w:noProof/>
          <w:color w:val="000000"/>
          <w:sz w:val="24"/>
          <w:szCs w:val="24"/>
          <w:lang w:eastAsia="en-GB"/>
        </w:rPr>
        <w:t>time, a</w:t>
      </w:r>
      <w:r>
        <w:rPr>
          <w:rFonts w:ascii="Times New Roman" w:eastAsia="Calibri" w:hAnsi="Times New Roman" w:cs="Times New Roman"/>
          <w:noProof/>
          <w:sz w:val="24"/>
          <w:szCs w:val="24"/>
        </w:rPr>
        <w:t>lmost all Member States offer a debt settlement procedure to consumers</w:t>
      </w:r>
      <w:r>
        <w:rPr>
          <w:rFonts w:ascii="Times New Roman" w:eastAsia="Calibri" w:hAnsi="Times New Roman" w:cs="Times New Roman"/>
          <w:noProof/>
          <w:sz w:val="24"/>
          <w:szCs w:val="24"/>
          <w:vertAlign w:val="superscript"/>
        </w:rPr>
        <w:footnoteReference w:id="78"/>
      </w:r>
      <w:r>
        <w:rPr>
          <w:rFonts w:ascii="Times New Roman" w:eastAsia="Calibri" w:hAnsi="Times New Roman" w:cs="Times New Roman"/>
          <w:noProof/>
          <w:sz w:val="24"/>
          <w:szCs w:val="24"/>
        </w:rPr>
        <w:t>.</w:t>
      </w:r>
    </w:p>
    <w:p w:rsidR="00B32D69" w:rsidRDefault="00FB661A">
      <w:pPr>
        <w:rPr>
          <w:rFonts w:ascii="Times New Roman" w:hAnsi="Times New Roman" w:cs="Times New Roman"/>
          <w:b/>
          <w:i/>
          <w:noProof/>
          <w:sz w:val="24"/>
          <w:szCs w:val="24"/>
        </w:rPr>
      </w:pPr>
      <w:r>
        <w:rPr>
          <w:rFonts w:ascii="Times New Roman" w:hAnsi="Times New Roman" w:cs="Times New Roman"/>
          <w:b/>
          <w:i/>
          <w:noProof/>
          <w:sz w:val="24"/>
          <w:szCs w:val="24"/>
        </w:rPr>
        <w:t>Table 9: Situation in the Member States debt restructuring for natural persons including discharge and second chance</w:t>
      </w:r>
    </w:p>
    <w:tbl>
      <w:tblPr>
        <w:tblStyle w:val="TableGrid"/>
        <w:tblW w:w="0" w:type="auto"/>
        <w:tblInd w:w="108" w:type="dxa"/>
        <w:tblLook w:val="04A0" w:firstRow="1" w:lastRow="0" w:firstColumn="1" w:lastColumn="0" w:noHBand="0" w:noVBand="1"/>
      </w:tblPr>
      <w:tblGrid>
        <w:gridCol w:w="6379"/>
        <w:gridCol w:w="2801"/>
      </w:tblGrid>
      <w:tr w:rsidR="00B32D69">
        <w:tc>
          <w:tcPr>
            <w:tcW w:w="6379" w:type="dxa"/>
            <w:shd w:val="clear" w:color="auto" w:fill="D9D9D9" w:themeFill="background1" w:themeFillShade="D9"/>
          </w:tcPr>
          <w:p w:rsidR="00B32D69" w:rsidRDefault="00B32D69">
            <w:pPr>
              <w:jc w:val="center"/>
              <w:rPr>
                <w:rFonts w:ascii="Times New Roman" w:hAnsi="Times New Roman"/>
                <w:b/>
                <w:noProof/>
                <w:sz w:val="24"/>
                <w:szCs w:val="24"/>
              </w:rPr>
            </w:pPr>
          </w:p>
        </w:tc>
        <w:tc>
          <w:tcPr>
            <w:tcW w:w="2801" w:type="dxa"/>
            <w:shd w:val="clear" w:color="auto" w:fill="D9D9D9" w:themeFill="background1" w:themeFillShade="D9"/>
          </w:tcPr>
          <w:p w:rsidR="00B32D69" w:rsidRDefault="00FB661A">
            <w:pPr>
              <w:jc w:val="center"/>
              <w:rPr>
                <w:rFonts w:ascii="Times New Roman" w:hAnsi="Times New Roman"/>
                <w:b/>
                <w:noProof/>
                <w:sz w:val="24"/>
                <w:szCs w:val="24"/>
              </w:rPr>
            </w:pPr>
            <w:r>
              <w:rPr>
                <w:rFonts w:ascii="Times New Roman" w:hAnsi="Times New Roman"/>
                <w:b/>
                <w:noProof/>
                <w:sz w:val="24"/>
                <w:szCs w:val="24"/>
              </w:rPr>
              <w:t>Member States</w:t>
            </w:r>
          </w:p>
        </w:tc>
      </w:tr>
      <w:tr w:rsidR="00B32D69" w:rsidRPr="00FB661A">
        <w:tc>
          <w:tcPr>
            <w:tcW w:w="6379" w:type="dxa"/>
          </w:tcPr>
          <w:p w:rsidR="00B32D69" w:rsidRDefault="00FB661A">
            <w:pPr>
              <w:jc w:val="both"/>
              <w:rPr>
                <w:rFonts w:ascii="Times New Roman" w:hAnsi="Times New Roman"/>
                <w:noProof/>
                <w:sz w:val="24"/>
                <w:szCs w:val="24"/>
              </w:rPr>
            </w:pPr>
            <w:r>
              <w:rPr>
                <w:rFonts w:ascii="Times New Roman" w:hAnsi="Times New Roman"/>
                <w:noProof/>
                <w:sz w:val="24"/>
                <w:szCs w:val="24"/>
              </w:rPr>
              <w:t xml:space="preserve">Full discharge of entrepreneurs as part of </w:t>
            </w:r>
            <w:r>
              <w:rPr>
                <w:rFonts w:ascii="Times New Roman" w:hAnsi="Times New Roman"/>
                <w:noProof/>
                <w:sz w:val="24"/>
                <w:szCs w:val="24"/>
              </w:rPr>
              <w:t>bankruptcy is available</w:t>
            </w:r>
          </w:p>
        </w:tc>
        <w:tc>
          <w:tcPr>
            <w:tcW w:w="2801" w:type="dxa"/>
          </w:tcPr>
          <w:p w:rsidR="00B32D69" w:rsidRDefault="00FB661A">
            <w:pPr>
              <w:jc w:val="both"/>
              <w:rPr>
                <w:rFonts w:ascii="Times New Roman" w:hAnsi="Times New Roman"/>
                <w:noProof/>
                <w:sz w:val="24"/>
                <w:szCs w:val="24"/>
                <w:lang w:val="es-ES"/>
              </w:rPr>
            </w:pPr>
            <w:r>
              <w:rPr>
                <w:rFonts w:ascii="Times New Roman" w:hAnsi="Times New Roman"/>
                <w:noProof/>
                <w:sz w:val="24"/>
                <w:szCs w:val="24"/>
                <w:lang w:val="es-ES"/>
              </w:rPr>
              <w:t>BE, CZ, CY, EE, FR, EL, IE, LU, RO, SI, UK</w:t>
            </w:r>
          </w:p>
        </w:tc>
      </w:tr>
      <w:tr w:rsidR="00B32D69">
        <w:trPr>
          <w:trHeight w:val="301"/>
        </w:trPr>
        <w:tc>
          <w:tcPr>
            <w:tcW w:w="6379" w:type="dxa"/>
          </w:tcPr>
          <w:p w:rsidR="00B32D69" w:rsidRDefault="00FB661A">
            <w:pPr>
              <w:rPr>
                <w:rFonts w:ascii="Times New Roman" w:hAnsi="Times New Roman"/>
                <w:noProof/>
                <w:sz w:val="24"/>
                <w:szCs w:val="24"/>
              </w:rPr>
            </w:pPr>
            <w:r>
              <w:rPr>
                <w:rFonts w:ascii="Times New Roman" w:hAnsi="Times New Roman"/>
                <w:noProof/>
                <w:sz w:val="24"/>
                <w:szCs w:val="24"/>
              </w:rPr>
              <w:t>Bankruptcy does not give right to discharge</w:t>
            </w:r>
          </w:p>
        </w:tc>
        <w:tc>
          <w:tcPr>
            <w:tcW w:w="2801" w:type="dxa"/>
          </w:tcPr>
          <w:p w:rsidR="00B32D69" w:rsidRDefault="00FB661A">
            <w:pPr>
              <w:jc w:val="both"/>
              <w:rPr>
                <w:rFonts w:ascii="Times New Roman" w:hAnsi="Times New Roman"/>
                <w:noProof/>
                <w:sz w:val="24"/>
                <w:szCs w:val="24"/>
                <w:lang w:val="es-ES"/>
              </w:rPr>
            </w:pPr>
            <w:r>
              <w:rPr>
                <w:rFonts w:ascii="Times New Roman" w:hAnsi="Times New Roman"/>
                <w:noProof/>
                <w:sz w:val="24"/>
                <w:szCs w:val="24"/>
                <w:lang w:val="es-ES"/>
              </w:rPr>
              <w:t>AT, BG, HU, NL, SE</w:t>
            </w:r>
          </w:p>
        </w:tc>
      </w:tr>
      <w:tr w:rsidR="00B32D69" w:rsidRPr="00FB661A">
        <w:trPr>
          <w:trHeight w:val="240"/>
        </w:trPr>
        <w:tc>
          <w:tcPr>
            <w:tcW w:w="6379" w:type="dxa"/>
          </w:tcPr>
          <w:p w:rsidR="00B32D69" w:rsidRDefault="00FB661A">
            <w:pPr>
              <w:jc w:val="both"/>
              <w:rPr>
                <w:rFonts w:ascii="Times New Roman" w:hAnsi="Times New Roman"/>
                <w:noProof/>
                <w:sz w:val="24"/>
                <w:szCs w:val="24"/>
              </w:rPr>
            </w:pPr>
            <w:r>
              <w:rPr>
                <w:rFonts w:ascii="Times New Roman" w:hAnsi="Times New Roman"/>
                <w:noProof/>
                <w:sz w:val="24"/>
                <w:szCs w:val="24"/>
              </w:rPr>
              <w:t xml:space="preserve">Opportunity of discharge for entrepreneurs after a debt settlement following the expiry of discharge period of differing </w:t>
            </w:r>
            <w:r>
              <w:rPr>
                <w:rFonts w:ascii="Times New Roman" w:hAnsi="Times New Roman"/>
                <w:noProof/>
                <w:sz w:val="24"/>
                <w:szCs w:val="24"/>
              </w:rPr>
              <w:t>length</w:t>
            </w:r>
          </w:p>
        </w:tc>
        <w:tc>
          <w:tcPr>
            <w:tcW w:w="2801" w:type="dxa"/>
          </w:tcPr>
          <w:p w:rsidR="00B32D69" w:rsidRDefault="00FB661A">
            <w:pPr>
              <w:jc w:val="both"/>
              <w:rPr>
                <w:rFonts w:ascii="Times New Roman" w:hAnsi="Times New Roman"/>
                <w:noProof/>
                <w:sz w:val="24"/>
                <w:szCs w:val="24"/>
                <w:lang w:val="es-ES"/>
              </w:rPr>
            </w:pPr>
            <w:r>
              <w:rPr>
                <w:rFonts w:ascii="Times New Roman" w:hAnsi="Times New Roman"/>
                <w:noProof/>
                <w:sz w:val="24"/>
                <w:szCs w:val="24"/>
                <w:lang w:val="es-ES"/>
              </w:rPr>
              <w:t>AT, CY, CZ, DK, EE, FI, DE, EL, HU, IE, LT, LV, NL, PT, SK, SI, ES, UK</w:t>
            </w:r>
          </w:p>
        </w:tc>
      </w:tr>
      <w:tr w:rsidR="00B32D69">
        <w:trPr>
          <w:trHeight w:val="270"/>
        </w:trPr>
        <w:tc>
          <w:tcPr>
            <w:tcW w:w="6379" w:type="dxa"/>
          </w:tcPr>
          <w:p w:rsidR="00B32D69" w:rsidRDefault="00FB661A">
            <w:pPr>
              <w:rPr>
                <w:rFonts w:ascii="Times New Roman" w:hAnsi="Times New Roman"/>
                <w:noProof/>
                <w:sz w:val="24"/>
                <w:szCs w:val="24"/>
              </w:rPr>
            </w:pPr>
            <w:r>
              <w:rPr>
                <w:rFonts w:ascii="Times New Roman" w:hAnsi="Times New Roman"/>
                <w:noProof/>
                <w:sz w:val="24"/>
                <w:szCs w:val="24"/>
              </w:rPr>
              <w:t>Discharge without further conditions after one year</w:t>
            </w:r>
          </w:p>
        </w:tc>
        <w:tc>
          <w:tcPr>
            <w:tcW w:w="2801" w:type="dxa"/>
          </w:tcPr>
          <w:p w:rsidR="00B32D69" w:rsidRDefault="00FB661A">
            <w:pPr>
              <w:jc w:val="both"/>
              <w:rPr>
                <w:rFonts w:ascii="Times New Roman" w:hAnsi="Times New Roman"/>
                <w:iCs/>
                <w:noProof/>
                <w:sz w:val="24"/>
                <w:szCs w:val="24"/>
              </w:rPr>
            </w:pPr>
            <w:r>
              <w:rPr>
                <w:rFonts w:ascii="Times New Roman" w:hAnsi="Times New Roman"/>
                <w:iCs/>
                <w:noProof/>
                <w:sz w:val="24"/>
                <w:szCs w:val="24"/>
              </w:rPr>
              <w:t>UK, IE</w:t>
            </w:r>
          </w:p>
        </w:tc>
      </w:tr>
      <w:tr w:rsidR="00B32D69">
        <w:trPr>
          <w:trHeight w:val="90"/>
        </w:trPr>
        <w:tc>
          <w:tcPr>
            <w:tcW w:w="6379" w:type="dxa"/>
          </w:tcPr>
          <w:p w:rsidR="00B32D69" w:rsidRDefault="00FB661A">
            <w:pPr>
              <w:jc w:val="both"/>
              <w:rPr>
                <w:rFonts w:ascii="Times New Roman" w:hAnsi="Times New Roman"/>
                <w:noProof/>
                <w:sz w:val="24"/>
                <w:szCs w:val="24"/>
              </w:rPr>
            </w:pPr>
            <w:r>
              <w:rPr>
                <w:rFonts w:ascii="Times New Roman" w:hAnsi="Times New Roman"/>
                <w:noProof/>
                <w:sz w:val="24"/>
                <w:szCs w:val="24"/>
              </w:rPr>
              <w:t>Discharge within 3 years is available in bankruptcy proceedings</w:t>
            </w:r>
          </w:p>
        </w:tc>
        <w:tc>
          <w:tcPr>
            <w:tcW w:w="2801" w:type="dxa"/>
          </w:tcPr>
          <w:p w:rsidR="00B32D69" w:rsidRDefault="00FB661A">
            <w:pPr>
              <w:jc w:val="both"/>
              <w:rPr>
                <w:rFonts w:ascii="Times New Roman" w:hAnsi="Times New Roman"/>
                <w:iCs/>
                <w:noProof/>
                <w:sz w:val="24"/>
                <w:szCs w:val="24"/>
              </w:rPr>
            </w:pPr>
            <w:r>
              <w:rPr>
                <w:rFonts w:ascii="Times New Roman" w:hAnsi="Times New Roman"/>
                <w:noProof/>
                <w:sz w:val="24"/>
                <w:szCs w:val="24"/>
              </w:rPr>
              <w:t>CY, IE, FR, UK</w:t>
            </w:r>
          </w:p>
        </w:tc>
      </w:tr>
      <w:tr w:rsidR="00B32D69">
        <w:trPr>
          <w:trHeight w:val="125"/>
        </w:trPr>
        <w:tc>
          <w:tcPr>
            <w:tcW w:w="6379" w:type="dxa"/>
          </w:tcPr>
          <w:p w:rsidR="00B32D69" w:rsidRDefault="00FB661A">
            <w:pPr>
              <w:rPr>
                <w:rFonts w:ascii="Times New Roman" w:hAnsi="Times New Roman"/>
                <w:noProof/>
                <w:sz w:val="24"/>
                <w:szCs w:val="24"/>
              </w:rPr>
            </w:pPr>
            <w:r>
              <w:rPr>
                <w:rFonts w:ascii="Times New Roman" w:hAnsi="Times New Roman"/>
                <w:noProof/>
                <w:sz w:val="24"/>
                <w:szCs w:val="24"/>
              </w:rPr>
              <w:t>Discharge within 3 years is available</w:t>
            </w:r>
            <w:r>
              <w:rPr>
                <w:rFonts w:ascii="Times New Roman" w:hAnsi="Times New Roman"/>
                <w:noProof/>
                <w:sz w:val="24"/>
                <w:szCs w:val="24"/>
              </w:rPr>
              <w:t xml:space="preserve"> in debt settlement</w:t>
            </w:r>
          </w:p>
        </w:tc>
        <w:tc>
          <w:tcPr>
            <w:tcW w:w="2801" w:type="dxa"/>
          </w:tcPr>
          <w:p w:rsidR="00B32D69" w:rsidRDefault="00FB661A">
            <w:pPr>
              <w:jc w:val="both"/>
              <w:rPr>
                <w:rFonts w:ascii="Times New Roman" w:hAnsi="Times New Roman"/>
                <w:iCs/>
                <w:noProof/>
                <w:sz w:val="24"/>
                <w:szCs w:val="24"/>
              </w:rPr>
            </w:pPr>
            <w:r>
              <w:rPr>
                <w:rFonts w:ascii="Times New Roman" w:hAnsi="Times New Roman"/>
                <w:noProof/>
                <w:sz w:val="24"/>
                <w:szCs w:val="24"/>
              </w:rPr>
              <w:t>AT, CY, NL and SK</w:t>
            </w:r>
          </w:p>
        </w:tc>
      </w:tr>
      <w:tr w:rsidR="00B32D69">
        <w:trPr>
          <w:trHeight w:val="140"/>
        </w:trPr>
        <w:tc>
          <w:tcPr>
            <w:tcW w:w="6379" w:type="dxa"/>
          </w:tcPr>
          <w:p w:rsidR="00B32D69" w:rsidRDefault="00FB661A">
            <w:pPr>
              <w:jc w:val="both"/>
              <w:rPr>
                <w:rFonts w:ascii="Times New Roman" w:hAnsi="Times New Roman"/>
                <w:noProof/>
                <w:sz w:val="24"/>
                <w:szCs w:val="24"/>
              </w:rPr>
            </w:pPr>
            <w:r>
              <w:rPr>
                <w:rFonts w:ascii="Times New Roman" w:hAnsi="Times New Roman"/>
                <w:noProof/>
                <w:sz w:val="24"/>
                <w:szCs w:val="24"/>
              </w:rPr>
              <w:t>No debt settlement procedures for entrepreneurs</w:t>
            </w:r>
          </w:p>
        </w:tc>
        <w:tc>
          <w:tcPr>
            <w:tcW w:w="2801" w:type="dxa"/>
          </w:tcPr>
          <w:p w:rsidR="00B32D69" w:rsidRDefault="00FB661A">
            <w:pPr>
              <w:jc w:val="both"/>
              <w:rPr>
                <w:rFonts w:ascii="Times New Roman" w:hAnsi="Times New Roman"/>
                <w:iCs/>
                <w:noProof/>
                <w:sz w:val="24"/>
                <w:szCs w:val="24"/>
              </w:rPr>
            </w:pPr>
            <w:r>
              <w:rPr>
                <w:rFonts w:ascii="Times New Roman" w:hAnsi="Times New Roman"/>
                <w:noProof/>
                <w:sz w:val="24"/>
                <w:szCs w:val="24"/>
              </w:rPr>
              <w:t>BG, FR, LU, MT, PL, RO</w:t>
            </w:r>
          </w:p>
        </w:tc>
      </w:tr>
    </w:tbl>
    <w:p w:rsidR="00B32D69" w:rsidRDefault="00FB661A">
      <w:pPr>
        <w:keepNext/>
        <w:spacing w:before="240" w:after="240" w:line="240" w:lineRule="auto"/>
        <w:jc w:val="both"/>
        <w:rPr>
          <w:rFonts w:ascii="Times New Roman" w:eastAsia="Calibri" w:hAnsi="Times New Roman" w:cs="Times New Roman"/>
          <w:b/>
          <w:bCs/>
          <w:i/>
          <w:noProof/>
          <w:sz w:val="24"/>
          <w:szCs w:val="24"/>
        </w:rPr>
      </w:pPr>
      <w:r>
        <w:rPr>
          <w:rFonts w:ascii="Times New Roman" w:eastAsia="Calibri" w:hAnsi="Times New Roman" w:cs="Times New Roman"/>
          <w:b/>
          <w:bCs/>
          <w:i/>
          <w:noProof/>
          <w:sz w:val="24"/>
          <w:szCs w:val="24"/>
        </w:rPr>
        <w:t>Chart 3: Period of time to obtain full discharge</w:t>
      </w:r>
    </w:p>
    <w:p w:rsidR="00B32D69" w:rsidRDefault="00FB661A">
      <w:pPr>
        <w:rPr>
          <w:noProof/>
        </w:rPr>
      </w:pPr>
      <w:r>
        <w:rPr>
          <w:noProof/>
          <w:lang w:eastAsia="en-GB"/>
        </w:rPr>
        <w:drawing>
          <wp:inline distT="0" distB="0" distL="0" distR="0">
            <wp:extent cx="5731510" cy="307213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9).png"/>
                    <pic:cNvPicPr/>
                  </pic:nvPicPr>
                  <pic:blipFill rotWithShape="1">
                    <a:blip r:embed="rId25" cstate="print">
                      <a:extLst>
                        <a:ext uri="{28A0092B-C50C-407E-A947-70E740481C1C}">
                          <a14:useLocalDpi xmlns:a14="http://schemas.microsoft.com/office/drawing/2010/main" val="0"/>
                        </a:ext>
                      </a:extLst>
                    </a:blip>
                    <a:srcRect t="6250"/>
                    <a:stretch/>
                  </pic:blipFill>
                  <pic:spPr bwMode="auto">
                    <a:xfrm>
                      <a:off x="0" y="0"/>
                      <a:ext cx="5731510" cy="3072130"/>
                    </a:xfrm>
                    <a:prstGeom prst="rect">
                      <a:avLst/>
                    </a:prstGeom>
                    <a:ln>
                      <a:noFill/>
                    </a:ln>
                    <a:extLst>
                      <a:ext uri="{53640926-AAD7-44D8-BBD7-CCE9431645EC}">
                        <a14:shadowObscured xmlns:a14="http://schemas.microsoft.com/office/drawing/2010/main"/>
                      </a:ext>
                    </a:extLst>
                  </pic:spPr>
                </pic:pic>
              </a:graphicData>
            </a:graphic>
          </wp:inline>
        </w:drawing>
      </w:r>
    </w:p>
    <w:p w:rsidR="00B32D69" w:rsidRDefault="00FB661A">
      <w:pPr>
        <w:rPr>
          <w:rFonts w:ascii="Times New Roman" w:hAnsi="Times New Roman" w:cs="Times New Roman"/>
          <w:i/>
          <w:noProof/>
        </w:rPr>
      </w:pPr>
      <w:r>
        <w:rPr>
          <w:rFonts w:ascii="Times New Roman" w:hAnsi="Times New Roman" w:cs="Times New Roman"/>
          <w:i/>
          <w:noProof/>
        </w:rPr>
        <w:t>Source: Ecorys, Bankruptcy and Second Chance for Honest Entrepreneurs, 2014</w:t>
      </w:r>
    </w:p>
    <w:p w:rsidR="00B32D69" w:rsidRDefault="00FB661A">
      <w:pPr>
        <w:spacing w:before="240" w:after="240" w:line="240" w:lineRule="auto"/>
        <w:jc w:val="both"/>
        <w:rPr>
          <w:rFonts w:ascii="Times New Roman" w:hAnsi="Times New Roman" w:cs="Times New Roman"/>
          <w:noProof/>
          <w:sz w:val="24"/>
          <w:szCs w:val="24"/>
        </w:rPr>
      </w:pPr>
      <w:r>
        <w:rPr>
          <w:rFonts w:ascii="Times New Roman" w:eastAsia="Calibri" w:hAnsi="Times New Roman" w:cs="Times New Roman"/>
          <w:noProof/>
          <w:sz w:val="24"/>
          <w:szCs w:val="24"/>
        </w:rPr>
        <w:t xml:space="preserve">Discharge from business debts (and personal debts of business people) under reasonable conditions and received after a period which is not excessively long gives a second chance to restart business. </w:t>
      </w:r>
      <w:r>
        <w:rPr>
          <w:rFonts w:ascii="Times New Roman" w:hAnsi="Times New Roman" w:cs="Times New Roman"/>
          <w:noProof/>
          <w:sz w:val="24"/>
          <w:szCs w:val="24"/>
        </w:rPr>
        <w:t>The impossibility of repayment and too difficult conditio</w:t>
      </w:r>
      <w:r>
        <w:rPr>
          <w:rFonts w:ascii="Times New Roman" w:hAnsi="Times New Roman" w:cs="Times New Roman"/>
          <w:noProof/>
          <w:sz w:val="24"/>
          <w:szCs w:val="24"/>
        </w:rPr>
        <w:t>ns of discharge cause both entrepreneurs and consumers to fall in a debt trap. In consequence, these natural persons do not contribute to economic growth (reduced consumption, withdrawal from labour market, lower potential for entrepreneurship) and instead</w:t>
      </w:r>
      <w:r>
        <w:rPr>
          <w:rFonts w:ascii="Times New Roman" w:hAnsi="Times New Roman" w:cs="Times New Roman"/>
          <w:noProof/>
          <w:sz w:val="24"/>
          <w:szCs w:val="24"/>
        </w:rPr>
        <w:t xml:space="preserve"> of returning to economically productive life they may have to rely on social services support.</w:t>
      </w: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performed public consultation, the majority of the respondents were of the view that the absence of adequate second chance provisions hampers economic an</w:t>
      </w:r>
      <w:r>
        <w:rPr>
          <w:rFonts w:ascii="Times New Roman" w:hAnsi="Times New Roman" w:cs="Times New Roman"/>
          <w:noProof/>
          <w:sz w:val="24"/>
          <w:szCs w:val="24"/>
        </w:rPr>
        <w:t>d entrepreneurial activities and that therefore a full discharge of debts, possibly subject to certain conditions, should be offered to both entrepreneurs and consumers provided that they are 'honest' debtors. Many stakeholders’ organisations, including pr</w:t>
      </w:r>
      <w:r>
        <w:rPr>
          <w:rFonts w:ascii="Times New Roman" w:hAnsi="Times New Roman" w:cs="Times New Roman"/>
          <w:noProof/>
          <w:sz w:val="24"/>
          <w:szCs w:val="24"/>
        </w:rPr>
        <w:t>actitioners in the field of restructuring, stressed the increasing number of sole entrepreneurs and the difficulties of distinguishing between debts arising from professional and private life; they were of the view that consolidation of the procedures is a</w:t>
      </w:r>
      <w:r>
        <w:rPr>
          <w:rFonts w:ascii="Times New Roman" w:hAnsi="Times New Roman" w:cs="Times New Roman"/>
          <w:noProof/>
          <w:sz w:val="24"/>
          <w:szCs w:val="24"/>
        </w:rPr>
        <w:t>ppropriate for an effective discharge. Businesses and entrepreneurs stressed that a second chance approach would increase trade, strengthen the real economy and be a driver for growth, since it would encourage entrepreneurship and stimulate consumer spendi</w:t>
      </w:r>
      <w:r>
        <w:rPr>
          <w:rFonts w:ascii="Times New Roman" w:hAnsi="Times New Roman" w:cs="Times New Roman"/>
          <w:noProof/>
          <w:sz w:val="24"/>
          <w:szCs w:val="24"/>
        </w:rPr>
        <w:t>ng. However, they supported adequate safeguards in order to prevent moral hazard. The banking sector said that a responsible entrepreneurship model should be promoted in a way that a full discharge of debt is given to honest entrepreneurs only after the re</w:t>
      </w:r>
      <w:r>
        <w:rPr>
          <w:rFonts w:ascii="Times New Roman" w:hAnsi="Times New Roman" w:cs="Times New Roman"/>
          <w:noProof/>
          <w:sz w:val="24"/>
          <w:szCs w:val="24"/>
        </w:rPr>
        <w:t>payment of certain amount of debt.  They were even more critical of consumer insolvency, saying that this policy area should not be pursued at this moment in time.</w:t>
      </w:r>
    </w:p>
    <w:p w:rsidR="00B32D69" w:rsidRDefault="00B32D69">
      <w:pPr>
        <w:spacing w:after="0" w:line="240" w:lineRule="auto"/>
        <w:jc w:val="both"/>
        <w:rPr>
          <w:rFonts w:ascii="Times New Roman" w:hAnsi="Times New Roman" w:cs="Times New Roman"/>
          <w:noProof/>
          <w:sz w:val="24"/>
          <w:szCs w:val="24"/>
        </w:rPr>
      </w:pPr>
    </w:p>
    <w:p w:rsidR="00B32D69" w:rsidRDefault="00FB661A">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D. General effectiveness of procedures</w:t>
      </w:r>
    </w:p>
    <w:p w:rsidR="00B32D69" w:rsidRDefault="00B32D69">
      <w:pPr>
        <w:spacing w:after="0" w:line="240" w:lineRule="auto"/>
        <w:jc w:val="both"/>
        <w:rPr>
          <w:rFonts w:ascii="Times New Roman" w:hAnsi="Times New Roman" w:cs="Times New Roman"/>
          <w:noProof/>
          <w:sz w:val="24"/>
          <w:szCs w:val="24"/>
        </w:rPr>
      </w:pP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 modernised insolvency framework could not achieve</w:t>
      </w:r>
      <w:r>
        <w:rPr>
          <w:rFonts w:ascii="Times New Roman" w:hAnsi="Times New Roman" w:cs="Times New Roman"/>
          <w:noProof/>
          <w:sz w:val="24"/>
          <w:szCs w:val="24"/>
        </w:rPr>
        <w:t xml:space="preserve"> the objectives set if the quality and efficiency of actors involved is not improved. This conclusion came up consistently in the public consultation, during the expert group discussions and the dedicated meetings with the stakeholders, academics and pract</w:t>
      </w:r>
      <w:r>
        <w:rPr>
          <w:rFonts w:ascii="Times New Roman" w:hAnsi="Times New Roman" w:cs="Times New Roman"/>
          <w:noProof/>
          <w:sz w:val="24"/>
          <w:szCs w:val="24"/>
        </w:rPr>
        <w:t>itioners. This no doubt translates into excessive length of procedures in some Member States and/or high costs of procedures. Although an ideal length of insolvency procedures has not yet been established,  investors are reluctant to invest where procedure</w:t>
      </w:r>
      <w:r>
        <w:rPr>
          <w:rFonts w:ascii="Times New Roman" w:hAnsi="Times New Roman" w:cs="Times New Roman"/>
          <w:noProof/>
          <w:sz w:val="24"/>
          <w:szCs w:val="24"/>
        </w:rPr>
        <w:t>s risk taking too long. In the EU, there are 10 Member States where the average time to resolve insolvency is more than two years</w:t>
      </w:r>
      <w:r>
        <w:rPr>
          <w:rStyle w:val="FootnoteReference"/>
          <w:rFonts w:ascii="Times New Roman" w:hAnsi="Times New Roman"/>
          <w:noProof/>
          <w:sz w:val="24"/>
          <w:szCs w:val="24"/>
        </w:rPr>
        <w:footnoteReference w:id="79"/>
      </w:r>
      <w:r>
        <w:rPr>
          <w:rFonts w:ascii="Times New Roman" w:hAnsi="Times New Roman" w:cs="Times New Roman"/>
          <w:noProof/>
          <w:sz w:val="24"/>
          <w:szCs w:val="24"/>
        </w:rPr>
        <w:t xml:space="preserve"> (in 8 of these MS the average length is 3 years or more).</w:t>
      </w:r>
    </w:p>
    <w:p w:rsidR="00B32D69" w:rsidRDefault="00B32D69">
      <w:pPr>
        <w:spacing w:after="0" w:line="240" w:lineRule="auto"/>
        <w:jc w:val="both"/>
        <w:rPr>
          <w:rFonts w:ascii="Times New Roman" w:hAnsi="Times New Roman" w:cs="Times New Roman"/>
          <w:noProof/>
          <w:sz w:val="24"/>
          <w:szCs w:val="24"/>
        </w:rPr>
      </w:pP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effectiveness of all procedures is dependent on the speed with</w:t>
      </w:r>
      <w:r>
        <w:rPr>
          <w:rFonts w:ascii="Times New Roman" w:hAnsi="Times New Roman" w:cs="Times New Roman"/>
          <w:noProof/>
          <w:sz w:val="24"/>
          <w:szCs w:val="24"/>
        </w:rPr>
        <w:t xml:space="preserve"> which the </w:t>
      </w:r>
      <w:r>
        <w:rPr>
          <w:rFonts w:ascii="Times New Roman" w:hAnsi="Times New Roman" w:cs="Times New Roman"/>
          <w:b/>
          <w:noProof/>
          <w:sz w:val="24"/>
          <w:szCs w:val="24"/>
        </w:rPr>
        <w:t>courts</w:t>
      </w:r>
      <w:r>
        <w:rPr>
          <w:rFonts w:ascii="Times New Roman" w:hAnsi="Times New Roman" w:cs="Times New Roman"/>
          <w:noProof/>
          <w:sz w:val="24"/>
          <w:szCs w:val="24"/>
        </w:rPr>
        <w:t xml:space="preserve"> can take decision, on the quality of the assistance or supervision performed by </w:t>
      </w:r>
      <w:r>
        <w:rPr>
          <w:rFonts w:ascii="Times New Roman" w:hAnsi="Times New Roman" w:cs="Times New Roman"/>
          <w:b/>
          <w:noProof/>
          <w:sz w:val="24"/>
          <w:szCs w:val="24"/>
        </w:rPr>
        <w:t>insolvency practitioners</w:t>
      </w:r>
      <w:r>
        <w:rPr>
          <w:rFonts w:ascii="Times New Roman" w:hAnsi="Times New Roman" w:cs="Times New Roman"/>
          <w:noProof/>
          <w:sz w:val="24"/>
          <w:szCs w:val="24"/>
        </w:rPr>
        <w:t xml:space="preserve"> and by the level of </w:t>
      </w:r>
      <w:r>
        <w:rPr>
          <w:rFonts w:ascii="Times New Roman" w:hAnsi="Times New Roman" w:cs="Times New Roman"/>
          <w:b/>
          <w:noProof/>
          <w:sz w:val="24"/>
          <w:szCs w:val="24"/>
        </w:rPr>
        <w:t>digitalisation</w:t>
      </w:r>
      <w:r>
        <w:rPr>
          <w:rFonts w:ascii="Times New Roman" w:hAnsi="Times New Roman" w:cs="Times New Roman"/>
          <w:noProof/>
          <w:sz w:val="24"/>
          <w:szCs w:val="24"/>
        </w:rPr>
        <w:t xml:space="preserve"> of procedures. These aspects are relevant across all insolvency spectrum, be it preventive restruc</w:t>
      </w:r>
      <w:r>
        <w:rPr>
          <w:rFonts w:ascii="Times New Roman" w:hAnsi="Times New Roman" w:cs="Times New Roman"/>
          <w:noProof/>
          <w:sz w:val="24"/>
          <w:szCs w:val="24"/>
        </w:rPr>
        <w:t xml:space="preserve">turing, liquidation of second chance, a view which came across consistently during the consultations. </w:t>
      </w:r>
    </w:p>
    <w:p w:rsidR="00B32D69" w:rsidRDefault="00B32D69">
      <w:pPr>
        <w:spacing w:after="0" w:line="240" w:lineRule="auto"/>
        <w:jc w:val="both"/>
        <w:rPr>
          <w:rFonts w:ascii="Times New Roman" w:hAnsi="Times New Roman" w:cs="Times New Roman"/>
          <w:noProof/>
          <w:sz w:val="24"/>
          <w:szCs w:val="24"/>
        </w:rPr>
      </w:pPr>
    </w:p>
    <w:p w:rsidR="00B32D69" w:rsidRDefault="00FB661A">
      <w:p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Specialised insolvency practitioners and judges can contribute greatly towards reducing the length of procedures and bring other benefits. In the public</w:t>
      </w:r>
      <w:r>
        <w:rPr>
          <w:rFonts w:ascii="Times New Roman" w:hAnsi="Times New Roman" w:cs="Times New Roman"/>
          <w:noProof/>
          <w:sz w:val="24"/>
          <w:szCs w:val="24"/>
        </w:rPr>
        <w:t xml:space="preserve"> consultation and the ‘Sounding Board’ meetings, businesses, financial sector, insolvency practitioners and academics stressed that enhancing the efficiency of insolvency practitioners as well as encouraging specialisation of judges is of key importance in</w:t>
      </w:r>
      <w:r>
        <w:rPr>
          <w:rFonts w:ascii="Times New Roman" w:hAnsi="Times New Roman" w:cs="Times New Roman"/>
          <w:noProof/>
          <w:sz w:val="24"/>
          <w:szCs w:val="24"/>
        </w:rPr>
        <w:t xml:space="preserve"> order to increase confidence in the operation of the system and improve the efficiency of the procedures. </w:t>
      </w:r>
    </w:p>
    <w:p w:rsidR="00B32D69" w:rsidRDefault="00FB661A">
      <w:pPr>
        <w:rPr>
          <w:rFonts w:ascii="Times New Roman" w:hAnsi="Times New Roman" w:cs="Times New Roman"/>
          <w:b/>
          <w:noProof/>
          <w:sz w:val="24"/>
          <w:szCs w:val="24"/>
        </w:rPr>
      </w:pPr>
      <w:r>
        <w:rPr>
          <w:rFonts w:ascii="Times New Roman" w:hAnsi="Times New Roman" w:cs="Times New Roman"/>
          <w:b/>
          <w:noProof/>
          <w:sz w:val="24"/>
          <w:szCs w:val="24"/>
        </w:rPr>
        <w:t xml:space="preserve">E. Additional drivers </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One additional</w:t>
      </w:r>
      <w:r>
        <w:rPr>
          <w:rFonts w:ascii="Times New Roman" w:hAnsi="Times New Roman" w:cs="Times New Roman"/>
          <w:b/>
          <w:noProof/>
          <w:sz w:val="24"/>
          <w:szCs w:val="24"/>
          <w:lang w:val="en-US"/>
        </w:rPr>
        <w:t xml:space="preserve"> </w:t>
      </w:r>
      <w:r>
        <w:rPr>
          <w:rFonts w:ascii="Times New Roman" w:hAnsi="Times New Roman" w:cs="Times New Roman"/>
          <w:noProof/>
          <w:sz w:val="24"/>
          <w:szCs w:val="24"/>
        </w:rPr>
        <w:t>important indirect driver is the lack of special arrangements</w:t>
      </w:r>
      <w:r>
        <w:rPr>
          <w:noProof/>
        </w:rPr>
        <w:t xml:space="preserve"> </w:t>
      </w:r>
      <w:r>
        <w:rPr>
          <w:rFonts w:ascii="Times New Roman" w:hAnsi="Times New Roman" w:cs="Times New Roman"/>
          <w:noProof/>
          <w:sz w:val="24"/>
          <w:szCs w:val="24"/>
        </w:rPr>
        <w:t>for restructuring SMEs</w:t>
      </w:r>
      <w:r>
        <w:rPr>
          <w:noProof/>
        </w:rPr>
        <w:t xml:space="preserve">. </w:t>
      </w:r>
      <w:r>
        <w:rPr>
          <w:rFonts w:ascii="Times New Roman" w:hAnsi="Times New Roman" w:cs="Times New Roman"/>
          <w:noProof/>
          <w:sz w:val="24"/>
          <w:szCs w:val="24"/>
        </w:rPr>
        <w:t xml:space="preserve">SMEs often do not have </w:t>
      </w:r>
      <w:r>
        <w:rPr>
          <w:rFonts w:ascii="Times New Roman" w:hAnsi="Times New Roman" w:cs="Times New Roman"/>
          <w:noProof/>
          <w:sz w:val="24"/>
          <w:szCs w:val="24"/>
        </w:rPr>
        <w:t>the resources to undergo an early health check by a professional and therefore the number of early restructurings in this sector is relatively small. As a result, SMEs are disproportionately driven to liquidation rather than restructuring. Liquidation of S</w:t>
      </w:r>
      <w:r>
        <w:rPr>
          <w:rFonts w:ascii="Times New Roman" w:hAnsi="Times New Roman" w:cs="Times New Roman"/>
          <w:noProof/>
          <w:sz w:val="24"/>
          <w:szCs w:val="24"/>
        </w:rPr>
        <w:t>MEs can be value destructive in a disproportionate manner since a majority of countries do not have a simplified procedure for SMEs; a simplified liquidation procedure could speed up the process and lower the costs of liquidation, resulting in higher retur</w:t>
      </w:r>
      <w:r>
        <w:rPr>
          <w:rFonts w:ascii="Times New Roman" w:hAnsi="Times New Roman" w:cs="Times New Roman"/>
          <w:noProof/>
          <w:sz w:val="24"/>
          <w:szCs w:val="24"/>
        </w:rPr>
        <w:t>ns to creditors and a speedier second chance for directors or entrepreneurs.</w:t>
      </w:r>
      <w:r>
        <w:rPr>
          <w:rFonts w:ascii="Times New Roman" w:hAnsi="Times New Roman" w:cs="Times New Roman"/>
          <w:noProof/>
          <w:sz w:val="24"/>
          <w:szCs w:val="24"/>
          <w:vertAlign w:val="superscript"/>
        </w:rPr>
        <w:footnoteReference w:id="80"/>
      </w:r>
      <w:r>
        <w:rPr>
          <w:rFonts w:ascii="Times New Roman" w:hAnsi="Times New Roman" w:cs="Times New Roman"/>
          <w:noProof/>
          <w:sz w:val="24"/>
          <w:szCs w:val="24"/>
        </w:rPr>
        <w:t xml:space="preserve"> Means to encourage SMEs to address their financial difficulties early include: early warning tools, including specialised low-cost advice; templates for restructuring plans; hybr</w:t>
      </w:r>
      <w:r>
        <w:rPr>
          <w:rFonts w:ascii="Times New Roman" w:hAnsi="Times New Roman" w:cs="Times New Roman"/>
          <w:noProof/>
          <w:sz w:val="24"/>
          <w:szCs w:val="24"/>
        </w:rPr>
        <w:t xml:space="preserve">id procedures or out-of-court work-outs with creditors. </w:t>
      </w:r>
    </w:p>
    <w:p w:rsidR="00B32D69" w:rsidRDefault="00FB661A">
      <w:pPr>
        <w:spacing w:after="240" w:line="240" w:lineRule="auto"/>
        <w:jc w:val="both"/>
        <w:rPr>
          <w:rFonts w:ascii="Times New Roman" w:eastAsia="Times New Roman" w:hAnsi="Times New Roman" w:cs="Times New Roman"/>
          <w:noProof/>
          <w:sz w:val="24"/>
          <w:szCs w:val="24"/>
          <w:vertAlign w:val="superscript"/>
        </w:rPr>
      </w:pPr>
      <w:r>
        <w:rPr>
          <w:rFonts w:ascii="Times New Roman" w:hAnsi="Times New Roman" w:cs="Times New Roman"/>
          <w:noProof/>
          <w:sz w:val="24"/>
          <w:szCs w:val="24"/>
        </w:rPr>
        <w:t>Special small business rescue procedures do not exist in many Member States, including countries with mature, sophisticated economies such as Germany, Austria, Netherlands and the Scandinavian countr</w:t>
      </w:r>
      <w:r>
        <w:rPr>
          <w:rFonts w:ascii="Times New Roman" w:hAnsi="Times New Roman" w:cs="Times New Roman"/>
          <w:noProof/>
          <w:sz w:val="24"/>
          <w:szCs w:val="24"/>
        </w:rPr>
        <w:t>ies (Denmark, Sweden, Finland the comparator, Norway)</w:t>
      </w:r>
      <w:r>
        <w:rPr>
          <w:rFonts w:ascii="Times New Roman" w:hAnsi="Times New Roman" w:cs="Times New Roman"/>
          <w:noProof/>
          <w:sz w:val="24"/>
          <w:szCs w:val="24"/>
          <w:vertAlign w:val="superscript"/>
        </w:rPr>
        <w:footnoteReference w:id="81"/>
      </w:r>
      <w:r>
        <w:rPr>
          <w:rFonts w:ascii="Times New Roman" w:hAnsi="Times New Roman" w:cs="Times New Roman"/>
          <w:noProof/>
          <w:sz w:val="24"/>
          <w:szCs w:val="24"/>
        </w:rPr>
        <w:t>. Therefore, the creation of an EU-wide fast track procedure for SMEs would not seem in line with the approaches taken in most Member States. Instead, SMEs problems could be addressed throughout the who</w:t>
      </w:r>
      <w:r>
        <w:rPr>
          <w:rFonts w:ascii="Times New Roman" w:hAnsi="Times New Roman" w:cs="Times New Roman"/>
          <w:noProof/>
          <w:sz w:val="24"/>
          <w:szCs w:val="24"/>
        </w:rPr>
        <w:t>le framework focussing on specific points where access can be improved and made less costly and where SMEs can be encouraged to seek early advice on how to address their financial difficulties.</w:t>
      </w:r>
    </w:p>
    <w:p w:rsidR="00B32D69" w:rsidRDefault="00FB661A">
      <w:pPr>
        <w:keepNext/>
        <w:keepLines/>
        <w:spacing w:before="240" w:after="240" w:line="240" w:lineRule="auto"/>
        <w:outlineLvl w:val="2"/>
        <w:rPr>
          <w:rFonts w:ascii="Times New Roman" w:eastAsiaTheme="majorEastAsia" w:hAnsi="Times New Roman" w:cs="Times New Roman"/>
          <w:b/>
          <w:bCs/>
          <w:noProof/>
          <w:sz w:val="24"/>
          <w:szCs w:val="24"/>
        </w:rPr>
      </w:pPr>
      <w:bookmarkStart w:id="8" w:name="_Toc466452959"/>
      <w:r>
        <w:rPr>
          <w:rFonts w:ascii="Times New Roman" w:eastAsiaTheme="majorEastAsia" w:hAnsi="Times New Roman" w:cs="Times New Roman"/>
          <w:b/>
          <w:bCs/>
          <w:noProof/>
          <w:sz w:val="24"/>
          <w:szCs w:val="24"/>
        </w:rPr>
        <w:t>2.3.2. Problems</w:t>
      </w:r>
      <w:bookmarkEnd w:id="8"/>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differences and inefficiencies in national</w:t>
      </w:r>
      <w:r>
        <w:rPr>
          <w:rFonts w:ascii="Times New Roman" w:hAnsi="Times New Roman" w:cs="Times New Roman"/>
          <w:noProof/>
          <w:sz w:val="24"/>
          <w:szCs w:val="24"/>
        </w:rPr>
        <w:t xml:space="preserve"> laws cause the following key problems:</w:t>
      </w:r>
    </w:p>
    <w:p w:rsidR="00B32D69" w:rsidRDefault="00FB661A">
      <w:pPr>
        <w:numPr>
          <w:ilvl w:val="0"/>
          <w:numId w:val="22"/>
        </w:numPr>
        <w:spacing w:after="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Lost opportunities and excessive costs generated by barriers to cross-border investment (Problem 1),</w:t>
      </w:r>
    </w:p>
    <w:p w:rsidR="00B32D69" w:rsidRDefault="00FB661A">
      <w:pPr>
        <w:numPr>
          <w:ilvl w:val="0"/>
          <w:numId w:val="22"/>
        </w:numPr>
        <w:spacing w:after="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Foregone benefits and additional costs for creditors and debtors related to liquidations of viable companies (Probl</w:t>
      </w:r>
      <w:r>
        <w:rPr>
          <w:rFonts w:ascii="Times New Roman" w:hAnsi="Times New Roman" w:cs="Times New Roman"/>
          <w:noProof/>
          <w:sz w:val="24"/>
          <w:szCs w:val="24"/>
        </w:rPr>
        <w:t>em 2),</w:t>
      </w:r>
    </w:p>
    <w:p w:rsidR="00B32D69" w:rsidRDefault="00FB661A">
      <w:pPr>
        <w:numPr>
          <w:ilvl w:val="0"/>
          <w:numId w:val="22"/>
        </w:numPr>
        <w:spacing w:after="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Lost opportunities and additional costs for natural persons (entrepreneurs and consumers) related to inefficiencies in insolvency frameworks as regards a fresh start (Problem 3).</w:t>
      </w:r>
    </w:p>
    <w:p w:rsidR="00B32D69" w:rsidRDefault="00FB661A">
      <w:pPr>
        <w:rPr>
          <w:b/>
          <w:noProof/>
        </w:rPr>
      </w:pPr>
      <w:r>
        <w:rPr>
          <w:rFonts w:ascii="Times New Roman" w:hAnsi="Times New Roman" w:cs="Times New Roman"/>
          <w:b/>
          <w:noProof/>
          <w:sz w:val="24"/>
          <w:szCs w:val="24"/>
        </w:rPr>
        <w:t>Problem 1: Lost opportunities and excessive costs generated by barrier</w:t>
      </w:r>
      <w:r>
        <w:rPr>
          <w:rFonts w:ascii="Times New Roman" w:hAnsi="Times New Roman" w:cs="Times New Roman"/>
          <w:b/>
          <w:noProof/>
          <w:sz w:val="24"/>
          <w:szCs w:val="24"/>
        </w:rPr>
        <w:t>s to cross-border investment</w:t>
      </w:r>
    </w:p>
    <w:p w:rsidR="00B32D69" w:rsidRDefault="00FB661A">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suboptimal cross-border investment in the EU is caused by many factors. Inefficiencies in insolvency frameworks are an important element which has an influence on the level of cross-border investment</w:t>
      </w:r>
      <w:r>
        <w:rPr>
          <w:rFonts w:ascii="Times New Roman" w:hAnsi="Times New Roman" w:cs="Times New Roman"/>
          <w:noProof/>
          <w:sz w:val="24"/>
          <w:szCs w:val="24"/>
          <w:vertAlign w:val="superscript"/>
        </w:rPr>
        <w:footnoteReference w:id="82"/>
      </w:r>
      <w:r>
        <w:rPr>
          <w:rFonts w:ascii="Times New Roman" w:hAnsi="Times New Roman" w:cs="Times New Roman"/>
          <w:noProof/>
          <w:sz w:val="24"/>
          <w:szCs w:val="24"/>
        </w:rPr>
        <w:t>. Cross-border investme</w:t>
      </w:r>
      <w:r>
        <w:rPr>
          <w:rFonts w:ascii="Times New Roman" w:hAnsi="Times New Roman" w:cs="Times New Roman"/>
          <w:noProof/>
          <w:sz w:val="24"/>
          <w:szCs w:val="24"/>
        </w:rPr>
        <w:t>nt is hampered in the following ways:</w:t>
      </w:r>
    </w:p>
    <w:p w:rsidR="00B32D69" w:rsidRDefault="00FB661A">
      <w:pPr>
        <w:spacing w:before="240" w:after="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 xml:space="preserve">(i) </w:t>
      </w:r>
      <w:r>
        <w:rPr>
          <w:rFonts w:ascii="Times New Roman" w:hAnsi="Times New Roman" w:cs="Times New Roman"/>
          <w:noProof/>
          <w:sz w:val="24"/>
          <w:szCs w:val="24"/>
        </w:rPr>
        <w:tab/>
      </w:r>
      <w:r>
        <w:rPr>
          <w:rFonts w:ascii="Times New Roman" w:hAnsi="Times New Roman" w:cs="Times New Roman"/>
          <w:noProof/>
          <w:sz w:val="24"/>
          <w:szCs w:val="24"/>
        </w:rPr>
        <w:t>difficulty to assess cross-border investment risks due to divergences in insolvency frameworks (and uncertainties as regards the outcomes), including the rules on restructuring and second chance. This means that at least to a certain extent cross-border in</w:t>
      </w:r>
      <w:r>
        <w:rPr>
          <w:rFonts w:ascii="Times New Roman" w:hAnsi="Times New Roman" w:cs="Times New Roman"/>
          <w:noProof/>
          <w:sz w:val="24"/>
          <w:szCs w:val="24"/>
        </w:rPr>
        <w:t xml:space="preserve">vestment is not taking place, since it is too difficult or it is too costly to quantify the risk;   </w:t>
      </w:r>
    </w:p>
    <w:p w:rsidR="00B32D69" w:rsidRDefault="00FB661A">
      <w:pPr>
        <w:spacing w:before="240" w:after="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 xml:space="preserve">(ii) </w:t>
      </w:r>
      <w:r>
        <w:rPr>
          <w:rFonts w:ascii="Times New Roman" w:hAnsi="Times New Roman" w:cs="Times New Roman"/>
          <w:noProof/>
          <w:sz w:val="24"/>
          <w:szCs w:val="24"/>
        </w:rPr>
        <w:tab/>
        <w:t>significant differences in recovery rates cross-border due to divergences in insolvency frameworks, including the rules on restructuring and second c</w:t>
      </w:r>
      <w:r>
        <w:rPr>
          <w:rFonts w:ascii="Times New Roman" w:hAnsi="Times New Roman" w:cs="Times New Roman"/>
          <w:noProof/>
          <w:sz w:val="24"/>
          <w:szCs w:val="24"/>
        </w:rPr>
        <w:t xml:space="preserve">hance. This means that at least to a certain extent cross-border investment is not taking place, since the recovery rates for foreign investors are unsatisfactory. </w:t>
      </w:r>
    </w:p>
    <w:p w:rsidR="00B32D69" w:rsidRDefault="00FB661A">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When taking a decision about funding a project in another country of the EU, a prudent cred</w:t>
      </w:r>
      <w:r>
        <w:rPr>
          <w:rFonts w:ascii="Times New Roman" w:hAnsi="Times New Roman" w:cs="Times New Roman"/>
          <w:noProof/>
          <w:sz w:val="24"/>
          <w:szCs w:val="24"/>
        </w:rPr>
        <w:t>itor or investor will seek information about the prospect of recovering his dues in case of failure. In order to evaluate the risk of any investment, the investor needs to be able to quantify both the expected risk of failure (probability of default) and t</w:t>
      </w:r>
      <w:r>
        <w:rPr>
          <w:rFonts w:ascii="Times New Roman" w:hAnsi="Times New Roman" w:cs="Times New Roman"/>
          <w:noProof/>
          <w:sz w:val="24"/>
          <w:szCs w:val="24"/>
        </w:rPr>
        <w:t>he expected loss incurred if that failure happens (loss given default). In its risk assessment the prudent investor/creditor will look at the insolvency framework as a whole (prevention, recovery of value and discharge). Not only will he analyse major para</w:t>
      </w:r>
      <w:r>
        <w:rPr>
          <w:rFonts w:ascii="Times New Roman" w:hAnsi="Times New Roman" w:cs="Times New Roman"/>
          <w:noProof/>
          <w:sz w:val="24"/>
          <w:szCs w:val="24"/>
        </w:rPr>
        <w:t>meters of the formal insolvency proceedings (security of claims, distribution of value and time to resolution), but he will also want to know whether a debtor can restructure a business and whether it can do it with or without the agreement of its creditor</w:t>
      </w:r>
      <w:r>
        <w:rPr>
          <w:rFonts w:ascii="Times New Roman" w:hAnsi="Times New Roman" w:cs="Times New Roman"/>
          <w:noProof/>
          <w:sz w:val="24"/>
          <w:szCs w:val="24"/>
        </w:rPr>
        <w:t>s. In order to make a cross-border investment, it is essential to know whether restructuring can be "imposed" on some classes of stakeholders. Also, it is critical to know whether an entrepreneur could be discharged of debts (at which moment and after whic</w:t>
      </w:r>
      <w:r>
        <w:rPr>
          <w:rFonts w:ascii="Times New Roman" w:hAnsi="Times New Roman" w:cs="Times New Roman"/>
          <w:noProof/>
          <w:sz w:val="24"/>
          <w:szCs w:val="24"/>
        </w:rPr>
        <w:t>h period)</w:t>
      </w:r>
      <w:r>
        <w:rPr>
          <w:rFonts w:ascii="Times New Roman" w:hAnsi="Times New Roman" w:cs="Times New Roman"/>
          <w:noProof/>
          <w:sz w:val="24"/>
          <w:szCs w:val="24"/>
          <w:vertAlign w:val="superscript"/>
        </w:rPr>
        <w:footnoteReference w:id="83"/>
      </w:r>
      <w:r>
        <w:rPr>
          <w:rFonts w:ascii="Times New Roman" w:hAnsi="Times New Roman" w:cs="Times New Roman"/>
          <w:noProof/>
          <w:sz w:val="24"/>
          <w:szCs w:val="24"/>
        </w:rPr>
        <w:t xml:space="preserve">. </w:t>
      </w:r>
    </w:p>
    <w:p w:rsidR="00B32D69" w:rsidRDefault="00FB661A">
      <w:pPr>
        <w:spacing w:after="24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rPr>
        <w:t>Large asymmetries between Member States in the way restructuring proceedings and debt discharge are regulated generate additional costs for cross-border  investors compared to those who invest in the EU only in one Member State</w:t>
      </w:r>
      <w:r>
        <w:rPr>
          <w:rFonts w:ascii="Times New Roman" w:hAnsi="Times New Roman" w:cs="Times New Roman"/>
          <w:noProof/>
          <w:sz w:val="24"/>
          <w:szCs w:val="24"/>
          <w:vertAlign w:val="superscript"/>
          <w:lang w:eastAsia="en-GB"/>
        </w:rPr>
        <w:footnoteReference w:id="84"/>
      </w:r>
      <w:r>
        <w:rPr>
          <w:rFonts w:ascii="Times New Roman" w:hAnsi="Times New Roman" w:cs="Times New Roman"/>
          <w:noProof/>
          <w:sz w:val="24"/>
          <w:szCs w:val="24"/>
        </w:rPr>
        <w:t>.</w:t>
      </w:r>
      <w:r>
        <w:rPr>
          <w:rFonts w:ascii="Times New Roman" w:hAnsi="Times New Roman" w:cs="Times New Roman"/>
          <w:noProof/>
          <w:sz w:val="24"/>
          <w:szCs w:val="24"/>
          <w:lang w:eastAsia="en-GB"/>
        </w:rPr>
        <w:t xml:space="preserve"> T</w:t>
      </w:r>
      <w:r>
        <w:rPr>
          <w:rFonts w:ascii="Times New Roman" w:hAnsi="Times New Roman" w:cs="Times New Roman"/>
          <w:noProof/>
          <w:sz w:val="24"/>
          <w:szCs w:val="24"/>
        </w:rPr>
        <w:t xml:space="preserve">he costs </w:t>
      </w:r>
      <w:r>
        <w:rPr>
          <w:rFonts w:ascii="Times New Roman" w:hAnsi="Times New Roman" w:cs="Times New Roman"/>
          <w:noProof/>
          <w:sz w:val="24"/>
          <w:szCs w:val="24"/>
        </w:rPr>
        <w:t>increase exponentially in case the investor would like to invest in more than one Member State. In particular, such costs could be prohibitive if the investment were to take place simultaneously in a number of Member States or would be done by an SME which</w:t>
      </w:r>
      <w:r>
        <w:rPr>
          <w:rFonts w:ascii="Times New Roman" w:hAnsi="Times New Roman" w:cs="Times New Roman"/>
          <w:noProof/>
          <w:sz w:val="24"/>
          <w:szCs w:val="24"/>
        </w:rPr>
        <w:t xml:space="preserve"> does not have in-house legal department and would need to pay for the costs of foreign legal advice</w:t>
      </w:r>
      <w:r>
        <w:rPr>
          <w:rFonts w:ascii="Times New Roman" w:hAnsi="Times New Roman" w:cs="Times New Roman"/>
          <w:noProof/>
          <w:sz w:val="24"/>
          <w:szCs w:val="24"/>
          <w:vertAlign w:val="superscript"/>
          <w:lang w:eastAsia="en-GB"/>
        </w:rPr>
        <w:footnoteReference w:id="85"/>
      </w:r>
      <w:r>
        <w:rPr>
          <w:rFonts w:ascii="Times New Roman" w:hAnsi="Times New Roman" w:cs="Times New Roman"/>
          <w:noProof/>
          <w:sz w:val="24"/>
          <w:szCs w:val="24"/>
          <w:lang w:eastAsia="en-GB"/>
        </w:rPr>
        <w:t xml:space="preserve">. </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Moreover, the investor in the EU may be obliged to pay not only for the </w:t>
      </w:r>
      <w:r>
        <w:rPr>
          <w:rFonts w:ascii="Times New Roman" w:hAnsi="Times New Roman"/>
          <w:noProof/>
          <w:sz w:val="24"/>
          <w:szCs w:val="24"/>
        </w:rPr>
        <w:t>assessment of multiple differing restructuring frameworks of individual Member S</w:t>
      </w:r>
      <w:r>
        <w:rPr>
          <w:rFonts w:ascii="Times New Roman" w:hAnsi="Times New Roman"/>
          <w:noProof/>
          <w:sz w:val="24"/>
          <w:szCs w:val="24"/>
        </w:rPr>
        <w:t>tates, but also for the assessment of the costs resulting from the coordination of the multiple applicable national restructuring frameworks. The more the insolvency frameworks, including restructuring and second chance, will differ, the more expensive the</w:t>
      </w:r>
      <w:r>
        <w:rPr>
          <w:rFonts w:ascii="Times New Roman" w:hAnsi="Times New Roman"/>
          <w:noProof/>
          <w:sz w:val="24"/>
          <w:szCs w:val="24"/>
        </w:rPr>
        <w:t xml:space="preserve"> assessment of the coordination between their concurrent applications will be.</w:t>
      </w:r>
      <w:r>
        <w:rPr>
          <w:rFonts w:ascii="Times New Roman" w:hAnsi="Times New Roman" w:cs="Times New Roman"/>
          <w:noProof/>
          <w:sz w:val="24"/>
          <w:szCs w:val="24"/>
        </w:rPr>
        <w:t xml:space="preserve"> Ultimately, this leads to additional costs of creation of corporate structures which will not be designed economically in the most efficient way but with the aim of circumventin</w:t>
      </w:r>
      <w:r>
        <w:rPr>
          <w:rFonts w:ascii="Times New Roman" w:hAnsi="Times New Roman" w:cs="Times New Roman"/>
          <w:noProof/>
          <w:sz w:val="24"/>
          <w:szCs w:val="24"/>
        </w:rPr>
        <w:t xml:space="preserve">g the concurrent application of multiple insolvency and restructuring frameworks or at least those with low recovery rates or those under which restructuring is difficult. Certain transactions in EU Member States are under certain circumstances structured </w:t>
      </w:r>
      <w:r>
        <w:rPr>
          <w:rFonts w:ascii="Times New Roman" w:hAnsi="Times New Roman" w:cs="Times New Roman"/>
          <w:noProof/>
          <w:sz w:val="24"/>
          <w:szCs w:val="24"/>
        </w:rPr>
        <w:t>using complex structures with special purpose vehicles</w:t>
      </w:r>
      <w:r>
        <w:rPr>
          <w:rFonts w:ascii="Times New Roman" w:hAnsi="Times New Roman" w:cs="Times New Roman"/>
          <w:noProof/>
          <w:sz w:val="24"/>
          <w:szCs w:val="24"/>
          <w:vertAlign w:val="superscript"/>
        </w:rPr>
        <w:footnoteReference w:id="86"/>
      </w:r>
      <w:r>
        <w:rPr>
          <w:rFonts w:ascii="Times New Roman" w:hAnsi="Times New Roman" w:cs="Times New Roman"/>
          <w:noProof/>
          <w:sz w:val="24"/>
          <w:szCs w:val="24"/>
        </w:rPr>
        <w:t xml:space="preserve"> to reduce the potential impact of insolvency if it occurs</w:t>
      </w:r>
      <w:r>
        <w:rPr>
          <w:rFonts w:ascii="Times New Roman" w:hAnsi="Times New Roman" w:cs="Times New Roman"/>
          <w:noProof/>
          <w:sz w:val="24"/>
          <w:szCs w:val="24"/>
          <w:vertAlign w:val="superscript"/>
        </w:rPr>
        <w:footnoteReference w:id="87"/>
      </w:r>
      <w:r>
        <w:rPr>
          <w:rFonts w:ascii="Times New Roman" w:hAnsi="Times New Roman" w:cs="Times New Roman"/>
          <w:noProof/>
          <w:sz w:val="24"/>
          <w:szCs w:val="24"/>
        </w:rPr>
        <w:t>.</w:t>
      </w:r>
    </w:p>
    <w:p w:rsidR="00B32D69" w:rsidRDefault="00FB661A">
      <w:pPr>
        <w:spacing w:after="240" w:line="240" w:lineRule="auto"/>
        <w:jc w:val="both"/>
        <w:rPr>
          <w:rFonts w:ascii="Times New Roman" w:hAnsi="Times New Roman" w:cs="Times New Roman"/>
          <w:noProof/>
          <w:sz w:val="24"/>
          <w:szCs w:val="24"/>
          <w:lang w:val="en-US" w:eastAsia="pl-PL"/>
        </w:rPr>
      </w:pPr>
      <w:r>
        <w:rPr>
          <w:rFonts w:ascii="Times New Roman" w:hAnsi="Times New Roman" w:cs="Times New Roman"/>
          <w:noProof/>
          <w:sz w:val="24"/>
          <w:szCs w:val="24"/>
          <w:lang w:eastAsia="en-GB"/>
        </w:rPr>
        <w:t>According to the World Bank</w:t>
      </w:r>
      <w:r>
        <w:rPr>
          <w:rFonts w:ascii="Times New Roman" w:hAnsi="Times New Roman" w:cs="Times New Roman"/>
          <w:b/>
          <w:noProof/>
          <w:sz w:val="24"/>
          <w:szCs w:val="24"/>
          <w:lang w:eastAsia="en-GB"/>
        </w:rPr>
        <w:t xml:space="preserve">, </w:t>
      </w:r>
      <w:r>
        <w:rPr>
          <w:rFonts w:ascii="Times New Roman" w:hAnsi="Times New Roman" w:cs="Times New Roman"/>
          <w:noProof/>
          <w:sz w:val="24"/>
          <w:szCs w:val="24"/>
          <w:lang w:eastAsia="en-GB"/>
        </w:rPr>
        <w:t>the highest recovery rates for creditors are recorded in economies where restructuring is the most common insol</w:t>
      </w:r>
      <w:r>
        <w:rPr>
          <w:rFonts w:ascii="Times New Roman" w:hAnsi="Times New Roman" w:cs="Times New Roman"/>
          <w:noProof/>
          <w:sz w:val="24"/>
          <w:szCs w:val="24"/>
          <w:lang w:eastAsia="en-GB"/>
        </w:rPr>
        <w:t>vency proceeding</w:t>
      </w:r>
      <w:r>
        <w:rPr>
          <w:rFonts w:ascii="Times New Roman" w:hAnsi="Times New Roman" w:cs="Times New Roman"/>
          <w:noProof/>
          <w:sz w:val="24"/>
          <w:szCs w:val="24"/>
          <w:vertAlign w:val="superscript"/>
          <w:lang w:eastAsia="en-GB"/>
        </w:rPr>
        <w:footnoteReference w:id="88"/>
      </w:r>
      <w:r>
        <w:rPr>
          <w:rFonts w:ascii="Times New Roman" w:hAnsi="Times New Roman" w:cs="Times New Roman"/>
          <w:b/>
          <w:noProof/>
          <w:sz w:val="24"/>
          <w:szCs w:val="24"/>
          <w:lang w:eastAsia="en-GB"/>
        </w:rPr>
        <w:t>.</w:t>
      </w:r>
      <w:r>
        <w:rPr>
          <w:rFonts w:ascii="Times New Roman" w:hAnsi="Times New Roman" w:cs="Times New Roman"/>
          <w:noProof/>
          <w:sz w:val="24"/>
          <w:szCs w:val="24"/>
          <w:lang w:val="en-US" w:eastAsia="pl-PL"/>
        </w:rPr>
        <w:t xml:space="preserve"> For instance, 45 percent of OECD economies use restructuring as the most common way to save viable firms and have an average recovery rate of 83 cents on the dollar, as opposed to 57 cents on the dollar in liquidation</w:t>
      </w:r>
      <w:r>
        <w:rPr>
          <w:rFonts w:ascii="Times New Roman" w:hAnsi="Times New Roman" w:cs="Times New Roman"/>
          <w:noProof/>
          <w:sz w:val="24"/>
          <w:szCs w:val="24"/>
          <w:vertAlign w:val="superscript"/>
          <w:lang w:val="en-US" w:eastAsia="pl-PL"/>
        </w:rPr>
        <w:footnoteReference w:id="89"/>
      </w:r>
      <w:r>
        <w:rPr>
          <w:rFonts w:ascii="Times New Roman" w:hAnsi="Times New Roman" w:cs="Times New Roman"/>
          <w:noProof/>
          <w:sz w:val="24"/>
          <w:szCs w:val="24"/>
          <w:lang w:val="en-US" w:eastAsia="pl-PL"/>
        </w:rPr>
        <w:t>. This difference c</w:t>
      </w:r>
      <w:r>
        <w:rPr>
          <w:rFonts w:ascii="Times New Roman" w:hAnsi="Times New Roman" w:cs="Times New Roman"/>
          <w:noProof/>
          <w:sz w:val="24"/>
          <w:szCs w:val="24"/>
          <w:lang w:val="en-US" w:eastAsia="pl-PL"/>
        </w:rPr>
        <w:t>ontributes to the creation of additional costs in the assessment of the risk under the foreign system.</w:t>
      </w:r>
    </w:p>
    <w:p w:rsidR="00B32D69" w:rsidRDefault="00FB661A">
      <w:pPr>
        <w:spacing w:after="240" w:line="240" w:lineRule="auto"/>
        <w:rPr>
          <w:rFonts w:ascii="Times New Roman" w:eastAsia="Calibri" w:hAnsi="Times New Roman" w:cs="Times New Roman"/>
          <w:b/>
          <w:i/>
          <w:noProof/>
          <w:sz w:val="24"/>
          <w:szCs w:val="24"/>
        </w:rPr>
      </w:pPr>
      <w:r>
        <w:rPr>
          <w:rFonts w:ascii="Times New Roman" w:eastAsia="Calibri" w:hAnsi="Times New Roman" w:cs="Times New Roman"/>
          <w:b/>
          <w:i/>
          <w:noProof/>
          <w:sz w:val="24"/>
          <w:szCs w:val="24"/>
        </w:rPr>
        <w:t xml:space="preserve">Chart 4: Higher recovery rates are more likely in economies where restructuring is the most common insolvency proceeding, </w:t>
      </w:r>
    </w:p>
    <w:p w:rsidR="00B32D69" w:rsidRDefault="00FB661A">
      <w:pPr>
        <w:spacing w:after="240" w:line="240" w:lineRule="auto"/>
        <w:jc w:val="center"/>
        <w:rPr>
          <w:rFonts w:eastAsia="Calibri"/>
          <w:b/>
          <w:noProof/>
        </w:rPr>
      </w:pPr>
      <w:r>
        <w:rPr>
          <w:rFonts w:ascii="Arial" w:hAnsi="Arial" w:cs="Arial"/>
          <w:noProof/>
          <w:color w:val="1F497D"/>
          <w:lang w:eastAsia="en-GB"/>
        </w:rPr>
        <w:drawing>
          <wp:inline distT="0" distB="0" distL="0" distR="0">
            <wp:extent cx="3609975" cy="1762125"/>
            <wp:effectExtent l="0" t="0" r="9525" b="9525"/>
            <wp:docPr id="5" name="Picture 5" descr="cid:image002.png@01CED62C.2BDD6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CED62C.2BDD6DC0"/>
                    <pic:cNvPicPr>
                      <a:picLocks noChangeAspect="1" noChangeArrowheads="1"/>
                    </pic:cNvPicPr>
                  </pic:nvPicPr>
                  <pic:blipFill>
                    <a:blip r:embed="rId26" r:link="rId27">
                      <a:extLst>
                        <a:ext uri="{28A0092B-C50C-407E-A947-70E740481C1C}">
                          <a14:useLocalDpi xmlns:a14="http://schemas.microsoft.com/office/drawing/2010/main" val="0"/>
                        </a:ext>
                      </a:extLst>
                    </a:blip>
                    <a:srcRect t="18806"/>
                    <a:stretch>
                      <a:fillRect/>
                    </a:stretch>
                  </pic:blipFill>
                  <pic:spPr bwMode="auto">
                    <a:xfrm>
                      <a:off x="0" y="0"/>
                      <a:ext cx="3609975" cy="1762125"/>
                    </a:xfrm>
                    <a:prstGeom prst="rect">
                      <a:avLst/>
                    </a:prstGeom>
                    <a:noFill/>
                    <a:ln>
                      <a:noFill/>
                    </a:ln>
                  </pic:spPr>
                </pic:pic>
              </a:graphicData>
            </a:graphic>
          </wp:inline>
        </w:drawing>
      </w:r>
    </w:p>
    <w:p w:rsidR="00B32D69" w:rsidRDefault="00FB661A">
      <w:pPr>
        <w:spacing w:after="240" w:line="240" w:lineRule="auto"/>
        <w:rPr>
          <w:rFonts w:ascii="Times New Roman" w:eastAsia="Calibri" w:hAnsi="Times New Roman" w:cs="Times New Roman"/>
          <w:i/>
          <w:noProof/>
          <w:sz w:val="20"/>
          <w:szCs w:val="20"/>
        </w:rPr>
      </w:pPr>
      <w:r>
        <w:rPr>
          <w:rFonts w:ascii="Times New Roman" w:eastAsia="Calibri" w:hAnsi="Times New Roman" w:cs="Times New Roman"/>
          <w:i/>
          <w:noProof/>
          <w:sz w:val="20"/>
          <w:szCs w:val="20"/>
        </w:rPr>
        <w:t>Source: World Bank</w:t>
      </w:r>
    </w:p>
    <w:p w:rsidR="00B32D69" w:rsidRDefault="00FB661A">
      <w:pPr>
        <w:spacing w:after="24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rPr>
        <w:t xml:space="preserve">A recent </w:t>
      </w:r>
      <w:r>
        <w:rPr>
          <w:rFonts w:ascii="Times New Roman" w:hAnsi="Times New Roman" w:cs="Times New Roman"/>
          <w:noProof/>
          <w:sz w:val="24"/>
          <w:szCs w:val="24"/>
          <w:lang w:eastAsia="en-GB"/>
        </w:rPr>
        <w:t>report shows that balanced and effective insolvency frameworks have a beneficial effect on the costs of borrowing via changes to credit ratings. It also proves that recovery rates remain a significant factor affecting the cost of borrowing, even when other</w:t>
      </w:r>
      <w:r>
        <w:rPr>
          <w:rFonts w:ascii="Times New Roman" w:hAnsi="Times New Roman" w:cs="Times New Roman"/>
          <w:noProof/>
          <w:sz w:val="24"/>
          <w:szCs w:val="24"/>
          <w:lang w:eastAsia="en-GB"/>
        </w:rPr>
        <w:t xml:space="preserve"> institutional variables, beyond insolvency-related factors, are shown to have explanatory power</w:t>
      </w:r>
      <w:r>
        <w:rPr>
          <w:rFonts w:ascii="Times New Roman" w:hAnsi="Times New Roman" w:cs="Times New Roman"/>
          <w:noProof/>
          <w:sz w:val="24"/>
          <w:szCs w:val="24"/>
          <w:vertAlign w:val="superscript"/>
          <w:lang w:eastAsia="en-GB"/>
        </w:rPr>
        <w:footnoteReference w:id="90"/>
      </w:r>
      <w:r>
        <w:rPr>
          <w:rFonts w:ascii="Times New Roman" w:hAnsi="Times New Roman" w:cs="Times New Roman"/>
          <w:noProof/>
          <w:sz w:val="24"/>
          <w:szCs w:val="24"/>
          <w:lang w:eastAsia="en-GB"/>
        </w:rPr>
        <w:t xml:space="preserve">. </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performed public consultation, stakeholders in banking and investment acknowledged that differences in insolvency frameworks between Member States ca</w:t>
      </w:r>
      <w:r>
        <w:rPr>
          <w:rFonts w:ascii="Times New Roman" w:hAnsi="Times New Roman" w:cs="Times New Roman"/>
          <w:noProof/>
          <w:sz w:val="24"/>
          <w:szCs w:val="24"/>
        </w:rPr>
        <w:t>n become a deterrent to cross-border corporate investment, since the difficulties of establishing the value of distressed debt, may increase the cost at which investors are willing to invest or even it could discourage investors from establishing their bus</w:t>
      </w:r>
      <w:r>
        <w:rPr>
          <w:rFonts w:ascii="Times New Roman" w:hAnsi="Times New Roman" w:cs="Times New Roman"/>
          <w:noProof/>
          <w:sz w:val="24"/>
          <w:szCs w:val="24"/>
        </w:rPr>
        <w:t>iness activities in other Member States. Moreover, they voiced that creditors who decide to inject liquidity in a distressed company should be given a sufficient degree of predictability on the recovery of their claims. They agreed that a system that enabl</w:t>
      </w:r>
      <w:r>
        <w:rPr>
          <w:rFonts w:ascii="Times New Roman" w:hAnsi="Times New Roman" w:cs="Times New Roman"/>
          <w:noProof/>
          <w:sz w:val="24"/>
          <w:szCs w:val="24"/>
        </w:rPr>
        <w:t>es the rescue of viable companies, outside or within insolvency proceedings, is essential to mitigate the problem of non-performing loans. Moreover, insolvency practitioners supported that divergence and inefficiency in insolvency frameworks can create bar</w:t>
      </w:r>
      <w:r>
        <w:rPr>
          <w:rFonts w:ascii="Times New Roman" w:hAnsi="Times New Roman" w:cs="Times New Roman"/>
          <w:noProof/>
          <w:sz w:val="24"/>
          <w:szCs w:val="24"/>
        </w:rPr>
        <w:t>riers to corporate lending and investment, including cross-border investment. They stated that uncertainty or difficulties over realising value from distressed debt may be particularly pronounced in the case of cross-border lending and investments and this</w:t>
      </w:r>
      <w:r>
        <w:rPr>
          <w:rFonts w:ascii="Times New Roman" w:hAnsi="Times New Roman" w:cs="Times New Roman"/>
          <w:noProof/>
          <w:sz w:val="24"/>
          <w:szCs w:val="24"/>
        </w:rPr>
        <w:t xml:space="preserve"> may increase the cost at which investors and creditors are willing to invest in or lend to cross-border borrowers.</w:t>
      </w:r>
    </w:p>
    <w:p w:rsidR="00B32D69" w:rsidRDefault="00FB661A">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Also in the public consultation on the Green Paper on the Action Plan of the Capital Markets Union  large number of market participants and </w:t>
      </w:r>
      <w:r>
        <w:rPr>
          <w:rFonts w:ascii="Times New Roman" w:hAnsi="Times New Roman" w:cs="Times New Roman"/>
          <w:noProof/>
          <w:sz w:val="24"/>
          <w:szCs w:val="24"/>
        </w:rPr>
        <w:t>investors noted that the diversity of regimes across the EU negatively impacts confidence in cross-border investment. Central banks and regulators of capital markets supported a comprehensive reform of insolvency frameworks to remove obstacles to cross-bor</w:t>
      </w:r>
      <w:r>
        <w:rPr>
          <w:rFonts w:ascii="Times New Roman" w:hAnsi="Times New Roman" w:cs="Times New Roman"/>
          <w:noProof/>
          <w:sz w:val="24"/>
          <w:szCs w:val="24"/>
        </w:rPr>
        <w:t xml:space="preserve">der investment in the EU posed by differing national insolvency regimes. Also from the point of view of commercial banks, pension funds and other financial intermediaries, in this consultation the widespread divergence in Member States' insolvency regimes </w:t>
      </w:r>
      <w:r>
        <w:rPr>
          <w:rFonts w:ascii="Times New Roman" w:hAnsi="Times New Roman" w:cs="Times New Roman"/>
          <w:noProof/>
          <w:sz w:val="24"/>
          <w:szCs w:val="24"/>
        </w:rPr>
        <w:t>constitute a key deterrent to cross-border investment. Banks further argued that a targeted harmonisation of certain aspects of the differing national insolvency regimes would be a positive contribution to the Capital Markets Union. Member State government</w:t>
      </w:r>
      <w:r>
        <w:rPr>
          <w:rFonts w:ascii="Times New Roman" w:hAnsi="Times New Roman" w:cs="Times New Roman"/>
          <w:noProof/>
          <w:sz w:val="24"/>
          <w:szCs w:val="24"/>
        </w:rPr>
        <w:t xml:space="preserve">s and Finance Ministries adopted a more cautious approach suggesting the performance of a step-by-step approximation. Likewise, business associations showed more divided positions both on the impact of differing national insolvency regimes and on the form </w:t>
      </w:r>
      <w:r>
        <w:rPr>
          <w:rFonts w:ascii="Times New Roman" w:hAnsi="Times New Roman" w:cs="Times New Roman"/>
          <w:noProof/>
          <w:sz w:val="24"/>
          <w:szCs w:val="24"/>
        </w:rPr>
        <w:t>of possible actions to tackle those differences. Representatives of the SMEs would appreciate improvements in the</w:t>
      </w:r>
    </w:p>
    <w:p w:rsidR="00B32D69" w:rsidRDefault="00FB661A">
      <w:pPr>
        <w:autoSpaceDE w:val="0"/>
        <w:autoSpaceDN w:val="0"/>
        <w:adjustRightInd w:val="0"/>
        <w:spacing w:after="24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rPr>
        <w:t>efficiency and effectiveness of insolvency practitioners and the courts. Labour unions called for a wide ranging harmonisation of national ins</w:t>
      </w:r>
      <w:r>
        <w:rPr>
          <w:rFonts w:ascii="Times New Roman" w:hAnsi="Times New Roman" w:cs="Times New Roman"/>
          <w:noProof/>
          <w:sz w:val="24"/>
          <w:szCs w:val="24"/>
        </w:rPr>
        <w:t>olvency frameworks. Other respondents, such as research institutes, considered that a better insolvency framework allows for a better re-allocation of capital and more growth, and that a targeted harmonisation of certain aspects of national insolvency fram</w:t>
      </w:r>
      <w:r>
        <w:rPr>
          <w:rFonts w:ascii="Times New Roman" w:hAnsi="Times New Roman" w:cs="Times New Roman"/>
          <w:noProof/>
          <w:sz w:val="24"/>
          <w:szCs w:val="24"/>
        </w:rPr>
        <w:t>eworks would bring an added value in a Capital Markets Union</w:t>
      </w:r>
      <w:r>
        <w:rPr>
          <w:rStyle w:val="FootnoteReference"/>
          <w:rFonts w:ascii="Times New Roman" w:hAnsi="Times New Roman"/>
          <w:noProof/>
          <w:sz w:val="24"/>
          <w:szCs w:val="24"/>
        </w:rPr>
        <w:footnoteReference w:id="91"/>
      </w:r>
      <w:r>
        <w:rPr>
          <w:rFonts w:ascii="Times New Roman" w:hAnsi="Times New Roman" w:cs="Times New Roman"/>
          <w:noProof/>
          <w:sz w:val="24"/>
          <w:szCs w:val="24"/>
        </w:rPr>
        <w:t>.</w:t>
      </w:r>
    </w:p>
    <w:p w:rsidR="00B32D69" w:rsidRDefault="00FB661A">
      <w:pPr>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Problem 2: Foregone benefits and additional costs for creditors and debtors related to liquidations of viable companies</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successful restructuring of a financially distressed, but economically </w:t>
      </w:r>
      <w:r>
        <w:rPr>
          <w:rFonts w:ascii="Times New Roman" w:hAnsi="Times New Roman" w:cs="Times New Roman"/>
          <w:noProof/>
          <w:sz w:val="24"/>
          <w:szCs w:val="24"/>
        </w:rPr>
        <w:t>viable enterprise is conditioned by a number of pre-requirements, in particular the resolution of the problem of the “race to grab” debtors' assets</w:t>
      </w:r>
      <w:r>
        <w:rPr>
          <w:rFonts w:ascii="Times New Roman" w:hAnsi="Times New Roman" w:cs="Times New Roman"/>
          <w:noProof/>
          <w:sz w:val="24"/>
          <w:szCs w:val="24"/>
          <w:vertAlign w:val="superscript"/>
        </w:rPr>
        <w:footnoteReference w:id="92"/>
      </w:r>
      <w:r>
        <w:rPr>
          <w:rFonts w:ascii="Times New Roman" w:hAnsi="Times New Roman" w:cs="Times New Roman"/>
          <w:noProof/>
          <w:sz w:val="24"/>
          <w:szCs w:val="24"/>
        </w:rPr>
        <w:t xml:space="preserve"> (the need for a stay of enforcement actions at least for the period of preparation of the restructuring pla</w:t>
      </w:r>
      <w:r>
        <w:rPr>
          <w:rFonts w:ascii="Times New Roman" w:hAnsi="Times New Roman" w:cs="Times New Roman"/>
          <w:noProof/>
          <w:sz w:val="24"/>
          <w:szCs w:val="24"/>
        </w:rPr>
        <w:t>n) and the “hold-out”</w:t>
      </w:r>
      <w:r>
        <w:rPr>
          <w:rFonts w:ascii="Times New Roman" w:hAnsi="Times New Roman" w:cs="Times New Roman"/>
          <w:noProof/>
          <w:sz w:val="24"/>
          <w:szCs w:val="24"/>
          <w:vertAlign w:val="superscript"/>
        </w:rPr>
        <w:t xml:space="preserve"> </w:t>
      </w:r>
      <w:r>
        <w:rPr>
          <w:rFonts w:ascii="Times New Roman" w:hAnsi="Times New Roman" w:cs="Times New Roman"/>
          <w:noProof/>
          <w:sz w:val="24"/>
          <w:szCs w:val="24"/>
        </w:rPr>
        <w:t>problem</w:t>
      </w:r>
      <w:r>
        <w:rPr>
          <w:rFonts w:ascii="Times New Roman" w:hAnsi="Times New Roman" w:cs="Times New Roman"/>
          <w:noProof/>
          <w:sz w:val="24"/>
          <w:szCs w:val="24"/>
          <w:vertAlign w:val="superscript"/>
        </w:rPr>
        <w:footnoteReference w:id="93"/>
      </w:r>
      <w:r>
        <w:rPr>
          <w:rFonts w:ascii="Times New Roman" w:hAnsi="Times New Roman" w:cs="Times New Roman"/>
          <w:noProof/>
          <w:sz w:val="24"/>
          <w:szCs w:val="24"/>
        </w:rPr>
        <w:t xml:space="preserve"> of individual creditors (the need for a qualified majority, not unanimity, for the adoption of the restructuring plan) and some additional requirements</w:t>
      </w:r>
      <w:r>
        <w:rPr>
          <w:rFonts w:ascii="Times New Roman" w:hAnsi="Times New Roman" w:cs="Times New Roman"/>
          <w:noProof/>
          <w:sz w:val="24"/>
          <w:szCs w:val="24"/>
          <w:vertAlign w:val="superscript"/>
        </w:rPr>
        <w:footnoteReference w:id="94"/>
      </w:r>
      <w:r>
        <w:rPr>
          <w:rFonts w:ascii="Times New Roman" w:hAnsi="Times New Roman" w:cs="Times New Roman"/>
          <w:noProof/>
          <w:sz w:val="24"/>
          <w:szCs w:val="24"/>
        </w:rPr>
        <w:t>. Moreover, cross-border groups of companies have to deal with additional</w:t>
      </w:r>
      <w:r>
        <w:rPr>
          <w:rFonts w:ascii="Times New Roman" w:hAnsi="Times New Roman" w:cs="Times New Roman"/>
          <w:noProof/>
          <w:sz w:val="24"/>
          <w:szCs w:val="24"/>
        </w:rPr>
        <w:t xml:space="preserve"> coordination costs of multiple national restructuring proceedings. </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performed public consultation, business sector and practitioners voiced that unnecessary liquidation of viable businesses can increase costs for all stakeholders and result in a lo</w:t>
      </w:r>
      <w:r>
        <w:rPr>
          <w:rFonts w:ascii="Times New Roman" w:hAnsi="Times New Roman" w:cs="Times New Roman"/>
          <w:noProof/>
          <w:sz w:val="24"/>
          <w:szCs w:val="24"/>
        </w:rPr>
        <w:t>ss of productive capacity.</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absence of an easily accessible and well-functioning restructuring framework generates three types of costs: relocation costs, coordination costs and lost benefits from financially distressed companies which due to the diffic</w:t>
      </w:r>
      <w:r>
        <w:rPr>
          <w:rFonts w:ascii="Times New Roman" w:hAnsi="Times New Roman" w:cs="Times New Roman"/>
          <w:noProof/>
          <w:sz w:val="24"/>
          <w:szCs w:val="24"/>
        </w:rPr>
        <w:t>ult access or low-quality of restructuring frameworks have to be liquidated instead of being rescued.</w:t>
      </w:r>
    </w:p>
    <w:p w:rsidR="00B32D69" w:rsidRDefault="00FB661A">
      <w:pPr>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a)</w:t>
      </w:r>
      <w:r>
        <w:rPr>
          <w:rFonts w:ascii="Times New Roman" w:hAnsi="Times New Roman" w:cs="Times New Roman"/>
          <w:b/>
          <w:noProof/>
          <w:sz w:val="24"/>
          <w:szCs w:val="24"/>
        </w:rPr>
        <w:tab/>
        <w:t>Relocation costs</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Relocation costs represent costs for companies that could not use a good restructuring framework in a Member State where they were loc</w:t>
      </w:r>
      <w:r>
        <w:rPr>
          <w:rFonts w:ascii="Times New Roman" w:hAnsi="Times New Roman" w:cs="Times New Roman"/>
          <w:noProof/>
          <w:sz w:val="24"/>
          <w:szCs w:val="24"/>
        </w:rPr>
        <w:t>ated and were obliged to relocate to other Member States for the purpose of restructuring and avoiding insolvency. Relocation costs also include the costs for creditors to inform themselves about the laws of the "new" Member State (the one to which the dis</w:t>
      </w:r>
      <w:r>
        <w:rPr>
          <w:rFonts w:ascii="Times New Roman" w:hAnsi="Times New Roman" w:cs="Times New Roman"/>
          <w:noProof/>
          <w:sz w:val="24"/>
          <w:szCs w:val="24"/>
        </w:rPr>
        <w:t>tressed company moved).</w:t>
      </w:r>
    </w:p>
    <w:p w:rsidR="00B32D69" w:rsidRDefault="00FB661A">
      <w:pPr>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Great discrepancies between the restructuring regimes in Member States create incentives for relocation. Relocation triggered by differences in restructuring regimes might lead to the application of a different insolvency regime than originally expected by</w:t>
      </w:r>
      <w:r>
        <w:rPr>
          <w:rFonts w:ascii="Times New Roman" w:hAnsi="Times New Roman" w:cs="Times New Roman"/>
          <w:noProof/>
          <w:sz w:val="24"/>
          <w:szCs w:val="24"/>
        </w:rPr>
        <w:t xml:space="preserve"> creditors. Debtors who want to free themselves of long-standing re-payment obligations at home gain from re-locating to another Member State with less stigmatising regimes. This may adversely affect minority creditors even though the restructuring itself </w:t>
      </w:r>
      <w:r>
        <w:rPr>
          <w:rFonts w:ascii="Times New Roman" w:hAnsi="Times New Roman" w:cs="Times New Roman"/>
          <w:noProof/>
          <w:sz w:val="24"/>
          <w:szCs w:val="24"/>
        </w:rPr>
        <w:t>could be beneficial to the body of creditors and the company as a whole. At the same time, creditors at home risk to be adversely affected if debtors relocate too soon, particularly if they are taken by surprise and have to incur legal and administrative e</w:t>
      </w:r>
      <w:r>
        <w:rPr>
          <w:rFonts w:ascii="Times New Roman" w:hAnsi="Times New Roman" w:cs="Times New Roman"/>
          <w:noProof/>
          <w:sz w:val="24"/>
          <w:szCs w:val="24"/>
        </w:rPr>
        <w:t xml:space="preserve">xpenses trying to enforce their claim in another Member State. </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case of SMEs, relocation is usually not an option because of the anticipated legal complexity. Luxembourg has been mentioned as one of the countries where relocation to other European M</w:t>
      </w:r>
      <w:r>
        <w:rPr>
          <w:rFonts w:ascii="Times New Roman" w:hAnsi="Times New Roman" w:cs="Times New Roman"/>
          <w:noProof/>
          <w:sz w:val="24"/>
          <w:szCs w:val="24"/>
        </w:rPr>
        <w:t>ember States happens more frequently. Consulted stakeholders stated that it is quite common among Luxemburgish companies to move to the UK due to its more favourable pre-pack insolvency regime (better adapted procedures and higher chances of business survi</w:t>
      </w:r>
      <w:r>
        <w:rPr>
          <w:rFonts w:ascii="Times New Roman" w:hAnsi="Times New Roman" w:cs="Times New Roman"/>
          <w:noProof/>
          <w:sz w:val="24"/>
          <w:szCs w:val="24"/>
        </w:rPr>
        <w:t>val), under which companies can be restructured. Such relocation is ‘common’ merely among large companies, being way too costly for SMEs and individual entrepreneurs</w:t>
      </w:r>
      <w:r>
        <w:rPr>
          <w:rFonts w:ascii="Times New Roman" w:hAnsi="Times New Roman" w:cs="Times New Roman"/>
          <w:noProof/>
          <w:sz w:val="24"/>
          <w:szCs w:val="24"/>
          <w:vertAlign w:val="superscript"/>
        </w:rPr>
        <w:footnoteReference w:id="95"/>
      </w:r>
      <w:r>
        <w:rPr>
          <w:rFonts w:ascii="Times New Roman" w:hAnsi="Times New Roman" w:cs="Times New Roman"/>
          <w:noProof/>
          <w:sz w:val="24"/>
          <w:szCs w:val="24"/>
        </w:rPr>
        <w:t xml:space="preserve">. Total relocation costs for both debtors and creditors amount to an estimated </w:t>
      </w:r>
      <w:r>
        <w:rPr>
          <w:rFonts w:ascii="Times New Roman" w:hAnsi="Times New Roman" w:cs="Times New Roman"/>
          <w:b/>
          <w:noProof/>
          <w:sz w:val="24"/>
          <w:szCs w:val="24"/>
        </w:rPr>
        <w:t xml:space="preserve">€ </w:t>
      </w:r>
      <w:r>
        <w:rPr>
          <w:rFonts w:ascii="Times New Roman" w:hAnsi="Times New Roman" w:cs="Times New Roman"/>
          <w:noProof/>
          <w:sz w:val="24"/>
          <w:szCs w:val="24"/>
        </w:rPr>
        <w:t>9 million</w:t>
      </w:r>
      <w:r>
        <w:rPr>
          <w:rFonts w:ascii="Times New Roman" w:hAnsi="Times New Roman" w:cs="Times New Roman"/>
          <w:noProof/>
          <w:sz w:val="24"/>
          <w:szCs w:val="24"/>
        </w:rPr>
        <w:t xml:space="preserve"> per year in Europe. Of course, this figure is a rough estimate which does not account for all types of cases (e.g. a large multinational bank declaring insolvency abroad after relocation)</w:t>
      </w:r>
      <w:r>
        <w:rPr>
          <w:rFonts w:ascii="Times New Roman" w:hAnsi="Times New Roman" w:cs="Times New Roman"/>
          <w:noProof/>
          <w:sz w:val="24"/>
          <w:szCs w:val="24"/>
          <w:vertAlign w:val="superscript"/>
        </w:rPr>
        <w:footnoteReference w:id="96"/>
      </w:r>
      <w:r>
        <w:rPr>
          <w:rFonts w:ascii="Times New Roman" w:hAnsi="Times New Roman" w:cs="Times New Roman"/>
          <w:noProof/>
          <w:sz w:val="24"/>
          <w:szCs w:val="24"/>
        </w:rPr>
        <w:t>.</w:t>
      </w:r>
    </w:p>
    <w:p w:rsidR="00B32D69" w:rsidRDefault="00B32D69">
      <w:pPr>
        <w:spacing w:after="240" w:line="240" w:lineRule="auto"/>
        <w:jc w:val="both"/>
        <w:rPr>
          <w:rFonts w:ascii="Times New Roman" w:hAnsi="Times New Roman" w:cs="Times New Roman"/>
          <w:noProof/>
          <w:sz w:val="24"/>
          <w:szCs w:val="24"/>
        </w:rPr>
      </w:pPr>
    </w:p>
    <w:p w:rsidR="00B32D69" w:rsidRDefault="00FB661A">
      <w:pPr>
        <w:keepNext/>
        <w:spacing w:line="240" w:lineRule="auto"/>
        <w:jc w:val="both"/>
        <w:rPr>
          <w:rFonts w:ascii="Times New Roman" w:eastAsia="Calibri" w:hAnsi="Times New Roman" w:cs="Times New Roman"/>
          <w:b/>
          <w:bCs/>
          <w:i/>
          <w:noProof/>
          <w:sz w:val="24"/>
          <w:szCs w:val="24"/>
        </w:rPr>
      </w:pPr>
      <w:r>
        <w:rPr>
          <w:rFonts w:ascii="Times New Roman" w:eastAsia="Calibri" w:hAnsi="Times New Roman" w:cs="Times New Roman"/>
          <w:b/>
          <w:bCs/>
          <w:i/>
          <w:noProof/>
          <w:sz w:val="24"/>
          <w:szCs w:val="24"/>
        </w:rPr>
        <w:t xml:space="preserve">Table 10: Estimation of relocation costs incurred by debtors in </w:t>
      </w:r>
      <w:r>
        <w:rPr>
          <w:rFonts w:ascii="Times New Roman" w:eastAsia="Calibri" w:hAnsi="Times New Roman" w:cs="Times New Roman"/>
          <w:b/>
          <w:bCs/>
          <w:i/>
          <w:noProof/>
          <w:sz w:val="24"/>
          <w:szCs w:val="24"/>
        </w:rPr>
        <w:t>the EU</w:t>
      </w:r>
    </w:p>
    <w:tbl>
      <w:tblPr>
        <w:tblStyle w:val="TableGrid"/>
        <w:tblW w:w="0" w:type="auto"/>
        <w:tblLook w:val="04A0" w:firstRow="1" w:lastRow="0" w:firstColumn="1" w:lastColumn="0" w:noHBand="0" w:noVBand="1"/>
      </w:tblPr>
      <w:tblGrid>
        <w:gridCol w:w="3256"/>
        <w:gridCol w:w="1239"/>
        <w:gridCol w:w="1240"/>
        <w:gridCol w:w="1240"/>
        <w:gridCol w:w="2075"/>
      </w:tblGrid>
      <w:tr w:rsidR="00B32D69">
        <w:trPr>
          <w:trHeight w:val="218"/>
        </w:trPr>
        <w:tc>
          <w:tcPr>
            <w:tcW w:w="3256" w:type="dxa"/>
            <w:vMerge w:val="restart"/>
            <w:shd w:val="clear" w:color="auto" w:fill="D9D9D9" w:themeFill="background1" w:themeFillShade="D9"/>
            <w:vAlign w:val="center"/>
          </w:tcPr>
          <w:p w:rsidR="00B32D69" w:rsidRDefault="00FB661A">
            <w:pPr>
              <w:jc w:val="center"/>
              <w:rPr>
                <w:rFonts w:ascii="Times New Roman" w:hAnsi="Times New Roman"/>
                <w:b/>
                <w:noProof/>
                <w:sz w:val="24"/>
                <w:szCs w:val="24"/>
              </w:rPr>
            </w:pPr>
            <w:r>
              <w:rPr>
                <w:rFonts w:ascii="Times New Roman" w:hAnsi="Times New Roman"/>
                <w:b/>
                <w:noProof/>
                <w:sz w:val="24"/>
                <w:szCs w:val="24"/>
              </w:rPr>
              <w:t>Number of relocating businesses in the EU</w:t>
            </w:r>
          </w:p>
        </w:tc>
        <w:tc>
          <w:tcPr>
            <w:tcW w:w="3719" w:type="dxa"/>
            <w:gridSpan w:val="3"/>
            <w:shd w:val="clear" w:color="auto" w:fill="D9D9D9" w:themeFill="background1" w:themeFillShade="D9"/>
            <w:vAlign w:val="center"/>
          </w:tcPr>
          <w:p w:rsidR="00B32D69" w:rsidRDefault="00FB661A">
            <w:pPr>
              <w:jc w:val="center"/>
              <w:rPr>
                <w:rFonts w:ascii="Times New Roman" w:hAnsi="Times New Roman"/>
                <w:b/>
                <w:noProof/>
                <w:sz w:val="24"/>
                <w:szCs w:val="24"/>
              </w:rPr>
            </w:pPr>
            <w:r>
              <w:rPr>
                <w:rFonts w:ascii="Times New Roman" w:hAnsi="Times New Roman"/>
                <w:b/>
                <w:noProof/>
                <w:sz w:val="24"/>
                <w:szCs w:val="24"/>
              </w:rPr>
              <w:t>Relocation costs/business</w:t>
            </w:r>
          </w:p>
        </w:tc>
        <w:tc>
          <w:tcPr>
            <w:tcW w:w="2075" w:type="dxa"/>
            <w:vMerge w:val="restart"/>
            <w:shd w:val="clear" w:color="auto" w:fill="D9D9D9" w:themeFill="background1" w:themeFillShade="D9"/>
            <w:vAlign w:val="center"/>
          </w:tcPr>
          <w:p w:rsidR="00B32D69" w:rsidRDefault="00FB661A">
            <w:pPr>
              <w:jc w:val="center"/>
              <w:rPr>
                <w:rFonts w:ascii="Times New Roman" w:hAnsi="Times New Roman"/>
                <w:b/>
                <w:noProof/>
                <w:sz w:val="24"/>
                <w:szCs w:val="24"/>
              </w:rPr>
            </w:pPr>
            <w:r>
              <w:rPr>
                <w:rFonts w:ascii="Times New Roman" w:hAnsi="Times New Roman"/>
                <w:b/>
                <w:noProof/>
                <w:sz w:val="24"/>
                <w:szCs w:val="24"/>
              </w:rPr>
              <w:t>Total relocation costs for debtors</w:t>
            </w:r>
          </w:p>
        </w:tc>
      </w:tr>
      <w:tr w:rsidR="00B32D69">
        <w:trPr>
          <w:trHeight w:val="217"/>
        </w:trPr>
        <w:tc>
          <w:tcPr>
            <w:tcW w:w="3256" w:type="dxa"/>
            <w:vMerge/>
            <w:vAlign w:val="center"/>
          </w:tcPr>
          <w:p w:rsidR="00B32D69" w:rsidRDefault="00B32D69">
            <w:pPr>
              <w:jc w:val="center"/>
              <w:rPr>
                <w:rFonts w:ascii="Times New Roman" w:hAnsi="Times New Roman"/>
                <w:b/>
                <w:noProof/>
                <w:sz w:val="24"/>
                <w:szCs w:val="24"/>
              </w:rPr>
            </w:pPr>
          </w:p>
        </w:tc>
        <w:tc>
          <w:tcPr>
            <w:tcW w:w="1239" w:type="dxa"/>
            <w:shd w:val="clear" w:color="auto" w:fill="D9D9D9" w:themeFill="background1" w:themeFillShade="D9"/>
            <w:vAlign w:val="center"/>
          </w:tcPr>
          <w:p w:rsidR="00B32D69" w:rsidRDefault="00FB661A">
            <w:pPr>
              <w:jc w:val="center"/>
              <w:rPr>
                <w:rFonts w:ascii="Times New Roman" w:hAnsi="Times New Roman"/>
                <w:b/>
                <w:noProof/>
                <w:sz w:val="24"/>
                <w:szCs w:val="24"/>
              </w:rPr>
            </w:pPr>
            <w:r>
              <w:rPr>
                <w:rFonts w:ascii="Times New Roman" w:hAnsi="Times New Roman"/>
                <w:b/>
                <w:noProof/>
                <w:sz w:val="24"/>
                <w:szCs w:val="24"/>
              </w:rPr>
              <w:t>Travel</w:t>
            </w:r>
          </w:p>
        </w:tc>
        <w:tc>
          <w:tcPr>
            <w:tcW w:w="1240" w:type="dxa"/>
            <w:shd w:val="clear" w:color="auto" w:fill="D9D9D9" w:themeFill="background1" w:themeFillShade="D9"/>
            <w:vAlign w:val="center"/>
          </w:tcPr>
          <w:p w:rsidR="00B32D69" w:rsidRDefault="00FB661A">
            <w:pPr>
              <w:jc w:val="center"/>
              <w:rPr>
                <w:rFonts w:ascii="Times New Roman" w:hAnsi="Times New Roman"/>
                <w:b/>
                <w:noProof/>
                <w:sz w:val="24"/>
                <w:szCs w:val="24"/>
              </w:rPr>
            </w:pPr>
            <w:r>
              <w:rPr>
                <w:rFonts w:ascii="Times New Roman" w:hAnsi="Times New Roman"/>
                <w:b/>
                <w:noProof/>
                <w:sz w:val="24"/>
                <w:szCs w:val="24"/>
              </w:rPr>
              <w:t>Moving</w:t>
            </w:r>
          </w:p>
        </w:tc>
        <w:tc>
          <w:tcPr>
            <w:tcW w:w="1240" w:type="dxa"/>
            <w:shd w:val="clear" w:color="auto" w:fill="D9D9D9" w:themeFill="background1" w:themeFillShade="D9"/>
            <w:vAlign w:val="center"/>
          </w:tcPr>
          <w:p w:rsidR="00B32D69" w:rsidRDefault="00FB661A">
            <w:pPr>
              <w:jc w:val="center"/>
              <w:rPr>
                <w:rFonts w:ascii="Times New Roman" w:hAnsi="Times New Roman"/>
                <w:b/>
                <w:noProof/>
                <w:sz w:val="24"/>
                <w:szCs w:val="24"/>
              </w:rPr>
            </w:pPr>
            <w:r>
              <w:rPr>
                <w:rFonts w:ascii="Times New Roman" w:hAnsi="Times New Roman"/>
                <w:b/>
                <w:noProof/>
                <w:sz w:val="24"/>
                <w:szCs w:val="24"/>
              </w:rPr>
              <w:t>Renting</w:t>
            </w:r>
          </w:p>
        </w:tc>
        <w:tc>
          <w:tcPr>
            <w:tcW w:w="2075" w:type="dxa"/>
            <w:vMerge/>
            <w:vAlign w:val="center"/>
          </w:tcPr>
          <w:p w:rsidR="00B32D69" w:rsidRDefault="00B32D69">
            <w:pPr>
              <w:jc w:val="center"/>
              <w:rPr>
                <w:rFonts w:ascii="Times New Roman" w:hAnsi="Times New Roman"/>
                <w:b/>
                <w:noProof/>
                <w:sz w:val="24"/>
                <w:szCs w:val="24"/>
              </w:rPr>
            </w:pPr>
          </w:p>
        </w:tc>
      </w:tr>
      <w:tr w:rsidR="00B32D69">
        <w:tc>
          <w:tcPr>
            <w:tcW w:w="3256" w:type="dxa"/>
            <w:vAlign w:val="center"/>
          </w:tcPr>
          <w:p w:rsidR="00B32D69" w:rsidRDefault="00FB661A">
            <w:pPr>
              <w:jc w:val="center"/>
              <w:rPr>
                <w:rFonts w:ascii="Times New Roman" w:hAnsi="Times New Roman"/>
                <w:noProof/>
                <w:sz w:val="24"/>
                <w:szCs w:val="24"/>
              </w:rPr>
            </w:pPr>
            <w:r>
              <w:rPr>
                <w:rFonts w:ascii="Times New Roman" w:hAnsi="Times New Roman"/>
                <w:noProof/>
                <w:sz w:val="24"/>
                <w:szCs w:val="24"/>
              </w:rPr>
              <w:t xml:space="preserve">0.5% x Total number of formal insolvencies </w:t>
            </w:r>
          </w:p>
          <w:p w:rsidR="00B32D69" w:rsidRDefault="00FB661A">
            <w:pPr>
              <w:jc w:val="center"/>
              <w:rPr>
                <w:rFonts w:ascii="Times New Roman" w:hAnsi="Times New Roman"/>
                <w:noProof/>
                <w:sz w:val="24"/>
                <w:szCs w:val="24"/>
              </w:rPr>
            </w:pPr>
            <w:r>
              <w:rPr>
                <w:rFonts w:ascii="Times New Roman" w:hAnsi="Times New Roman"/>
                <w:noProof/>
                <w:sz w:val="24"/>
                <w:szCs w:val="24"/>
              </w:rPr>
              <w:t>(=559)</w:t>
            </w:r>
          </w:p>
        </w:tc>
        <w:tc>
          <w:tcPr>
            <w:tcW w:w="1239" w:type="dxa"/>
            <w:vAlign w:val="center"/>
          </w:tcPr>
          <w:p w:rsidR="00B32D69" w:rsidRDefault="00FB661A">
            <w:pPr>
              <w:jc w:val="center"/>
              <w:rPr>
                <w:rFonts w:ascii="Times New Roman" w:hAnsi="Times New Roman"/>
                <w:noProof/>
                <w:sz w:val="24"/>
                <w:szCs w:val="24"/>
              </w:rPr>
            </w:pPr>
            <w:r>
              <w:rPr>
                <w:rFonts w:ascii="Times New Roman" w:hAnsi="Times New Roman"/>
                <w:noProof/>
                <w:sz w:val="24"/>
                <w:szCs w:val="24"/>
              </w:rPr>
              <w:t>€100</w:t>
            </w:r>
          </w:p>
        </w:tc>
        <w:tc>
          <w:tcPr>
            <w:tcW w:w="1240" w:type="dxa"/>
            <w:vAlign w:val="center"/>
          </w:tcPr>
          <w:p w:rsidR="00B32D69" w:rsidRDefault="00FB661A">
            <w:pPr>
              <w:jc w:val="center"/>
              <w:rPr>
                <w:rFonts w:ascii="Times New Roman" w:hAnsi="Times New Roman"/>
                <w:noProof/>
                <w:sz w:val="24"/>
                <w:szCs w:val="24"/>
              </w:rPr>
            </w:pPr>
            <w:r>
              <w:rPr>
                <w:rFonts w:ascii="Times New Roman" w:hAnsi="Times New Roman"/>
                <w:noProof/>
                <w:sz w:val="24"/>
                <w:szCs w:val="24"/>
              </w:rPr>
              <w:t>€250</w:t>
            </w:r>
          </w:p>
        </w:tc>
        <w:tc>
          <w:tcPr>
            <w:tcW w:w="1240" w:type="dxa"/>
            <w:vAlign w:val="center"/>
          </w:tcPr>
          <w:p w:rsidR="00B32D69" w:rsidRDefault="00FB661A">
            <w:pPr>
              <w:jc w:val="center"/>
              <w:rPr>
                <w:rFonts w:ascii="Times New Roman" w:hAnsi="Times New Roman"/>
                <w:noProof/>
                <w:sz w:val="24"/>
                <w:szCs w:val="24"/>
              </w:rPr>
            </w:pPr>
            <w:r>
              <w:rPr>
                <w:rFonts w:ascii="Times New Roman" w:hAnsi="Times New Roman"/>
                <w:noProof/>
                <w:sz w:val="24"/>
                <w:szCs w:val="24"/>
              </w:rPr>
              <w:t>€8742</w:t>
            </w:r>
          </w:p>
        </w:tc>
        <w:tc>
          <w:tcPr>
            <w:tcW w:w="2075" w:type="dxa"/>
            <w:vAlign w:val="center"/>
          </w:tcPr>
          <w:p w:rsidR="00B32D69" w:rsidRDefault="00FB661A">
            <w:pPr>
              <w:jc w:val="center"/>
              <w:rPr>
                <w:rFonts w:ascii="Times New Roman" w:hAnsi="Times New Roman"/>
                <w:b/>
                <w:noProof/>
                <w:sz w:val="24"/>
                <w:szCs w:val="24"/>
              </w:rPr>
            </w:pPr>
            <w:r>
              <w:rPr>
                <w:rFonts w:ascii="Times New Roman" w:hAnsi="Times New Roman"/>
                <w:b/>
                <w:noProof/>
                <w:sz w:val="24"/>
                <w:szCs w:val="24"/>
              </w:rPr>
              <w:t>€5,082,428</w:t>
            </w:r>
          </w:p>
        </w:tc>
      </w:tr>
    </w:tbl>
    <w:p w:rsidR="00B32D69" w:rsidRDefault="00FB661A">
      <w:pPr>
        <w:spacing w:before="120" w:after="240" w:line="240" w:lineRule="auto"/>
        <w:rPr>
          <w:rFonts w:ascii="Times New Roman" w:hAnsi="Times New Roman" w:cs="Times New Roman"/>
          <w:i/>
          <w:noProof/>
          <w:sz w:val="20"/>
          <w:szCs w:val="20"/>
        </w:rPr>
      </w:pPr>
      <w:r>
        <w:rPr>
          <w:rFonts w:ascii="Times New Roman" w:hAnsi="Times New Roman" w:cs="Times New Roman"/>
          <w:i/>
          <w:noProof/>
          <w:sz w:val="20"/>
          <w:szCs w:val="20"/>
        </w:rPr>
        <w:t xml:space="preserve">Source: Calculations of VVA/ JIIP/ DTI/ </w:t>
      </w:r>
      <w:r>
        <w:rPr>
          <w:rFonts w:ascii="Times New Roman" w:hAnsi="Times New Roman" w:cs="Times New Roman"/>
          <w:i/>
          <w:noProof/>
          <w:sz w:val="20"/>
          <w:szCs w:val="20"/>
        </w:rPr>
        <w:t>Grimaldi consortium based on respondents’ answers</w:t>
      </w:r>
      <w:r>
        <w:rPr>
          <w:rFonts w:ascii="Times New Roman" w:hAnsi="Times New Roman" w:cs="Times New Roman"/>
          <w:i/>
          <w:noProof/>
          <w:sz w:val="20"/>
          <w:szCs w:val="20"/>
          <w:vertAlign w:val="superscript"/>
        </w:rPr>
        <w:footnoteReference w:id="97"/>
      </w:r>
    </w:p>
    <w:p w:rsidR="00B32D69" w:rsidRDefault="00FB661A">
      <w:pPr>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forum shopping</w:t>
      </w:r>
      <w:r>
        <w:rPr>
          <w:rFonts w:ascii="Times New Roman" w:hAnsi="Times New Roman" w:cs="Times New Roman"/>
          <w:noProof/>
          <w:sz w:val="24"/>
          <w:szCs w:val="24"/>
          <w:vertAlign w:val="superscript"/>
        </w:rPr>
        <w:footnoteReference w:id="98"/>
      </w:r>
      <w:r>
        <w:rPr>
          <w:rFonts w:ascii="Times New Roman" w:hAnsi="Times New Roman" w:cs="Times New Roman"/>
          <w:noProof/>
          <w:sz w:val="24"/>
          <w:szCs w:val="24"/>
        </w:rPr>
        <w:t xml:space="preserve"> phenomenon has been used in the EU in situations where debtors and creditors have sought to utilise more friendly non-insolvency based restructuring procedures existing in other Member States than insolvency based restructuring schemes available in Member</w:t>
      </w:r>
      <w:r>
        <w:rPr>
          <w:rFonts w:ascii="Times New Roman" w:hAnsi="Times New Roman" w:cs="Times New Roman"/>
          <w:noProof/>
          <w:sz w:val="24"/>
          <w:szCs w:val="24"/>
        </w:rPr>
        <w:t xml:space="preserve"> States where they had they their centre of main interest (COMI). In particular, there has been a recent trend for non-English companies to restructure under the English law scheme of arrangement</w:t>
      </w:r>
      <w:r>
        <w:rPr>
          <w:rFonts w:ascii="Times New Roman" w:hAnsi="Times New Roman" w:cs="Times New Roman"/>
          <w:noProof/>
          <w:sz w:val="24"/>
          <w:szCs w:val="24"/>
          <w:vertAlign w:val="superscript"/>
        </w:rPr>
        <w:footnoteReference w:id="99"/>
      </w:r>
      <w:r>
        <w:rPr>
          <w:rFonts w:ascii="Times New Roman" w:hAnsi="Times New Roman" w:cs="Times New Roman"/>
          <w:noProof/>
          <w:sz w:val="24"/>
          <w:szCs w:val="24"/>
        </w:rPr>
        <w:t>. In some circumstances, the ability to institute proceeding</w:t>
      </w:r>
      <w:r>
        <w:rPr>
          <w:rFonts w:ascii="Times New Roman" w:hAnsi="Times New Roman" w:cs="Times New Roman"/>
          <w:noProof/>
          <w:sz w:val="24"/>
          <w:szCs w:val="24"/>
        </w:rPr>
        <w:t xml:space="preserve">s in a different and more favourable jurisdiction may be helpful to a company in distress, but this is not available to all companies (particularly medium or smaller companies), and may often be more costly and inefficient than proceedings in the debtor’s </w:t>
      </w:r>
      <w:r>
        <w:rPr>
          <w:rFonts w:ascii="Times New Roman" w:hAnsi="Times New Roman" w:cs="Times New Roman"/>
          <w:noProof/>
          <w:sz w:val="24"/>
          <w:szCs w:val="24"/>
        </w:rPr>
        <w:t>own jurisdiction</w:t>
      </w:r>
      <w:r>
        <w:rPr>
          <w:rFonts w:ascii="Times New Roman" w:hAnsi="Times New Roman" w:cs="Times New Roman"/>
          <w:noProof/>
          <w:sz w:val="24"/>
          <w:szCs w:val="24"/>
          <w:vertAlign w:val="superscript"/>
        </w:rPr>
        <w:footnoteReference w:id="100"/>
      </w:r>
      <w:r>
        <w:rPr>
          <w:rFonts w:ascii="Times New Roman" w:hAnsi="Times New Roman" w:cs="Times New Roman"/>
          <w:noProof/>
          <w:sz w:val="24"/>
          <w:szCs w:val="24"/>
        </w:rPr>
        <w:t>. The costs for the creditor may discourage enforcing of claims and lead to small or inexistent recovery. Additional costs will arise for creditors after the relocation, i.e. costs of legal advice and the costs related to a shift in centre</w:t>
      </w:r>
      <w:r>
        <w:rPr>
          <w:rFonts w:ascii="Times New Roman" w:hAnsi="Times New Roman" w:cs="Times New Roman"/>
          <w:noProof/>
          <w:sz w:val="24"/>
          <w:szCs w:val="24"/>
        </w:rPr>
        <w:t xml:space="preserve"> of main interests (COMI)</w:t>
      </w:r>
      <w:r>
        <w:rPr>
          <w:rFonts w:ascii="Times New Roman" w:hAnsi="Times New Roman" w:cs="Times New Roman"/>
          <w:noProof/>
          <w:sz w:val="24"/>
          <w:szCs w:val="24"/>
          <w:vertAlign w:val="superscript"/>
        </w:rPr>
        <w:footnoteReference w:id="101"/>
      </w:r>
      <w:r>
        <w:rPr>
          <w:rFonts w:ascii="Times New Roman" w:hAnsi="Times New Roman" w:cs="Times New Roman"/>
          <w:noProof/>
          <w:sz w:val="24"/>
          <w:szCs w:val="24"/>
        </w:rPr>
        <w:t>; this may be a barrier for creditors to properly manage their interests in recovering the debt, especially when it is relatively low.</w:t>
      </w:r>
    </w:p>
    <w:tbl>
      <w:tblPr>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9211"/>
      </w:tblGrid>
      <w:tr w:rsidR="00B32D69">
        <w:tc>
          <w:tcPr>
            <w:tcW w:w="9211" w:type="dxa"/>
            <w:tcBorders>
              <w:top w:val="single" w:sz="8" w:space="0" w:color="78C0D4"/>
              <w:left w:val="single" w:sz="8" w:space="0" w:color="78C0D4"/>
              <w:bottom w:val="single" w:sz="8" w:space="0" w:color="78C0D4"/>
              <w:right w:val="single" w:sz="8" w:space="0" w:color="78C0D4"/>
            </w:tcBorders>
            <w:shd w:val="clear" w:color="auto" w:fill="D2EAF1"/>
          </w:tcPr>
          <w:p w:rsidR="00B32D69" w:rsidRDefault="00FB661A">
            <w:pPr>
              <w:tabs>
                <w:tab w:val="center" w:pos="7285"/>
                <w:tab w:val="right" w:pos="14003"/>
              </w:tabs>
              <w:spacing w:after="120" w:line="240" w:lineRule="auto"/>
              <w:jc w:val="both"/>
              <w:rPr>
                <w:rFonts w:ascii="Times New Roman" w:eastAsia="Calibri" w:hAnsi="Times New Roman" w:cs="Times New Roman"/>
                <w:noProof/>
                <w:sz w:val="24"/>
              </w:rPr>
            </w:pPr>
            <w:r>
              <w:rPr>
                <w:rFonts w:ascii="Times New Roman" w:hAnsi="Times New Roman" w:cs="Times New Roman"/>
                <w:noProof/>
                <w:sz w:val="24"/>
                <w:szCs w:val="24"/>
              </w:rPr>
              <w:t xml:space="preserve">Some high profile examples of relocation have been noted in the impact assessment on the </w:t>
            </w:r>
            <w:r>
              <w:rPr>
                <w:rFonts w:ascii="Times New Roman" w:hAnsi="Times New Roman" w:cs="Times New Roman"/>
                <w:noProof/>
                <w:sz w:val="24"/>
                <w:szCs w:val="24"/>
              </w:rPr>
              <w:t>revision of the existing Insolvency Regulation</w:t>
            </w:r>
            <w:r>
              <w:rPr>
                <w:rFonts w:ascii="Times New Roman" w:hAnsi="Times New Roman" w:cs="Times New Roman"/>
                <w:noProof/>
                <w:sz w:val="24"/>
                <w:szCs w:val="24"/>
                <w:vertAlign w:val="superscript"/>
              </w:rPr>
              <w:footnoteReference w:id="102"/>
            </w:r>
            <w:r>
              <w:rPr>
                <w:rFonts w:ascii="Times New Roman" w:hAnsi="Times New Roman" w:cs="Times New Roman"/>
                <w:noProof/>
                <w:sz w:val="24"/>
                <w:szCs w:val="24"/>
              </w:rPr>
              <w:t>. I</w:t>
            </w:r>
            <w:r>
              <w:rPr>
                <w:rFonts w:ascii="Times New Roman" w:hAnsi="Times New Roman" w:cs="Times New Roman"/>
                <w:noProof/>
                <w:sz w:val="24"/>
                <w:szCs w:val="24"/>
                <w:lang w:eastAsia="en-GB"/>
              </w:rPr>
              <w:t xml:space="preserve">n a recent series of cases the three German companies </w:t>
            </w:r>
            <w:r>
              <w:rPr>
                <w:rFonts w:ascii="Times New Roman" w:hAnsi="Times New Roman" w:cs="Times New Roman"/>
                <w:b/>
                <w:iCs/>
                <w:noProof/>
                <w:sz w:val="24"/>
                <w:szCs w:val="24"/>
                <w:lang w:eastAsia="en-GB"/>
              </w:rPr>
              <w:t>Deutsche Nickel</w:t>
            </w:r>
            <w:r>
              <w:rPr>
                <w:rFonts w:ascii="Times New Roman" w:hAnsi="Times New Roman" w:cs="Times New Roman"/>
                <w:b/>
                <w:noProof/>
                <w:sz w:val="24"/>
                <w:szCs w:val="24"/>
                <w:lang w:eastAsia="en-GB"/>
              </w:rPr>
              <w:t xml:space="preserve">, </w:t>
            </w:r>
            <w:r>
              <w:rPr>
                <w:rFonts w:ascii="Times New Roman" w:hAnsi="Times New Roman" w:cs="Times New Roman"/>
                <w:b/>
                <w:iCs/>
                <w:noProof/>
                <w:sz w:val="24"/>
                <w:szCs w:val="24"/>
                <w:lang w:eastAsia="en-GB"/>
              </w:rPr>
              <w:t>Schefenacker</w:t>
            </w:r>
            <w:r>
              <w:rPr>
                <w:rFonts w:ascii="Times New Roman" w:hAnsi="Times New Roman" w:cs="Times New Roman"/>
                <w:i/>
                <w:iCs/>
                <w:noProof/>
                <w:sz w:val="24"/>
                <w:szCs w:val="24"/>
                <w:lang w:eastAsia="en-GB"/>
              </w:rPr>
              <w:t xml:space="preserve"> </w:t>
            </w:r>
            <w:r>
              <w:rPr>
                <w:rFonts w:ascii="Times New Roman" w:hAnsi="Times New Roman" w:cs="Times New Roman"/>
                <w:noProof/>
                <w:sz w:val="24"/>
                <w:szCs w:val="24"/>
                <w:lang w:eastAsia="en-GB"/>
              </w:rPr>
              <w:t xml:space="preserve">and </w:t>
            </w:r>
            <w:r>
              <w:rPr>
                <w:rFonts w:ascii="Times New Roman" w:hAnsi="Times New Roman" w:cs="Times New Roman"/>
                <w:b/>
                <w:i/>
                <w:iCs/>
                <w:noProof/>
                <w:sz w:val="24"/>
                <w:szCs w:val="24"/>
                <w:lang w:eastAsia="en-GB"/>
              </w:rPr>
              <w:t>Hans</w:t>
            </w:r>
            <w:r>
              <w:rPr>
                <w:rFonts w:ascii="Times New Roman" w:hAnsi="Times New Roman" w:cs="Times New Roman"/>
                <w:b/>
                <w:noProof/>
                <w:sz w:val="24"/>
                <w:szCs w:val="24"/>
                <w:lang w:eastAsia="en-GB"/>
              </w:rPr>
              <w:t xml:space="preserve"> </w:t>
            </w:r>
            <w:r>
              <w:rPr>
                <w:rFonts w:ascii="Times New Roman" w:hAnsi="Times New Roman" w:cs="Times New Roman"/>
                <w:b/>
                <w:i/>
                <w:iCs/>
                <w:noProof/>
                <w:sz w:val="24"/>
                <w:szCs w:val="24"/>
                <w:lang w:eastAsia="en-GB"/>
              </w:rPr>
              <w:t>Brochier</w:t>
            </w:r>
            <w:r>
              <w:rPr>
                <w:rFonts w:ascii="Times New Roman" w:hAnsi="Times New Roman" w:cs="Times New Roman"/>
                <w:i/>
                <w:iCs/>
                <w:noProof/>
                <w:sz w:val="24"/>
                <w:szCs w:val="24"/>
                <w:lang w:eastAsia="en-GB"/>
              </w:rPr>
              <w:t xml:space="preserve"> </w:t>
            </w:r>
            <w:r>
              <w:rPr>
                <w:rFonts w:ascii="Times New Roman" w:hAnsi="Times New Roman" w:cs="Times New Roman"/>
                <w:noProof/>
                <w:sz w:val="24"/>
                <w:szCs w:val="24"/>
                <w:lang w:eastAsia="en-GB"/>
              </w:rPr>
              <w:t xml:space="preserve">took steps in order to be able to make use of the English law on schemes of arrangement. </w:t>
            </w:r>
            <w:r>
              <w:rPr>
                <w:rFonts w:ascii="Times New Roman" w:hAnsi="Times New Roman" w:cs="Times New Roman"/>
                <w:bCs/>
                <w:noProof/>
                <w:color w:val="000000"/>
                <w:sz w:val="24"/>
                <w:szCs w:val="24"/>
              </w:rPr>
              <w:t>The costs assoc</w:t>
            </w:r>
            <w:r>
              <w:rPr>
                <w:rFonts w:ascii="Times New Roman" w:hAnsi="Times New Roman" w:cs="Times New Roman"/>
                <w:bCs/>
                <w:noProof/>
                <w:color w:val="000000"/>
                <w:sz w:val="24"/>
                <w:szCs w:val="24"/>
              </w:rPr>
              <w:t>iated with these moves can be very high. For example, “Schefenacker, with debts of €400m, paid its advisers €40m” in order to “move to the UK in 2007 to speed up a complicated restructuring.”</w:t>
            </w:r>
            <w:r>
              <w:rPr>
                <w:rFonts w:ascii="Times New Roman" w:hAnsi="Times New Roman" w:cs="Times New Roman"/>
                <w:bCs/>
                <w:noProof/>
                <w:color w:val="000000"/>
                <w:sz w:val="24"/>
                <w:szCs w:val="24"/>
                <w:vertAlign w:val="superscript"/>
              </w:rPr>
              <w:footnoteReference w:id="103"/>
            </w:r>
            <w:r>
              <w:rPr>
                <w:rFonts w:ascii="Times New Roman" w:hAnsi="Times New Roman" w:cs="Times New Roman"/>
                <w:bCs/>
                <w:noProof/>
                <w:color w:val="000000"/>
                <w:sz w:val="24"/>
                <w:szCs w:val="24"/>
              </w:rPr>
              <w:t xml:space="preserve"> </w:t>
            </w:r>
            <w:r>
              <w:rPr>
                <w:rFonts w:ascii="Times New Roman" w:hAnsi="Times New Roman" w:cs="Times New Roman"/>
                <w:noProof/>
                <w:sz w:val="24"/>
                <w:szCs w:val="24"/>
                <w:lang w:eastAsia="en-GB"/>
              </w:rPr>
              <w:t xml:space="preserve">Another high-profile case involves </w:t>
            </w:r>
            <w:r>
              <w:rPr>
                <w:rFonts w:ascii="Times New Roman" w:hAnsi="Times New Roman" w:cs="Times New Roman"/>
                <w:b/>
                <w:i/>
                <w:noProof/>
                <w:sz w:val="24"/>
                <w:szCs w:val="24"/>
                <w:lang w:eastAsia="en-GB"/>
              </w:rPr>
              <w:t>Hellas Telecommunications</w:t>
            </w:r>
            <w:r>
              <w:rPr>
                <w:rFonts w:ascii="Times New Roman" w:hAnsi="Times New Roman" w:cs="Times New Roman"/>
                <w:noProof/>
                <w:sz w:val="24"/>
                <w:szCs w:val="24"/>
                <w:lang w:eastAsia="en-GB"/>
              </w:rPr>
              <w:t>, w</w:t>
            </w:r>
            <w:r>
              <w:rPr>
                <w:rFonts w:ascii="Times New Roman" w:hAnsi="Times New Roman" w:cs="Times New Roman"/>
                <w:noProof/>
                <w:sz w:val="24"/>
                <w:szCs w:val="24"/>
                <w:lang w:eastAsia="en-GB"/>
              </w:rPr>
              <w:t>hich led to a reported loss of € 1.3 billion for its unsecured creditors</w:t>
            </w:r>
            <w:r>
              <w:rPr>
                <w:rFonts w:ascii="Times New Roman" w:hAnsi="Times New Roman" w:cs="Times New Roman"/>
                <w:noProof/>
                <w:sz w:val="24"/>
                <w:szCs w:val="24"/>
                <w:vertAlign w:val="superscript"/>
                <w:lang w:eastAsia="en-GB"/>
              </w:rPr>
              <w:footnoteReference w:id="104"/>
            </w:r>
            <w:r>
              <w:rPr>
                <w:rFonts w:ascii="Times New Roman" w:hAnsi="Times New Roman" w:cs="Times New Roman"/>
                <w:noProof/>
                <w:sz w:val="24"/>
                <w:szCs w:val="24"/>
                <w:lang w:eastAsia="en-GB"/>
              </w:rPr>
              <w:t>.</w:t>
            </w:r>
          </w:p>
        </w:tc>
      </w:tr>
    </w:tbl>
    <w:p w:rsidR="00B32D69" w:rsidRDefault="00FB661A">
      <w:pPr>
        <w:spacing w:before="240" w:after="24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However, as these examples only cover large companies, they may not be representative of the total amount of relocations, nor of the average economic impact. It seems likely that </w:t>
      </w:r>
      <w:r>
        <w:rPr>
          <w:rFonts w:ascii="Times New Roman" w:hAnsi="Times New Roman" w:cs="Times New Roman"/>
          <w:noProof/>
          <w:sz w:val="24"/>
          <w:szCs w:val="24"/>
          <w:lang w:eastAsia="en-GB"/>
        </w:rPr>
        <w:t>many more relocations happen 'behind the scenes' and involve smaller enterprises</w:t>
      </w:r>
      <w:r>
        <w:rPr>
          <w:rFonts w:ascii="Times New Roman" w:hAnsi="Times New Roman" w:cs="Times New Roman"/>
          <w:noProof/>
          <w:sz w:val="24"/>
          <w:szCs w:val="24"/>
          <w:vertAlign w:val="superscript"/>
          <w:lang w:eastAsia="en-GB"/>
        </w:rPr>
        <w:footnoteReference w:id="105"/>
      </w:r>
      <w:r>
        <w:rPr>
          <w:rFonts w:ascii="Times New Roman" w:hAnsi="Times New Roman" w:cs="Times New Roman"/>
          <w:noProof/>
          <w:sz w:val="24"/>
          <w:szCs w:val="24"/>
          <w:lang w:eastAsia="en-GB"/>
        </w:rPr>
        <w:t xml:space="preserve">. </w:t>
      </w:r>
      <w:r>
        <w:rPr>
          <w:rFonts w:ascii="Times New Roman" w:hAnsi="Times New Roman" w:cs="Times New Roman"/>
          <w:noProof/>
          <w:color w:val="000000"/>
          <w:sz w:val="24"/>
          <w:szCs w:val="24"/>
          <w:lang w:eastAsia="en-GB"/>
        </w:rPr>
        <w:t>The fact that a debtor opts for another jurisdiction could be related to the court efficiency or certain features of the chosen jurisdiction's preventive procedure (e.g. the</w:t>
      </w:r>
      <w:r>
        <w:rPr>
          <w:rFonts w:ascii="Times New Roman" w:hAnsi="Times New Roman" w:cs="Times New Roman"/>
          <w:noProof/>
          <w:color w:val="000000"/>
          <w:sz w:val="24"/>
          <w:szCs w:val="24"/>
          <w:lang w:eastAsia="en-GB"/>
        </w:rPr>
        <w:t xml:space="preserve"> possibility to bind dissenting creditors to a restructuring plan</w:t>
      </w:r>
      <w:r>
        <w:rPr>
          <w:rFonts w:ascii="Times New Roman" w:hAnsi="Times New Roman" w:cs="Times New Roman"/>
          <w:noProof/>
          <w:color w:val="000000"/>
          <w:sz w:val="24"/>
          <w:szCs w:val="24"/>
          <w:vertAlign w:val="superscript"/>
          <w:lang w:eastAsia="en-GB"/>
        </w:rPr>
        <w:footnoteReference w:id="106"/>
      </w:r>
      <w:r>
        <w:rPr>
          <w:rFonts w:ascii="Times New Roman" w:hAnsi="Times New Roman" w:cs="Times New Roman"/>
          <w:noProof/>
          <w:color w:val="000000"/>
          <w:sz w:val="24"/>
          <w:szCs w:val="24"/>
          <w:lang w:eastAsia="en-GB"/>
        </w:rPr>
        <w:t xml:space="preserve"> which helps </w:t>
      </w:r>
      <w:r>
        <w:rPr>
          <w:rFonts w:ascii="Times New Roman" w:hAnsi="Times New Roman" w:cs="Times New Roman"/>
          <w:noProof/>
          <w:sz w:val="24"/>
          <w:szCs w:val="24"/>
          <w:lang w:eastAsia="en-GB"/>
        </w:rPr>
        <w:t>save a business from bankruptcy and liquidation)</w:t>
      </w:r>
      <w:r>
        <w:rPr>
          <w:rFonts w:ascii="Times New Roman" w:hAnsi="Times New Roman" w:cs="Times New Roman"/>
          <w:noProof/>
          <w:sz w:val="24"/>
          <w:szCs w:val="24"/>
          <w:vertAlign w:val="superscript"/>
        </w:rPr>
        <w:footnoteReference w:id="107"/>
      </w:r>
      <w:r>
        <w:rPr>
          <w:rFonts w:ascii="Times New Roman" w:hAnsi="Times New Roman" w:cs="Times New Roman"/>
          <w:noProof/>
          <w:sz w:val="24"/>
          <w:szCs w:val="24"/>
          <w:lang w:eastAsia="en-GB"/>
        </w:rPr>
        <w:t>.</w:t>
      </w:r>
    </w:p>
    <w:p w:rsidR="00B32D69" w:rsidRDefault="00FB661A">
      <w:pPr>
        <w:autoSpaceDE w:val="0"/>
        <w:autoSpaceDN w:val="0"/>
        <w:adjustRightInd w:val="0"/>
        <w:spacing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b)</w:t>
      </w:r>
      <w:r>
        <w:rPr>
          <w:rFonts w:ascii="Times New Roman" w:hAnsi="Times New Roman" w:cs="Times New Roman"/>
          <w:b/>
          <w:noProof/>
          <w:sz w:val="24"/>
          <w:szCs w:val="24"/>
        </w:rPr>
        <w:tab/>
        <w:t>Coordination costs</w:t>
      </w: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Coordination costs represent additional costs for groups of companies, which have subsidiaries in other </w:t>
      </w:r>
      <w:r>
        <w:rPr>
          <w:rFonts w:ascii="Times New Roman" w:hAnsi="Times New Roman" w:cs="Times New Roman"/>
          <w:noProof/>
          <w:sz w:val="24"/>
          <w:szCs w:val="24"/>
        </w:rPr>
        <w:t xml:space="preserve">Member States, or lost benefits from an unrealised restructuring of a viable cross-border group which due to the differences in restructuring rules of affected Member States had to be liquidated instead. The difference in costs between purely domestic and </w:t>
      </w:r>
      <w:r>
        <w:rPr>
          <w:rFonts w:ascii="Times New Roman" w:hAnsi="Times New Roman" w:cs="Times New Roman"/>
          <w:noProof/>
          <w:sz w:val="24"/>
          <w:szCs w:val="24"/>
        </w:rPr>
        <w:t>cross-border insolvency proceedings could not, in most cases, be quantified, although cross-border insolvency proceedings were acknowledged as costlier. This increase was assumed to be 10%, based on the results of the consultation carried out</w:t>
      </w:r>
      <w:r>
        <w:rPr>
          <w:rFonts w:ascii="Times New Roman" w:hAnsi="Times New Roman" w:cs="Times New Roman"/>
          <w:noProof/>
          <w:position w:val="6"/>
          <w:sz w:val="20"/>
          <w:szCs w:val="20"/>
        </w:rPr>
        <w:footnoteReference w:id="108"/>
      </w:r>
      <w:r>
        <w:rPr>
          <w:rFonts w:ascii="Times New Roman" w:hAnsi="Times New Roman" w:cs="Times New Roman"/>
          <w:noProof/>
          <w:sz w:val="24"/>
          <w:szCs w:val="24"/>
        </w:rPr>
        <w:t>. The average</w:t>
      </w:r>
      <w:r>
        <w:rPr>
          <w:rFonts w:ascii="Times New Roman" w:hAnsi="Times New Roman" w:cs="Times New Roman"/>
          <w:noProof/>
          <w:sz w:val="24"/>
          <w:szCs w:val="24"/>
        </w:rPr>
        <w:t xml:space="preserve"> difference in length between cross-border and domestic proceedings (as indicated by the stakeholders who provided a quantitative estimate) is 55%. Much longer proceedings for cross-border insolvencies than for purely domestic insolvencies is one of the ke</w:t>
      </w:r>
      <w:r>
        <w:rPr>
          <w:rFonts w:ascii="Times New Roman" w:hAnsi="Times New Roman" w:cs="Times New Roman"/>
          <w:noProof/>
          <w:sz w:val="24"/>
          <w:szCs w:val="24"/>
        </w:rPr>
        <w:t>y drivers for costlier proceedings for both debtors and creditors</w:t>
      </w:r>
      <w:r>
        <w:rPr>
          <w:rFonts w:ascii="Times New Roman" w:hAnsi="Times New Roman" w:cs="Times New Roman"/>
          <w:noProof/>
          <w:sz w:val="24"/>
          <w:szCs w:val="24"/>
          <w:vertAlign w:val="superscript"/>
        </w:rPr>
        <w:footnoteReference w:id="109"/>
      </w:r>
      <w:r>
        <w:rPr>
          <w:rFonts w:ascii="Times New Roman" w:hAnsi="Times New Roman" w:cs="Times New Roman"/>
          <w:noProof/>
          <w:sz w:val="24"/>
          <w:szCs w:val="24"/>
        </w:rPr>
        <w:t xml:space="preserve">. </w:t>
      </w:r>
    </w:p>
    <w:p w:rsidR="00B32D69" w:rsidRDefault="00B32D69">
      <w:pPr>
        <w:spacing w:after="0" w:line="240" w:lineRule="auto"/>
        <w:jc w:val="both"/>
        <w:rPr>
          <w:rFonts w:ascii="Times New Roman" w:hAnsi="Times New Roman" w:cs="Times New Roman"/>
          <w:noProof/>
          <w:sz w:val="24"/>
          <w:szCs w:val="24"/>
        </w:rPr>
      </w:pPr>
    </w:p>
    <w:p w:rsidR="00B32D69" w:rsidRDefault="00FB661A">
      <w:pPr>
        <w:spacing w:after="0" w:line="240" w:lineRule="auto"/>
        <w:jc w:val="both"/>
        <w:rPr>
          <w:rFonts w:ascii="Times New Roman" w:hAnsi="Times New Roman"/>
          <w:noProof/>
          <w:sz w:val="24"/>
          <w:szCs w:val="24"/>
        </w:rPr>
      </w:pPr>
      <w:r>
        <w:rPr>
          <w:rFonts w:ascii="Times New Roman" w:hAnsi="Times New Roman" w:cs="Times New Roman"/>
          <w:noProof/>
          <w:sz w:val="24"/>
          <w:szCs w:val="24"/>
        </w:rPr>
        <w:t>In other words, a financially distressed, but viable group of companies located in one Member State will have much higher chances of being rescued than a group in the same situation which operates in two or more Member States because the latter will have t</w:t>
      </w:r>
      <w:r>
        <w:rPr>
          <w:rFonts w:ascii="Times New Roman" w:hAnsi="Times New Roman" w:cs="Times New Roman"/>
          <w:noProof/>
          <w:sz w:val="24"/>
          <w:szCs w:val="24"/>
        </w:rPr>
        <w:t xml:space="preserve">o overcome the differences of multiple national restructuring procedures. </w:t>
      </w:r>
      <w:r>
        <w:rPr>
          <w:rFonts w:ascii="Times New Roman" w:hAnsi="Times New Roman" w:cs="Times New Roman"/>
          <w:noProof/>
          <w:color w:val="000000"/>
          <w:sz w:val="24"/>
          <w:szCs w:val="24"/>
        </w:rPr>
        <w:t>In case of a cross-border group of companies in financial distress, if in one Member State restructuring takes place in formal proceedings and in others in informal (or is not availa</w:t>
      </w:r>
      <w:r>
        <w:rPr>
          <w:rFonts w:ascii="Times New Roman" w:hAnsi="Times New Roman" w:cs="Times New Roman"/>
          <w:noProof/>
          <w:color w:val="000000"/>
          <w:sz w:val="24"/>
          <w:szCs w:val="24"/>
        </w:rPr>
        <w:t xml:space="preserve">ble at all), this may even lead to </w:t>
      </w:r>
      <w:r>
        <w:rPr>
          <w:rFonts w:ascii="Times New Roman" w:hAnsi="Times New Roman" w:cs="Times New Roman"/>
          <w:noProof/>
          <w:sz w:val="24"/>
          <w:szCs w:val="24"/>
        </w:rPr>
        <w:t>a collapse of the whole restructuring. If there is no consolidated proceeding for a group of companies with domestic and foreign subsidiaries, there is a need to involve lawyers, administrators and trustees in all the dif</w:t>
      </w:r>
      <w:r>
        <w:rPr>
          <w:rFonts w:ascii="Times New Roman" w:hAnsi="Times New Roman" w:cs="Times New Roman"/>
          <w:noProof/>
          <w:sz w:val="24"/>
          <w:szCs w:val="24"/>
        </w:rPr>
        <w:t>ferent countries where there are subsidiaries</w:t>
      </w:r>
      <w:r>
        <w:rPr>
          <w:rFonts w:ascii="Times New Roman" w:hAnsi="Times New Roman" w:cs="Times New Roman"/>
          <w:noProof/>
          <w:sz w:val="24"/>
          <w:szCs w:val="24"/>
          <w:vertAlign w:val="superscript"/>
        </w:rPr>
        <w:footnoteReference w:id="110"/>
      </w:r>
      <w:r>
        <w:rPr>
          <w:rFonts w:ascii="Times New Roman" w:hAnsi="Times New Roman" w:cs="Times New Roman"/>
          <w:noProof/>
          <w:sz w:val="24"/>
          <w:szCs w:val="24"/>
        </w:rPr>
        <w:t>. In particular, higher costs arise when there is a need for coordinating formal procedures in some Member States and less formalised procedures in other Member States. These differences in restructuring framew</w:t>
      </w:r>
      <w:r>
        <w:rPr>
          <w:rFonts w:ascii="Times New Roman" w:hAnsi="Times New Roman" w:cs="Times New Roman"/>
          <w:noProof/>
          <w:sz w:val="24"/>
          <w:szCs w:val="24"/>
        </w:rPr>
        <w:t>orks will make the cross-border restructuring much more expensive than a purely national restructuring. Often they will prevent any restructuring from happening, and force an otherwise viable group of companies into liquidation. For the reasons listed abov</w:t>
      </w:r>
      <w:r>
        <w:rPr>
          <w:rFonts w:ascii="Times New Roman" w:hAnsi="Times New Roman" w:cs="Times New Roman"/>
          <w:noProof/>
          <w:sz w:val="24"/>
          <w:szCs w:val="24"/>
        </w:rPr>
        <w:t>e, n</w:t>
      </w:r>
      <w:r>
        <w:rPr>
          <w:rFonts w:ascii="Times New Roman" w:hAnsi="Times New Roman"/>
          <w:noProof/>
          <w:sz w:val="24"/>
          <w:szCs w:val="24"/>
        </w:rPr>
        <w:t>o restructuring plan involving the continuation of the business of groups of companies has ever been accepted in more than two jurisdictions</w:t>
      </w:r>
      <w:r>
        <w:rPr>
          <w:rStyle w:val="FootnoteReference"/>
          <w:rFonts w:ascii="Times New Roman" w:hAnsi="Times New Roman"/>
          <w:noProof/>
          <w:sz w:val="24"/>
          <w:szCs w:val="24"/>
        </w:rPr>
        <w:footnoteReference w:id="111"/>
      </w:r>
      <w:r>
        <w:rPr>
          <w:rFonts w:ascii="Times New Roman" w:hAnsi="Times New Roman"/>
          <w:noProof/>
          <w:sz w:val="24"/>
          <w:szCs w:val="24"/>
        </w:rPr>
        <w:t xml:space="preserve">. Even when a group of companies is represented by a mother company and one subsidiary in another Member State </w:t>
      </w:r>
      <w:r>
        <w:rPr>
          <w:rFonts w:ascii="Times New Roman" w:hAnsi="Times New Roman"/>
          <w:noProof/>
          <w:sz w:val="24"/>
          <w:szCs w:val="24"/>
        </w:rPr>
        <w:t xml:space="preserve">(for example an SME which has acquired one of its foreign suppliers), a common restructuring plan may be hard to be adopted. </w:t>
      </w:r>
    </w:p>
    <w:p w:rsidR="00B32D69" w:rsidRDefault="00B32D69">
      <w:pPr>
        <w:spacing w:after="0" w:line="240" w:lineRule="auto"/>
        <w:jc w:val="both"/>
        <w:rPr>
          <w:rFonts w:ascii="Times New Roman" w:hAnsi="Times New Roman" w:cs="Times New Roman"/>
          <w:noProof/>
          <w:sz w:val="24"/>
          <w:szCs w:val="24"/>
        </w:rPr>
      </w:pPr>
    </w:p>
    <w:p w:rsidR="00B32D69" w:rsidRDefault="00FB661A">
      <w:pPr>
        <w:autoSpaceDE w:val="0"/>
        <w:autoSpaceDN w:val="0"/>
        <w:adjustRightInd w:val="0"/>
        <w:spacing w:after="240" w:line="240" w:lineRule="auto"/>
        <w:jc w:val="both"/>
        <w:rPr>
          <w:rFonts w:ascii="Times New Roman" w:hAnsi="Times New Roman"/>
          <w:noProof/>
          <w:sz w:val="24"/>
          <w:szCs w:val="24"/>
          <w:lang w:eastAsia="en-GB"/>
        </w:rPr>
      </w:pPr>
      <w:r>
        <w:rPr>
          <w:rFonts w:ascii="Times New Roman" w:hAnsi="Times New Roman"/>
          <w:noProof/>
          <w:sz w:val="24"/>
          <w:szCs w:val="24"/>
          <w:lang w:eastAsia="en-GB"/>
        </w:rPr>
        <w:t xml:space="preserve">According to the April 2011 report of the Reflection Group on the Future of EU Company Law, the international group of companies </w:t>
      </w:r>
      <w:r>
        <w:rPr>
          <w:rFonts w:ascii="Times New Roman" w:hAnsi="Times New Roman"/>
          <w:noProof/>
          <w:sz w:val="24"/>
          <w:szCs w:val="24"/>
          <w:lang w:eastAsia="en-GB"/>
        </w:rPr>
        <w:t xml:space="preserve">has become </w:t>
      </w:r>
      <w:r>
        <w:rPr>
          <w:rFonts w:ascii="Times New Roman" w:hAnsi="Times New Roman"/>
          <w:i/>
          <w:iCs/>
          <w:noProof/>
          <w:sz w:val="24"/>
          <w:szCs w:val="24"/>
          <w:lang w:eastAsia="en-GB"/>
        </w:rPr>
        <w:t xml:space="preserve">the </w:t>
      </w:r>
      <w:r>
        <w:rPr>
          <w:rFonts w:ascii="Times New Roman" w:hAnsi="Times New Roman"/>
          <w:noProof/>
          <w:sz w:val="24"/>
          <w:szCs w:val="24"/>
          <w:lang w:eastAsia="en-GB"/>
        </w:rPr>
        <w:t>prevailing form of European large-sized enterprises, in which business activity is typically organised and conducted through a multinational network of subsidiaries. About 20% of large enterprises (ca. 8,500) have foreign subsidiaries or joi</w:t>
      </w:r>
      <w:r>
        <w:rPr>
          <w:rFonts w:ascii="Times New Roman" w:hAnsi="Times New Roman"/>
          <w:noProof/>
          <w:sz w:val="24"/>
          <w:szCs w:val="24"/>
          <w:lang w:eastAsia="en-GB"/>
        </w:rPr>
        <w:t>nt ventures</w:t>
      </w:r>
      <w:r>
        <w:rPr>
          <w:rStyle w:val="FootnoteReference"/>
          <w:rFonts w:ascii="Times New Roman" w:hAnsi="Times New Roman"/>
          <w:noProof/>
          <w:sz w:val="24"/>
          <w:szCs w:val="24"/>
          <w:lang w:eastAsia="en-GB"/>
        </w:rPr>
        <w:footnoteReference w:id="112"/>
      </w:r>
      <w:r>
        <w:rPr>
          <w:rFonts w:ascii="Times New Roman" w:hAnsi="Times New Roman"/>
          <w:noProof/>
          <w:sz w:val="24"/>
          <w:szCs w:val="24"/>
          <w:lang w:eastAsia="en-GB"/>
        </w:rPr>
        <w:t>. There are more than one million SMEs in Europe which have subsidiaries or joint ventures abroad</w:t>
      </w:r>
      <w:r>
        <w:rPr>
          <w:rStyle w:val="FootnoteReference"/>
          <w:rFonts w:ascii="Times New Roman" w:hAnsi="Times New Roman"/>
          <w:noProof/>
          <w:sz w:val="24"/>
          <w:szCs w:val="24"/>
          <w:lang w:eastAsia="en-GB"/>
        </w:rPr>
        <w:footnoteReference w:id="113"/>
      </w:r>
      <w:r>
        <w:rPr>
          <w:rFonts w:ascii="Times New Roman" w:hAnsi="Times New Roman"/>
          <w:noProof/>
          <w:sz w:val="24"/>
          <w:szCs w:val="24"/>
          <w:lang w:eastAsia="en-GB"/>
        </w:rPr>
        <w:t xml:space="preserve">. </w:t>
      </w:r>
    </w:p>
    <w:p w:rsidR="00B32D69" w:rsidRDefault="00FB661A">
      <w:pPr>
        <w:pStyle w:val="HeaderLandscape"/>
        <w:spacing w:after="240"/>
        <w:rPr>
          <w:noProof/>
        </w:rPr>
      </w:pPr>
      <w:r>
        <w:rPr>
          <w:noProof/>
        </w:rPr>
        <w:t>Where the rules for the content and adoption of an early restructuring plan are complex and cumbersome and the conditions vary from Member Stat</w:t>
      </w:r>
      <w:r>
        <w:rPr>
          <w:noProof/>
        </w:rPr>
        <w:t>es to Member States, the restructuring of the whole group of companies in financial distress is hardly an option for the management board. Although ad hoc solutions have been found in practice (mainly through the relocation of the firm to a Member States w</w:t>
      </w:r>
      <w:r>
        <w:rPr>
          <w:noProof/>
        </w:rPr>
        <w:t>ith an efficient preventive regimes, such as UK), where the legal uncertainty and costs for all parties involved is an obstacle to the functioning of the Single Market.</w:t>
      </w:r>
    </w:p>
    <w:tbl>
      <w:tblPr>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9211"/>
      </w:tblGrid>
      <w:tr w:rsidR="00B32D69">
        <w:tc>
          <w:tcPr>
            <w:tcW w:w="9211" w:type="dxa"/>
            <w:tcBorders>
              <w:top w:val="single" w:sz="8" w:space="0" w:color="78C0D4"/>
              <w:left w:val="single" w:sz="8" w:space="0" w:color="78C0D4"/>
              <w:bottom w:val="single" w:sz="8" w:space="0" w:color="78C0D4"/>
              <w:right w:val="single" w:sz="8" w:space="0" w:color="78C0D4"/>
            </w:tcBorders>
            <w:shd w:val="clear" w:color="auto" w:fill="D2EAF1"/>
          </w:tcPr>
          <w:p w:rsidR="00B32D69" w:rsidRDefault="00FB661A">
            <w:pPr>
              <w:pStyle w:val="HeaderLandscape"/>
              <w:rPr>
                <w:noProof/>
                <w:szCs w:val="24"/>
              </w:rPr>
            </w:pPr>
            <w:r>
              <w:rPr>
                <w:noProof/>
                <w:szCs w:val="24"/>
              </w:rPr>
              <w:t xml:space="preserve">In </w:t>
            </w:r>
            <w:r>
              <w:rPr>
                <w:b/>
                <w:noProof/>
                <w:szCs w:val="24"/>
              </w:rPr>
              <w:t>the insolvency of the PIN Group, a mail delivery service provider</w:t>
            </w:r>
            <w:r>
              <w:rPr>
                <w:rStyle w:val="FootnoteReference"/>
                <w:noProof/>
                <w:szCs w:val="24"/>
              </w:rPr>
              <w:footnoteReference w:id="114"/>
            </w:r>
            <w:r>
              <w:rPr>
                <w:noProof/>
                <w:szCs w:val="24"/>
              </w:rPr>
              <w:t xml:space="preserve"> the Luxembourg holding company moved its COMI to Germany where the vast majority of its subsidiaries were located, in order to enable a proper restructuring process for all members of the group in the same jurisdiction. Despite the vicinity of the insolve</w:t>
            </w:r>
            <w:r>
              <w:rPr>
                <w:noProof/>
                <w:szCs w:val="24"/>
              </w:rPr>
              <w:t>ncy petition the court held that the COMI shift was not abusive as it merely tried to coordinate the insolvency proceedings over the whole holding group. Therefore, it was regarded as being in the interest of the creditors as it tried to maximize the debto</w:t>
            </w:r>
            <w:r>
              <w:rPr>
                <w:noProof/>
                <w:szCs w:val="24"/>
              </w:rPr>
              <w:t>r’s net assets. The restructuring of the group was successfully carried out</w:t>
            </w:r>
            <w:r>
              <w:rPr>
                <w:rStyle w:val="FootnoteReference"/>
                <w:noProof/>
                <w:szCs w:val="24"/>
              </w:rPr>
              <w:footnoteReference w:id="115"/>
            </w:r>
            <w:r>
              <w:rPr>
                <w:noProof/>
                <w:szCs w:val="24"/>
              </w:rPr>
              <w:t>.</w:t>
            </w:r>
          </w:p>
        </w:tc>
      </w:tr>
    </w:tbl>
    <w:p w:rsidR="00B32D69" w:rsidRDefault="00FB661A">
      <w:pPr>
        <w:autoSpaceDE w:val="0"/>
        <w:autoSpaceDN w:val="0"/>
        <w:adjustRightInd w:val="0"/>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t>The additional coordination costs of cross-border restructuring, where such restructuring will not be impossible, can lead ultimately to extra costs for debtor. Creditors are likely to compensate the legal uncertainty due to the differing restructuring rul</w:t>
      </w:r>
      <w:r>
        <w:rPr>
          <w:rFonts w:ascii="Times New Roman" w:hAnsi="Times New Roman" w:cs="Times New Roman"/>
          <w:noProof/>
          <w:sz w:val="24"/>
          <w:szCs w:val="24"/>
          <w:lang w:eastAsia="en-GB"/>
        </w:rPr>
        <w:t xml:space="preserve">es by raising their interest rates on loans, mortgages and other forms of credit or on reducing the amount they lend. </w:t>
      </w:r>
    </w:p>
    <w:p w:rsidR="00B32D69" w:rsidRDefault="00FB661A">
      <w:pPr>
        <w:jc w:val="both"/>
        <w:rPr>
          <w:rFonts w:ascii="Times New Roman" w:hAnsi="Times New Roman" w:cs="Times New Roman"/>
          <w:b/>
          <w:noProof/>
          <w:sz w:val="24"/>
          <w:szCs w:val="24"/>
        </w:rPr>
      </w:pPr>
      <w:r>
        <w:rPr>
          <w:rFonts w:ascii="Times New Roman" w:hAnsi="Times New Roman" w:cs="Times New Roman"/>
          <w:b/>
          <w:noProof/>
          <w:sz w:val="24"/>
          <w:szCs w:val="24"/>
        </w:rPr>
        <w:t>c)</w:t>
      </w:r>
      <w:r>
        <w:rPr>
          <w:rFonts w:ascii="Times New Roman" w:hAnsi="Times New Roman" w:cs="Times New Roman"/>
          <w:b/>
          <w:noProof/>
          <w:sz w:val="24"/>
          <w:szCs w:val="24"/>
        </w:rPr>
        <w:tab/>
        <w:t>Additional costs and lost benefits from unsuccessful rescues of viable companies</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Viable companies in financial distress should have th</w:t>
      </w:r>
      <w:r>
        <w:rPr>
          <w:rFonts w:ascii="Times New Roman" w:hAnsi="Times New Roman" w:cs="Times New Roman"/>
          <w:noProof/>
          <w:sz w:val="24"/>
          <w:szCs w:val="24"/>
        </w:rPr>
        <w:t>e chance to be rescued instead of being directly liquidated</w:t>
      </w:r>
      <w:r>
        <w:rPr>
          <w:rFonts w:ascii="Times New Roman" w:hAnsi="Times New Roman" w:cs="Times New Roman"/>
          <w:noProof/>
          <w:sz w:val="24"/>
          <w:szCs w:val="24"/>
          <w:vertAlign w:val="superscript"/>
        </w:rPr>
        <w:footnoteReference w:id="116"/>
      </w:r>
      <w:r>
        <w:rPr>
          <w:rFonts w:ascii="Times New Roman" w:hAnsi="Times New Roman" w:cs="Times New Roman"/>
          <w:noProof/>
          <w:sz w:val="24"/>
          <w:szCs w:val="24"/>
        </w:rPr>
        <w:t>. If this were the case, a number of financially distressed, but viable companies could be saved and a number of other companies in the EU internal market would not become insolvent due to liquida</w:t>
      </w:r>
      <w:r>
        <w:rPr>
          <w:rFonts w:ascii="Times New Roman" w:hAnsi="Times New Roman" w:cs="Times New Roman"/>
          <w:noProof/>
          <w:sz w:val="24"/>
          <w:szCs w:val="24"/>
        </w:rPr>
        <w:t>tion of other companies (knock-on effect). This could be achieved if all Member States had the necessary elements of a restructuring framework with an optimal economic potential. This could therefore lead to an efficiency gain in each Member State.</w:t>
      </w:r>
    </w:p>
    <w:p w:rsidR="00B32D69" w:rsidRDefault="00FB661A">
      <w:pPr>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360" w:hanging="360"/>
        <w:contextualSpacing/>
        <w:jc w:val="both"/>
        <w:rPr>
          <w:rFonts w:ascii="Times New Roman" w:eastAsia="Times New Roman" w:hAnsi="Times New Roman" w:cs="Times New Roman"/>
          <w:b/>
          <w:noProof/>
          <w:sz w:val="20"/>
          <w:szCs w:val="20"/>
          <w:lang w:eastAsia="en-GB"/>
        </w:rPr>
      </w:pPr>
      <w:r>
        <w:rPr>
          <w:rFonts w:ascii="Times New Roman" w:eastAsia="Times New Roman" w:hAnsi="Times New Roman" w:cs="Times New Roman"/>
          <w:b/>
          <w:noProof/>
          <w:sz w:val="20"/>
          <w:szCs w:val="20"/>
          <w:lang w:eastAsia="en-GB"/>
        </w:rPr>
        <w:t>What is</w:t>
      </w:r>
      <w:r>
        <w:rPr>
          <w:rFonts w:ascii="Times New Roman" w:eastAsia="Times New Roman" w:hAnsi="Times New Roman" w:cs="Times New Roman"/>
          <w:b/>
          <w:noProof/>
          <w:sz w:val="20"/>
          <w:szCs w:val="20"/>
          <w:lang w:eastAsia="en-GB"/>
        </w:rPr>
        <w:t xml:space="preserve"> the foregone benefit of too formalised procedures? An example from the UK</w:t>
      </w:r>
    </w:p>
    <w:p w:rsidR="00B32D69" w:rsidRDefault="00FB661A">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1) Hypothetically, if the UK restructuring framework did not include the less formal tools such as the "Company Voluntary Arrangement" (CVA), firms would need to use formal </w:t>
      </w:r>
      <w:r>
        <w:rPr>
          <w:rFonts w:ascii="Times New Roman" w:hAnsi="Times New Roman" w:cs="Times New Roman"/>
          <w:noProof/>
          <w:sz w:val="20"/>
          <w:szCs w:val="20"/>
          <w:lang w:eastAsia="en-GB"/>
        </w:rPr>
        <w:t>procedures such as "Administration" in order to restructure. Assuming that 27% of firms use the CVA procedure successfully, that all firms using it are small</w:t>
      </w:r>
      <w:r>
        <w:rPr>
          <w:rFonts w:ascii="Times New Roman" w:hAnsi="Times New Roman" w:cs="Times New Roman"/>
          <w:noProof/>
          <w:sz w:val="20"/>
          <w:szCs w:val="20"/>
          <w:vertAlign w:val="superscript"/>
          <w:lang w:eastAsia="en-GB"/>
        </w:rPr>
        <w:footnoteReference w:id="117"/>
      </w:r>
      <w:r>
        <w:rPr>
          <w:rFonts w:ascii="Times New Roman" w:hAnsi="Times New Roman" w:cs="Times New Roman"/>
          <w:noProof/>
          <w:sz w:val="20"/>
          <w:szCs w:val="20"/>
          <w:lang w:eastAsia="en-GB"/>
        </w:rPr>
        <w:t xml:space="preserve"> and that 839 firms were using it in 2012</w:t>
      </w:r>
      <w:r>
        <w:rPr>
          <w:rFonts w:ascii="Times New Roman" w:hAnsi="Times New Roman" w:cs="Times New Roman"/>
          <w:noProof/>
          <w:sz w:val="20"/>
          <w:szCs w:val="20"/>
          <w:vertAlign w:val="superscript"/>
          <w:lang w:eastAsia="en-GB"/>
        </w:rPr>
        <w:footnoteReference w:id="118"/>
      </w:r>
      <w:r>
        <w:rPr>
          <w:rFonts w:ascii="Times New Roman" w:hAnsi="Times New Roman" w:cs="Times New Roman"/>
          <w:noProof/>
          <w:sz w:val="20"/>
          <w:szCs w:val="20"/>
          <w:lang w:eastAsia="en-GB"/>
        </w:rPr>
        <w:t xml:space="preserve"> it allows for the conclusion that if they used instead the Administration procedure (assuming that they could afford it), this would create for them </w:t>
      </w:r>
      <w:r>
        <w:rPr>
          <w:rFonts w:ascii="Times New Roman" w:hAnsi="Times New Roman" w:cs="Times New Roman"/>
          <w:b/>
          <w:noProof/>
          <w:sz w:val="20"/>
          <w:szCs w:val="20"/>
          <w:lang w:eastAsia="en-GB"/>
        </w:rPr>
        <w:t>additional cost of up to 62.2 million</w:t>
      </w:r>
      <w:r>
        <w:rPr>
          <w:rFonts w:ascii="Times New Roman" w:hAnsi="Times New Roman" w:cs="Times New Roman"/>
          <w:b/>
          <w:noProof/>
          <w:sz w:val="20"/>
          <w:szCs w:val="20"/>
          <w:vertAlign w:val="superscript"/>
          <w:lang w:eastAsia="en-GB"/>
        </w:rPr>
        <w:footnoteReference w:id="119"/>
      </w:r>
      <w:r>
        <w:rPr>
          <w:rFonts w:ascii="Times New Roman" w:hAnsi="Times New Roman" w:cs="Times New Roman"/>
          <w:noProof/>
          <w:sz w:val="20"/>
          <w:szCs w:val="20"/>
          <w:lang w:eastAsia="en-GB"/>
        </w:rPr>
        <w:t xml:space="preserve">. </w:t>
      </w:r>
    </w:p>
    <w:p w:rsidR="00B32D69" w:rsidRDefault="00FB661A">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 The average return for unsecured creditors in the administrati</w:t>
      </w:r>
      <w:r>
        <w:rPr>
          <w:rFonts w:ascii="Times New Roman" w:hAnsi="Times New Roman" w:cs="Times New Roman"/>
          <w:noProof/>
          <w:sz w:val="20"/>
          <w:szCs w:val="20"/>
          <w:lang w:eastAsia="en-GB"/>
        </w:rPr>
        <w:t>on procedure is 4%</w:t>
      </w:r>
      <w:r>
        <w:rPr>
          <w:rFonts w:ascii="Times New Roman" w:hAnsi="Times New Roman" w:cs="Times New Roman"/>
          <w:noProof/>
          <w:sz w:val="20"/>
          <w:szCs w:val="20"/>
          <w:vertAlign w:val="superscript"/>
          <w:lang w:eastAsia="en-GB"/>
        </w:rPr>
        <w:footnoteReference w:id="120"/>
      </w:r>
      <w:r>
        <w:rPr>
          <w:rFonts w:ascii="Times New Roman" w:hAnsi="Times New Roman" w:cs="Times New Roman"/>
          <w:noProof/>
          <w:sz w:val="20"/>
          <w:szCs w:val="20"/>
          <w:lang w:eastAsia="en-GB"/>
        </w:rPr>
        <w:t xml:space="preserve">. Average return for unsecured creditors in rescue cases under CVA is 37% </w:t>
      </w:r>
      <w:r>
        <w:rPr>
          <w:rFonts w:ascii="Times New Roman" w:hAnsi="Times New Roman" w:cs="Times New Roman"/>
          <w:noProof/>
          <w:sz w:val="20"/>
          <w:szCs w:val="20"/>
          <w:vertAlign w:val="superscript"/>
          <w:lang w:eastAsia="en-GB"/>
        </w:rPr>
        <w:footnoteReference w:id="121"/>
      </w:r>
      <w:r>
        <w:rPr>
          <w:rFonts w:ascii="Times New Roman" w:hAnsi="Times New Roman" w:cs="Times New Roman"/>
          <w:noProof/>
          <w:sz w:val="20"/>
          <w:szCs w:val="20"/>
          <w:lang w:eastAsia="en-GB"/>
        </w:rPr>
        <w:t>. The CVA rescue rate is 27%, so the number of firms rescued in 2012 would be 226</w:t>
      </w:r>
      <w:r>
        <w:rPr>
          <w:rFonts w:ascii="Times New Roman" w:hAnsi="Times New Roman" w:cs="Times New Roman"/>
          <w:noProof/>
          <w:sz w:val="20"/>
          <w:szCs w:val="20"/>
          <w:vertAlign w:val="superscript"/>
          <w:lang w:eastAsia="en-GB"/>
        </w:rPr>
        <w:footnoteReference w:id="122"/>
      </w:r>
      <w:r>
        <w:rPr>
          <w:rFonts w:ascii="Times New Roman" w:hAnsi="Times New Roman" w:cs="Times New Roman"/>
          <w:noProof/>
          <w:sz w:val="20"/>
          <w:szCs w:val="20"/>
          <w:lang w:eastAsia="en-GB"/>
        </w:rPr>
        <w:t>. Assuming the average unsecured debt of £506,781, if those firms were dealt wit</w:t>
      </w:r>
      <w:r>
        <w:rPr>
          <w:rFonts w:ascii="Times New Roman" w:hAnsi="Times New Roman" w:cs="Times New Roman"/>
          <w:noProof/>
          <w:sz w:val="20"/>
          <w:szCs w:val="20"/>
          <w:lang w:eastAsia="en-GB"/>
        </w:rPr>
        <w:t xml:space="preserve">h in the administration procedure the return would be 20,000 (compared with 187 500 under CVA). Consequently, the </w:t>
      </w:r>
      <w:r>
        <w:rPr>
          <w:rFonts w:ascii="Times New Roman" w:hAnsi="Times New Roman" w:cs="Times New Roman"/>
          <w:b/>
          <w:noProof/>
          <w:sz w:val="20"/>
          <w:szCs w:val="20"/>
          <w:lang w:eastAsia="en-GB"/>
        </w:rPr>
        <w:t>foregone value would amount to £167,500 per case, or £37.8 m in total</w:t>
      </w:r>
      <w:r>
        <w:rPr>
          <w:rFonts w:ascii="Times New Roman" w:hAnsi="Times New Roman" w:cs="Times New Roman"/>
          <w:noProof/>
          <w:sz w:val="20"/>
          <w:szCs w:val="20"/>
          <w:lang w:eastAsia="en-GB"/>
        </w:rPr>
        <w:t xml:space="preserve">. </w:t>
      </w:r>
    </w:p>
    <w:p w:rsidR="00B32D69" w:rsidRDefault="00FB661A">
      <w:pPr>
        <w:pBdr>
          <w:top w:val="single" w:sz="4" w:space="1" w:color="auto"/>
          <w:left w:val="single" w:sz="4" w:space="4" w:color="auto"/>
          <w:bottom w:val="single" w:sz="4" w:space="1" w:color="auto"/>
          <w:right w:val="single" w:sz="4" w:space="4" w:color="auto"/>
        </w:pBdr>
        <w:shd w:val="clear" w:color="auto" w:fill="F2F2F2"/>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In conclusion, the (hypothetical) financial cost of no alternative to </w:t>
      </w:r>
      <w:r>
        <w:rPr>
          <w:rFonts w:ascii="Times New Roman" w:hAnsi="Times New Roman" w:cs="Times New Roman"/>
          <w:noProof/>
          <w:sz w:val="20"/>
          <w:szCs w:val="20"/>
          <w:lang w:eastAsia="en-GB"/>
        </w:rPr>
        <w:t xml:space="preserve">the formal restructuring procedure in the UK would be around </w:t>
      </w:r>
      <w:r>
        <w:rPr>
          <w:rFonts w:ascii="Times New Roman" w:hAnsi="Times New Roman" w:cs="Times New Roman"/>
          <w:b/>
          <w:noProof/>
          <w:sz w:val="20"/>
          <w:szCs w:val="20"/>
          <w:lang w:eastAsia="en-GB"/>
        </w:rPr>
        <w:t>£37.8 – 62.2 m</w:t>
      </w:r>
      <w:r>
        <w:rPr>
          <w:rFonts w:ascii="Times New Roman" w:hAnsi="Times New Roman" w:cs="Times New Roman"/>
          <w:noProof/>
          <w:sz w:val="20"/>
          <w:szCs w:val="20"/>
          <w:lang w:eastAsia="en-GB"/>
        </w:rPr>
        <w:t>. In reality this cost would be significantly higher if the cases of restructuring via another UK’s less formal procedure (Schemes of Arrangements) were included</w:t>
      </w:r>
      <w:r>
        <w:rPr>
          <w:rFonts w:ascii="Times New Roman" w:hAnsi="Times New Roman" w:cs="Times New Roman"/>
          <w:noProof/>
          <w:sz w:val="20"/>
          <w:szCs w:val="20"/>
          <w:vertAlign w:val="superscript"/>
          <w:lang w:eastAsia="en-GB"/>
        </w:rPr>
        <w:footnoteReference w:id="123"/>
      </w:r>
      <w:r>
        <w:rPr>
          <w:rFonts w:ascii="Times New Roman" w:hAnsi="Times New Roman" w:cs="Times New Roman"/>
          <w:noProof/>
          <w:sz w:val="20"/>
          <w:szCs w:val="20"/>
          <w:lang w:eastAsia="en-GB"/>
        </w:rPr>
        <w:t>. Scaling up the qu</w:t>
      </w:r>
      <w:r>
        <w:rPr>
          <w:rFonts w:ascii="Times New Roman" w:hAnsi="Times New Roman" w:cs="Times New Roman"/>
          <w:noProof/>
          <w:sz w:val="20"/>
          <w:szCs w:val="20"/>
          <w:lang w:eastAsia="en-GB"/>
        </w:rPr>
        <w:t xml:space="preserve">antifiable part of the cost to the group of countries which have only formal restructuring procedures (BE, DE, FR, FI, SE, LV) the total cost of not having a hybrid alternative could be (with all due caveats) estimated to be in the order of magnitude of </w:t>
      </w:r>
      <w:r>
        <w:rPr>
          <w:rFonts w:ascii="Times New Roman" w:hAnsi="Times New Roman" w:cs="Times New Roman"/>
          <w:b/>
          <w:noProof/>
          <w:sz w:val="20"/>
          <w:szCs w:val="20"/>
          <w:lang w:eastAsia="en-GB"/>
        </w:rPr>
        <w:t>€1</w:t>
      </w:r>
      <w:r>
        <w:rPr>
          <w:rFonts w:ascii="Times New Roman" w:hAnsi="Times New Roman" w:cs="Times New Roman"/>
          <w:b/>
          <w:noProof/>
          <w:sz w:val="20"/>
          <w:szCs w:val="20"/>
          <w:lang w:eastAsia="en-GB"/>
        </w:rPr>
        <w:t>35-223 m</w:t>
      </w:r>
      <w:r>
        <w:rPr>
          <w:rFonts w:ascii="Times New Roman" w:hAnsi="Times New Roman" w:cs="Times New Roman"/>
          <w:noProof/>
          <w:sz w:val="20"/>
          <w:szCs w:val="20"/>
          <w:vertAlign w:val="superscript"/>
          <w:lang w:eastAsia="en-GB"/>
        </w:rPr>
        <w:footnoteReference w:id="124"/>
      </w:r>
      <w:r>
        <w:rPr>
          <w:rFonts w:ascii="Times New Roman" w:hAnsi="Times New Roman" w:cs="Times New Roman"/>
          <w:noProof/>
          <w:sz w:val="20"/>
          <w:szCs w:val="20"/>
          <w:lang w:eastAsia="en-GB"/>
        </w:rPr>
        <w:t>.</w:t>
      </w:r>
    </w:p>
    <w:p w:rsidR="00B32D69" w:rsidRDefault="00FB661A">
      <w:pPr>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b/>
          <w:i/>
          <w:noProof/>
          <w:sz w:val="24"/>
          <w:szCs w:val="24"/>
        </w:rPr>
        <w:t>Table 11</w:t>
      </w:r>
      <w:r>
        <w:rPr>
          <w:rFonts w:ascii="Times New Roman" w:hAnsi="Times New Roman" w:cs="Times New Roman"/>
          <w:i/>
          <w:noProof/>
          <w:sz w:val="24"/>
          <w:szCs w:val="24"/>
        </w:rPr>
        <w:t xml:space="preserve">: </w:t>
      </w:r>
      <w:r>
        <w:rPr>
          <w:rFonts w:ascii="Times New Roman" w:hAnsi="Times New Roman" w:cs="Times New Roman"/>
          <w:b/>
          <w:i/>
          <w:noProof/>
          <w:sz w:val="24"/>
          <w:szCs w:val="24"/>
        </w:rPr>
        <w:t>The costs of a formal rescue procedure (administration) compared to the less formal procedure (company voluntary arrangement or CVA) in the UK</w:t>
      </w:r>
      <w:r>
        <w:rPr>
          <w:rFonts w:ascii="Times New Roman" w:hAnsi="Times New Roman" w:cs="Times New Roman"/>
          <w:noProof/>
          <w:sz w:val="24"/>
          <w:szCs w:val="24"/>
          <w:vertAlign w:val="superscript"/>
          <w:lang w:eastAsia="en-GB"/>
        </w:rPr>
        <w:footnoteReference w:id="125"/>
      </w:r>
      <w:r>
        <w:rPr>
          <w:rFonts w:ascii="Times New Roman" w:hAnsi="Times New Roman" w:cs="Times New Roman"/>
          <w:noProof/>
          <w:sz w:val="24"/>
          <w:szCs w:val="24"/>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260"/>
        <w:gridCol w:w="3260"/>
      </w:tblGrid>
      <w:tr w:rsidR="00B32D69">
        <w:tc>
          <w:tcPr>
            <w:tcW w:w="2694" w:type="dxa"/>
            <w:shd w:val="clear" w:color="auto" w:fill="F2F2F2"/>
          </w:tcPr>
          <w:p w:rsidR="00B32D69" w:rsidRDefault="00B32D69">
            <w:pPr>
              <w:spacing w:before="120" w:after="120" w:line="240" w:lineRule="auto"/>
              <w:contextualSpacing/>
              <w:jc w:val="both"/>
              <w:rPr>
                <w:rFonts w:ascii="Times New Roman" w:eastAsia="Times New Roman" w:hAnsi="Times New Roman" w:cs="Times New Roman"/>
                <w:b/>
                <w:noProof/>
                <w:sz w:val="24"/>
                <w:szCs w:val="24"/>
                <w:lang w:eastAsia="en-GB"/>
              </w:rPr>
            </w:pPr>
          </w:p>
        </w:tc>
        <w:tc>
          <w:tcPr>
            <w:tcW w:w="3260" w:type="dxa"/>
            <w:shd w:val="clear" w:color="auto" w:fill="F2F2F2"/>
          </w:tcPr>
          <w:p w:rsidR="00B32D69" w:rsidRDefault="00FB661A">
            <w:pPr>
              <w:autoSpaceDE w:val="0"/>
              <w:autoSpaceDN w:val="0"/>
              <w:adjustRightInd w:val="0"/>
              <w:spacing w:after="0"/>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per Administration (formal procedure) (£ 000’s)</w:t>
            </w:r>
          </w:p>
        </w:tc>
        <w:tc>
          <w:tcPr>
            <w:tcW w:w="3260" w:type="dxa"/>
            <w:shd w:val="clear" w:color="auto" w:fill="F2F2F2"/>
          </w:tcPr>
          <w:p w:rsidR="00B32D69" w:rsidRDefault="00FB661A">
            <w:pPr>
              <w:autoSpaceDE w:val="0"/>
              <w:autoSpaceDN w:val="0"/>
              <w:adjustRightInd w:val="0"/>
              <w:spacing w:after="0"/>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per CVA (less formal procedure) (£ 000’s)</w:t>
            </w:r>
          </w:p>
        </w:tc>
      </w:tr>
      <w:tr w:rsidR="00B32D69">
        <w:tc>
          <w:tcPr>
            <w:tcW w:w="2694" w:type="dxa"/>
            <w:shd w:val="clear" w:color="auto" w:fill="auto"/>
          </w:tcPr>
          <w:p w:rsidR="00B32D69" w:rsidRDefault="00FB661A">
            <w:p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Small company</w:t>
            </w:r>
          </w:p>
        </w:tc>
        <w:tc>
          <w:tcPr>
            <w:tcW w:w="3260" w:type="dxa"/>
            <w:shd w:val="clear" w:color="auto" w:fill="auto"/>
          </w:tcPr>
          <w:p w:rsidR="00B32D69" w:rsidRDefault="00FB661A">
            <w:p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5 – 300</w:t>
            </w:r>
          </w:p>
        </w:tc>
        <w:tc>
          <w:tcPr>
            <w:tcW w:w="3260" w:type="dxa"/>
            <w:shd w:val="clear" w:color="auto" w:fill="auto"/>
          </w:tcPr>
          <w:p w:rsidR="00B32D69" w:rsidRDefault="00FB661A">
            <w:p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5 - 25</w:t>
            </w:r>
          </w:p>
        </w:tc>
      </w:tr>
      <w:tr w:rsidR="00B32D69">
        <w:tc>
          <w:tcPr>
            <w:tcW w:w="2694" w:type="dxa"/>
            <w:shd w:val="clear" w:color="auto" w:fill="auto"/>
          </w:tcPr>
          <w:p w:rsidR="00B32D69" w:rsidRDefault="00FB661A">
            <w:p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Medium company</w:t>
            </w:r>
          </w:p>
        </w:tc>
        <w:tc>
          <w:tcPr>
            <w:tcW w:w="3260" w:type="dxa"/>
            <w:shd w:val="clear" w:color="auto" w:fill="auto"/>
          </w:tcPr>
          <w:p w:rsidR="00B32D69" w:rsidRDefault="00FB661A">
            <w:p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45 – 500</w:t>
            </w:r>
          </w:p>
        </w:tc>
        <w:tc>
          <w:tcPr>
            <w:tcW w:w="3260" w:type="dxa"/>
            <w:shd w:val="clear" w:color="auto" w:fill="auto"/>
          </w:tcPr>
          <w:p w:rsidR="00B32D69" w:rsidRDefault="00FB661A">
            <w:p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10 - 200</w:t>
            </w:r>
          </w:p>
        </w:tc>
      </w:tr>
      <w:tr w:rsidR="00B32D69">
        <w:tc>
          <w:tcPr>
            <w:tcW w:w="2694" w:type="dxa"/>
            <w:shd w:val="clear" w:color="auto" w:fill="auto"/>
          </w:tcPr>
          <w:p w:rsidR="00B32D69" w:rsidRDefault="00FB661A">
            <w:p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Large company</w:t>
            </w:r>
          </w:p>
        </w:tc>
        <w:tc>
          <w:tcPr>
            <w:tcW w:w="3260" w:type="dxa"/>
            <w:shd w:val="clear" w:color="auto" w:fill="auto"/>
          </w:tcPr>
          <w:p w:rsidR="00B32D69" w:rsidRDefault="00FB661A">
            <w:p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2000 – 4000</w:t>
            </w:r>
          </w:p>
        </w:tc>
        <w:tc>
          <w:tcPr>
            <w:tcW w:w="3260" w:type="dxa"/>
            <w:shd w:val="clear" w:color="auto" w:fill="auto"/>
          </w:tcPr>
          <w:p w:rsidR="00B32D69" w:rsidRDefault="00FB661A">
            <w:pPr>
              <w:spacing w:after="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500 - 1500</w:t>
            </w:r>
          </w:p>
        </w:tc>
      </w:tr>
    </w:tbl>
    <w:p w:rsidR="00B32D69" w:rsidRDefault="00B32D69">
      <w:pPr>
        <w:spacing w:after="0" w:line="288" w:lineRule="auto"/>
        <w:contextualSpacing/>
        <w:jc w:val="both"/>
        <w:rPr>
          <w:rFonts w:ascii="Century Gothic" w:hAnsi="Century Gothic"/>
          <w:b/>
          <w:bCs/>
          <w:noProof/>
        </w:rPr>
      </w:pPr>
    </w:p>
    <w:p w:rsidR="00B32D69" w:rsidRDefault="00FB661A">
      <w:pPr>
        <w:spacing w:after="0" w:line="288" w:lineRule="auto"/>
        <w:contextualSpacing/>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Assessment of additional costs due to cross-border dimension </w:t>
      </w:r>
    </w:p>
    <w:p w:rsidR="00B32D69" w:rsidRDefault="00B32D69">
      <w:pPr>
        <w:spacing w:after="0" w:line="240" w:lineRule="auto"/>
        <w:ind w:left="1440"/>
        <w:rPr>
          <w:rFonts w:ascii="Times New Roman" w:eastAsia="Calibri" w:hAnsi="Times New Roman" w:cs="Times New Roman"/>
          <w:noProof/>
          <w:sz w:val="24"/>
          <w:szCs w:val="24"/>
        </w:rPr>
      </w:pPr>
    </w:p>
    <w:p w:rsidR="00B32D69" w:rsidRDefault="00FB661A">
      <w:pPr>
        <w:rPr>
          <w:rFonts w:ascii="Times New Roman" w:hAnsi="Times New Roman" w:cs="Times New Roman"/>
          <w:b/>
          <w:i/>
          <w:noProof/>
          <w:sz w:val="24"/>
          <w:szCs w:val="24"/>
        </w:rPr>
      </w:pPr>
      <w:bookmarkStart w:id="9" w:name="_Toc462660794"/>
      <w:r>
        <w:rPr>
          <w:rFonts w:ascii="Times New Roman" w:hAnsi="Times New Roman" w:cs="Times New Roman"/>
          <w:b/>
          <w:i/>
          <w:noProof/>
          <w:sz w:val="24"/>
          <w:szCs w:val="24"/>
        </w:rPr>
        <w:t xml:space="preserve">Table </w:t>
      </w:r>
      <w:bookmarkEnd w:id="9"/>
      <w:r>
        <w:rPr>
          <w:rFonts w:ascii="Times New Roman" w:hAnsi="Times New Roman" w:cs="Times New Roman"/>
          <w:b/>
          <w:i/>
          <w:noProof/>
          <w:sz w:val="24"/>
          <w:szCs w:val="24"/>
        </w:rPr>
        <w:t xml:space="preserve">12: Total costs at EU level for domestic and cross-border insolvency proceedings: </w:t>
      </w:r>
      <w:r>
        <w:rPr>
          <w:rFonts w:ascii="Times New Roman" w:hAnsi="Times New Roman" w:cs="Times New Roman"/>
          <w:b/>
          <w:i/>
          <w:noProof/>
          <w:sz w:val="24"/>
          <w:szCs w:val="24"/>
        </w:rPr>
        <w:t>SMEs (incl. entrepreneurs)</w:t>
      </w:r>
    </w:p>
    <w:tbl>
      <w:tblPr>
        <w:tblW w:w="5000" w:type="pct"/>
        <w:tblCellMar>
          <w:left w:w="0" w:type="dxa"/>
          <w:right w:w="0" w:type="dxa"/>
        </w:tblCellMar>
        <w:tblLook w:val="04A0" w:firstRow="1" w:lastRow="0" w:firstColumn="1" w:lastColumn="0" w:noHBand="0" w:noVBand="1"/>
      </w:tblPr>
      <w:tblGrid>
        <w:gridCol w:w="1372"/>
        <w:gridCol w:w="1978"/>
        <w:gridCol w:w="1982"/>
        <w:gridCol w:w="1980"/>
        <w:gridCol w:w="1976"/>
      </w:tblGrid>
      <w:tr w:rsidR="00B32D69">
        <w:tc>
          <w:tcPr>
            <w:tcW w:w="738" w:type="pct"/>
            <w:tcBorders>
              <w:top w:val="nil"/>
              <w:left w:val="nil"/>
              <w:bottom w:val="nil"/>
              <w:right w:val="single" w:sz="8" w:space="0" w:color="auto"/>
            </w:tcBorders>
            <w:tcMar>
              <w:top w:w="0" w:type="dxa"/>
              <w:left w:w="108" w:type="dxa"/>
              <w:bottom w:w="0" w:type="dxa"/>
              <w:right w:w="108" w:type="dxa"/>
            </w:tcMar>
          </w:tcPr>
          <w:p w:rsidR="00B32D69" w:rsidRDefault="00B32D69">
            <w:pPr>
              <w:spacing w:after="0" w:line="288" w:lineRule="auto"/>
              <w:jc w:val="center"/>
              <w:rPr>
                <w:rFonts w:ascii="Century Gothic" w:eastAsia="Calibri" w:hAnsi="Century Gothic" w:cs="Times New Roman"/>
                <w:noProof/>
                <w:sz w:val="20"/>
                <w:szCs w:val="20"/>
                <w:lang w:eastAsia="it-IT"/>
              </w:rPr>
            </w:pPr>
          </w:p>
        </w:tc>
        <w:tc>
          <w:tcPr>
            <w:tcW w:w="213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Domestic proceedings</w:t>
            </w:r>
          </w:p>
        </w:tc>
        <w:tc>
          <w:tcPr>
            <w:tcW w:w="213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Cross-border proceedings</w:t>
            </w:r>
          </w:p>
        </w:tc>
      </w:tr>
      <w:tr w:rsidR="00B32D69">
        <w:tc>
          <w:tcPr>
            <w:tcW w:w="738" w:type="pct"/>
            <w:tcBorders>
              <w:top w:val="nil"/>
              <w:left w:val="nil"/>
              <w:bottom w:val="single" w:sz="8" w:space="0" w:color="auto"/>
              <w:right w:val="single" w:sz="8" w:space="0" w:color="auto"/>
            </w:tcBorders>
            <w:tcMar>
              <w:top w:w="0" w:type="dxa"/>
              <w:left w:w="108" w:type="dxa"/>
              <w:bottom w:w="0" w:type="dxa"/>
              <w:right w:w="108" w:type="dxa"/>
            </w:tcMar>
          </w:tcPr>
          <w:p w:rsidR="00B32D69" w:rsidRDefault="00B32D69">
            <w:pPr>
              <w:spacing w:after="0" w:line="288" w:lineRule="auto"/>
              <w:jc w:val="center"/>
              <w:rPr>
                <w:rFonts w:ascii="Century Gothic" w:eastAsia="Calibri" w:hAnsi="Century Gothic" w:cs="Times New Roman"/>
                <w:noProof/>
                <w:sz w:val="20"/>
                <w:szCs w:val="20"/>
                <w:lang w:val="it-IT" w:eastAsia="it-IT"/>
              </w:rPr>
            </w:pPr>
          </w:p>
        </w:tc>
        <w:tc>
          <w:tcPr>
            <w:tcW w:w="1065" w:type="pct"/>
            <w:tcBorders>
              <w:top w:val="nil"/>
              <w:left w:val="nil"/>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eastAsia="it-IT"/>
              </w:rPr>
            </w:pPr>
            <w:r>
              <w:rPr>
                <w:rFonts w:ascii="Times New Roman" w:eastAsia="Calibri" w:hAnsi="Times New Roman" w:cs="Times New Roman"/>
                <w:b/>
                <w:bCs/>
                <w:noProof/>
                <w:sz w:val="20"/>
                <w:szCs w:val="20"/>
                <w:lang w:eastAsia="it-IT"/>
              </w:rPr>
              <w:t>Number of formal insolvencies/year</w:t>
            </w:r>
          </w:p>
        </w:tc>
        <w:tc>
          <w:tcPr>
            <w:tcW w:w="10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Total proceeding costs (€/year)</w:t>
            </w:r>
          </w:p>
        </w:tc>
        <w:tc>
          <w:tcPr>
            <w:tcW w:w="1066" w:type="pct"/>
            <w:tcBorders>
              <w:top w:val="nil"/>
              <w:left w:val="nil"/>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eastAsia="it-IT"/>
              </w:rPr>
            </w:pPr>
            <w:r>
              <w:rPr>
                <w:rFonts w:ascii="Times New Roman" w:eastAsia="Calibri" w:hAnsi="Times New Roman" w:cs="Times New Roman"/>
                <w:b/>
                <w:bCs/>
                <w:noProof/>
                <w:sz w:val="20"/>
                <w:szCs w:val="20"/>
                <w:lang w:eastAsia="it-IT"/>
              </w:rPr>
              <w:t>Number of formal insolvencies/year</w:t>
            </w:r>
          </w:p>
        </w:tc>
        <w:tc>
          <w:tcPr>
            <w:tcW w:w="1064" w:type="pct"/>
            <w:tcBorders>
              <w:top w:val="nil"/>
              <w:left w:val="nil"/>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Total proceeding costs (€/year)</w:t>
            </w:r>
          </w:p>
        </w:tc>
      </w:tr>
      <w:tr w:rsidR="00B32D69">
        <w:tc>
          <w:tcPr>
            <w:tcW w:w="73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D69" w:rsidRDefault="00FB661A">
            <w:pPr>
              <w:spacing w:after="0" w:line="240"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UK+CZ+LU</w:t>
            </w:r>
          </w:p>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+FR+BE+LV</w:t>
            </w:r>
          </w:p>
        </w:tc>
        <w:tc>
          <w:tcPr>
            <w:tcW w:w="10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76,327</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319,436,885</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2,907</w:t>
            </w:r>
          </w:p>
        </w:tc>
        <w:tc>
          <w:tcPr>
            <w:tcW w:w="10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24,080,618</w:t>
            </w:r>
          </w:p>
        </w:tc>
      </w:tr>
      <w:tr w:rsidR="00B32D69">
        <w:trPr>
          <w:trHeight w:val="20"/>
        </w:trPr>
        <w:tc>
          <w:tcPr>
            <w:tcW w:w="73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EU28 (method 1)</w:t>
            </w:r>
          </w:p>
        </w:tc>
        <w:tc>
          <w:tcPr>
            <w:tcW w:w="10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145,703</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609,783,071</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6,071</w:t>
            </w:r>
          </w:p>
        </w:tc>
        <w:tc>
          <w:tcPr>
            <w:tcW w:w="10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50,289,651</w:t>
            </w:r>
          </w:p>
        </w:tc>
      </w:tr>
      <w:tr w:rsidR="00B32D69">
        <w:tc>
          <w:tcPr>
            <w:tcW w:w="73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EU28 (method 2)</w:t>
            </w:r>
          </w:p>
        </w:tc>
        <w:tc>
          <w:tcPr>
            <w:tcW w:w="10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277,553</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1,161,589,814</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10,767</w:t>
            </w:r>
          </w:p>
        </w:tc>
        <w:tc>
          <w:tcPr>
            <w:tcW w:w="10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89,190,235</w:t>
            </w:r>
          </w:p>
        </w:tc>
      </w:tr>
      <w:tr w:rsidR="00B32D69">
        <w:tc>
          <w:tcPr>
            <w:tcW w:w="73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D69" w:rsidRDefault="00FB661A">
            <w:pPr>
              <w:spacing w:after="0" w:line="240"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EU28</w:t>
            </w:r>
          </w:p>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(middle estimate)</w:t>
            </w:r>
          </w:p>
        </w:tc>
        <w:tc>
          <w:tcPr>
            <w:tcW w:w="10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211,628</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885,686,443</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8,419</w:t>
            </w:r>
          </w:p>
        </w:tc>
        <w:tc>
          <w:tcPr>
            <w:tcW w:w="10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69,740,187</w:t>
            </w:r>
          </w:p>
        </w:tc>
      </w:tr>
    </w:tbl>
    <w:p w:rsidR="00B32D69" w:rsidRDefault="00FB661A">
      <w:pPr>
        <w:spacing w:after="0"/>
        <w:rPr>
          <w:rFonts w:ascii="Times New Roman" w:eastAsia="Calibri" w:hAnsi="Times New Roman" w:cs="Times New Roman"/>
          <w:i/>
          <w:iCs/>
          <w:noProof/>
          <w:sz w:val="20"/>
          <w:szCs w:val="20"/>
          <w:lang w:eastAsia="it-IT"/>
        </w:rPr>
      </w:pPr>
      <w:r>
        <w:rPr>
          <w:rFonts w:ascii="Times New Roman" w:eastAsia="Calibri" w:hAnsi="Times New Roman" w:cs="Times New Roman"/>
          <w:i/>
          <w:iCs/>
          <w:noProof/>
          <w:sz w:val="20"/>
          <w:szCs w:val="20"/>
        </w:rPr>
        <w:t xml:space="preserve">Source: Calculations of VVA/ JIIP/  DTI/ Grimaldi consortium based on </w:t>
      </w:r>
      <w:r>
        <w:rPr>
          <w:rFonts w:ascii="Times New Roman" w:eastAsia="Calibri" w:hAnsi="Times New Roman" w:cs="Times New Roman"/>
          <w:i/>
          <w:iCs/>
          <w:noProof/>
          <w:sz w:val="20"/>
          <w:szCs w:val="20"/>
        </w:rPr>
        <w:t>respondents’ answers</w:t>
      </w:r>
      <w:r>
        <w:rPr>
          <w:rStyle w:val="FootnoteReference"/>
          <w:rFonts w:ascii="Times New Roman" w:eastAsia="Calibri" w:hAnsi="Times New Roman"/>
          <w:i/>
          <w:iCs/>
          <w:noProof/>
          <w:sz w:val="20"/>
          <w:szCs w:val="20"/>
        </w:rPr>
        <w:footnoteReference w:id="126"/>
      </w:r>
    </w:p>
    <w:p w:rsidR="00B32D69" w:rsidRDefault="00B32D69">
      <w:pPr>
        <w:keepNext/>
        <w:spacing w:after="0" w:line="288" w:lineRule="auto"/>
        <w:jc w:val="both"/>
        <w:rPr>
          <w:rFonts w:ascii="Century Gothic" w:hAnsi="Century Gothic"/>
          <w:b/>
          <w:bCs/>
          <w:noProof/>
          <w:color w:val="FF0000"/>
          <w:sz w:val="20"/>
          <w:szCs w:val="20"/>
        </w:rPr>
      </w:pPr>
    </w:p>
    <w:p w:rsidR="00B32D69" w:rsidRDefault="00FB661A">
      <w:pPr>
        <w:rPr>
          <w:rFonts w:ascii="Times New Roman" w:hAnsi="Times New Roman" w:cs="Times New Roman"/>
          <w:b/>
          <w:i/>
          <w:noProof/>
          <w:sz w:val="24"/>
          <w:szCs w:val="24"/>
        </w:rPr>
      </w:pPr>
      <w:bookmarkStart w:id="10" w:name="_Toc462660795"/>
      <w:r>
        <w:rPr>
          <w:rFonts w:ascii="Times New Roman" w:hAnsi="Times New Roman" w:cs="Times New Roman"/>
          <w:b/>
          <w:i/>
          <w:noProof/>
          <w:sz w:val="24"/>
          <w:szCs w:val="24"/>
        </w:rPr>
        <w:t xml:space="preserve">Table </w:t>
      </w:r>
      <w:bookmarkEnd w:id="10"/>
      <w:r>
        <w:rPr>
          <w:rFonts w:ascii="Times New Roman" w:hAnsi="Times New Roman" w:cs="Times New Roman"/>
          <w:b/>
          <w:i/>
          <w:noProof/>
          <w:sz w:val="24"/>
          <w:szCs w:val="24"/>
        </w:rPr>
        <w:t>13: Total costs at EU level for domestic and cross-border insolvency proceedings: large companies</w:t>
      </w:r>
    </w:p>
    <w:tbl>
      <w:tblPr>
        <w:tblW w:w="5000" w:type="pct"/>
        <w:tblCellMar>
          <w:left w:w="0" w:type="dxa"/>
          <w:right w:w="0" w:type="dxa"/>
        </w:tblCellMar>
        <w:tblLook w:val="04A0" w:firstRow="1" w:lastRow="0" w:firstColumn="1" w:lastColumn="0" w:noHBand="0" w:noVBand="1"/>
      </w:tblPr>
      <w:tblGrid>
        <w:gridCol w:w="1408"/>
        <w:gridCol w:w="1969"/>
        <w:gridCol w:w="1971"/>
        <w:gridCol w:w="1969"/>
        <w:gridCol w:w="1971"/>
      </w:tblGrid>
      <w:tr w:rsidR="00B32D69">
        <w:tc>
          <w:tcPr>
            <w:tcW w:w="758" w:type="pct"/>
            <w:tcBorders>
              <w:top w:val="nil"/>
              <w:left w:val="nil"/>
              <w:bottom w:val="nil"/>
              <w:right w:val="single" w:sz="8" w:space="0" w:color="auto"/>
            </w:tcBorders>
            <w:tcMar>
              <w:top w:w="0" w:type="dxa"/>
              <w:left w:w="108" w:type="dxa"/>
              <w:bottom w:w="0" w:type="dxa"/>
              <w:right w:w="108" w:type="dxa"/>
            </w:tcMar>
          </w:tcPr>
          <w:p w:rsidR="00B32D69" w:rsidRDefault="00B32D69">
            <w:pPr>
              <w:spacing w:after="0" w:line="288" w:lineRule="auto"/>
              <w:jc w:val="center"/>
              <w:rPr>
                <w:rFonts w:ascii="Century Gothic" w:eastAsia="Calibri" w:hAnsi="Century Gothic" w:cs="Times New Roman"/>
                <w:noProof/>
                <w:sz w:val="20"/>
                <w:szCs w:val="20"/>
                <w:lang w:eastAsia="it-IT"/>
              </w:rPr>
            </w:pPr>
          </w:p>
        </w:tc>
        <w:tc>
          <w:tcPr>
            <w:tcW w:w="212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Domestic proceedings</w:t>
            </w:r>
          </w:p>
        </w:tc>
        <w:tc>
          <w:tcPr>
            <w:tcW w:w="2121"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Cross-border proceedings</w:t>
            </w:r>
          </w:p>
        </w:tc>
      </w:tr>
      <w:tr w:rsidR="00B32D69">
        <w:tc>
          <w:tcPr>
            <w:tcW w:w="758" w:type="pct"/>
            <w:tcBorders>
              <w:top w:val="nil"/>
              <w:left w:val="nil"/>
              <w:bottom w:val="single" w:sz="8" w:space="0" w:color="auto"/>
              <w:right w:val="single" w:sz="8" w:space="0" w:color="auto"/>
            </w:tcBorders>
            <w:tcMar>
              <w:top w:w="0" w:type="dxa"/>
              <w:left w:w="108" w:type="dxa"/>
              <w:bottom w:w="0" w:type="dxa"/>
              <w:right w:w="108" w:type="dxa"/>
            </w:tcMar>
          </w:tcPr>
          <w:p w:rsidR="00B32D69" w:rsidRDefault="00B32D69">
            <w:pPr>
              <w:spacing w:after="0" w:line="288" w:lineRule="auto"/>
              <w:jc w:val="center"/>
              <w:rPr>
                <w:rFonts w:ascii="Century Gothic" w:eastAsia="Calibri" w:hAnsi="Century Gothic" w:cs="Times New Roman"/>
                <w:noProof/>
                <w:sz w:val="20"/>
                <w:szCs w:val="20"/>
                <w:lang w:val="it-IT" w:eastAsia="it-IT"/>
              </w:rPr>
            </w:pPr>
          </w:p>
        </w:tc>
        <w:tc>
          <w:tcPr>
            <w:tcW w:w="1060" w:type="pct"/>
            <w:tcBorders>
              <w:top w:val="nil"/>
              <w:left w:val="nil"/>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eastAsia="it-IT"/>
              </w:rPr>
            </w:pPr>
            <w:r>
              <w:rPr>
                <w:rFonts w:ascii="Times New Roman" w:eastAsia="Calibri" w:hAnsi="Times New Roman" w:cs="Times New Roman"/>
                <w:b/>
                <w:bCs/>
                <w:noProof/>
                <w:sz w:val="20"/>
                <w:szCs w:val="20"/>
                <w:lang w:eastAsia="it-IT"/>
              </w:rPr>
              <w:t>Number of formal insolvencies/year</w:t>
            </w:r>
          </w:p>
        </w:tc>
        <w:tc>
          <w:tcPr>
            <w:tcW w:w="106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Total proceeding costs (€/year)</w:t>
            </w:r>
          </w:p>
        </w:tc>
        <w:tc>
          <w:tcPr>
            <w:tcW w:w="1060" w:type="pct"/>
            <w:tcBorders>
              <w:top w:val="nil"/>
              <w:left w:val="nil"/>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eastAsia="it-IT"/>
              </w:rPr>
            </w:pPr>
            <w:r>
              <w:rPr>
                <w:rFonts w:ascii="Times New Roman" w:eastAsia="Calibri" w:hAnsi="Times New Roman" w:cs="Times New Roman"/>
                <w:b/>
                <w:bCs/>
                <w:noProof/>
                <w:sz w:val="20"/>
                <w:szCs w:val="20"/>
                <w:lang w:eastAsia="it-IT"/>
              </w:rPr>
              <w:t xml:space="preserve">Number of </w:t>
            </w:r>
            <w:r>
              <w:rPr>
                <w:rFonts w:ascii="Times New Roman" w:eastAsia="Calibri" w:hAnsi="Times New Roman" w:cs="Times New Roman"/>
                <w:b/>
                <w:bCs/>
                <w:noProof/>
                <w:sz w:val="20"/>
                <w:szCs w:val="20"/>
                <w:lang w:eastAsia="it-IT"/>
              </w:rPr>
              <w:t>formal insolvencies/year</w:t>
            </w:r>
          </w:p>
        </w:tc>
        <w:tc>
          <w:tcPr>
            <w:tcW w:w="1061" w:type="pct"/>
            <w:tcBorders>
              <w:top w:val="nil"/>
              <w:left w:val="nil"/>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Total proceeding costs (€/year)</w:t>
            </w:r>
          </w:p>
        </w:tc>
      </w:tr>
      <w:tr w:rsidR="00B32D69">
        <w:tc>
          <w:tcPr>
            <w:tcW w:w="7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D69" w:rsidRDefault="00FB661A">
            <w:pPr>
              <w:spacing w:after="0" w:line="240"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UK+CZ+LU</w:t>
            </w:r>
          </w:p>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+FR+BE+LV</w:t>
            </w:r>
          </w:p>
        </w:tc>
        <w:tc>
          <w:tcPr>
            <w:tcW w:w="10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95</w:t>
            </w:r>
          </w:p>
        </w:tc>
        <w:tc>
          <w:tcPr>
            <w:tcW w:w="10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2,931,011</w:t>
            </w:r>
          </w:p>
        </w:tc>
        <w:tc>
          <w:tcPr>
            <w:tcW w:w="10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5</w:t>
            </w:r>
          </w:p>
        </w:tc>
        <w:tc>
          <w:tcPr>
            <w:tcW w:w="10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224,617</w:t>
            </w:r>
          </w:p>
        </w:tc>
      </w:tr>
      <w:tr w:rsidR="00B32D69">
        <w:tc>
          <w:tcPr>
            <w:tcW w:w="7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EU28 (method 1)</w:t>
            </w:r>
          </w:p>
        </w:tc>
        <w:tc>
          <w:tcPr>
            <w:tcW w:w="10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291</w:t>
            </w:r>
          </w:p>
        </w:tc>
        <w:tc>
          <w:tcPr>
            <w:tcW w:w="10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8,969,861</w:t>
            </w:r>
          </w:p>
        </w:tc>
        <w:tc>
          <w:tcPr>
            <w:tcW w:w="10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15</w:t>
            </w:r>
          </w:p>
        </w:tc>
        <w:tc>
          <w:tcPr>
            <w:tcW w:w="10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687,402</w:t>
            </w:r>
          </w:p>
        </w:tc>
      </w:tr>
      <w:tr w:rsidR="00B32D69">
        <w:tc>
          <w:tcPr>
            <w:tcW w:w="7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EU28 (method 2)</w:t>
            </w:r>
          </w:p>
        </w:tc>
        <w:tc>
          <w:tcPr>
            <w:tcW w:w="106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322</w:t>
            </w:r>
          </w:p>
        </w:tc>
        <w:tc>
          <w:tcPr>
            <w:tcW w:w="106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9,934,585</w:t>
            </w:r>
          </w:p>
        </w:tc>
        <w:tc>
          <w:tcPr>
            <w:tcW w:w="10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17</w:t>
            </w:r>
          </w:p>
        </w:tc>
        <w:tc>
          <w:tcPr>
            <w:tcW w:w="106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763,698</w:t>
            </w:r>
          </w:p>
        </w:tc>
      </w:tr>
      <w:tr w:rsidR="00B32D69">
        <w:tc>
          <w:tcPr>
            <w:tcW w:w="7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D69" w:rsidRDefault="00FB661A">
            <w:pPr>
              <w:spacing w:after="0" w:line="240"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EU28</w:t>
            </w:r>
          </w:p>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(middle estimate)</w:t>
            </w:r>
          </w:p>
        </w:tc>
        <w:tc>
          <w:tcPr>
            <w:tcW w:w="106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307</w:t>
            </w:r>
          </w:p>
        </w:tc>
        <w:tc>
          <w:tcPr>
            <w:tcW w:w="106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9,471,793</w:t>
            </w:r>
          </w:p>
        </w:tc>
        <w:tc>
          <w:tcPr>
            <w:tcW w:w="106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16</w:t>
            </w:r>
          </w:p>
        </w:tc>
        <w:tc>
          <w:tcPr>
            <w:tcW w:w="106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718,774</w:t>
            </w:r>
          </w:p>
        </w:tc>
      </w:tr>
    </w:tbl>
    <w:p w:rsidR="00B32D69" w:rsidRDefault="00FB661A">
      <w:pPr>
        <w:spacing w:after="0"/>
        <w:rPr>
          <w:rFonts w:ascii="Times New Roman" w:eastAsia="Calibri" w:hAnsi="Times New Roman" w:cs="Times New Roman"/>
          <w:i/>
          <w:iCs/>
          <w:noProof/>
          <w:sz w:val="20"/>
          <w:szCs w:val="20"/>
          <w:lang w:eastAsia="it-IT"/>
        </w:rPr>
      </w:pPr>
      <w:r>
        <w:rPr>
          <w:rFonts w:ascii="Times New Roman" w:eastAsia="Calibri" w:hAnsi="Times New Roman" w:cs="Times New Roman"/>
          <w:i/>
          <w:iCs/>
          <w:noProof/>
          <w:sz w:val="20"/>
          <w:szCs w:val="20"/>
        </w:rPr>
        <w:t xml:space="preserve">Source: Calculations </w:t>
      </w:r>
      <w:r>
        <w:rPr>
          <w:rFonts w:ascii="Times New Roman" w:eastAsia="Calibri" w:hAnsi="Times New Roman" w:cs="Times New Roman"/>
          <w:i/>
          <w:iCs/>
          <w:noProof/>
          <w:sz w:val="20"/>
          <w:szCs w:val="20"/>
        </w:rPr>
        <w:t>of VVA/ JIIP/  DTI/ Grimaldi consortium based on respondents’ answers</w:t>
      </w:r>
      <w:r>
        <w:rPr>
          <w:rStyle w:val="FootnoteReference"/>
          <w:rFonts w:ascii="Times New Roman" w:eastAsia="Calibri" w:hAnsi="Times New Roman"/>
          <w:i/>
          <w:iCs/>
          <w:noProof/>
          <w:sz w:val="20"/>
          <w:szCs w:val="20"/>
        </w:rPr>
        <w:footnoteReference w:id="127"/>
      </w:r>
    </w:p>
    <w:p w:rsidR="00B32D69" w:rsidRDefault="00FB661A">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First, it is important to note that these figures do not represent the additional costs of the cross-border dimension of insolvency proceedings, but the total costs incurred by all cross-border insolvency proceedings in the EU.  Second, while the two metho</w:t>
      </w:r>
      <w:r>
        <w:rPr>
          <w:rFonts w:ascii="Times New Roman" w:eastAsia="Calibri" w:hAnsi="Times New Roman" w:cs="Times New Roman"/>
          <w:noProof/>
          <w:sz w:val="24"/>
          <w:szCs w:val="24"/>
        </w:rPr>
        <w:t>ds used yield very different results (since the total number of formal insolvency proceedings per year in the EU has been estimated as 152,000 with the first method and 289,000 with the second method) the reality is believed ‘reality’ to lie in between, ar</w:t>
      </w:r>
      <w:r>
        <w:rPr>
          <w:rFonts w:ascii="Times New Roman" w:eastAsia="Calibri" w:hAnsi="Times New Roman" w:cs="Times New Roman"/>
          <w:noProof/>
          <w:sz w:val="24"/>
          <w:szCs w:val="24"/>
        </w:rPr>
        <w:t xml:space="preserve">ound 220,000 total insolvency proceedings per year in the EU, close to the European Commission figure of 200,000 firms going bankrupt each year in the EU. With 220,000 insolvency proceedings every year, total proceedings costs in the EU would amount to </w:t>
      </w:r>
      <w:r>
        <w:rPr>
          <w:rFonts w:ascii="Times New Roman" w:hAnsi="Times New Roman" w:cs="Times New Roman"/>
          <w:bCs/>
          <w:noProof/>
          <w:sz w:val="24"/>
          <w:szCs w:val="24"/>
        </w:rPr>
        <w:t>€89</w:t>
      </w:r>
      <w:r>
        <w:rPr>
          <w:rFonts w:ascii="Times New Roman" w:hAnsi="Times New Roman" w:cs="Times New Roman"/>
          <w:bCs/>
          <w:noProof/>
          <w:sz w:val="24"/>
          <w:szCs w:val="24"/>
        </w:rPr>
        <w:t>5 million for domestic proceedings</w:t>
      </w:r>
      <w:r>
        <w:rPr>
          <w:rFonts w:ascii="Times New Roman" w:hAnsi="Times New Roman" w:cs="Times New Roman"/>
          <w:noProof/>
          <w:sz w:val="24"/>
          <w:szCs w:val="24"/>
        </w:rPr>
        <w:t>, and</w:t>
      </w:r>
      <w:r>
        <w:rPr>
          <w:rFonts w:ascii="Times New Roman" w:eastAsia="Calibri" w:hAnsi="Times New Roman" w:cs="Times New Roman"/>
          <w:noProof/>
          <w:sz w:val="24"/>
          <w:szCs w:val="24"/>
        </w:rPr>
        <w:t xml:space="preserve"> </w:t>
      </w:r>
      <w:r>
        <w:rPr>
          <w:rFonts w:ascii="Times New Roman" w:hAnsi="Times New Roman" w:cs="Times New Roman"/>
          <w:bCs/>
          <w:noProof/>
          <w:sz w:val="24"/>
          <w:szCs w:val="24"/>
        </w:rPr>
        <w:t>€70 million for cross-border proceedings</w:t>
      </w:r>
      <w:r>
        <w:rPr>
          <w:rStyle w:val="FootnoteReference"/>
          <w:rFonts w:ascii="Times New Roman" w:hAnsi="Times New Roman"/>
          <w:bCs/>
          <w:noProof/>
          <w:sz w:val="24"/>
          <w:szCs w:val="24"/>
        </w:rPr>
        <w:footnoteReference w:id="128"/>
      </w:r>
      <w:r>
        <w:rPr>
          <w:rFonts w:ascii="Times New Roman" w:hAnsi="Times New Roman" w:cs="Times New Roman"/>
          <w:noProof/>
          <w:sz w:val="24"/>
          <w:szCs w:val="24"/>
        </w:rPr>
        <w:t xml:space="preserve">. </w:t>
      </w:r>
      <w:r>
        <w:rPr>
          <w:rFonts w:ascii="Times New Roman" w:eastAsia="Calibri" w:hAnsi="Times New Roman" w:cs="Times New Roman"/>
          <w:noProof/>
          <w:sz w:val="24"/>
          <w:szCs w:val="24"/>
        </w:rPr>
        <w:t xml:space="preserve">The </w:t>
      </w:r>
      <w:r>
        <w:rPr>
          <w:rFonts w:ascii="Times New Roman" w:eastAsia="Calibri" w:hAnsi="Times New Roman" w:cs="Times New Roman"/>
          <w:b/>
          <w:bCs/>
          <w:noProof/>
          <w:sz w:val="24"/>
          <w:szCs w:val="24"/>
        </w:rPr>
        <w:t>additional</w:t>
      </w:r>
      <w:r>
        <w:rPr>
          <w:rFonts w:ascii="Times New Roman" w:eastAsia="Calibri" w:hAnsi="Times New Roman" w:cs="Times New Roman"/>
          <w:noProof/>
          <w:sz w:val="24"/>
          <w:szCs w:val="24"/>
        </w:rPr>
        <w:t xml:space="preserve"> cost of the cross-border dimension of insolvency procedures is estimated as follows:</w:t>
      </w:r>
    </w:p>
    <w:p w:rsidR="00B32D69" w:rsidRDefault="00B32D69">
      <w:pPr>
        <w:spacing w:after="0" w:line="240" w:lineRule="auto"/>
        <w:jc w:val="center"/>
        <w:rPr>
          <w:rFonts w:ascii="Times New Roman" w:eastAsia="Calibri" w:hAnsi="Times New Roman" w:cs="Times New Roman"/>
          <w:b/>
          <w:bCs/>
          <w:noProof/>
          <w:sz w:val="24"/>
          <w:szCs w:val="24"/>
        </w:rPr>
      </w:pPr>
    </w:p>
    <w:p w:rsidR="00B32D69" w:rsidRDefault="00FB661A">
      <w:pPr>
        <w:rPr>
          <w:rFonts w:ascii="Times New Roman" w:hAnsi="Times New Roman" w:cs="Times New Roman"/>
          <w:b/>
          <w:i/>
          <w:noProof/>
          <w:sz w:val="24"/>
          <w:szCs w:val="24"/>
        </w:rPr>
      </w:pPr>
      <w:bookmarkStart w:id="11" w:name="_Toc462660796"/>
      <w:r>
        <w:rPr>
          <w:rFonts w:ascii="Times New Roman" w:hAnsi="Times New Roman" w:cs="Times New Roman"/>
          <w:b/>
          <w:i/>
          <w:noProof/>
          <w:sz w:val="24"/>
          <w:szCs w:val="24"/>
        </w:rPr>
        <w:t xml:space="preserve">Table </w:t>
      </w:r>
      <w:bookmarkEnd w:id="11"/>
      <w:r>
        <w:rPr>
          <w:rFonts w:ascii="Times New Roman" w:hAnsi="Times New Roman" w:cs="Times New Roman"/>
          <w:b/>
          <w:i/>
          <w:noProof/>
          <w:sz w:val="24"/>
          <w:szCs w:val="24"/>
        </w:rPr>
        <w:t xml:space="preserve">14: Difference between domestic and cross-border insolvency </w:t>
      </w:r>
      <w:r>
        <w:rPr>
          <w:rFonts w:ascii="Times New Roman" w:hAnsi="Times New Roman" w:cs="Times New Roman"/>
          <w:b/>
          <w:i/>
          <w:noProof/>
          <w:sz w:val="24"/>
          <w:szCs w:val="24"/>
        </w:rPr>
        <w:t>proceedings costs - SMEs</w:t>
      </w:r>
    </w:p>
    <w:tbl>
      <w:tblPr>
        <w:tblW w:w="5000" w:type="pct"/>
        <w:tblCellMar>
          <w:left w:w="0" w:type="dxa"/>
          <w:right w:w="0" w:type="dxa"/>
        </w:tblCellMar>
        <w:tblLook w:val="04A0" w:firstRow="1" w:lastRow="0" w:firstColumn="1" w:lastColumn="0" w:noHBand="0" w:noVBand="1"/>
      </w:tblPr>
      <w:tblGrid>
        <w:gridCol w:w="1404"/>
        <w:gridCol w:w="1960"/>
        <w:gridCol w:w="1958"/>
        <w:gridCol w:w="3966"/>
      </w:tblGrid>
      <w:tr w:rsidR="00B32D69">
        <w:tc>
          <w:tcPr>
            <w:tcW w:w="756" w:type="pct"/>
            <w:tcBorders>
              <w:top w:val="nil"/>
              <w:left w:val="nil"/>
              <w:bottom w:val="nil"/>
              <w:right w:val="single" w:sz="8" w:space="0" w:color="auto"/>
            </w:tcBorders>
            <w:tcMar>
              <w:top w:w="0" w:type="dxa"/>
              <w:left w:w="108" w:type="dxa"/>
              <w:bottom w:w="0" w:type="dxa"/>
              <w:right w:w="108" w:type="dxa"/>
            </w:tcMar>
          </w:tcPr>
          <w:p w:rsidR="00B32D69" w:rsidRDefault="00B32D69">
            <w:pPr>
              <w:spacing w:after="0" w:line="288" w:lineRule="auto"/>
              <w:jc w:val="center"/>
              <w:rPr>
                <w:rFonts w:ascii="Century Gothic" w:eastAsia="Calibri" w:hAnsi="Century Gothic" w:cs="Times New Roman"/>
                <w:noProof/>
                <w:sz w:val="20"/>
                <w:szCs w:val="20"/>
                <w:lang w:eastAsia="it-IT"/>
              </w:rPr>
            </w:pPr>
          </w:p>
        </w:tc>
        <w:tc>
          <w:tcPr>
            <w:tcW w:w="105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Domestic proceedings</w:t>
            </w:r>
          </w:p>
        </w:tc>
        <w:tc>
          <w:tcPr>
            <w:tcW w:w="105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Cross-border proceedings</w:t>
            </w:r>
          </w:p>
        </w:tc>
        <w:tc>
          <w:tcPr>
            <w:tcW w:w="2135"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eastAsia="it-IT"/>
              </w:rPr>
            </w:pPr>
            <w:r>
              <w:rPr>
                <w:rFonts w:ascii="Times New Roman" w:eastAsia="Calibri" w:hAnsi="Times New Roman" w:cs="Times New Roman"/>
                <w:b/>
                <w:bCs/>
                <w:noProof/>
                <w:sz w:val="20"/>
                <w:szCs w:val="20"/>
                <w:lang w:eastAsia="it-IT"/>
              </w:rPr>
              <w:t>Difference (cross-border vs. Domestic) (€/insolvency)</w:t>
            </w:r>
          </w:p>
        </w:tc>
      </w:tr>
      <w:tr w:rsidR="00B32D69">
        <w:tc>
          <w:tcPr>
            <w:tcW w:w="756" w:type="pct"/>
            <w:tcBorders>
              <w:top w:val="nil"/>
              <w:left w:val="nil"/>
              <w:bottom w:val="single" w:sz="8" w:space="0" w:color="auto"/>
              <w:right w:val="single" w:sz="8" w:space="0" w:color="auto"/>
            </w:tcBorders>
            <w:tcMar>
              <w:top w:w="0" w:type="dxa"/>
              <w:left w:w="108" w:type="dxa"/>
              <w:bottom w:w="0" w:type="dxa"/>
              <w:right w:w="108" w:type="dxa"/>
            </w:tcMar>
          </w:tcPr>
          <w:p w:rsidR="00B32D69" w:rsidRDefault="00B32D69">
            <w:pPr>
              <w:spacing w:after="0" w:line="288" w:lineRule="auto"/>
              <w:jc w:val="center"/>
              <w:rPr>
                <w:rFonts w:ascii="Century Gothic" w:eastAsia="Calibri" w:hAnsi="Century Gothic" w:cs="Times New Roman"/>
                <w:noProof/>
                <w:sz w:val="20"/>
                <w:szCs w:val="20"/>
                <w:lang w:eastAsia="it-IT"/>
              </w:rPr>
            </w:pPr>
          </w:p>
        </w:tc>
        <w:tc>
          <w:tcPr>
            <w:tcW w:w="1055" w:type="pct"/>
            <w:tcBorders>
              <w:top w:val="nil"/>
              <w:left w:val="nil"/>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Average proceeding costs (€/insolvency)</w:t>
            </w:r>
          </w:p>
        </w:tc>
        <w:tc>
          <w:tcPr>
            <w:tcW w:w="1054" w:type="pct"/>
            <w:tcBorders>
              <w:top w:val="nil"/>
              <w:left w:val="nil"/>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Average proceeding costs (€/insolvency)</w:t>
            </w:r>
          </w:p>
        </w:tc>
        <w:tc>
          <w:tcPr>
            <w:tcW w:w="0" w:type="auto"/>
            <w:vMerge/>
            <w:tcBorders>
              <w:top w:val="single" w:sz="8" w:space="0" w:color="auto"/>
              <w:left w:val="nil"/>
              <w:bottom w:val="single" w:sz="8" w:space="0" w:color="auto"/>
              <w:right w:val="single" w:sz="8" w:space="0" w:color="auto"/>
            </w:tcBorders>
            <w:vAlign w:val="center"/>
            <w:hideMark/>
          </w:tcPr>
          <w:p w:rsidR="00B32D69" w:rsidRDefault="00B32D69">
            <w:pPr>
              <w:spacing w:after="0" w:line="240" w:lineRule="auto"/>
              <w:rPr>
                <w:rFonts w:ascii="Century Gothic" w:eastAsia="Calibri" w:hAnsi="Century Gothic" w:cs="Times New Roman"/>
                <w:b/>
                <w:bCs/>
                <w:noProof/>
                <w:sz w:val="20"/>
                <w:szCs w:val="20"/>
                <w:lang w:eastAsia="it-IT"/>
              </w:rPr>
            </w:pPr>
          </w:p>
        </w:tc>
      </w:tr>
      <w:tr w:rsidR="00B32D69">
        <w:tc>
          <w:tcPr>
            <w:tcW w:w="75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EU28</w:t>
            </w:r>
          </w:p>
        </w:tc>
        <w:tc>
          <w:tcPr>
            <w:tcW w:w="10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4,185</w:t>
            </w:r>
          </w:p>
        </w:tc>
        <w:tc>
          <w:tcPr>
            <w:tcW w:w="105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8,284</w:t>
            </w:r>
          </w:p>
        </w:tc>
        <w:tc>
          <w:tcPr>
            <w:tcW w:w="2135" w:type="pct"/>
            <w:tcBorders>
              <w:top w:val="nil"/>
              <w:left w:val="nil"/>
              <w:bottom w:val="single" w:sz="8" w:space="0" w:color="auto"/>
              <w:right w:val="single" w:sz="8" w:space="0" w:color="auto"/>
            </w:tcBorders>
            <w:tcMar>
              <w:top w:w="0" w:type="dxa"/>
              <w:left w:w="108" w:type="dxa"/>
              <w:bottom w:w="0" w:type="dxa"/>
              <w:right w:w="108" w:type="dxa"/>
            </w:tcMar>
            <w:hideMark/>
          </w:tcPr>
          <w:p w:rsidR="00B32D69" w:rsidRDefault="00FB661A">
            <w:pPr>
              <w:spacing w:after="0" w:line="240" w:lineRule="auto"/>
              <w:jc w:val="center"/>
              <w:rPr>
                <w:rFonts w:ascii="Century Gothic" w:eastAsia="Calibri" w:hAnsi="Century Gothic" w:cs="Times New Roman"/>
                <w:noProof/>
                <w:sz w:val="20"/>
                <w:szCs w:val="20"/>
                <w:lang w:eastAsia="it-IT"/>
              </w:rPr>
            </w:pPr>
            <w:r>
              <w:rPr>
                <w:rFonts w:ascii="Times New Roman" w:eastAsia="Calibri" w:hAnsi="Times New Roman" w:cs="Times New Roman"/>
                <w:noProof/>
                <w:sz w:val="20"/>
                <w:szCs w:val="20"/>
                <w:lang w:eastAsia="it-IT"/>
              </w:rPr>
              <w:t>+4,099</w:t>
            </w:r>
          </w:p>
          <w:p w:rsidR="00B32D69" w:rsidRDefault="00FB661A">
            <w:pPr>
              <w:spacing w:after="0" w:line="288" w:lineRule="auto"/>
              <w:jc w:val="center"/>
              <w:rPr>
                <w:rFonts w:ascii="Century Gothic" w:eastAsia="Calibri" w:hAnsi="Century Gothic" w:cs="Times New Roman"/>
                <w:b/>
                <w:bCs/>
                <w:noProof/>
                <w:sz w:val="20"/>
                <w:szCs w:val="20"/>
                <w:lang w:eastAsia="it-IT"/>
              </w:rPr>
            </w:pPr>
            <w:r>
              <w:rPr>
                <w:rFonts w:ascii="Times New Roman" w:eastAsia="Calibri" w:hAnsi="Times New Roman" w:cs="Times New Roman"/>
                <w:b/>
                <w:bCs/>
                <w:noProof/>
                <w:sz w:val="20"/>
                <w:szCs w:val="20"/>
                <w:lang w:eastAsia="it-IT"/>
              </w:rPr>
              <w:t xml:space="preserve">An addition of 98% </w:t>
            </w:r>
            <w:r>
              <w:rPr>
                <w:rFonts w:ascii="Times New Roman" w:eastAsia="Calibri" w:hAnsi="Times New Roman" w:cs="Times New Roman"/>
                <w:b/>
                <w:bCs/>
                <w:noProof/>
                <w:sz w:val="20"/>
                <w:szCs w:val="20"/>
                <w:lang w:eastAsia="it-IT"/>
              </w:rPr>
              <w:t>compared with purely domestic proceedings</w:t>
            </w:r>
          </w:p>
        </w:tc>
      </w:tr>
      <w:tr w:rsidR="00B32D69">
        <w:tc>
          <w:tcPr>
            <w:tcW w:w="7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32D69" w:rsidRDefault="00B32D69">
            <w:pPr>
              <w:spacing w:after="0" w:line="288" w:lineRule="auto"/>
              <w:jc w:val="center"/>
              <w:rPr>
                <w:rFonts w:ascii="Century Gothic" w:eastAsia="Calibri" w:hAnsi="Century Gothic" w:cs="Times New Roman"/>
                <w:b/>
                <w:bCs/>
                <w:noProof/>
                <w:sz w:val="20"/>
                <w:szCs w:val="20"/>
                <w:lang w:eastAsia="it-IT"/>
              </w:rPr>
            </w:pPr>
          </w:p>
        </w:tc>
        <w:tc>
          <w:tcPr>
            <w:tcW w:w="1055" w:type="pct"/>
            <w:tcBorders>
              <w:top w:val="nil"/>
              <w:left w:val="nil"/>
              <w:bottom w:val="single" w:sz="8" w:space="0" w:color="auto"/>
              <w:right w:val="single" w:sz="8" w:space="0" w:color="auto"/>
            </w:tcBorders>
            <w:tcMar>
              <w:top w:w="0" w:type="dxa"/>
              <w:left w:w="108" w:type="dxa"/>
              <w:bottom w:w="0" w:type="dxa"/>
              <w:right w:w="108" w:type="dxa"/>
            </w:tcMar>
            <w:vAlign w:val="center"/>
          </w:tcPr>
          <w:p w:rsidR="00B32D69" w:rsidRDefault="00B32D69">
            <w:pPr>
              <w:spacing w:after="0" w:line="288" w:lineRule="auto"/>
              <w:jc w:val="center"/>
              <w:rPr>
                <w:rFonts w:ascii="Century Gothic" w:eastAsia="Calibri" w:hAnsi="Century Gothic" w:cs="Times New Roman"/>
                <w:noProof/>
                <w:sz w:val="20"/>
                <w:szCs w:val="20"/>
                <w:lang w:eastAsia="it-IT"/>
              </w:rPr>
            </w:pPr>
          </w:p>
        </w:tc>
        <w:tc>
          <w:tcPr>
            <w:tcW w:w="1054" w:type="pct"/>
            <w:tcBorders>
              <w:top w:val="nil"/>
              <w:left w:val="nil"/>
              <w:bottom w:val="single" w:sz="8" w:space="0" w:color="auto"/>
              <w:right w:val="single" w:sz="8" w:space="0" w:color="auto"/>
            </w:tcBorders>
            <w:tcMar>
              <w:top w:w="0" w:type="dxa"/>
              <w:left w:w="108" w:type="dxa"/>
              <w:bottom w:w="0" w:type="dxa"/>
              <w:right w:w="108" w:type="dxa"/>
            </w:tcMar>
            <w:vAlign w:val="center"/>
          </w:tcPr>
          <w:p w:rsidR="00B32D69" w:rsidRDefault="00B32D69">
            <w:pPr>
              <w:spacing w:after="0" w:line="288" w:lineRule="auto"/>
              <w:jc w:val="center"/>
              <w:rPr>
                <w:rFonts w:ascii="Century Gothic" w:eastAsia="Calibri" w:hAnsi="Century Gothic" w:cs="Times New Roman"/>
                <w:noProof/>
                <w:sz w:val="20"/>
                <w:szCs w:val="20"/>
                <w:lang w:eastAsia="it-IT"/>
              </w:rPr>
            </w:pPr>
          </w:p>
        </w:tc>
        <w:tc>
          <w:tcPr>
            <w:tcW w:w="2135" w:type="pct"/>
            <w:tcBorders>
              <w:top w:val="nil"/>
              <w:left w:val="nil"/>
              <w:bottom w:val="single" w:sz="8" w:space="0" w:color="auto"/>
              <w:right w:val="single" w:sz="8" w:space="0" w:color="auto"/>
            </w:tcBorders>
            <w:tcMar>
              <w:top w:w="0" w:type="dxa"/>
              <w:left w:w="108" w:type="dxa"/>
              <w:bottom w:w="0" w:type="dxa"/>
              <w:right w:w="108" w:type="dxa"/>
            </w:tcMar>
          </w:tcPr>
          <w:p w:rsidR="00B32D69" w:rsidRDefault="00B32D69">
            <w:pPr>
              <w:spacing w:after="0" w:line="288" w:lineRule="auto"/>
              <w:jc w:val="center"/>
              <w:rPr>
                <w:rFonts w:ascii="Century Gothic" w:eastAsia="Calibri" w:hAnsi="Century Gothic" w:cs="Times New Roman"/>
                <w:noProof/>
                <w:sz w:val="20"/>
                <w:szCs w:val="20"/>
                <w:lang w:eastAsia="it-IT"/>
              </w:rPr>
            </w:pPr>
          </w:p>
        </w:tc>
      </w:tr>
    </w:tbl>
    <w:p w:rsidR="00B32D69" w:rsidRDefault="00FB661A">
      <w:pPr>
        <w:spacing w:after="0"/>
        <w:rPr>
          <w:rFonts w:ascii="Times New Roman" w:eastAsia="Calibri" w:hAnsi="Times New Roman" w:cs="Times New Roman"/>
          <w:i/>
          <w:iCs/>
          <w:noProof/>
          <w:sz w:val="20"/>
          <w:szCs w:val="20"/>
          <w:lang w:eastAsia="it-IT"/>
        </w:rPr>
      </w:pPr>
      <w:r>
        <w:rPr>
          <w:rFonts w:ascii="Times New Roman" w:eastAsia="Calibri" w:hAnsi="Times New Roman" w:cs="Times New Roman"/>
          <w:i/>
          <w:iCs/>
          <w:noProof/>
          <w:sz w:val="20"/>
          <w:szCs w:val="20"/>
        </w:rPr>
        <w:t>Source: own calculations based on respondents’ answers</w:t>
      </w:r>
      <w:r>
        <w:rPr>
          <w:rStyle w:val="FootnoteReference"/>
          <w:rFonts w:ascii="Times New Roman" w:eastAsia="Calibri" w:hAnsi="Times New Roman"/>
          <w:i/>
          <w:iCs/>
          <w:noProof/>
          <w:sz w:val="20"/>
          <w:szCs w:val="20"/>
        </w:rPr>
        <w:footnoteReference w:id="129"/>
      </w:r>
    </w:p>
    <w:p w:rsidR="00B32D69" w:rsidRDefault="00B32D69">
      <w:pPr>
        <w:keepNext/>
        <w:spacing w:after="0" w:line="288" w:lineRule="auto"/>
        <w:jc w:val="center"/>
        <w:rPr>
          <w:rFonts w:ascii="Century Gothic" w:hAnsi="Century Gothic"/>
          <w:b/>
          <w:bCs/>
          <w:noProof/>
          <w:color w:val="FF0000"/>
          <w:sz w:val="20"/>
          <w:szCs w:val="20"/>
        </w:rPr>
      </w:pPr>
    </w:p>
    <w:p w:rsidR="00B32D69" w:rsidRDefault="00FB661A">
      <w:pPr>
        <w:rPr>
          <w:rFonts w:ascii="Times New Roman" w:eastAsia="Calibri" w:hAnsi="Times New Roman" w:cs="Times New Roman"/>
          <w:b/>
          <w:i/>
          <w:noProof/>
          <w:sz w:val="24"/>
          <w:szCs w:val="24"/>
        </w:rPr>
      </w:pPr>
      <w:bookmarkStart w:id="12" w:name="_Toc462660797"/>
      <w:r>
        <w:rPr>
          <w:rFonts w:ascii="Times New Roman" w:hAnsi="Times New Roman" w:cs="Times New Roman"/>
          <w:b/>
          <w:i/>
          <w:noProof/>
          <w:sz w:val="24"/>
          <w:szCs w:val="24"/>
        </w:rPr>
        <w:t xml:space="preserve">Table </w:t>
      </w:r>
      <w:bookmarkEnd w:id="12"/>
      <w:r>
        <w:rPr>
          <w:rFonts w:ascii="Times New Roman" w:hAnsi="Times New Roman" w:cs="Times New Roman"/>
          <w:b/>
          <w:i/>
          <w:noProof/>
          <w:sz w:val="24"/>
          <w:szCs w:val="24"/>
        </w:rPr>
        <w:t>15: Difference between domestic and cross-border insolvency proceedings costs - Large</w:t>
      </w:r>
      <w:r>
        <w:rPr>
          <w:rFonts w:ascii="Times New Roman" w:eastAsia="Calibri" w:hAnsi="Times New Roman" w:cs="Times New Roman"/>
          <w:b/>
          <w:i/>
          <w:noProof/>
          <w:sz w:val="24"/>
          <w:szCs w:val="24"/>
        </w:rPr>
        <w:t xml:space="preserve"> companies</w:t>
      </w:r>
    </w:p>
    <w:tbl>
      <w:tblPr>
        <w:tblW w:w="5000" w:type="pct"/>
        <w:tblCellMar>
          <w:left w:w="0" w:type="dxa"/>
          <w:right w:w="0" w:type="dxa"/>
        </w:tblCellMar>
        <w:tblLook w:val="04A0" w:firstRow="1" w:lastRow="0" w:firstColumn="1" w:lastColumn="0" w:noHBand="0" w:noVBand="1"/>
      </w:tblPr>
      <w:tblGrid>
        <w:gridCol w:w="1404"/>
        <w:gridCol w:w="1960"/>
        <w:gridCol w:w="1958"/>
        <w:gridCol w:w="3966"/>
      </w:tblGrid>
      <w:tr w:rsidR="00B32D69">
        <w:tc>
          <w:tcPr>
            <w:tcW w:w="756" w:type="pct"/>
            <w:tcBorders>
              <w:top w:val="nil"/>
              <w:left w:val="nil"/>
              <w:bottom w:val="nil"/>
              <w:right w:val="single" w:sz="8" w:space="0" w:color="auto"/>
            </w:tcBorders>
            <w:tcMar>
              <w:top w:w="0" w:type="dxa"/>
              <w:left w:w="108" w:type="dxa"/>
              <w:bottom w:w="0" w:type="dxa"/>
              <w:right w:w="108" w:type="dxa"/>
            </w:tcMar>
          </w:tcPr>
          <w:p w:rsidR="00B32D69" w:rsidRDefault="00B32D69">
            <w:pPr>
              <w:spacing w:after="0" w:line="288" w:lineRule="auto"/>
              <w:jc w:val="center"/>
              <w:rPr>
                <w:rFonts w:ascii="Century Gothic" w:eastAsia="Calibri" w:hAnsi="Century Gothic" w:cs="Times New Roman"/>
                <w:noProof/>
                <w:sz w:val="20"/>
                <w:szCs w:val="20"/>
                <w:lang w:eastAsia="it-IT"/>
              </w:rPr>
            </w:pPr>
          </w:p>
        </w:tc>
        <w:tc>
          <w:tcPr>
            <w:tcW w:w="105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Domestic proceedings</w:t>
            </w:r>
          </w:p>
        </w:tc>
        <w:tc>
          <w:tcPr>
            <w:tcW w:w="105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Cross-border proceedings</w:t>
            </w:r>
          </w:p>
        </w:tc>
        <w:tc>
          <w:tcPr>
            <w:tcW w:w="2135"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eastAsia="it-IT"/>
              </w:rPr>
            </w:pPr>
            <w:r>
              <w:rPr>
                <w:rFonts w:ascii="Times New Roman" w:eastAsia="Calibri" w:hAnsi="Times New Roman" w:cs="Times New Roman"/>
                <w:b/>
                <w:bCs/>
                <w:noProof/>
                <w:sz w:val="20"/>
                <w:szCs w:val="20"/>
                <w:lang w:eastAsia="it-IT"/>
              </w:rPr>
              <w:t>Difference (cross-border vs. domestic) (€/insolvency)</w:t>
            </w:r>
          </w:p>
        </w:tc>
      </w:tr>
      <w:tr w:rsidR="00B32D69">
        <w:tc>
          <w:tcPr>
            <w:tcW w:w="756" w:type="pct"/>
            <w:tcBorders>
              <w:top w:val="nil"/>
              <w:left w:val="nil"/>
              <w:bottom w:val="single" w:sz="8" w:space="0" w:color="auto"/>
              <w:right w:val="single" w:sz="8" w:space="0" w:color="auto"/>
            </w:tcBorders>
            <w:tcMar>
              <w:top w:w="0" w:type="dxa"/>
              <w:left w:w="108" w:type="dxa"/>
              <w:bottom w:w="0" w:type="dxa"/>
              <w:right w:w="108" w:type="dxa"/>
            </w:tcMar>
          </w:tcPr>
          <w:p w:rsidR="00B32D69" w:rsidRDefault="00B32D69">
            <w:pPr>
              <w:spacing w:after="0" w:line="288" w:lineRule="auto"/>
              <w:jc w:val="center"/>
              <w:rPr>
                <w:rFonts w:ascii="Century Gothic" w:eastAsia="Calibri" w:hAnsi="Century Gothic" w:cs="Times New Roman"/>
                <w:noProof/>
                <w:sz w:val="20"/>
                <w:szCs w:val="20"/>
                <w:lang w:eastAsia="it-IT"/>
              </w:rPr>
            </w:pPr>
          </w:p>
        </w:tc>
        <w:tc>
          <w:tcPr>
            <w:tcW w:w="1055" w:type="pct"/>
            <w:tcBorders>
              <w:top w:val="nil"/>
              <w:left w:val="nil"/>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Average proceeding costs (€/insolvency)</w:t>
            </w:r>
          </w:p>
        </w:tc>
        <w:tc>
          <w:tcPr>
            <w:tcW w:w="1054" w:type="pct"/>
            <w:tcBorders>
              <w:top w:val="nil"/>
              <w:left w:val="nil"/>
              <w:bottom w:val="single" w:sz="8" w:space="0" w:color="auto"/>
              <w:right w:val="single" w:sz="8" w:space="0" w:color="auto"/>
            </w:tcBorders>
            <w:tcMar>
              <w:top w:w="0" w:type="dxa"/>
              <w:left w:w="108" w:type="dxa"/>
              <w:bottom w:w="0" w:type="dxa"/>
              <w:right w:w="108" w:type="dxa"/>
            </w:tcMar>
            <w:hideMark/>
          </w:tcPr>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Average proceeding costs (€/insolvency)</w:t>
            </w:r>
          </w:p>
        </w:tc>
        <w:tc>
          <w:tcPr>
            <w:tcW w:w="0" w:type="auto"/>
            <w:vMerge/>
            <w:tcBorders>
              <w:top w:val="single" w:sz="8" w:space="0" w:color="auto"/>
              <w:left w:val="nil"/>
              <w:bottom w:val="single" w:sz="8" w:space="0" w:color="auto"/>
              <w:right w:val="single" w:sz="8" w:space="0" w:color="auto"/>
            </w:tcBorders>
            <w:vAlign w:val="center"/>
            <w:hideMark/>
          </w:tcPr>
          <w:p w:rsidR="00B32D69" w:rsidRDefault="00B32D69">
            <w:pPr>
              <w:spacing w:after="0" w:line="240" w:lineRule="auto"/>
              <w:rPr>
                <w:rFonts w:ascii="Century Gothic" w:eastAsia="Calibri" w:hAnsi="Century Gothic" w:cs="Times New Roman"/>
                <w:b/>
                <w:bCs/>
                <w:noProof/>
                <w:sz w:val="20"/>
                <w:szCs w:val="20"/>
                <w:lang w:eastAsia="it-IT"/>
              </w:rPr>
            </w:pPr>
          </w:p>
        </w:tc>
      </w:tr>
      <w:tr w:rsidR="00B32D69">
        <w:tc>
          <w:tcPr>
            <w:tcW w:w="75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b/>
                <w:bCs/>
                <w:noProof/>
                <w:sz w:val="20"/>
                <w:szCs w:val="20"/>
                <w:lang w:val="it-IT" w:eastAsia="it-IT"/>
              </w:rPr>
            </w:pPr>
            <w:r>
              <w:rPr>
                <w:rFonts w:ascii="Times New Roman" w:eastAsia="Calibri" w:hAnsi="Times New Roman" w:cs="Times New Roman"/>
                <w:b/>
                <w:bCs/>
                <w:noProof/>
                <w:sz w:val="20"/>
                <w:szCs w:val="20"/>
                <w:lang w:val="it-IT" w:eastAsia="it-IT"/>
              </w:rPr>
              <w:t>EU28</w:t>
            </w:r>
          </w:p>
        </w:tc>
        <w:tc>
          <w:tcPr>
            <w:tcW w:w="10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30,853</w:t>
            </w:r>
          </w:p>
        </w:tc>
        <w:tc>
          <w:tcPr>
            <w:tcW w:w="105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2D69" w:rsidRDefault="00FB661A">
            <w:pPr>
              <w:spacing w:after="0" w:line="288" w:lineRule="auto"/>
              <w:jc w:val="center"/>
              <w:rPr>
                <w:rFonts w:ascii="Century Gothic" w:eastAsia="Calibri" w:hAnsi="Century Gothic" w:cs="Times New Roman"/>
                <w:noProof/>
                <w:sz w:val="20"/>
                <w:szCs w:val="20"/>
                <w:lang w:val="it-IT" w:eastAsia="it-IT"/>
              </w:rPr>
            </w:pPr>
            <w:r>
              <w:rPr>
                <w:rFonts w:ascii="Times New Roman" w:eastAsia="Calibri" w:hAnsi="Times New Roman" w:cs="Times New Roman"/>
                <w:noProof/>
                <w:sz w:val="20"/>
                <w:szCs w:val="20"/>
                <w:lang w:val="it-IT" w:eastAsia="it-IT"/>
              </w:rPr>
              <w:t>44,923</w:t>
            </w:r>
          </w:p>
        </w:tc>
        <w:tc>
          <w:tcPr>
            <w:tcW w:w="2135" w:type="pct"/>
            <w:tcBorders>
              <w:top w:val="nil"/>
              <w:left w:val="nil"/>
              <w:bottom w:val="single" w:sz="8" w:space="0" w:color="auto"/>
              <w:right w:val="single" w:sz="8" w:space="0" w:color="auto"/>
            </w:tcBorders>
            <w:tcMar>
              <w:top w:w="0" w:type="dxa"/>
              <w:left w:w="108" w:type="dxa"/>
              <w:bottom w:w="0" w:type="dxa"/>
              <w:right w:w="108" w:type="dxa"/>
            </w:tcMar>
            <w:hideMark/>
          </w:tcPr>
          <w:p w:rsidR="00B32D69" w:rsidRDefault="00FB661A">
            <w:pPr>
              <w:spacing w:after="0" w:line="240" w:lineRule="auto"/>
              <w:jc w:val="center"/>
              <w:rPr>
                <w:rFonts w:ascii="Century Gothic" w:eastAsia="Calibri" w:hAnsi="Century Gothic" w:cs="Times New Roman"/>
                <w:noProof/>
                <w:sz w:val="20"/>
                <w:szCs w:val="20"/>
                <w:lang w:eastAsia="it-IT"/>
              </w:rPr>
            </w:pPr>
            <w:r>
              <w:rPr>
                <w:rFonts w:ascii="Times New Roman" w:eastAsia="Calibri" w:hAnsi="Times New Roman" w:cs="Times New Roman"/>
                <w:noProof/>
                <w:sz w:val="20"/>
                <w:szCs w:val="20"/>
                <w:lang w:eastAsia="it-IT"/>
              </w:rPr>
              <w:t xml:space="preserve">+14,070 </w:t>
            </w:r>
          </w:p>
          <w:p w:rsidR="00B32D69" w:rsidRDefault="00FB661A">
            <w:pPr>
              <w:spacing w:after="0" w:line="288" w:lineRule="auto"/>
              <w:jc w:val="center"/>
              <w:rPr>
                <w:rFonts w:ascii="Century Gothic" w:eastAsia="Calibri" w:hAnsi="Century Gothic" w:cs="Times New Roman"/>
                <w:b/>
                <w:bCs/>
                <w:noProof/>
                <w:sz w:val="20"/>
                <w:szCs w:val="20"/>
                <w:lang w:eastAsia="it-IT"/>
              </w:rPr>
            </w:pPr>
            <w:r>
              <w:rPr>
                <w:rFonts w:ascii="Times New Roman" w:eastAsia="Calibri" w:hAnsi="Times New Roman" w:cs="Times New Roman"/>
                <w:b/>
                <w:bCs/>
                <w:noProof/>
                <w:sz w:val="20"/>
                <w:szCs w:val="20"/>
                <w:lang w:eastAsia="it-IT"/>
              </w:rPr>
              <w:t>An addition of 45% compared with domestic proceedings</w:t>
            </w:r>
          </w:p>
        </w:tc>
      </w:tr>
    </w:tbl>
    <w:p w:rsidR="00B32D69" w:rsidRDefault="00FB661A">
      <w:pPr>
        <w:spacing w:after="0"/>
        <w:rPr>
          <w:rFonts w:ascii="Times New Roman" w:eastAsia="Calibri" w:hAnsi="Times New Roman" w:cs="Times New Roman"/>
          <w:i/>
          <w:iCs/>
          <w:noProof/>
          <w:sz w:val="20"/>
          <w:szCs w:val="20"/>
        </w:rPr>
      </w:pPr>
      <w:r>
        <w:rPr>
          <w:rFonts w:ascii="Times New Roman" w:eastAsia="Calibri" w:hAnsi="Times New Roman" w:cs="Times New Roman"/>
          <w:i/>
          <w:iCs/>
          <w:noProof/>
          <w:sz w:val="20"/>
          <w:szCs w:val="20"/>
        </w:rPr>
        <w:t xml:space="preserve">Source: </w:t>
      </w:r>
      <w:r>
        <w:rPr>
          <w:rFonts w:ascii="Times New Roman" w:hAnsi="Times New Roman" w:cs="Times New Roman"/>
          <w:i/>
          <w:noProof/>
          <w:sz w:val="20"/>
          <w:szCs w:val="20"/>
        </w:rPr>
        <w:t xml:space="preserve">Calculations of VVA/ JIIP/ </w:t>
      </w:r>
      <w:r>
        <w:rPr>
          <w:rFonts w:ascii="Times New Roman" w:hAnsi="Times New Roman" w:cs="Times New Roman"/>
          <w:i/>
          <w:noProof/>
          <w:sz w:val="20"/>
          <w:szCs w:val="20"/>
        </w:rPr>
        <w:t xml:space="preserve"> DTI/ Grimaldi consortium based on respondents’ answers</w:t>
      </w:r>
      <w:r>
        <w:rPr>
          <w:rStyle w:val="FootnoteReference"/>
          <w:rFonts w:ascii="Times New Roman" w:hAnsi="Times New Roman"/>
          <w:i/>
          <w:noProof/>
          <w:sz w:val="20"/>
          <w:szCs w:val="20"/>
        </w:rPr>
        <w:footnoteReference w:id="130"/>
      </w:r>
    </w:p>
    <w:p w:rsidR="00B32D69" w:rsidRDefault="00FB661A">
      <w:pPr>
        <w:spacing w:before="240" w:after="24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rPr>
        <w:t>If viable companies become insolvent, rather than restructured at an early stage, t</w:t>
      </w:r>
      <w:r>
        <w:rPr>
          <w:rFonts w:ascii="Times New Roman" w:hAnsi="Times New Roman" w:cs="Times New Roman"/>
          <w:noProof/>
          <w:sz w:val="24"/>
          <w:szCs w:val="24"/>
          <w:lang w:eastAsia="en-GB"/>
        </w:rPr>
        <w:t xml:space="preserve">his has consequences for the whole chain of trading partners of these companies (knock-on effect). In the performed </w:t>
      </w:r>
      <w:r>
        <w:rPr>
          <w:rFonts w:ascii="Times New Roman" w:hAnsi="Times New Roman" w:cs="Times New Roman"/>
          <w:noProof/>
          <w:sz w:val="24"/>
          <w:szCs w:val="24"/>
          <w:lang w:eastAsia="en-GB"/>
        </w:rPr>
        <w:t>consultation, organisations of small business stressed that in some cases, since, start-ups have a smaller client - base as well as a smaller financial buffer than “older” companies, the insolvency of a client might have a larger impact on start-ups. One i</w:t>
      </w:r>
      <w:r>
        <w:rPr>
          <w:rFonts w:ascii="Times New Roman" w:hAnsi="Times New Roman" w:cs="Times New Roman"/>
          <w:noProof/>
          <w:sz w:val="24"/>
          <w:szCs w:val="24"/>
          <w:lang w:eastAsia="en-GB"/>
        </w:rPr>
        <w:t xml:space="preserve">n six corporate insolvencies are the result of knock on effects from other insolvencies. Moreover, the 2016 </w:t>
      </w:r>
      <w:r>
        <w:rPr>
          <w:rFonts w:ascii="Times New Roman" w:hAnsi="Times New Roman" w:cs="Times New Roman"/>
          <w:noProof/>
          <w:sz w:val="24"/>
          <w:szCs w:val="24"/>
        </w:rPr>
        <w:t>Eurobarometer on insolvency showed that 17% of companies (SMEs) have foreign debtors. For those who have foreign debtors for many (50%) foreign debt</w:t>
      </w:r>
      <w:r>
        <w:rPr>
          <w:rFonts w:ascii="Times New Roman" w:hAnsi="Times New Roman" w:cs="Times New Roman"/>
          <w:noProof/>
          <w:sz w:val="24"/>
          <w:szCs w:val="24"/>
        </w:rPr>
        <w:t xml:space="preserve"> constitutes more than 6% of turnover. It is higher for bigger and also for newer companies. It is true that companies less frequently enforce foreign claims, but it may be the effect of giving up certain foreign claims since they are more difficult and mo</w:t>
      </w:r>
      <w:r>
        <w:rPr>
          <w:rFonts w:ascii="Times New Roman" w:hAnsi="Times New Roman" w:cs="Times New Roman"/>
          <w:noProof/>
          <w:sz w:val="24"/>
          <w:szCs w:val="24"/>
        </w:rPr>
        <w:t>re costly to enforce</w:t>
      </w:r>
      <w:r>
        <w:rPr>
          <w:rStyle w:val="FootnoteReference"/>
          <w:rFonts w:ascii="Times New Roman" w:hAnsi="Times New Roman"/>
          <w:noProof/>
          <w:sz w:val="24"/>
          <w:szCs w:val="24"/>
        </w:rPr>
        <w:footnoteReference w:id="131"/>
      </w:r>
      <w:r>
        <w:rPr>
          <w:rFonts w:ascii="Times New Roman" w:hAnsi="Times New Roman" w:cs="Times New Roman"/>
          <w:noProof/>
          <w:sz w:val="24"/>
          <w:szCs w:val="24"/>
        </w:rPr>
        <w:t>.</w:t>
      </w:r>
      <w:r>
        <w:rPr>
          <w:noProof/>
        </w:rPr>
        <w:t xml:space="preserve"> </w:t>
      </w:r>
      <w:r>
        <w:rPr>
          <w:rFonts w:ascii="Times New Roman" w:hAnsi="Times New Roman" w:cs="Times New Roman"/>
          <w:noProof/>
          <w:sz w:val="24"/>
          <w:szCs w:val="24"/>
          <w:lang w:eastAsia="en-GB"/>
        </w:rPr>
        <w:t xml:space="preserve"> </w:t>
      </w:r>
    </w:p>
    <w:p w:rsidR="00B32D69" w:rsidRDefault="00FB661A">
      <w:pPr>
        <w:spacing w:before="240" w:after="240"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Government intervention is necessary to mitigate this network externality from business failures and reduce the impacts on employment and productivity. European companies have large networks of cooperation: on average, export const</w:t>
      </w:r>
      <w:r>
        <w:rPr>
          <w:rFonts w:ascii="Times New Roman" w:hAnsi="Times New Roman" w:cs="Times New Roman"/>
          <w:noProof/>
          <w:sz w:val="24"/>
          <w:szCs w:val="24"/>
          <w:lang w:eastAsia="en-GB"/>
        </w:rPr>
        <w:t>itutes 17,6% of supply provided by those companies. Thus there is a substantial risk that insolvency of a client will impact its supplier. Large companies, although only representing 0.2% of European companies, provide 30% of jobs in the EU and produce 41%</w:t>
      </w:r>
      <w:r>
        <w:rPr>
          <w:rFonts w:ascii="Times New Roman" w:hAnsi="Times New Roman" w:cs="Times New Roman"/>
          <w:noProof/>
          <w:sz w:val="24"/>
          <w:szCs w:val="24"/>
          <w:lang w:eastAsia="en-GB"/>
        </w:rPr>
        <w:t xml:space="preserve"> of gross added value. According to the April 2011 report of the Reflection Group on the Future of EU Company Law, the international group of companies has become </w:t>
      </w:r>
      <w:r>
        <w:rPr>
          <w:rFonts w:ascii="Times New Roman" w:hAnsi="Times New Roman" w:cs="Times New Roman"/>
          <w:i/>
          <w:iCs/>
          <w:noProof/>
          <w:sz w:val="24"/>
          <w:szCs w:val="24"/>
          <w:lang w:eastAsia="en-GB"/>
        </w:rPr>
        <w:t xml:space="preserve">the </w:t>
      </w:r>
      <w:r>
        <w:rPr>
          <w:rFonts w:ascii="Times New Roman" w:hAnsi="Times New Roman" w:cs="Times New Roman"/>
          <w:noProof/>
          <w:sz w:val="24"/>
          <w:szCs w:val="24"/>
          <w:lang w:eastAsia="en-GB"/>
        </w:rPr>
        <w:t>prevailing form of European large-sized enterprises, in which business activity is typica</w:t>
      </w:r>
      <w:r>
        <w:rPr>
          <w:rFonts w:ascii="Times New Roman" w:hAnsi="Times New Roman" w:cs="Times New Roman"/>
          <w:noProof/>
          <w:sz w:val="24"/>
          <w:szCs w:val="24"/>
          <w:lang w:eastAsia="en-GB"/>
        </w:rPr>
        <w:t>lly organised and conducted through a multinational network of subsidiaries. About 20% of large enterprises (ca. 8,500) have foreign subsidiaries or joint ventures</w:t>
      </w:r>
      <w:r>
        <w:rPr>
          <w:rFonts w:ascii="Times New Roman" w:hAnsi="Times New Roman" w:cs="Times New Roman"/>
          <w:noProof/>
          <w:sz w:val="24"/>
          <w:szCs w:val="24"/>
          <w:vertAlign w:val="superscript"/>
          <w:lang w:eastAsia="en-GB"/>
        </w:rPr>
        <w:footnoteReference w:id="132"/>
      </w:r>
      <w:r>
        <w:rPr>
          <w:rFonts w:ascii="Times New Roman" w:hAnsi="Times New Roman" w:cs="Times New Roman"/>
          <w:noProof/>
          <w:sz w:val="24"/>
          <w:szCs w:val="24"/>
          <w:lang w:eastAsia="en-GB"/>
        </w:rPr>
        <w:t>. There are also more than one million SMEs in Europe which have subsidiaries or joint ventu</w:t>
      </w:r>
      <w:r>
        <w:rPr>
          <w:rFonts w:ascii="Times New Roman" w:hAnsi="Times New Roman" w:cs="Times New Roman"/>
          <w:noProof/>
          <w:sz w:val="24"/>
          <w:szCs w:val="24"/>
          <w:lang w:eastAsia="en-GB"/>
        </w:rPr>
        <w:t>res abroad</w:t>
      </w:r>
      <w:r>
        <w:rPr>
          <w:rFonts w:ascii="Times New Roman" w:hAnsi="Times New Roman" w:cs="Times New Roman"/>
          <w:noProof/>
          <w:sz w:val="24"/>
          <w:szCs w:val="24"/>
          <w:vertAlign w:val="superscript"/>
          <w:lang w:eastAsia="en-GB"/>
        </w:rPr>
        <w:footnoteReference w:id="133"/>
      </w:r>
      <w:r>
        <w:rPr>
          <w:rFonts w:ascii="Times New Roman" w:hAnsi="Times New Roman" w:cs="Times New Roman"/>
          <w:noProof/>
          <w:sz w:val="24"/>
          <w:szCs w:val="24"/>
          <w:lang w:eastAsia="en-GB"/>
        </w:rPr>
        <w:t>.</w:t>
      </w:r>
    </w:p>
    <w:p w:rsidR="00B32D69" w:rsidRDefault="00FB661A">
      <w:pPr>
        <w:spacing w:before="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Problem 3:</w:t>
      </w:r>
      <w:r>
        <w:rPr>
          <w:rFonts w:ascii="Times New Roman" w:hAnsi="Times New Roman" w:cs="Times New Roman"/>
          <w:b/>
          <w:noProof/>
          <w:sz w:val="24"/>
          <w:szCs w:val="24"/>
        </w:rPr>
        <w:tab/>
        <w:t>Lost opportunities and additional costs for natural persons (entrepreneurs and consumers) related to inefficiencies in insolvency frameworks as regards a fresh start</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Failure and over-indebtedness are situations that affect natural </w:t>
      </w:r>
      <w:r>
        <w:rPr>
          <w:rFonts w:ascii="Times New Roman" w:hAnsi="Times New Roman" w:cs="Times New Roman"/>
          <w:noProof/>
          <w:sz w:val="24"/>
          <w:szCs w:val="24"/>
        </w:rPr>
        <w:t>persons, whether entrepreneurs or consumers. Business failure is an unavoidable risk inherent to any enterprises, especially young ones. In Europe, every year, more than 200,000 companies go bankrupt</w:t>
      </w:r>
      <w:r>
        <w:rPr>
          <w:rFonts w:ascii="Times New Roman" w:hAnsi="Times New Roman" w:cs="Times New Roman"/>
          <w:noProof/>
          <w:vertAlign w:val="superscript"/>
        </w:rPr>
        <w:footnoteReference w:id="134"/>
      </w:r>
      <w:r>
        <w:rPr>
          <w:rFonts w:ascii="Times New Roman" w:hAnsi="Times New Roman" w:cs="Times New Roman"/>
          <w:noProof/>
          <w:sz w:val="24"/>
          <w:szCs w:val="24"/>
        </w:rPr>
        <w:t>. Since the financial crisis, due to lowering incomes an</w:t>
      </w:r>
      <w:r>
        <w:rPr>
          <w:rFonts w:ascii="Times New Roman" w:hAnsi="Times New Roman" w:cs="Times New Roman"/>
          <w:noProof/>
          <w:sz w:val="24"/>
          <w:szCs w:val="24"/>
        </w:rPr>
        <w:t>d increasing unemployment, over-indebtedness has impacted more than 10% of European citizens (recent data show that 11.4% of consumers are permanently in arrears</w:t>
      </w:r>
      <w:r>
        <w:rPr>
          <w:rFonts w:ascii="Times New Roman" w:hAnsi="Times New Roman" w:cs="Times New Roman"/>
          <w:noProof/>
          <w:sz w:val="24"/>
          <w:szCs w:val="24"/>
          <w:vertAlign w:val="superscript"/>
        </w:rPr>
        <w:footnoteReference w:id="135"/>
      </w:r>
      <w:r>
        <w:rPr>
          <w:rFonts w:ascii="Times New Roman" w:hAnsi="Times New Roman" w:cs="Times New Roman"/>
          <w:noProof/>
          <w:sz w:val="24"/>
          <w:szCs w:val="24"/>
        </w:rPr>
        <w:t xml:space="preserve">). </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Different discharge regimes may lead natural persons to relocate to more debtor-friendly j</w:t>
      </w:r>
      <w:r>
        <w:rPr>
          <w:rFonts w:ascii="Times New Roman" w:hAnsi="Times New Roman" w:cs="Times New Roman"/>
          <w:noProof/>
          <w:sz w:val="24"/>
          <w:szCs w:val="24"/>
        </w:rPr>
        <w:t>urisdictions. This involves costs for the debtor who needs to seek information, legal advice and relocate their centre of main interest</w:t>
      </w:r>
      <w:r>
        <w:rPr>
          <w:rFonts w:ascii="Times New Roman" w:hAnsi="Times New Roman" w:cs="Times New Roman"/>
          <w:noProof/>
          <w:sz w:val="24"/>
          <w:szCs w:val="24"/>
          <w:vertAlign w:val="superscript"/>
        </w:rPr>
        <w:footnoteReference w:id="136"/>
      </w:r>
      <w:r>
        <w:rPr>
          <w:rFonts w:ascii="Times New Roman" w:hAnsi="Times New Roman" w:cs="Times New Roman"/>
          <w:noProof/>
          <w:sz w:val="24"/>
          <w:szCs w:val="24"/>
        </w:rPr>
        <w:t>. Likewise, creditors would also bear costs following the relocation as they would have to adjust to the change of their</w:t>
      </w:r>
      <w:r>
        <w:rPr>
          <w:rFonts w:ascii="Times New Roman" w:hAnsi="Times New Roman" w:cs="Times New Roman"/>
          <w:noProof/>
          <w:sz w:val="24"/>
          <w:szCs w:val="24"/>
        </w:rPr>
        <w:t xml:space="preserve"> debtors or even have to give up the recovery of these debts. For smaller value loans, which are typically granted to natural persons, the cost of recovery may discourage the enforcement of claims or lead to very low recovery. This would impact in particul</w:t>
      </w:r>
      <w:r>
        <w:rPr>
          <w:rFonts w:ascii="Times New Roman" w:hAnsi="Times New Roman" w:cs="Times New Roman"/>
          <w:noProof/>
          <w:sz w:val="24"/>
          <w:szCs w:val="24"/>
        </w:rPr>
        <w:t>ar creditors that have many debtors with smaller value loans.</w:t>
      </w: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Additional costs for natural persons may stem from the stigma of insolvency and the related "reputational damage" of insolvency. Entrepreneurs are likely to find it more difficult, hence more co</w:t>
      </w:r>
      <w:r>
        <w:rPr>
          <w:rFonts w:ascii="Times New Roman" w:hAnsi="Times New Roman" w:cs="Times New Roman"/>
          <w:noProof/>
          <w:sz w:val="24"/>
          <w:szCs w:val="24"/>
        </w:rPr>
        <w:t>stly to find new trading partners for their new business or simply to continue the existing (restructured) business. For a natural person, finding a new job, for instance, after winding up a business, or new apartment to rent will also tend to be more diff</w:t>
      </w:r>
      <w:r>
        <w:rPr>
          <w:rFonts w:ascii="Times New Roman" w:hAnsi="Times New Roman" w:cs="Times New Roman"/>
          <w:noProof/>
          <w:sz w:val="24"/>
          <w:szCs w:val="24"/>
        </w:rPr>
        <w:t>icult and the whole transaction more costly.</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Personal and business debts of individual entrepreneurs are often intertwined: entrepreneurs take personal loans to start and run their business, for example because they guarantee their business loan by persona</w:t>
      </w:r>
      <w:r>
        <w:rPr>
          <w:rFonts w:ascii="Times New Roman" w:hAnsi="Times New Roman" w:cs="Times New Roman"/>
          <w:noProof/>
          <w:sz w:val="24"/>
          <w:szCs w:val="24"/>
        </w:rPr>
        <w:t>l assets, such as car or a family; or natural persons use consumer credit to buy assets which they use also for professional activities. Since any debt, including the one contracted by the natural person, whether entrepreneur or consumer, can become unpaid</w:t>
      </w:r>
      <w:r>
        <w:rPr>
          <w:rFonts w:ascii="Times New Roman" w:hAnsi="Times New Roman" w:cs="Times New Roman"/>
          <w:noProof/>
          <w:sz w:val="24"/>
          <w:szCs w:val="24"/>
        </w:rPr>
        <w:t>, almost all Member States have systems that allow for discharge of natural persons from debts which they can no longer service. The chart gives a broad view of how entrepreneurs are treated in insolvency proceedings in EU Member States.</w:t>
      </w:r>
    </w:p>
    <w:p w:rsidR="00B32D69" w:rsidRDefault="00FB661A">
      <w:pPr>
        <w:spacing w:after="240" w:line="240" w:lineRule="auto"/>
        <w:jc w:val="both"/>
        <w:rPr>
          <w:rFonts w:ascii="Times New Roman" w:hAnsi="Times New Roman" w:cs="Times New Roman"/>
          <w:b/>
          <w:i/>
          <w:noProof/>
          <w:sz w:val="24"/>
          <w:szCs w:val="24"/>
        </w:rPr>
      </w:pPr>
      <w:r>
        <w:rPr>
          <w:rFonts w:ascii="Times New Roman" w:hAnsi="Times New Roman" w:cs="Times New Roman"/>
          <w:b/>
          <w:i/>
          <w:noProof/>
          <w:sz w:val="24"/>
          <w:szCs w:val="24"/>
        </w:rPr>
        <w:t>Chart 5: Treatment</w:t>
      </w:r>
      <w:r>
        <w:rPr>
          <w:rFonts w:ascii="Times New Roman" w:hAnsi="Times New Roman" w:cs="Times New Roman"/>
          <w:b/>
          <w:i/>
          <w:noProof/>
          <w:sz w:val="24"/>
          <w:szCs w:val="24"/>
        </w:rPr>
        <w:t xml:space="preserve"> of entrepreneurs in insolvency proceedings in the 28 EU Member States</w:t>
      </w:r>
    </w:p>
    <w:p w:rsidR="00B32D69" w:rsidRDefault="00FB661A">
      <w:pPr>
        <w:spacing w:after="240" w:line="240" w:lineRule="auto"/>
        <w:jc w:val="cente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2515396" cy="313508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6636" cy="3136630"/>
                    </a:xfrm>
                    <a:prstGeom prst="rect">
                      <a:avLst/>
                    </a:prstGeom>
                    <a:noFill/>
                  </pic:spPr>
                </pic:pic>
              </a:graphicData>
            </a:graphic>
          </wp:inline>
        </w:drawing>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several MS there is one single regime for discharging personal debt whether the debtor is a consumer or whether he is an entrepreneur (e.g. Finland, UK). These regimes are more </w:t>
      </w:r>
      <w:r>
        <w:rPr>
          <w:rFonts w:ascii="Times New Roman" w:hAnsi="Times New Roman" w:cs="Times New Roman"/>
          <w:noProof/>
          <w:sz w:val="24"/>
          <w:szCs w:val="24"/>
        </w:rPr>
        <w:t>efficient in affording second chance since all personal debts are consolidated into one procedure. In other MS, there are different regimes for entrepreneurs and consumers (e.g. France, Romania).</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Debt discharge frameworks in Member States still substantial</w:t>
      </w:r>
      <w:r>
        <w:rPr>
          <w:rFonts w:ascii="Times New Roman" w:hAnsi="Times New Roman" w:cs="Times New Roman"/>
          <w:noProof/>
          <w:sz w:val="24"/>
          <w:szCs w:val="24"/>
        </w:rPr>
        <w:t>ly, in particular in terms of the conditions of access, repayment schedules and periods (one to eight years in depending on the legal regulations in individual Member States</w:t>
      </w:r>
      <w:r>
        <w:rPr>
          <w:rFonts w:ascii="Times New Roman" w:hAnsi="Times New Roman" w:cs="Times New Roman"/>
          <w:noProof/>
          <w:sz w:val="24"/>
          <w:szCs w:val="24"/>
          <w:vertAlign w:val="superscript"/>
        </w:rPr>
        <w:footnoteReference w:id="137"/>
      </w:r>
      <w:r>
        <w:rPr>
          <w:rFonts w:ascii="Times New Roman" w:hAnsi="Times New Roman" w:cs="Times New Roman"/>
          <w:noProof/>
          <w:sz w:val="24"/>
          <w:szCs w:val="24"/>
        </w:rPr>
        <w:t xml:space="preserve">), restrictions on performing certain activities and asset disposals etc. </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lost </w:t>
      </w:r>
      <w:r>
        <w:rPr>
          <w:rFonts w:ascii="Times New Roman" w:hAnsi="Times New Roman" w:cs="Times New Roman"/>
          <w:noProof/>
          <w:sz w:val="24"/>
          <w:szCs w:val="24"/>
        </w:rPr>
        <w:t>benefit consists in a reduced economic activity of individuals resulting from a limited access to new credit for natural persons stigmatised by insolvency. While in some cases refusing a credit is justified, possibly even in the interest of the borrower (e</w:t>
      </w:r>
      <w:r>
        <w:rPr>
          <w:rFonts w:ascii="Times New Roman" w:hAnsi="Times New Roman" w:cs="Times New Roman"/>
          <w:noProof/>
          <w:sz w:val="24"/>
          <w:szCs w:val="24"/>
        </w:rPr>
        <w:t>.g. for persons unable to manage their budget) this should not be applied systematically to all persons who have had payment difficulties. A further lost benefit of excessively long discharge periods for natural persons resides in the continuing poverty an</w:t>
      </w:r>
      <w:r>
        <w:rPr>
          <w:rFonts w:ascii="Times New Roman" w:hAnsi="Times New Roman" w:cs="Times New Roman"/>
          <w:noProof/>
          <w:sz w:val="24"/>
          <w:szCs w:val="24"/>
        </w:rPr>
        <w:t>d financial exclusion of bankrupt individuals. Poverty has negative impacts on public spending, and the state of health and security in a country</w:t>
      </w:r>
      <w:r>
        <w:rPr>
          <w:rFonts w:ascii="Times New Roman" w:hAnsi="Times New Roman" w:cs="Times New Roman"/>
          <w:noProof/>
          <w:vertAlign w:val="superscript"/>
        </w:rPr>
        <w:footnoteReference w:id="138"/>
      </w:r>
      <w:r>
        <w:rPr>
          <w:rFonts w:ascii="Times New Roman" w:hAnsi="Times New Roman" w:cs="Times New Roman"/>
          <w:noProof/>
          <w:sz w:val="24"/>
          <w:szCs w:val="24"/>
        </w:rPr>
        <w:t>. As to financial exclusion</w:t>
      </w:r>
      <w:r>
        <w:rPr>
          <w:rFonts w:ascii="Times New Roman" w:hAnsi="Times New Roman" w:cs="Times New Roman"/>
          <w:noProof/>
          <w:sz w:val="24"/>
          <w:szCs w:val="24"/>
          <w:vertAlign w:val="superscript"/>
        </w:rPr>
        <w:footnoteReference w:id="139"/>
      </w:r>
      <w:r>
        <w:rPr>
          <w:rFonts w:ascii="Times New Roman" w:hAnsi="Times New Roman" w:cs="Times New Roman"/>
          <w:noProof/>
          <w:sz w:val="24"/>
          <w:szCs w:val="24"/>
        </w:rPr>
        <w:t>, it is also detrimental to the providers of financial services who lose a part of</w:t>
      </w:r>
      <w:r>
        <w:rPr>
          <w:rFonts w:ascii="Times New Roman" w:hAnsi="Times New Roman" w:cs="Times New Roman"/>
          <w:noProof/>
          <w:sz w:val="24"/>
          <w:szCs w:val="24"/>
        </w:rPr>
        <w:t xml:space="preserve"> their potential customers.</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lack of harmonised rules on consumer insolvency impacts negatively on cross-border selling of retail financial services</w:t>
      </w:r>
      <w:r>
        <w:rPr>
          <w:rFonts w:ascii="Times New Roman" w:hAnsi="Times New Roman" w:cs="Times New Roman"/>
          <w:noProof/>
          <w:sz w:val="24"/>
          <w:szCs w:val="24"/>
          <w:vertAlign w:val="superscript"/>
        </w:rPr>
        <w:footnoteReference w:id="140"/>
      </w:r>
      <w:r>
        <w:rPr>
          <w:rFonts w:ascii="Times New Roman" w:hAnsi="Times New Roman" w:cs="Times New Roman"/>
          <w:noProof/>
          <w:sz w:val="24"/>
          <w:szCs w:val="24"/>
        </w:rPr>
        <w:t>. Legal uncertainty for creditors in the case of default of a natural person was identified as a barrier</w:t>
      </w:r>
      <w:r>
        <w:rPr>
          <w:rFonts w:ascii="Times New Roman" w:hAnsi="Times New Roman" w:cs="Times New Roman"/>
          <w:noProof/>
          <w:sz w:val="24"/>
          <w:szCs w:val="24"/>
        </w:rPr>
        <w:t xml:space="preserve"> to cross-border lending, by several reports such as the report of 2009 on the functioning of the Directive on Distance Marketing of Financial Services</w:t>
      </w:r>
      <w:r>
        <w:rPr>
          <w:rFonts w:ascii="Times New Roman" w:hAnsi="Times New Roman" w:cs="Times New Roman"/>
          <w:noProof/>
          <w:sz w:val="24"/>
          <w:szCs w:val="24"/>
          <w:vertAlign w:val="superscript"/>
        </w:rPr>
        <w:footnoteReference w:id="141"/>
      </w:r>
      <w:r>
        <w:rPr>
          <w:rFonts w:ascii="Times New Roman" w:hAnsi="Times New Roman" w:cs="Times New Roman"/>
          <w:noProof/>
          <w:sz w:val="24"/>
          <w:szCs w:val="24"/>
        </w:rPr>
        <w:t xml:space="preserve"> and the study on the consumer credit market in Europe</w:t>
      </w:r>
      <w:r>
        <w:rPr>
          <w:rFonts w:ascii="Times New Roman" w:hAnsi="Times New Roman" w:cs="Times New Roman"/>
          <w:noProof/>
          <w:sz w:val="24"/>
          <w:szCs w:val="24"/>
          <w:vertAlign w:val="superscript"/>
        </w:rPr>
        <w:footnoteReference w:id="142"/>
      </w:r>
      <w:r>
        <w:rPr>
          <w:rFonts w:ascii="Times New Roman" w:hAnsi="Times New Roman" w:cs="Times New Roman"/>
          <w:noProof/>
          <w:sz w:val="24"/>
          <w:szCs w:val="24"/>
        </w:rPr>
        <w:t>. Cross-border lending to households, which is no</w:t>
      </w:r>
      <w:r>
        <w:rPr>
          <w:rFonts w:ascii="Times New Roman" w:hAnsi="Times New Roman" w:cs="Times New Roman"/>
          <w:noProof/>
          <w:sz w:val="24"/>
          <w:szCs w:val="24"/>
        </w:rPr>
        <w:t>w at the level of approximatively 5% of the total of household lending, could be substantially increased. At the same time, the overall costs of credit could decrease if natural persons had an easier access to loans offered in other Member States</w:t>
      </w:r>
      <w:r>
        <w:rPr>
          <w:rFonts w:ascii="Times New Roman" w:hAnsi="Times New Roman" w:cs="Times New Roman"/>
          <w:noProof/>
          <w:sz w:val="24"/>
          <w:szCs w:val="24"/>
          <w:vertAlign w:val="superscript"/>
        </w:rPr>
        <w:footnoteReference w:id="143"/>
      </w:r>
      <w:r>
        <w:rPr>
          <w:rFonts w:ascii="Times New Roman" w:hAnsi="Times New Roman" w:cs="Times New Roman"/>
          <w:noProof/>
          <w:sz w:val="24"/>
          <w:szCs w:val="24"/>
        </w:rPr>
        <w:t>.</w:t>
      </w:r>
    </w:p>
    <w:p w:rsidR="00B32D69" w:rsidRDefault="00FB661A">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Rec</w:t>
      </w:r>
      <w:r>
        <w:rPr>
          <w:rFonts w:ascii="Times New Roman" w:hAnsi="Times New Roman" w:cs="Times New Roman"/>
          <w:noProof/>
          <w:sz w:val="24"/>
          <w:szCs w:val="24"/>
        </w:rPr>
        <w:t>ommendation invited Member States to implement the discharge principles developed for entrepreneurs also to consumers. Many Member States have in recent years adopted or reformed (ES, RO, HU, HR, LU, CY, SI) national laws on consumer insolvency recognising</w:t>
      </w:r>
      <w:r>
        <w:rPr>
          <w:rFonts w:ascii="Times New Roman" w:hAnsi="Times New Roman" w:cs="Times New Roman"/>
          <w:noProof/>
          <w:sz w:val="24"/>
          <w:szCs w:val="24"/>
        </w:rPr>
        <w:t xml:space="preserve"> the importance of enabling consumers' discharge of their debts and obtain a second chance. The discharge periods for over-indebted consumers remain very long in AT, BE, CZ, EE, EL, ES, LT, PT, SI, SE, RO (5 years or more). In addition, in DE, SK, HU and C</w:t>
      </w:r>
      <w:r>
        <w:rPr>
          <w:rFonts w:ascii="Times New Roman" w:hAnsi="Times New Roman" w:cs="Times New Roman"/>
          <w:noProof/>
          <w:sz w:val="24"/>
          <w:szCs w:val="24"/>
        </w:rPr>
        <w:t>Y discharge after 3 years is conditional upon repayment of a certain percentage of the debt (e.g. 35% in DE, 50% in HU).</w:t>
      </w:r>
    </w:p>
    <w:p w:rsidR="00B32D69" w:rsidRDefault="00FB661A">
      <w:pPr>
        <w:keepNext/>
        <w:keepLines/>
        <w:spacing w:before="200" w:after="240" w:line="240" w:lineRule="auto"/>
        <w:outlineLvl w:val="1"/>
        <w:rPr>
          <w:rFonts w:ascii="Times New Roman" w:eastAsiaTheme="majorEastAsia" w:hAnsi="Times New Roman" w:cs="Times New Roman"/>
          <w:b/>
          <w:bCs/>
          <w:noProof/>
          <w:sz w:val="24"/>
          <w:szCs w:val="24"/>
        </w:rPr>
      </w:pPr>
      <w:bookmarkStart w:id="13" w:name="_Toc466452960"/>
      <w:r>
        <w:rPr>
          <w:rFonts w:ascii="Times New Roman" w:eastAsiaTheme="majorEastAsia" w:hAnsi="Times New Roman" w:cs="Times New Roman"/>
          <w:b/>
          <w:bCs/>
          <w:noProof/>
          <w:sz w:val="24"/>
          <w:szCs w:val="24"/>
        </w:rPr>
        <w:t>2.4. Risks</w:t>
      </w:r>
      <w:bookmarkEnd w:id="13"/>
    </w:p>
    <w:p w:rsidR="00B32D69" w:rsidRDefault="00FB661A">
      <w:pPr>
        <w:keepNext/>
        <w:keepLines/>
        <w:spacing w:before="200" w:after="240" w:line="240" w:lineRule="auto"/>
        <w:outlineLvl w:val="1"/>
        <w:rPr>
          <w:rFonts w:ascii="Times New Roman" w:eastAsiaTheme="majorEastAsia" w:hAnsi="Times New Roman" w:cs="Times New Roman"/>
          <w:b/>
          <w:bCs/>
          <w:noProof/>
          <w:sz w:val="24"/>
          <w:szCs w:val="24"/>
        </w:rPr>
      </w:pPr>
      <w:bookmarkStart w:id="14" w:name="_Toc466452708"/>
      <w:bookmarkStart w:id="15" w:name="_Toc466452961"/>
      <w:r>
        <w:rPr>
          <w:rFonts w:ascii="Times New Roman" w:eastAsiaTheme="majorEastAsia" w:hAnsi="Times New Roman" w:cs="Times New Roman"/>
          <w:b/>
          <w:bCs/>
          <w:noProof/>
          <w:sz w:val="24"/>
          <w:szCs w:val="24"/>
        </w:rPr>
        <w:t>A. Moral hazard</w:t>
      </w:r>
      <w:bookmarkEnd w:id="14"/>
      <w:bookmarkEnd w:id="15"/>
    </w:p>
    <w:p w:rsidR="00B32D69" w:rsidRDefault="00FB661A">
      <w:pPr>
        <w:spacing w:after="240" w:line="240" w:lineRule="auto"/>
        <w:jc w:val="both"/>
        <w:rPr>
          <w:rFonts w:ascii="Times New Roman" w:hAnsi="Times New Roman"/>
          <w:noProof/>
          <w:sz w:val="24"/>
          <w:szCs w:val="24"/>
          <w:lang w:val="en-US"/>
        </w:rPr>
      </w:pPr>
      <w:r>
        <w:rPr>
          <w:rFonts w:ascii="Times New Roman" w:hAnsi="Times New Roman"/>
          <w:noProof/>
          <w:sz w:val="24"/>
          <w:szCs w:val="24"/>
          <w:lang w:val="en-US"/>
        </w:rPr>
        <w:t>A prevailing concern in deciding how to design an insolvency system is the risk of moral hazard. Many insolvency systems take a harsh stance in favour of liquidation because it provides for safeguards against such risks, in the form of full court involveme</w:t>
      </w:r>
      <w:r>
        <w:rPr>
          <w:rFonts w:ascii="Times New Roman" w:hAnsi="Times New Roman"/>
          <w:noProof/>
          <w:sz w:val="24"/>
          <w:szCs w:val="24"/>
          <w:lang w:val="en-US"/>
        </w:rPr>
        <w:t>nt, a general and automatic moratorium, an insolvency practitioner acting in the interests of creditors taking over the business, with powers to avoid transactions etc. Member States may equally opt for long discharge periods or very strict conditions of a</w:t>
      </w:r>
      <w:r>
        <w:rPr>
          <w:rFonts w:ascii="Times New Roman" w:hAnsi="Times New Roman"/>
          <w:noProof/>
          <w:sz w:val="24"/>
          <w:szCs w:val="24"/>
          <w:lang w:val="en-US"/>
        </w:rPr>
        <w:t xml:space="preserve">ccess to discharge as a means of fending off potential risks of moral hazard. </w:t>
      </w:r>
    </w:p>
    <w:p w:rsidR="00B32D69" w:rsidRDefault="00FB661A">
      <w:pPr>
        <w:spacing w:after="240" w:line="240" w:lineRule="auto"/>
        <w:jc w:val="both"/>
        <w:rPr>
          <w:rFonts w:ascii="Times New Roman" w:hAnsi="Times New Roman"/>
          <w:noProof/>
          <w:sz w:val="24"/>
          <w:szCs w:val="24"/>
          <w:lang w:val="en-US"/>
        </w:rPr>
      </w:pPr>
      <w:r>
        <w:rPr>
          <w:rFonts w:ascii="Times New Roman" w:hAnsi="Times New Roman"/>
          <w:noProof/>
          <w:sz w:val="24"/>
          <w:szCs w:val="24"/>
          <w:lang w:val="en-US"/>
        </w:rPr>
        <w:t>However, experience from those Member States which have well-functioning restructuring and second chance frameworks shows that it is possible to achieve more restructurings, sav</w:t>
      </w:r>
      <w:r>
        <w:rPr>
          <w:rFonts w:ascii="Times New Roman" w:hAnsi="Times New Roman"/>
          <w:noProof/>
          <w:sz w:val="24"/>
          <w:szCs w:val="24"/>
          <w:lang w:val="en-US"/>
        </w:rPr>
        <w:t>e more companies and jobs, help more entrepreneurs to re-enter the productive economy without creating further moral hazard risks. Any action in this area should provide therefore for appropriate safeguards against such risks. These risks will be considere</w:t>
      </w:r>
      <w:r>
        <w:rPr>
          <w:rFonts w:ascii="Times New Roman" w:hAnsi="Times New Roman"/>
          <w:noProof/>
          <w:sz w:val="24"/>
          <w:szCs w:val="24"/>
          <w:lang w:val="en-US"/>
        </w:rPr>
        <w:t>d in more detail in relation to specific options in the impacts sections below.</w:t>
      </w:r>
    </w:p>
    <w:p w:rsidR="00B32D69" w:rsidRDefault="00FB661A">
      <w:pPr>
        <w:jc w:val="both"/>
        <w:rPr>
          <w:rFonts w:ascii="Times New Roman" w:hAnsi="Times New Roman"/>
          <w:b/>
          <w:noProof/>
          <w:sz w:val="24"/>
          <w:szCs w:val="24"/>
          <w:lang w:val="en-US"/>
        </w:rPr>
      </w:pPr>
      <w:r>
        <w:rPr>
          <w:rFonts w:ascii="Times New Roman" w:hAnsi="Times New Roman"/>
          <w:b/>
          <w:noProof/>
          <w:sz w:val="24"/>
          <w:szCs w:val="24"/>
          <w:lang w:val="en-US"/>
        </w:rPr>
        <w:t>B. Employees' rights in early restructuring procedures</w:t>
      </w:r>
    </w:p>
    <w:p w:rsidR="00B32D69" w:rsidRDefault="00FB661A">
      <w:pPr>
        <w:spacing w:after="240" w:line="240" w:lineRule="auto"/>
        <w:jc w:val="both"/>
        <w:rPr>
          <w:rFonts w:ascii="Times New Roman" w:hAnsi="Times New Roman"/>
          <w:noProof/>
          <w:sz w:val="24"/>
          <w:szCs w:val="24"/>
          <w:lang w:val="en-US"/>
        </w:rPr>
      </w:pPr>
      <w:r>
        <w:rPr>
          <w:rFonts w:ascii="Times New Roman" w:hAnsi="Times New Roman"/>
          <w:noProof/>
          <w:lang w:val="en-US"/>
        </w:rPr>
        <w:t xml:space="preserve">A number of Directives </w:t>
      </w:r>
      <w:r>
        <w:rPr>
          <w:rFonts w:ascii="Times New Roman" w:hAnsi="Times New Roman"/>
          <w:noProof/>
          <w:sz w:val="24"/>
          <w:szCs w:val="24"/>
          <w:lang w:val="en-US"/>
        </w:rPr>
        <w:t>(Directives 98/59/EC</w:t>
      </w:r>
      <w:r>
        <w:rPr>
          <w:rFonts w:ascii="Times New Roman" w:hAnsi="Times New Roman"/>
          <w:noProof/>
          <w:sz w:val="24"/>
          <w:szCs w:val="24"/>
          <w:lang w:val="en-US"/>
        </w:rPr>
        <w:footnoteReference w:id="144"/>
      </w:r>
      <w:r>
        <w:rPr>
          <w:rFonts w:ascii="Times New Roman" w:hAnsi="Times New Roman"/>
          <w:noProof/>
          <w:sz w:val="24"/>
          <w:szCs w:val="24"/>
          <w:lang w:val="en-US"/>
        </w:rPr>
        <w:t>, 2001/23/EC</w:t>
      </w:r>
      <w:r>
        <w:rPr>
          <w:rFonts w:ascii="Times New Roman" w:hAnsi="Times New Roman"/>
          <w:noProof/>
          <w:sz w:val="24"/>
          <w:szCs w:val="24"/>
          <w:lang w:val="en-US"/>
        </w:rPr>
        <w:footnoteReference w:id="145"/>
      </w:r>
      <w:r>
        <w:rPr>
          <w:rFonts w:ascii="Times New Roman" w:hAnsi="Times New Roman"/>
          <w:noProof/>
          <w:sz w:val="24"/>
          <w:szCs w:val="24"/>
          <w:lang w:val="en-US"/>
        </w:rPr>
        <w:t>, 2002/14EC</w:t>
      </w:r>
      <w:r>
        <w:rPr>
          <w:rFonts w:ascii="Times New Roman" w:hAnsi="Times New Roman"/>
          <w:noProof/>
          <w:sz w:val="24"/>
          <w:szCs w:val="24"/>
          <w:lang w:val="en-US"/>
        </w:rPr>
        <w:footnoteReference w:id="146"/>
      </w:r>
      <w:r>
        <w:rPr>
          <w:rFonts w:ascii="Times New Roman" w:hAnsi="Times New Roman"/>
          <w:noProof/>
          <w:sz w:val="24"/>
          <w:szCs w:val="24"/>
          <w:lang w:val="en-US"/>
        </w:rPr>
        <w:t>, 2008/94/EC</w:t>
      </w:r>
      <w:r>
        <w:rPr>
          <w:rFonts w:ascii="Times New Roman" w:hAnsi="Times New Roman"/>
          <w:noProof/>
          <w:sz w:val="24"/>
          <w:szCs w:val="24"/>
          <w:lang w:val="en-US"/>
        </w:rPr>
        <w:footnoteReference w:id="147"/>
      </w:r>
      <w:r>
        <w:rPr>
          <w:rFonts w:ascii="Times New Roman" w:hAnsi="Times New Roman"/>
          <w:noProof/>
          <w:sz w:val="24"/>
          <w:szCs w:val="24"/>
          <w:lang w:val="en-US"/>
        </w:rPr>
        <w:t xml:space="preserve"> and 2009/38/EC</w:t>
      </w:r>
      <w:r>
        <w:rPr>
          <w:rFonts w:ascii="Times New Roman" w:hAnsi="Times New Roman"/>
          <w:noProof/>
          <w:sz w:val="24"/>
          <w:szCs w:val="24"/>
          <w:lang w:val="en-US"/>
        </w:rPr>
        <w:footnoteReference w:id="148"/>
      </w:r>
      <w:r>
        <w:rPr>
          <w:rFonts w:ascii="Times New Roman" w:hAnsi="Times New Roman"/>
          <w:noProof/>
          <w:sz w:val="24"/>
          <w:szCs w:val="24"/>
          <w:lang w:val="en-US"/>
        </w:rPr>
        <w:t xml:space="preserve">) </w:t>
      </w:r>
      <w:r>
        <w:rPr>
          <w:rFonts w:ascii="Times New Roman" w:hAnsi="Times New Roman"/>
          <w:noProof/>
          <w:lang w:val="en-US"/>
        </w:rPr>
        <w:t>guarantee the right t</w:t>
      </w:r>
      <w:r>
        <w:rPr>
          <w:rFonts w:ascii="Times New Roman" w:hAnsi="Times New Roman"/>
          <w:noProof/>
          <w:lang w:val="en-US"/>
        </w:rPr>
        <w:t>o i</w:t>
      </w:r>
      <w:r>
        <w:rPr>
          <w:rFonts w:ascii="Times New Roman" w:hAnsi="Times New Roman"/>
          <w:noProof/>
          <w:sz w:val="24"/>
          <w:szCs w:val="24"/>
          <w:lang w:val="en-US"/>
        </w:rPr>
        <w:t>nformation and consultation before restructuring and/or collective redundancies. Directive 2001/23/EC aims at safeguarding workers' rights in case of transfers of part of the undertaking. Early restructuring procedures should not curtail such rights whi</w:t>
      </w:r>
      <w:r>
        <w:rPr>
          <w:rFonts w:ascii="Times New Roman" w:hAnsi="Times New Roman"/>
          <w:noProof/>
          <w:sz w:val="24"/>
          <w:szCs w:val="24"/>
          <w:lang w:val="en-US"/>
        </w:rPr>
        <w:t>ch provide important safeguards to employees.</w:t>
      </w:r>
    </w:p>
    <w:p w:rsidR="00B32D69" w:rsidRDefault="00FB661A">
      <w:pPr>
        <w:spacing w:after="240" w:line="240" w:lineRule="auto"/>
        <w:jc w:val="both"/>
        <w:rPr>
          <w:rFonts w:ascii="Times New Roman" w:hAnsi="Times New Roman"/>
          <w:noProof/>
          <w:sz w:val="24"/>
          <w:szCs w:val="24"/>
          <w:lang w:val="en-US"/>
        </w:rPr>
      </w:pPr>
      <w:r>
        <w:rPr>
          <w:rFonts w:ascii="Times New Roman" w:hAnsi="Times New Roman"/>
          <w:noProof/>
          <w:sz w:val="24"/>
          <w:szCs w:val="24"/>
          <w:lang w:val="en-US"/>
        </w:rPr>
        <w:t>Furthermore, Directive 2008/94 imposes an obligation on Member States to put in place guarantee institutions to guarantee the payment of employees' outstanding claims resulting from contracts of employment or e</w:t>
      </w:r>
      <w:r>
        <w:rPr>
          <w:rFonts w:ascii="Times New Roman" w:hAnsi="Times New Roman"/>
          <w:noProof/>
          <w:sz w:val="24"/>
          <w:szCs w:val="24"/>
          <w:lang w:val="en-US"/>
        </w:rPr>
        <w:t>mployment relationships in the event of the employer's formal insolvency proceedings in relation to the employer. Member States have the possibility to extend the coverage of such guarantee institutions also to other types of procedures, but they are not o</w:t>
      </w:r>
      <w:r>
        <w:rPr>
          <w:rFonts w:ascii="Times New Roman" w:hAnsi="Times New Roman"/>
          <w:noProof/>
          <w:sz w:val="24"/>
          <w:szCs w:val="24"/>
          <w:lang w:val="en-US"/>
        </w:rPr>
        <w:t>bliged to do so. Where such claims are not guaranteed under national law, an early restructuring procedure which gives the debtor the benefit of a temporary stay of enforcement actions would risk negatively affecting employees' claims and protection. Speci</w:t>
      </w:r>
      <w:r>
        <w:rPr>
          <w:rFonts w:ascii="Times New Roman" w:hAnsi="Times New Roman"/>
          <w:noProof/>
          <w:sz w:val="24"/>
          <w:szCs w:val="24"/>
          <w:lang w:val="en-US"/>
        </w:rPr>
        <w:t xml:space="preserve">al arrangements should therefore be put in place to ensure that employees receive appropriate protection in preventive procedures, equivalent to what they would receive in liquidation procedures. </w:t>
      </w:r>
    </w:p>
    <w:p w:rsidR="00B32D69" w:rsidRDefault="00FB661A">
      <w:pPr>
        <w:keepNext/>
        <w:keepLines/>
        <w:spacing w:before="200" w:after="240" w:line="240" w:lineRule="auto"/>
        <w:outlineLvl w:val="1"/>
        <w:rPr>
          <w:rFonts w:ascii="Times New Roman" w:eastAsiaTheme="majorEastAsia" w:hAnsi="Times New Roman" w:cs="Times New Roman"/>
          <w:b/>
          <w:bCs/>
          <w:noProof/>
          <w:sz w:val="24"/>
          <w:szCs w:val="24"/>
        </w:rPr>
      </w:pPr>
      <w:bookmarkStart w:id="16" w:name="_Toc466452962"/>
      <w:r>
        <w:rPr>
          <w:rFonts w:ascii="Times New Roman" w:eastAsiaTheme="majorEastAsia" w:hAnsi="Times New Roman" w:cs="Times New Roman"/>
          <w:b/>
          <w:bCs/>
          <w:noProof/>
          <w:sz w:val="24"/>
          <w:szCs w:val="24"/>
        </w:rPr>
        <w:t>2.5. Baseline scenario</w:t>
      </w:r>
      <w:bookmarkEnd w:id="16"/>
    </w:p>
    <w:p w:rsidR="00B32D69" w:rsidRDefault="00FB661A">
      <w:pPr>
        <w:spacing w:after="240" w:line="240" w:lineRule="auto"/>
        <w:jc w:val="both"/>
        <w:rPr>
          <w:rFonts w:ascii="Times New Roman" w:hAnsi="Times New Roman" w:cs="Times New Roman"/>
          <w:noProof/>
          <w:sz w:val="24"/>
          <w:szCs w:val="24"/>
          <w:lang w:val="cs-CZ"/>
        </w:rPr>
      </w:pPr>
      <w:r>
        <w:rPr>
          <w:rFonts w:ascii="Times New Roman" w:hAnsi="Times New Roman" w:cs="Times New Roman"/>
          <w:noProof/>
          <w:sz w:val="24"/>
          <w:szCs w:val="24"/>
          <w:lang w:val="cs-CZ"/>
        </w:rPr>
        <w:t>The 2008 financial crisis and the fo</w:t>
      </w:r>
      <w:r>
        <w:rPr>
          <w:rFonts w:ascii="Times New Roman" w:hAnsi="Times New Roman" w:cs="Times New Roman"/>
          <w:noProof/>
          <w:sz w:val="24"/>
          <w:szCs w:val="24"/>
          <w:lang w:val="cs-CZ"/>
        </w:rPr>
        <w:t>llowing global economic downturn adversely affected businesses around the world, resulting in financial difficulties for many firms. Hence, the need for efficient and speedy restructuring regimes covering in particular several countries. Disparities in res</w:t>
      </w:r>
      <w:r>
        <w:rPr>
          <w:rFonts w:ascii="Times New Roman" w:hAnsi="Times New Roman" w:cs="Times New Roman"/>
          <w:noProof/>
          <w:sz w:val="24"/>
          <w:szCs w:val="24"/>
          <w:lang w:val="cs-CZ"/>
        </w:rPr>
        <w:t>tructuring laws will not be resolved or determined by market forces due to an intensive regulation of Member States of insolvency and restructuring proceedings</w:t>
      </w:r>
      <w:r>
        <w:rPr>
          <w:rFonts w:ascii="Times New Roman" w:hAnsi="Times New Roman" w:cs="Times New Roman"/>
          <w:noProof/>
          <w:sz w:val="24"/>
          <w:szCs w:val="24"/>
          <w:vertAlign w:val="superscript"/>
          <w:lang w:eastAsia="en-GB"/>
        </w:rPr>
        <w:footnoteReference w:id="149"/>
      </w:r>
      <w:r>
        <w:rPr>
          <w:rFonts w:ascii="Times New Roman" w:hAnsi="Times New Roman" w:cs="Times New Roman"/>
          <w:noProof/>
          <w:sz w:val="24"/>
          <w:szCs w:val="24"/>
          <w:lang w:val="cs-CZ"/>
        </w:rPr>
        <w:t>. Stakeholders will approach each restructuring with their own agenda and strategy, often looking for positions of control and influence to gain leverage, and not seeking common ground and consensus. In addition, policymakers in various local jurisdictions</w:t>
      </w:r>
      <w:r>
        <w:rPr>
          <w:rFonts w:ascii="Times New Roman" w:hAnsi="Times New Roman" w:cs="Times New Roman"/>
          <w:noProof/>
          <w:sz w:val="24"/>
          <w:szCs w:val="24"/>
          <w:lang w:val="cs-CZ"/>
        </w:rPr>
        <w:t xml:space="preserve"> will use political considerations or historical and cultural practices as justification for avoiding reforms of their insolvency and restructuring frameworks. </w:t>
      </w:r>
    </w:p>
    <w:p w:rsidR="00B32D69" w:rsidRDefault="00FB661A">
      <w:pPr>
        <w:spacing w:after="240" w:line="240" w:lineRule="auto"/>
        <w:jc w:val="both"/>
        <w:rPr>
          <w:rFonts w:ascii="Times New Roman" w:hAnsi="Times New Roman" w:cs="Times New Roman"/>
          <w:noProof/>
          <w:sz w:val="24"/>
          <w:szCs w:val="24"/>
          <w:lang w:val="cs-CZ"/>
        </w:rPr>
      </w:pPr>
      <w:r>
        <w:rPr>
          <w:rFonts w:ascii="Times New Roman" w:hAnsi="Times New Roman" w:cs="Times New Roman"/>
          <w:noProof/>
          <w:sz w:val="24"/>
          <w:szCs w:val="24"/>
          <w:lang w:val="cs-CZ"/>
        </w:rPr>
        <w:t>Many Member States have reformed or are in the process of reforming national insolvency laws. H</w:t>
      </w:r>
      <w:r>
        <w:rPr>
          <w:rFonts w:ascii="Times New Roman" w:hAnsi="Times New Roman" w:cs="Times New Roman"/>
          <w:noProof/>
          <w:sz w:val="24"/>
          <w:szCs w:val="24"/>
          <w:lang w:val="cs-CZ"/>
        </w:rPr>
        <w:t xml:space="preserve">owever, fashioning </w:t>
      </w:r>
      <w:r>
        <w:rPr>
          <w:rFonts w:ascii="Times New Roman" w:hAnsi="Times New Roman" w:cs="Times New Roman"/>
          <w:i/>
          <w:noProof/>
          <w:sz w:val="24"/>
          <w:szCs w:val="24"/>
          <w:lang w:val="cs-CZ"/>
        </w:rPr>
        <w:t>ad hoc</w:t>
      </w:r>
      <w:r>
        <w:rPr>
          <w:rFonts w:ascii="Times New Roman" w:hAnsi="Times New Roman" w:cs="Times New Roman"/>
          <w:noProof/>
          <w:sz w:val="24"/>
          <w:szCs w:val="24"/>
          <w:lang w:val="cs-CZ"/>
        </w:rPr>
        <w:t xml:space="preserve"> restructuring frameworks around national or market driven influences results in greater transaction risks and higher costs of capital. When Member States introduce changes, they will only take into account the national perspective</w:t>
      </w:r>
      <w:r>
        <w:rPr>
          <w:rFonts w:ascii="Times New Roman" w:hAnsi="Times New Roman" w:cs="Times New Roman"/>
          <w:noProof/>
          <w:sz w:val="24"/>
          <w:szCs w:val="24"/>
          <w:lang w:val="cs-CZ"/>
        </w:rPr>
        <w:t>. As a result, the heterogeneity of existing rules will continue to inhibit cross-border investment and the divergent and inadequate insolvency regimes will continue to limit the potential of the private sector to attract investment. The absence of a consi</w:t>
      </w:r>
      <w:r>
        <w:rPr>
          <w:rFonts w:ascii="Times New Roman" w:hAnsi="Times New Roman" w:cs="Times New Roman"/>
          <w:noProof/>
          <w:sz w:val="24"/>
          <w:szCs w:val="24"/>
          <w:lang w:val="cs-CZ"/>
        </w:rPr>
        <w:t>stent and predictable EU-wide restructuring framework would thus continue to create a considerable layer of uncertainty, increase costs and, to some extent, alter the economic rationale of capital markets transactions.</w:t>
      </w:r>
    </w:p>
    <w:p w:rsidR="00B32D69" w:rsidRDefault="00FB661A">
      <w:pPr>
        <w:keepNext/>
        <w:keepLines/>
        <w:spacing w:before="200" w:after="240" w:line="240" w:lineRule="auto"/>
        <w:jc w:val="both"/>
        <w:outlineLvl w:val="1"/>
        <w:rPr>
          <w:rFonts w:ascii="Times New Roman" w:hAnsi="Times New Roman" w:cs="Times New Roman"/>
          <w:noProof/>
          <w:sz w:val="24"/>
          <w:szCs w:val="24"/>
        </w:rPr>
      </w:pPr>
      <w:bookmarkStart w:id="17" w:name="_Toc466452710"/>
      <w:bookmarkStart w:id="18" w:name="_Toc466452963"/>
      <w:r>
        <w:rPr>
          <w:rFonts w:ascii="Times New Roman" w:hAnsi="Times New Roman" w:cs="Times New Roman"/>
          <w:noProof/>
          <w:sz w:val="24"/>
          <w:szCs w:val="24"/>
        </w:rPr>
        <w:t>Given the substantial divergences bet</w:t>
      </w:r>
      <w:r>
        <w:rPr>
          <w:rFonts w:ascii="Times New Roman" w:hAnsi="Times New Roman" w:cs="Times New Roman"/>
          <w:noProof/>
          <w:sz w:val="24"/>
          <w:szCs w:val="24"/>
        </w:rPr>
        <w:t>ween national restructuring and second chance frameworks in the EU, it is highly unlikely that Member States individually would be able to ensure the overall coherence of their legislation with other Member States' insolvency legislations.</w:t>
      </w:r>
      <w:r>
        <w:rPr>
          <w:noProof/>
        </w:rPr>
        <w:t xml:space="preserve"> </w:t>
      </w:r>
      <w:r>
        <w:rPr>
          <w:rFonts w:ascii="Times New Roman" w:hAnsi="Times New Roman" w:cs="Times New Roman"/>
          <w:noProof/>
          <w:sz w:val="24"/>
          <w:szCs w:val="24"/>
        </w:rPr>
        <w:t xml:space="preserve">Several Members </w:t>
      </w:r>
      <w:r>
        <w:rPr>
          <w:rFonts w:ascii="Times New Roman" w:hAnsi="Times New Roman" w:cs="Times New Roman"/>
          <w:noProof/>
          <w:sz w:val="24"/>
          <w:szCs w:val="24"/>
        </w:rPr>
        <w:t>States took or have taken action independently and have recently enacted or started preparatory work to adopt new rules aiming at improving the preventive restructuring framework and second chance, such as Cyprus, Croatia, Poland, Portugal. Reforms are bei</w:t>
      </w:r>
      <w:r>
        <w:rPr>
          <w:rFonts w:ascii="Times New Roman" w:hAnsi="Times New Roman" w:cs="Times New Roman"/>
          <w:noProof/>
          <w:sz w:val="24"/>
          <w:szCs w:val="24"/>
        </w:rPr>
        <w:t>ng discussed in other Member States (Luxembourg, Italy) but there is yet no concrete timeline. However, these national rules differ widely in content and, as a result, they provide an uneven level of transparency and protection for investors. Although this</w:t>
      </w:r>
      <w:r>
        <w:rPr>
          <w:rFonts w:ascii="Times New Roman" w:hAnsi="Times New Roman" w:cs="Times New Roman"/>
          <w:noProof/>
          <w:sz w:val="24"/>
          <w:szCs w:val="24"/>
        </w:rPr>
        <w:t xml:space="preserve"> does not mean that investors do not invest cross-border, it does mean that the current regulatory framework inhibits them to play a more optimal role within the internal market. It is to be expected that other Member States will follow this trend if the E</w:t>
      </w:r>
      <w:r>
        <w:rPr>
          <w:rFonts w:ascii="Times New Roman" w:hAnsi="Times New Roman" w:cs="Times New Roman"/>
          <w:noProof/>
          <w:sz w:val="24"/>
          <w:szCs w:val="24"/>
        </w:rPr>
        <w:t>U does not act. Besides, given the heterogeneity of the restructuring market, it would be difficult for it to overcome the existing legal complexity and fragmentation.</w:t>
      </w:r>
      <w:bookmarkEnd w:id="17"/>
      <w:bookmarkEnd w:id="18"/>
      <w:r>
        <w:rPr>
          <w:rFonts w:ascii="Times New Roman" w:hAnsi="Times New Roman" w:cs="Times New Roman"/>
          <w:noProof/>
          <w:sz w:val="24"/>
          <w:szCs w:val="24"/>
        </w:rPr>
        <w:t xml:space="preserve"> </w:t>
      </w:r>
    </w:p>
    <w:p w:rsidR="00B32D69" w:rsidRDefault="00FB661A">
      <w:pPr>
        <w:keepNext/>
        <w:keepLines/>
        <w:spacing w:before="200" w:after="240"/>
        <w:outlineLvl w:val="1"/>
        <w:rPr>
          <w:rFonts w:ascii="Times New Roman" w:eastAsiaTheme="majorEastAsia" w:hAnsi="Times New Roman" w:cs="Times New Roman"/>
          <w:b/>
          <w:bCs/>
          <w:noProof/>
          <w:sz w:val="24"/>
          <w:szCs w:val="24"/>
        </w:rPr>
      </w:pPr>
      <w:bookmarkStart w:id="19" w:name="_Toc466452964"/>
      <w:r>
        <w:rPr>
          <w:rFonts w:ascii="Times New Roman" w:eastAsiaTheme="majorEastAsia" w:hAnsi="Times New Roman" w:cs="Times New Roman"/>
          <w:b/>
          <w:bCs/>
          <w:noProof/>
          <w:sz w:val="24"/>
          <w:szCs w:val="24"/>
        </w:rPr>
        <w:t>2.6. The EU's right to act, subsidiarity, necessity and proportionality</w:t>
      </w:r>
      <w:bookmarkEnd w:id="19"/>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Union’s rig</w:t>
      </w:r>
      <w:r>
        <w:rPr>
          <w:rFonts w:ascii="Times New Roman" w:hAnsi="Times New Roman" w:cs="Times New Roman"/>
          <w:noProof/>
          <w:sz w:val="24"/>
          <w:szCs w:val="24"/>
        </w:rPr>
        <w:t>ht to act in this field is set out in Article 114 of the Treaty on the Functioning of the European Union (TFEU). Its first paragraph empowers the European Parliament and the Council to adopt measures for the approximation of the provisions laid down by law</w:t>
      </w:r>
      <w:r>
        <w:rPr>
          <w:rFonts w:ascii="Times New Roman" w:hAnsi="Times New Roman" w:cs="Times New Roman"/>
          <w:noProof/>
          <w:sz w:val="24"/>
          <w:szCs w:val="24"/>
        </w:rPr>
        <w:t>, regulation or administrative action in Member States which have as their object the establishment and functioning of the internal market. Article 114 TFEU allows the EU to take measures, not only to eliminate current obstacles to the establishment and fu</w:t>
      </w:r>
      <w:r>
        <w:rPr>
          <w:rFonts w:ascii="Times New Roman" w:hAnsi="Times New Roman" w:cs="Times New Roman"/>
          <w:noProof/>
          <w:sz w:val="24"/>
          <w:szCs w:val="24"/>
        </w:rPr>
        <w:t xml:space="preserve">nctioning of the internal market but also to address barriers that dissuade economic operators from taking full advantage of the benefits of that market (in particular investing in other Member States). On that basis, the European Union has a right to act </w:t>
      </w:r>
      <w:r>
        <w:rPr>
          <w:rFonts w:ascii="Times New Roman" w:hAnsi="Times New Roman" w:cs="Times New Roman"/>
          <w:noProof/>
          <w:sz w:val="24"/>
          <w:szCs w:val="24"/>
        </w:rPr>
        <w:t>to improve the conditions for creditors, debtors, investors and other stakeholders in the context of restructuring viable businesses in financial difficulty. Should an instrument address also consumer insolvency, according to Article 114 (3) TFEU, a high l</w:t>
      </w:r>
      <w:r>
        <w:rPr>
          <w:rFonts w:ascii="Times New Roman" w:hAnsi="Times New Roman" w:cs="Times New Roman"/>
          <w:noProof/>
          <w:sz w:val="24"/>
          <w:szCs w:val="24"/>
        </w:rPr>
        <w:t>evel of protection must be taken as a basis.</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The case law of the Court of Justice of the European Union shows that if a measure addresses real obstacles to free movement or distortions of competition, present or future, it can be based on Article 114 despi</w:t>
      </w:r>
      <w:r>
        <w:rPr>
          <w:rFonts w:ascii="Times New Roman" w:hAnsi="Times New Roman" w:cs="Times New Roman"/>
          <w:noProof/>
          <w:sz w:val="24"/>
          <w:szCs w:val="24"/>
        </w:rPr>
        <w:t>te the fact that it may touch on important social aspects</w:t>
      </w:r>
      <w:r>
        <w:rPr>
          <w:rStyle w:val="FootnoteReference"/>
          <w:rFonts w:ascii="Times New Roman" w:hAnsi="Times New Roman"/>
          <w:noProof/>
          <w:sz w:val="24"/>
          <w:szCs w:val="24"/>
        </w:rPr>
        <w:footnoteReference w:id="150"/>
      </w:r>
      <w:r>
        <w:rPr>
          <w:rFonts w:ascii="Times New Roman" w:hAnsi="Times New Roman" w:cs="Times New Roman"/>
          <w:noProof/>
          <w:sz w:val="24"/>
          <w:szCs w:val="24"/>
        </w:rPr>
        <w:t xml:space="preserve">. </w:t>
      </w:r>
      <w:r>
        <w:rPr>
          <w:rFonts w:ascii="Times New Roman" w:hAnsi="Times New Roman" w:cs="Times New Roman"/>
          <w:noProof/>
          <w:sz w:val="24"/>
          <w:szCs w:val="24"/>
          <w:lang w:val="en-US"/>
        </w:rPr>
        <w:t>It has been used in fields as diverse as environment, health, consumers, worker protection, telecommunication networks (roaming), circulation of personal data, advertising and promotion of tobacco</w:t>
      </w:r>
      <w:r>
        <w:rPr>
          <w:rFonts w:ascii="Times New Roman" w:hAnsi="Times New Roman" w:cs="Times New Roman"/>
          <w:noProof/>
          <w:sz w:val="24"/>
          <w:szCs w:val="24"/>
          <w:lang w:val="en-US"/>
        </w:rPr>
        <w:t xml:space="preserve"> products, the establishment of the European Network and Information Security Agency. It allows taking measures both with regard to existing and future obstacles, among others to prevent the emergence of divergent development of national laws. Future obsta</w:t>
      </w:r>
      <w:r>
        <w:rPr>
          <w:rFonts w:ascii="Times New Roman" w:hAnsi="Times New Roman" w:cs="Times New Roman"/>
          <w:noProof/>
          <w:sz w:val="24"/>
          <w:szCs w:val="24"/>
          <w:lang w:val="en-US"/>
        </w:rPr>
        <w:t>cles/distortions of competition must be real, not only address an abstract risk.</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increasing cross-border nature of investment suggests the need for coordinated action by Member States hosting business entities (companies and entrepreneurs). As the Euro</w:t>
      </w:r>
      <w:r>
        <w:rPr>
          <w:rFonts w:ascii="Times New Roman" w:hAnsi="Times New Roman" w:cs="Times New Roman"/>
          <w:noProof/>
          <w:sz w:val="24"/>
          <w:szCs w:val="24"/>
        </w:rPr>
        <w:t>barometer on insolvency has showed, 17% of companies (SMEs) have foreign debtors. but that many cross-border claims remain un-enforced. This entails additional costs of doing business cross-border in particular for SMEs.</w:t>
      </w:r>
    </w:p>
    <w:p w:rsidR="00B32D69" w:rsidRDefault="00FB661A">
      <w:pPr>
        <w:spacing w:after="24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rPr>
        <w:t>When lending to or investing in business entities in other Member States, creditors are confronted with different mandatory rules resulting from the lack of harmonised tools available to businesses in financial difficulty. The problems described above, cre</w:t>
      </w:r>
      <w:r>
        <w:rPr>
          <w:rFonts w:ascii="Times New Roman" w:hAnsi="Times New Roman" w:cs="Times New Roman"/>
          <w:noProof/>
          <w:sz w:val="24"/>
          <w:szCs w:val="24"/>
        </w:rPr>
        <w:t xml:space="preserve">ating costs and foregone benefits, obstruct fundamental freedoms (in particular free movement of capital) and thus </w:t>
      </w:r>
      <w:r>
        <w:rPr>
          <w:rFonts w:ascii="Times New Roman" w:hAnsi="Times New Roman" w:cs="Times New Roman"/>
          <w:noProof/>
          <w:color w:val="444444"/>
          <w:sz w:val="24"/>
          <w:szCs w:val="24"/>
          <w:lang w:val="en"/>
        </w:rPr>
        <w:t xml:space="preserve">have a direct effect on the functioning of the internal market. </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However, investment in businesses does not mean only lending but can also take the form of ownership (the investor is not a creditor, but a shareholder of a company). Foreign investors do establish and run local business entities in other Member States, wh</w:t>
      </w:r>
      <w:r>
        <w:rPr>
          <w:rFonts w:ascii="Times New Roman" w:hAnsi="Times New Roman" w:cs="Times New Roman"/>
          <w:noProof/>
          <w:sz w:val="24"/>
          <w:szCs w:val="24"/>
        </w:rPr>
        <w:t>ich themselves do not have cross-border activities. The barriers to cross-border investments have, therefore, a direct effect on the functioning of the internal market. These additional costs for investors may only be eliminated, if there is a general conv</w:t>
      </w:r>
      <w:r>
        <w:rPr>
          <w:rFonts w:ascii="Times New Roman" w:hAnsi="Times New Roman" w:cs="Times New Roman"/>
          <w:noProof/>
          <w:sz w:val="24"/>
          <w:szCs w:val="24"/>
        </w:rPr>
        <w:t>ergence of regulatory frameworks in Member States covering both cross-border and domestic cases (while an artificial distinction in the scope of restructurings on the basis of their expected or actual cross-border nature would just reinforce legal fragment</w:t>
      </w:r>
      <w:r>
        <w:rPr>
          <w:rFonts w:ascii="Times New Roman" w:hAnsi="Times New Roman" w:cs="Times New Roman"/>
          <w:noProof/>
          <w:sz w:val="24"/>
          <w:szCs w:val="24"/>
        </w:rPr>
        <w:t>ation). A convergent EU framework on insolvency would thus remove barriers also for foreign investors from outside the EU: looking at one set of restructuring and insolvency indicators valid for two or more of the EU Member States where an investment is fo</w:t>
      </w:r>
      <w:r>
        <w:rPr>
          <w:rFonts w:ascii="Times New Roman" w:hAnsi="Times New Roman" w:cs="Times New Roman"/>
          <w:noProof/>
          <w:sz w:val="24"/>
          <w:szCs w:val="24"/>
        </w:rPr>
        <w:t>reseen would reduce the additional costs associated with assessing risks of investing in EU Member States. The additional costs grow exponentially where the foreign investor looks at several Member States in order to establish where to invest (e.g. where t</w:t>
      </w:r>
      <w:r>
        <w:rPr>
          <w:rFonts w:ascii="Times New Roman" w:hAnsi="Times New Roman" w:cs="Times New Roman"/>
          <w:noProof/>
          <w:sz w:val="24"/>
          <w:szCs w:val="24"/>
        </w:rPr>
        <w:t xml:space="preserve">o set up a plant or a distribution point from where the whole EU can be covered). Building up the CMU is an EU priority also as regards making the EU a more interesting place for foreign investors from outside the EU. </w:t>
      </w:r>
    </w:p>
    <w:p w:rsidR="00B32D69" w:rsidRDefault="00FB661A">
      <w:pPr>
        <w:autoSpaceDE w:val="0"/>
        <w:autoSpaceDN w:val="0"/>
        <w:adjustRightInd w:val="0"/>
        <w:spacing w:after="0" w:line="240" w:lineRule="auto"/>
        <w:jc w:val="both"/>
        <w:rPr>
          <w:rFonts w:ascii="Times New Roman" w:eastAsia="Calibri" w:hAnsi="Times New Roman" w:cs="Times New Roman"/>
          <w:noProof/>
          <w:sz w:val="24"/>
          <w:szCs w:val="24"/>
        </w:rPr>
      </w:pPr>
      <w:r>
        <w:rPr>
          <w:rFonts w:ascii="Times New Roman" w:hAnsi="Times New Roman" w:cs="Times New Roman"/>
          <w:noProof/>
          <w:color w:val="444444"/>
          <w:sz w:val="24"/>
          <w:szCs w:val="24"/>
        </w:rPr>
        <w:t xml:space="preserve">The internal market problems are not </w:t>
      </w:r>
      <w:r>
        <w:rPr>
          <w:rFonts w:ascii="Times New Roman" w:hAnsi="Times New Roman" w:cs="Times New Roman"/>
          <w:noProof/>
          <w:color w:val="444444"/>
          <w:sz w:val="24"/>
          <w:szCs w:val="24"/>
        </w:rPr>
        <w:t xml:space="preserve">limited to purely cross-border scenario. </w:t>
      </w:r>
      <w:r>
        <w:rPr>
          <w:rFonts w:ascii="Times New Roman" w:hAnsi="Times New Roman" w:cs="Times New Roman"/>
          <w:noProof/>
          <w:sz w:val="24"/>
          <w:szCs w:val="24"/>
          <w:lang w:val="en"/>
        </w:rPr>
        <w:t>Even purely national insolvencies may have an impact on the functioning of the internal market through the so-called domino effect</w:t>
      </w:r>
      <w:r>
        <w:rPr>
          <w:rFonts w:ascii="Times New Roman" w:hAnsi="Times New Roman" w:cs="Times New Roman"/>
          <w:noProof/>
          <w:color w:val="444444"/>
          <w:sz w:val="24"/>
          <w:szCs w:val="24"/>
          <w:lang w:val="en"/>
        </w:rPr>
        <w:t>.</w:t>
      </w:r>
      <w:r>
        <w:rPr>
          <w:rFonts w:ascii="Times New Roman" w:hAnsi="Times New Roman" w:cs="Times New Roman"/>
          <w:noProof/>
          <w:sz w:val="24"/>
          <w:szCs w:val="24"/>
        </w:rPr>
        <w:t xml:space="preserve"> Companies operating cross-border (about 25% of bankruptcies in EU involve creditors</w:t>
      </w:r>
      <w:r>
        <w:rPr>
          <w:rFonts w:ascii="Times New Roman" w:hAnsi="Times New Roman" w:cs="Times New Roman"/>
          <w:noProof/>
          <w:sz w:val="24"/>
          <w:szCs w:val="24"/>
        </w:rPr>
        <w:t xml:space="preserve"> and debtors in more than one EU Member State</w:t>
      </w:r>
      <w:r>
        <w:rPr>
          <w:rFonts w:ascii="Times New Roman" w:hAnsi="Times New Roman" w:cs="Times New Roman"/>
          <w:noProof/>
          <w:sz w:val="24"/>
          <w:szCs w:val="24"/>
          <w:vertAlign w:val="superscript"/>
        </w:rPr>
        <w:footnoteReference w:id="151"/>
      </w:r>
      <w:r>
        <w:rPr>
          <w:rFonts w:ascii="Times New Roman" w:hAnsi="Times New Roman" w:cs="Times New Roman"/>
          <w:noProof/>
          <w:sz w:val="24"/>
          <w:szCs w:val="24"/>
        </w:rPr>
        <w:t>) have in their supply chain suppliers some of which may be purely domestic businesses. When a supplier experiences financial difficulties and cannot be saved, this may have negative impacts which may trigger t</w:t>
      </w:r>
      <w:r>
        <w:rPr>
          <w:rFonts w:ascii="Times New Roman" w:hAnsi="Times New Roman" w:cs="Times New Roman"/>
          <w:noProof/>
          <w:sz w:val="24"/>
          <w:szCs w:val="24"/>
        </w:rPr>
        <w:t>he insolvency of the cross-border company. Good restructuring frameworks are necessary in order to avoid a domino effect of insolvencies. According to the Flash Eurobarometer survey carried out in June 2016 among small and medium sized enterprises in 28 Eu</w:t>
      </w:r>
      <w:r>
        <w:rPr>
          <w:rFonts w:ascii="Times New Roman" w:hAnsi="Times New Roman" w:cs="Times New Roman"/>
          <w:noProof/>
          <w:sz w:val="24"/>
          <w:szCs w:val="24"/>
        </w:rPr>
        <w:t xml:space="preserve">ropean countries, on average, 17% of those companies had debt claims against foreign debtors over 2015 fiscal year. However, in some countries this situation was much more frequent: 49% in Luxembourg, 45% in Slovenia, 31% in Austria. Half of the companies </w:t>
      </w:r>
      <w:r>
        <w:rPr>
          <w:rFonts w:ascii="Times New Roman" w:hAnsi="Times New Roman" w:cs="Times New Roman"/>
          <w:noProof/>
          <w:sz w:val="24"/>
          <w:szCs w:val="24"/>
        </w:rPr>
        <w:t>with foreign debt claims say foreign debt claims represented at least 6% in their 2015 turnover. Frequency of outstanding foreign debt claims as compared to domestic claims and also relative difficulty to recover them depended on the general economic situa</w:t>
      </w:r>
      <w:r>
        <w:rPr>
          <w:rFonts w:ascii="Times New Roman" w:hAnsi="Times New Roman" w:cs="Times New Roman"/>
          <w:noProof/>
          <w:sz w:val="24"/>
          <w:szCs w:val="24"/>
        </w:rPr>
        <w:t>tion in a given country. In the countries with internal economic difficulties recovery of domestic claims was perceived as more difficult, while in some countries not experiencing those difficulties (UK, Germany, Finland, Sweden) recovery of foreign debt w</w:t>
      </w:r>
      <w:r>
        <w:rPr>
          <w:rFonts w:ascii="Times New Roman" w:hAnsi="Times New Roman" w:cs="Times New Roman"/>
          <w:noProof/>
          <w:sz w:val="24"/>
          <w:szCs w:val="24"/>
        </w:rPr>
        <w:t>as similarly or more difficult as recovery of domestic debts</w:t>
      </w:r>
      <w:r>
        <w:rPr>
          <w:rFonts w:ascii="Times New Roman" w:hAnsi="Times New Roman" w:cs="Times New Roman"/>
          <w:noProof/>
          <w:sz w:val="24"/>
          <w:szCs w:val="24"/>
          <w:vertAlign w:val="superscript"/>
        </w:rPr>
        <w:footnoteReference w:id="152"/>
      </w:r>
      <w:r>
        <w:rPr>
          <w:rFonts w:ascii="Times New Roman" w:hAnsi="Times New Roman" w:cs="Times New Roman"/>
          <w:noProof/>
          <w:sz w:val="24"/>
          <w:szCs w:val="24"/>
        </w:rPr>
        <w:t>. As 17% of small and medium sized companies have foreign debts, and in half of them they make a substantial proportion of their turnover, the probability neither of the fact of cross-border inso</w:t>
      </w:r>
      <w:r>
        <w:rPr>
          <w:rFonts w:ascii="Times New Roman" w:hAnsi="Times New Roman" w:cs="Times New Roman"/>
          <w:noProof/>
          <w:sz w:val="24"/>
          <w:szCs w:val="24"/>
        </w:rPr>
        <w:t>lvencies nor of their importance for creditor companies cannot be neglected</w:t>
      </w:r>
      <w:r>
        <w:rPr>
          <w:rFonts w:ascii="Times New Roman" w:hAnsi="Times New Roman" w:cs="Times New Roman"/>
          <w:noProof/>
          <w:vertAlign w:val="superscript"/>
        </w:rPr>
        <w:footnoteReference w:id="153"/>
      </w:r>
      <w:r>
        <w:rPr>
          <w:rFonts w:ascii="Times New Roman" w:hAnsi="Times New Roman" w:cs="Times New Roman"/>
          <w:noProof/>
        </w:rPr>
        <w:t>. In the UK alone</w:t>
      </w:r>
      <w:r>
        <w:rPr>
          <w:rFonts w:ascii="Times New Roman" w:hAnsi="Times New Roman" w:cs="Times New Roman"/>
          <w:noProof/>
          <w:sz w:val="24"/>
          <w:szCs w:val="24"/>
        </w:rPr>
        <w:t>, 27% of insolvencies are triggered by the insolvency of another company</w:t>
      </w:r>
      <w:r>
        <w:rPr>
          <w:rStyle w:val="FootnoteReference"/>
          <w:rFonts w:ascii="Times New Roman" w:hAnsi="Times New Roman"/>
          <w:noProof/>
          <w:sz w:val="24"/>
          <w:szCs w:val="24"/>
        </w:rPr>
        <w:footnoteReference w:id="154"/>
      </w:r>
      <w:r>
        <w:rPr>
          <w:rFonts w:ascii="Times New Roman" w:hAnsi="Times New Roman" w:cs="Times New Roman"/>
          <w:noProof/>
          <w:sz w:val="24"/>
          <w:szCs w:val="24"/>
        </w:rPr>
        <w:t xml:space="preserve">. In the light of the domino effects of insolvency, </w:t>
      </w:r>
      <w:r>
        <w:rPr>
          <w:rFonts w:ascii="Times New Roman" w:eastAsia="Calibri" w:hAnsi="Times New Roman" w:cs="Times New Roman"/>
          <w:noProof/>
          <w:sz w:val="24"/>
          <w:szCs w:val="24"/>
        </w:rPr>
        <w:t>it is necessary to act not only in pur</w:t>
      </w:r>
      <w:r>
        <w:rPr>
          <w:rFonts w:ascii="Times New Roman" w:eastAsia="Calibri" w:hAnsi="Times New Roman" w:cs="Times New Roman"/>
          <w:noProof/>
          <w:sz w:val="24"/>
          <w:szCs w:val="24"/>
        </w:rPr>
        <w:t xml:space="preserve">ely cross-border insolvency scenarios, but also in domestic insolvency cases. The possibility of an insolvency regime limited to cross-border insolvency or restructuring proceedings must therefore be discarded since such a limited solution would not solve </w:t>
      </w:r>
      <w:r>
        <w:rPr>
          <w:rFonts w:ascii="Times New Roman" w:eastAsia="Calibri" w:hAnsi="Times New Roman" w:cs="Times New Roman"/>
          <w:noProof/>
          <w:sz w:val="24"/>
          <w:szCs w:val="24"/>
        </w:rPr>
        <w:t xml:space="preserve">the internal market problem. </w:t>
      </w:r>
    </w:p>
    <w:p w:rsidR="00B32D69" w:rsidRDefault="00B32D69">
      <w:pPr>
        <w:autoSpaceDE w:val="0"/>
        <w:autoSpaceDN w:val="0"/>
        <w:adjustRightInd w:val="0"/>
        <w:spacing w:after="0" w:line="240" w:lineRule="auto"/>
        <w:jc w:val="both"/>
        <w:rPr>
          <w:rFonts w:ascii="Times New Roman" w:eastAsia="Calibri" w:hAnsi="Times New Roman" w:cs="Times New Roman"/>
          <w:noProof/>
          <w:sz w:val="24"/>
          <w:szCs w:val="24"/>
        </w:rPr>
      </w:pPr>
    </w:p>
    <w:p w:rsidR="00B32D69" w:rsidRDefault="00FB661A">
      <w:pPr>
        <w:autoSpaceDE w:val="0"/>
        <w:autoSpaceDN w:val="0"/>
        <w:adjustRightInd w:val="0"/>
        <w:spacing w:after="0" w:line="240" w:lineRule="auto"/>
        <w:jc w:val="both"/>
        <w:rPr>
          <w:noProof/>
        </w:rPr>
      </w:pPr>
      <w:r>
        <w:rPr>
          <w:rFonts w:ascii="Times New Roman" w:eastAsia="Calibri" w:hAnsi="Times New Roman" w:cs="Times New Roman"/>
          <w:noProof/>
          <w:sz w:val="24"/>
          <w:szCs w:val="24"/>
        </w:rPr>
        <w:t>In addition, a crystal-clear distinction between domestic and cross-border cases is particularly difficult in the context of insolvency. First, in most cases it is impossible to anticipate in advance (at the opening of procee</w:t>
      </w:r>
      <w:r>
        <w:rPr>
          <w:rFonts w:ascii="Times New Roman" w:eastAsia="Calibri" w:hAnsi="Times New Roman" w:cs="Times New Roman"/>
          <w:noProof/>
          <w:sz w:val="24"/>
          <w:szCs w:val="24"/>
        </w:rPr>
        <w:t xml:space="preserve">dings), if the case will have a cross-border element in course of the proceedings. The cross-border nature of a restructuring proceedings (in the context of the Insolvency Regulation) depends of various different circumstances and factors which simply may </w:t>
      </w:r>
      <w:r>
        <w:rPr>
          <w:rFonts w:ascii="Times New Roman" w:eastAsia="Calibri" w:hAnsi="Times New Roman" w:cs="Times New Roman"/>
          <w:noProof/>
          <w:sz w:val="24"/>
          <w:szCs w:val="24"/>
        </w:rPr>
        <w:t>not be anticipated by the debtor or by the court in advance, at the opening of the proceedings or beginning of the negotiations, even having carried out the highest diligence. If a debtor has a creditor abroad or some assets of the estate of the debtor are</w:t>
      </w:r>
      <w:r>
        <w:rPr>
          <w:rFonts w:ascii="Times New Roman" w:eastAsia="Calibri" w:hAnsi="Times New Roman" w:cs="Times New Roman"/>
          <w:noProof/>
          <w:sz w:val="24"/>
          <w:szCs w:val="24"/>
        </w:rPr>
        <w:t xml:space="preserve"> situated in another State, this alone qualifies the insolvency proceeding as having cross-border elements. These factors generating the cross-border element may, however, appear also in course of the proceedings, once negotiations are already on-going.  F</w:t>
      </w:r>
      <w:r>
        <w:rPr>
          <w:rFonts w:ascii="Times New Roman" w:eastAsia="Calibri" w:hAnsi="Times New Roman" w:cs="Times New Roman"/>
          <w:noProof/>
          <w:sz w:val="24"/>
          <w:szCs w:val="24"/>
        </w:rPr>
        <w:t xml:space="preserve">or example this is the case where a domestic creditor changes domicile during the proceedings concerning the debtor or where during preventive restructuring assets are sold to a buyer in another Member State and later insolvency proceedings are opened and </w:t>
      </w:r>
      <w:r>
        <w:rPr>
          <w:rFonts w:ascii="Times New Roman" w:eastAsia="Calibri" w:hAnsi="Times New Roman" w:cs="Times New Roman"/>
          <w:noProof/>
          <w:sz w:val="24"/>
          <w:szCs w:val="24"/>
        </w:rPr>
        <w:t>the insolvency practitioner aims at avoiding those transactions. These circumstances alone transform the domestic nature of the case to a cross-border situation.</w:t>
      </w:r>
    </w:p>
    <w:p w:rsidR="00B32D69" w:rsidRDefault="00B32D69">
      <w:pPr>
        <w:autoSpaceDE w:val="0"/>
        <w:autoSpaceDN w:val="0"/>
        <w:adjustRightInd w:val="0"/>
        <w:spacing w:after="0" w:line="240" w:lineRule="auto"/>
        <w:jc w:val="both"/>
        <w:rPr>
          <w:noProof/>
        </w:rPr>
      </w:pP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regards second chance, a distinction needs to be made between natural persons </w:t>
      </w:r>
      <w:r>
        <w:rPr>
          <w:rFonts w:ascii="Times New Roman" w:hAnsi="Times New Roman" w:cs="Times New Roman"/>
          <w:noProof/>
          <w:sz w:val="24"/>
          <w:szCs w:val="24"/>
        </w:rPr>
        <w:t>entrepreneurs and consumers. Different discharge periods may lead bankrupt entrepreneurs to exercise their free movement rights and relocate to a more debtor friendly jurisdiction (such movements were observed for instance from Germany to UK and France). T</w:t>
      </w:r>
      <w:r>
        <w:rPr>
          <w:rFonts w:ascii="Times New Roman" w:hAnsi="Times New Roman" w:cs="Times New Roman"/>
          <w:noProof/>
          <w:sz w:val="24"/>
          <w:szCs w:val="24"/>
        </w:rPr>
        <w:t>his movement however raises two types of internal market problems: first, creditors and investors, whether at home or abroad, will face uncertainty as to what legal regime might ultimately apply to their claims against the debtor and whether in practice th</w:t>
      </w:r>
      <w:r>
        <w:rPr>
          <w:rFonts w:ascii="Times New Roman" w:hAnsi="Times New Roman" w:cs="Times New Roman"/>
          <w:noProof/>
          <w:sz w:val="24"/>
          <w:szCs w:val="24"/>
        </w:rPr>
        <w:t>ey will have no claim after 1 (UK), 3 years (UK, FR, NL, FI) or 7 years (CZ). Second, the costs of obtaining a discharge for the entrepreneur who wants to benefit from a second chance sooner rather than later are considerably higher if he has to relocate t</w:t>
      </w:r>
      <w:r>
        <w:rPr>
          <w:rFonts w:ascii="Times New Roman" w:hAnsi="Times New Roman" w:cs="Times New Roman"/>
          <w:noProof/>
          <w:sz w:val="24"/>
          <w:szCs w:val="24"/>
        </w:rPr>
        <w:t>o another jurisdiction (there is now a presumption in the reformed Insolvency Regulation that a debtor must be established in another MS for at least 6 months in order to be able to open discharge procedures in that state). This problem is not solved by th</w:t>
      </w:r>
      <w:r>
        <w:rPr>
          <w:rFonts w:ascii="Times New Roman" w:hAnsi="Times New Roman" w:cs="Times New Roman"/>
          <w:noProof/>
          <w:sz w:val="24"/>
          <w:szCs w:val="24"/>
        </w:rPr>
        <w:t>e fact that entrepreneurs can set up a limited liability company to protect themselves: the concept of entrepreneurs includes also professionals, craftsmen, traders which may not opt for such a possibility (these may be lawyers, artists, midwives, cleaners</w:t>
      </w:r>
      <w:r>
        <w:rPr>
          <w:rFonts w:ascii="Times New Roman" w:hAnsi="Times New Roman" w:cs="Times New Roman"/>
          <w:noProof/>
          <w:sz w:val="24"/>
          <w:szCs w:val="24"/>
        </w:rPr>
        <w:t xml:space="preserve"> etc.). These categories of persons will incur personal liability for their work-related activities.</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Contrary to entrepreneurs, who constantly search for any sources of investment (often cross-border), consumers tend to be provided, at this stage, by local</w:t>
      </w:r>
      <w:r>
        <w:rPr>
          <w:rFonts w:ascii="Times New Roman" w:hAnsi="Times New Roman" w:cs="Times New Roman"/>
          <w:noProof/>
          <w:sz w:val="24"/>
          <w:szCs w:val="24"/>
        </w:rPr>
        <w:t xml:space="preserve"> financing (loans from local banks). Therefore, it is not self-evident that the problem of consumers' over-indebtedness, which is real, should not be tackled first at national level. At this moment, there are attempts to attract cross-border lending to con</w:t>
      </w:r>
      <w:r>
        <w:rPr>
          <w:rFonts w:ascii="Times New Roman" w:hAnsi="Times New Roman" w:cs="Times New Roman"/>
          <w:noProof/>
          <w:sz w:val="24"/>
          <w:szCs w:val="24"/>
        </w:rPr>
        <w:t>sumers, but this market has not been developed so far. Therefore, principle sources of debt for consumers are most often based on loans provided by local creditors.</w:t>
      </w:r>
    </w:p>
    <w:p w:rsidR="00B32D69" w:rsidRDefault="00FB661A">
      <w:pPr>
        <w:autoSpaceDE w:val="0"/>
        <w:autoSpaceDN w:val="0"/>
        <w:spacing w:after="0" w:line="240" w:lineRule="auto"/>
        <w:jc w:val="both"/>
        <w:rPr>
          <w:rFonts w:ascii="Times New Roman" w:hAnsi="Times New Roman"/>
          <w:noProof/>
          <w:sz w:val="24"/>
          <w:szCs w:val="24"/>
        </w:rPr>
      </w:pPr>
      <w:r>
        <w:rPr>
          <w:rFonts w:ascii="Times New Roman" w:hAnsi="Times New Roman" w:cs="Times New Roman"/>
          <w:noProof/>
          <w:sz w:val="24"/>
          <w:szCs w:val="24"/>
        </w:rPr>
        <w:t>A well-functioning EU internal market requires a coherent restructuring and second chance f</w:t>
      </w:r>
      <w:r>
        <w:rPr>
          <w:rFonts w:ascii="Times New Roman" w:hAnsi="Times New Roman" w:cs="Times New Roman"/>
          <w:noProof/>
          <w:sz w:val="24"/>
          <w:szCs w:val="24"/>
        </w:rPr>
        <w:t>ramework, capable of addressing the cross-border dimension of firms, as interaction between companies located in different Member States has become increasingly common. EU action will therefore add value by facilitating cross-border investing in the EU, en</w:t>
      </w:r>
      <w:r>
        <w:rPr>
          <w:rFonts w:ascii="Times New Roman" w:hAnsi="Times New Roman" w:cs="Times New Roman"/>
          <w:noProof/>
          <w:sz w:val="24"/>
          <w:szCs w:val="24"/>
        </w:rPr>
        <w:t>suring that viable businesses in financial difficulty, wherever they are located in the internal market, will benefit from more choice of accessible tools aiming at preventing their insolvency; at the same time, entrepreneurs will profit from the possibili</w:t>
      </w:r>
      <w:r>
        <w:rPr>
          <w:rFonts w:ascii="Times New Roman" w:hAnsi="Times New Roman" w:cs="Times New Roman"/>
          <w:noProof/>
          <w:sz w:val="24"/>
          <w:szCs w:val="24"/>
        </w:rPr>
        <w:t xml:space="preserve">ty of using reasonable discharge periods in their Member States. This could not realistically be achieved by the Member States acting alone. </w:t>
      </w:r>
      <w:r>
        <w:rPr>
          <w:rFonts w:ascii="Times New Roman" w:hAnsi="Times New Roman"/>
          <w:noProof/>
          <w:sz w:val="24"/>
          <w:szCs w:val="24"/>
        </w:rPr>
        <w:t xml:space="preserve">Despite ongoing efforts to improve European insolvency and restructuring procedures, important differences persist </w:t>
      </w:r>
      <w:r>
        <w:rPr>
          <w:rFonts w:ascii="Times New Roman" w:hAnsi="Times New Roman"/>
          <w:noProof/>
          <w:sz w:val="24"/>
          <w:szCs w:val="24"/>
        </w:rPr>
        <w:t>across Member States.</w:t>
      </w:r>
      <w:r>
        <w:rPr>
          <w:rFonts w:ascii="Times New Roman" w:hAnsi="Times New Roman"/>
          <w:b/>
          <w:bCs/>
          <w:noProof/>
          <w:sz w:val="24"/>
          <w:szCs w:val="24"/>
        </w:rPr>
        <w:t xml:space="preserve"> </w:t>
      </w:r>
      <w:r>
        <w:rPr>
          <w:rFonts w:ascii="TimesNewRoman" w:hAnsi="TimesNewRoman"/>
          <w:noProof/>
          <w:sz w:val="24"/>
          <w:szCs w:val="24"/>
        </w:rPr>
        <w:t>World Bank indicators</w:t>
      </w:r>
      <w:r>
        <w:rPr>
          <w:rStyle w:val="FootnoteReference"/>
          <w:rFonts w:ascii="TimesNewRoman" w:hAnsi="TimesNewRoman"/>
          <w:noProof/>
          <w:sz w:val="24"/>
          <w:szCs w:val="24"/>
        </w:rPr>
        <w:footnoteReference w:id="155"/>
      </w:r>
      <w:r>
        <w:rPr>
          <w:rFonts w:ascii="TimesNewRoman" w:hAnsi="TimesNewRoman"/>
          <w:noProof/>
          <w:sz w:val="24"/>
          <w:szCs w:val="24"/>
        </w:rPr>
        <w:t xml:space="preserve"> suggest that resolving insolvency can take between less than one year in Ireland, Belgium and Finland and more than three years in Bulgaria, Romania, Greece and the Slovak Republic. The recovery rate varies betw</w:t>
      </w:r>
      <w:r>
        <w:rPr>
          <w:rFonts w:ascii="TimesNewRoman" w:hAnsi="TimesNewRoman"/>
          <w:noProof/>
          <w:sz w:val="24"/>
          <w:szCs w:val="24"/>
        </w:rPr>
        <w:t xml:space="preserve">een 30% in Croatia and Romania and 90% in Belgium and Finland. </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ensuring that cross-border creditors and investors involved in such a restructuring process have at their disposal appropriate safeguards will have positive economic effects. The </w:t>
      </w:r>
      <w:r>
        <w:rPr>
          <w:rFonts w:ascii="Times New Roman" w:hAnsi="Times New Roman" w:cs="Times New Roman"/>
          <w:noProof/>
          <w:sz w:val="24"/>
          <w:szCs w:val="24"/>
        </w:rPr>
        <w:t xml:space="preserve">proposed rules will create legal certainty for creditors and investors which want to lend in other Member States. At least, they would in many cases receive the necessary information to take informed decisions. </w:t>
      </w:r>
    </w:p>
    <w:p w:rsidR="00B32D69" w:rsidRDefault="00FB661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proposal is designed to respect the prin</w:t>
      </w:r>
      <w:r>
        <w:rPr>
          <w:rFonts w:ascii="Times New Roman" w:hAnsi="Times New Roman" w:cs="Times New Roman"/>
          <w:noProof/>
          <w:sz w:val="24"/>
          <w:szCs w:val="24"/>
        </w:rPr>
        <w:t>ciple of proportionality. The means it uses will be tailored to achieve the objective of ensuring the proper functioning of the internal market. The future EU instrument should set common objectives and general rules, while leaving freedom to Member States</w:t>
      </w:r>
      <w:r>
        <w:rPr>
          <w:rFonts w:ascii="Times New Roman" w:hAnsi="Times New Roman" w:cs="Times New Roman"/>
          <w:noProof/>
          <w:sz w:val="24"/>
          <w:szCs w:val="24"/>
        </w:rPr>
        <w:t xml:space="preserve"> to define how to achieve those objectives. All policy options will therefore be assessed with regard to their compliance with the proportionality principle. Options that would not be in line with this principle will be discarded.</w:t>
      </w:r>
    </w:p>
    <w:p w:rsidR="00B32D69" w:rsidRDefault="00B32D69">
      <w:pPr>
        <w:spacing w:after="240" w:line="240" w:lineRule="auto"/>
        <w:jc w:val="both"/>
        <w:rPr>
          <w:rFonts w:ascii="Times New Roman" w:hAnsi="Times New Roman" w:cs="Times New Roman"/>
          <w:noProof/>
          <w:sz w:val="24"/>
          <w:szCs w:val="24"/>
        </w:rPr>
      </w:pPr>
    </w:p>
    <w:p w:rsidR="00B32D69" w:rsidRDefault="00FB661A">
      <w:pPr>
        <w:keepNext/>
        <w:keepLines/>
        <w:spacing w:before="240" w:after="240"/>
        <w:outlineLvl w:val="0"/>
        <w:rPr>
          <w:rFonts w:ascii="Times New Roman" w:eastAsiaTheme="majorEastAsia" w:hAnsi="Times New Roman" w:cs="Times New Roman"/>
          <w:b/>
          <w:bCs/>
          <w:noProof/>
          <w:sz w:val="24"/>
          <w:szCs w:val="24"/>
        </w:rPr>
      </w:pPr>
      <w:bookmarkStart w:id="20" w:name="_Toc466452965"/>
      <w:r>
        <w:rPr>
          <w:rFonts w:ascii="Times New Roman" w:eastAsiaTheme="majorEastAsia" w:hAnsi="Times New Roman" w:cs="Times New Roman"/>
          <w:b/>
          <w:bCs/>
          <w:noProof/>
          <w:sz w:val="24"/>
          <w:szCs w:val="24"/>
        </w:rPr>
        <w:t xml:space="preserve">3. </w:t>
      </w:r>
      <w:r>
        <w:rPr>
          <w:rFonts w:ascii="Times New Roman" w:eastAsiaTheme="majorEastAsia" w:hAnsi="Times New Roman" w:cs="Times New Roman"/>
          <w:b/>
          <w:bCs/>
          <w:noProof/>
          <w:sz w:val="24"/>
          <w:szCs w:val="24"/>
        </w:rPr>
        <w:tab/>
        <w:t>OBJECTIVES</w:t>
      </w:r>
      <w:bookmarkEnd w:id="20"/>
    </w:p>
    <w:p w:rsidR="00B32D69" w:rsidRDefault="00FB661A">
      <w:pPr>
        <w:spacing w:after="240" w:line="240" w:lineRule="auto"/>
        <w:ind w:left="567" w:hanging="567"/>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General</w:t>
      </w:r>
      <w:r>
        <w:rPr>
          <w:rFonts w:ascii="Times New Roman" w:eastAsia="Times New Roman" w:hAnsi="Times New Roman" w:cs="Times New Roman"/>
          <w:noProof/>
          <w:sz w:val="24"/>
          <w:szCs w:val="24"/>
        </w:rPr>
        <w:t xml:space="preserve"> </w:t>
      </w:r>
    </w:p>
    <w:p w:rsidR="00B32D69" w:rsidRDefault="00FB661A">
      <w:pPr>
        <w:numPr>
          <w:ilvl w:val="0"/>
          <w:numId w:val="3"/>
        </w:numPr>
        <w:spacing w:after="240" w:line="240" w:lineRule="auto"/>
        <w:ind w:left="567" w:hanging="56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Reduce the barriers for cross-border investment which are related to restructuring and insolvency frameworks and increase investment and job opportunities in the internal market </w:t>
      </w:r>
    </w:p>
    <w:p w:rsidR="00B32D69" w:rsidRDefault="00FB661A">
      <w:pPr>
        <w:numPr>
          <w:ilvl w:val="0"/>
          <w:numId w:val="3"/>
        </w:numPr>
        <w:spacing w:after="240" w:line="240" w:lineRule="auto"/>
        <w:ind w:left="567" w:hanging="56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Reduce the number of unnecessary liquidations of viable companies and increas</w:t>
      </w:r>
      <w:r>
        <w:rPr>
          <w:rFonts w:ascii="Times New Roman" w:eastAsia="Times New Roman" w:hAnsi="Times New Roman" w:cs="Times New Roman"/>
          <w:noProof/>
          <w:sz w:val="24"/>
          <w:szCs w:val="24"/>
        </w:rPr>
        <w:t>e the possibilities of cross-border restructurings in the internal market</w:t>
      </w:r>
    </w:p>
    <w:p w:rsidR="00B32D69" w:rsidRDefault="00FB661A">
      <w:pPr>
        <w:numPr>
          <w:ilvl w:val="0"/>
          <w:numId w:val="3"/>
        </w:numPr>
        <w:spacing w:after="240" w:line="240" w:lineRule="auto"/>
        <w:ind w:left="567" w:hanging="56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Reduce the costs and increase the opportunities for honest entrepreneurs to be given a fresh start</w:t>
      </w:r>
    </w:p>
    <w:p w:rsidR="00B32D69" w:rsidRDefault="00FB661A">
      <w:pPr>
        <w:spacing w:after="240" w:line="240" w:lineRule="auto"/>
        <w:ind w:left="567" w:hanging="567"/>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Specific</w:t>
      </w:r>
      <w:r>
        <w:rPr>
          <w:rFonts w:ascii="Times New Roman" w:eastAsia="Times New Roman" w:hAnsi="Times New Roman" w:cs="Times New Roman"/>
          <w:noProof/>
          <w:sz w:val="24"/>
          <w:szCs w:val="24"/>
        </w:rPr>
        <w:t xml:space="preserve"> </w:t>
      </w:r>
    </w:p>
    <w:p w:rsidR="00B32D69" w:rsidRDefault="00FB661A">
      <w:pPr>
        <w:numPr>
          <w:ilvl w:val="0"/>
          <w:numId w:val="4"/>
        </w:numPr>
        <w:autoSpaceDE w:val="0"/>
        <w:autoSpaceDN w:val="0"/>
        <w:adjustRightInd w:val="0"/>
        <w:spacing w:after="240" w:line="240" w:lineRule="auto"/>
        <w:ind w:left="567" w:hanging="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Reduce the costs of assessing ex-ante the investment risks and improve recovery rates  </w:t>
      </w:r>
    </w:p>
    <w:p w:rsidR="00B32D69" w:rsidRDefault="00FB661A">
      <w:pPr>
        <w:numPr>
          <w:ilvl w:val="0"/>
          <w:numId w:val="4"/>
        </w:numPr>
        <w:autoSpaceDE w:val="0"/>
        <w:autoSpaceDN w:val="0"/>
        <w:adjustRightInd w:val="0"/>
        <w:spacing w:after="240" w:line="240" w:lineRule="auto"/>
        <w:ind w:left="567" w:hanging="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Reduce the costs of restructuring, including for groups of companies, so that viable companies are rescued rather than liquidated and maintain jobs</w:t>
      </w:r>
    </w:p>
    <w:p w:rsidR="00B32D69" w:rsidRDefault="00FB661A">
      <w:pPr>
        <w:numPr>
          <w:ilvl w:val="0"/>
          <w:numId w:val="4"/>
        </w:numPr>
        <w:autoSpaceDE w:val="0"/>
        <w:autoSpaceDN w:val="0"/>
        <w:adjustRightInd w:val="0"/>
        <w:spacing w:after="240" w:line="240" w:lineRule="auto"/>
        <w:ind w:left="567" w:hanging="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Reduce the number of</w:t>
      </w:r>
      <w:r>
        <w:rPr>
          <w:rFonts w:ascii="Times New Roman" w:eastAsia="Times New Roman" w:hAnsi="Times New Roman" w:cs="Times New Roman"/>
          <w:noProof/>
          <w:sz w:val="24"/>
          <w:szCs w:val="24"/>
        </w:rPr>
        <w:t xml:space="preserve"> entrepreneurs who would need to relocate to escape a debt-trap and thus reduce costs of second chance and increase the number of persons who would re-integrate in the economic life to support a dynamic business environment </w:t>
      </w:r>
    </w:p>
    <w:p w:rsidR="00B32D69" w:rsidRDefault="00FB661A">
      <w:pPr>
        <w:spacing w:after="240" w:line="240" w:lineRule="auto"/>
        <w:ind w:left="567" w:hanging="567"/>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 xml:space="preserve">Operational objectives </w:t>
      </w:r>
    </w:p>
    <w:p w:rsidR="00B32D69" w:rsidRDefault="00FB661A">
      <w:pPr>
        <w:numPr>
          <w:ilvl w:val="0"/>
          <w:numId w:val="5"/>
        </w:numPr>
        <w:spacing w:after="240" w:line="240" w:lineRule="auto"/>
        <w:ind w:left="567" w:hanging="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Enable </w:t>
      </w:r>
      <w:r>
        <w:rPr>
          <w:rFonts w:ascii="Times New Roman" w:eastAsia="Times New Roman" w:hAnsi="Times New Roman" w:cs="Times New Roman"/>
          <w:noProof/>
          <w:sz w:val="24"/>
          <w:szCs w:val="24"/>
        </w:rPr>
        <w:t xml:space="preserve">efficient possibilities of </w:t>
      </w:r>
      <w:r>
        <w:rPr>
          <w:rFonts w:ascii="Times New Roman" w:eastAsia="Times New Roman" w:hAnsi="Times New Roman" w:cs="Times New Roman"/>
          <w:i/>
          <w:noProof/>
          <w:sz w:val="24"/>
          <w:szCs w:val="24"/>
        </w:rPr>
        <w:t>early restructuring</w:t>
      </w:r>
    </w:p>
    <w:p w:rsidR="00B32D69" w:rsidRDefault="00FB661A">
      <w:pPr>
        <w:numPr>
          <w:ilvl w:val="0"/>
          <w:numId w:val="5"/>
        </w:numPr>
        <w:spacing w:after="240" w:line="240" w:lineRule="auto"/>
        <w:ind w:left="567" w:hanging="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Improve chances of negotiations by allowing the debtor a "breathing space" from enforcement actions (</w:t>
      </w:r>
      <w:r>
        <w:rPr>
          <w:rFonts w:ascii="Times New Roman" w:eastAsia="Times New Roman" w:hAnsi="Times New Roman" w:cs="Times New Roman"/>
          <w:i/>
          <w:noProof/>
          <w:sz w:val="24"/>
          <w:szCs w:val="24"/>
        </w:rPr>
        <w:t>stay/moratorium</w:t>
      </w:r>
      <w:r>
        <w:rPr>
          <w:rFonts w:ascii="Times New Roman" w:eastAsia="Times New Roman" w:hAnsi="Times New Roman" w:cs="Times New Roman"/>
          <w:noProof/>
          <w:sz w:val="24"/>
          <w:szCs w:val="24"/>
        </w:rPr>
        <w:t>)</w:t>
      </w:r>
    </w:p>
    <w:p w:rsidR="00B32D69" w:rsidRDefault="00FB661A">
      <w:pPr>
        <w:numPr>
          <w:ilvl w:val="0"/>
          <w:numId w:val="5"/>
        </w:numPr>
        <w:spacing w:after="240" w:line="240" w:lineRule="auto"/>
        <w:ind w:left="567" w:hanging="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Facilitate the continuation of debtor's business while restructuring (</w:t>
      </w:r>
      <w:r>
        <w:rPr>
          <w:rFonts w:ascii="Times New Roman" w:eastAsia="Times New Roman" w:hAnsi="Times New Roman" w:cs="Times New Roman"/>
          <w:i/>
          <w:noProof/>
          <w:sz w:val="24"/>
          <w:szCs w:val="24"/>
        </w:rPr>
        <w:t>debtor in possession</w:t>
      </w:r>
      <w:r>
        <w:rPr>
          <w:rFonts w:ascii="Times New Roman" w:eastAsia="Times New Roman" w:hAnsi="Times New Roman" w:cs="Times New Roman"/>
          <w:noProof/>
          <w:sz w:val="24"/>
          <w:szCs w:val="24"/>
        </w:rPr>
        <w:t>)</w:t>
      </w:r>
    </w:p>
    <w:p w:rsidR="00B32D69" w:rsidRDefault="00FB661A">
      <w:pPr>
        <w:numPr>
          <w:ilvl w:val="0"/>
          <w:numId w:val="5"/>
        </w:numPr>
        <w:spacing w:after="240" w:line="240" w:lineRule="auto"/>
        <w:ind w:left="567" w:hanging="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Disallow dissenting minority creditors and shareholders to jeopardise restructuring efforts while safeguarding their interests (</w:t>
      </w:r>
      <w:r>
        <w:rPr>
          <w:rFonts w:ascii="Times New Roman" w:eastAsia="Times New Roman" w:hAnsi="Times New Roman" w:cs="Times New Roman"/>
          <w:i/>
          <w:noProof/>
          <w:sz w:val="24"/>
          <w:szCs w:val="24"/>
        </w:rPr>
        <w:t>majority voting; inter-class cram-down; treatment of shareholders in restructuring</w:t>
      </w:r>
      <w:r>
        <w:rPr>
          <w:rFonts w:ascii="Times New Roman" w:eastAsia="Times New Roman" w:hAnsi="Times New Roman" w:cs="Times New Roman"/>
          <w:noProof/>
          <w:sz w:val="24"/>
          <w:szCs w:val="24"/>
        </w:rPr>
        <w:t>)</w:t>
      </w:r>
    </w:p>
    <w:p w:rsidR="00B32D69" w:rsidRDefault="00FB661A">
      <w:pPr>
        <w:numPr>
          <w:ilvl w:val="0"/>
          <w:numId w:val="5"/>
        </w:numPr>
        <w:spacing w:after="240" w:line="240" w:lineRule="auto"/>
        <w:ind w:left="567" w:hanging="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Increase chances of success of the restruct</w:t>
      </w:r>
      <w:r>
        <w:rPr>
          <w:rFonts w:ascii="Times New Roman" w:eastAsia="Times New Roman" w:hAnsi="Times New Roman" w:cs="Times New Roman"/>
          <w:noProof/>
          <w:sz w:val="24"/>
          <w:szCs w:val="24"/>
        </w:rPr>
        <w:t>uring plan (</w:t>
      </w:r>
      <w:r>
        <w:rPr>
          <w:rFonts w:ascii="Times New Roman" w:eastAsia="Times New Roman" w:hAnsi="Times New Roman" w:cs="Times New Roman"/>
          <w:i/>
          <w:noProof/>
          <w:sz w:val="24"/>
          <w:szCs w:val="24"/>
        </w:rPr>
        <w:t>protecting new financing; safe harbour for non-related party transactions; release of third parties</w:t>
      </w:r>
      <w:r>
        <w:rPr>
          <w:rFonts w:ascii="Times New Roman" w:eastAsia="Times New Roman" w:hAnsi="Times New Roman" w:cs="Times New Roman"/>
          <w:noProof/>
          <w:sz w:val="24"/>
          <w:szCs w:val="24"/>
        </w:rPr>
        <w:t>)</w:t>
      </w:r>
    </w:p>
    <w:p w:rsidR="00B32D69" w:rsidRDefault="00FB661A">
      <w:pPr>
        <w:numPr>
          <w:ilvl w:val="0"/>
          <w:numId w:val="5"/>
        </w:numPr>
        <w:spacing w:after="240" w:line="240" w:lineRule="auto"/>
        <w:ind w:left="567" w:hanging="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Reduce costs and the average length of all types of restructuring, insolvency and second chance procedures (</w:t>
      </w:r>
      <w:r>
        <w:rPr>
          <w:rFonts w:ascii="Times New Roman" w:eastAsia="Times New Roman" w:hAnsi="Times New Roman" w:cs="Times New Roman"/>
          <w:i/>
          <w:noProof/>
          <w:sz w:val="24"/>
          <w:szCs w:val="24"/>
        </w:rPr>
        <w:t>minimum necessary court involvement</w:t>
      </w:r>
      <w:r>
        <w:rPr>
          <w:rFonts w:ascii="Times New Roman" w:eastAsia="Times New Roman" w:hAnsi="Times New Roman" w:cs="Times New Roman"/>
          <w:i/>
          <w:noProof/>
          <w:sz w:val="24"/>
          <w:szCs w:val="24"/>
        </w:rPr>
        <w:t xml:space="preserve"> in restructuring and second chance frameworks, raising court expertise, capacity to respond quickly, use of modern technology; harmonise quality of the profession of the insolvency practitioners</w:t>
      </w:r>
      <w:r>
        <w:rPr>
          <w:rFonts w:ascii="Times New Roman" w:eastAsia="Times New Roman" w:hAnsi="Times New Roman" w:cs="Times New Roman"/>
          <w:noProof/>
          <w:sz w:val="24"/>
          <w:szCs w:val="24"/>
        </w:rPr>
        <w:t>)</w:t>
      </w:r>
    </w:p>
    <w:p w:rsidR="00B32D69" w:rsidRDefault="00FB661A">
      <w:pPr>
        <w:numPr>
          <w:ilvl w:val="0"/>
          <w:numId w:val="5"/>
        </w:numPr>
        <w:spacing w:after="240" w:line="240" w:lineRule="auto"/>
        <w:ind w:left="567" w:hanging="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Enable discharge in a reasonable time for entrepreneurs who</w:t>
      </w:r>
      <w:r>
        <w:rPr>
          <w:rFonts w:ascii="Times New Roman" w:eastAsia="Times New Roman" w:hAnsi="Times New Roman" w:cs="Times New Roman"/>
          <w:noProof/>
          <w:sz w:val="24"/>
          <w:szCs w:val="24"/>
        </w:rPr>
        <w:t xml:space="preserve"> are acting in good faith</w:t>
      </w:r>
    </w:p>
    <w:p w:rsidR="00B32D69" w:rsidRDefault="00FB661A">
      <w:pPr>
        <w:spacing w:after="24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eastAsia="en-GB"/>
        </w:rPr>
        <w:drawing>
          <wp:inline distT="0" distB="0" distL="0" distR="0">
            <wp:extent cx="5760720" cy="3908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ems-objectives_rev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3908425"/>
                    </a:xfrm>
                    <a:prstGeom prst="rect">
                      <a:avLst/>
                    </a:prstGeom>
                  </pic:spPr>
                </pic:pic>
              </a:graphicData>
            </a:graphic>
          </wp:inline>
        </w:drawing>
      </w:r>
    </w:p>
    <w:p w:rsidR="00B32D69" w:rsidRDefault="00FB661A">
      <w:pPr>
        <w:keepNext/>
        <w:keepLines/>
        <w:spacing w:before="240" w:after="0" w:line="240" w:lineRule="auto"/>
        <w:outlineLvl w:val="0"/>
        <w:rPr>
          <w:rFonts w:ascii="Times New Roman" w:eastAsia="Times New Roman" w:hAnsi="Times New Roman" w:cs="Times New Roman"/>
          <w:b/>
          <w:bCs/>
          <w:noProof/>
          <w:sz w:val="24"/>
          <w:szCs w:val="24"/>
          <w:lang w:eastAsia="en-GB"/>
        </w:rPr>
      </w:pPr>
      <w:bookmarkStart w:id="21" w:name="_Toc459390479"/>
      <w:bookmarkStart w:id="22" w:name="_Toc466452966"/>
      <w:bookmarkStart w:id="23" w:name="_Toc459390470"/>
      <w:r>
        <w:rPr>
          <w:rFonts w:ascii="Times New Roman" w:eastAsia="Times New Roman" w:hAnsi="Times New Roman" w:cs="Times New Roman"/>
          <w:b/>
          <w:bCs/>
          <w:noProof/>
          <w:sz w:val="24"/>
          <w:szCs w:val="24"/>
        </w:rPr>
        <w:t xml:space="preserve">4. </w:t>
      </w:r>
      <w:bookmarkEnd w:id="21"/>
      <w:r>
        <w:rPr>
          <w:rFonts w:ascii="Times New Roman" w:eastAsia="Times New Roman" w:hAnsi="Times New Roman" w:cs="Times New Roman"/>
          <w:b/>
          <w:bCs/>
          <w:noProof/>
          <w:sz w:val="24"/>
          <w:szCs w:val="24"/>
        </w:rPr>
        <w:t>HIGH-LEVEL OPTIONS</w:t>
      </w:r>
      <w:bookmarkEnd w:id="22"/>
    </w:p>
    <w:p w:rsidR="00B32D69" w:rsidRDefault="00FB661A">
      <w:pPr>
        <w:keepNext/>
        <w:spacing w:before="240" w:after="240" w:line="240" w:lineRule="auto"/>
        <w:jc w:val="both"/>
        <w:outlineLvl w:val="1"/>
        <w:rPr>
          <w:rFonts w:ascii="Times New Roman" w:eastAsia="Times New Roman" w:hAnsi="Times New Roman" w:cs="Times New Roman"/>
          <w:b/>
          <w:bCs/>
          <w:iCs/>
          <w:noProof/>
          <w:sz w:val="24"/>
          <w:szCs w:val="24"/>
          <w:lang w:eastAsia="en-GB"/>
        </w:rPr>
      </w:pPr>
      <w:bookmarkStart w:id="24" w:name="_Toc466452967"/>
      <w:bookmarkStart w:id="25" w:name="_Toc459390480"/>
      <w:r>
        <w:rPr>
          <w:rFonts w:ascii="Times New Roman" w:eastAsia="Times New Roman" w:hAnsi="Times New Roman" w:cs="Times New Roman"/>
          <w:b/>
          <w:bCs/>
          <w:iCs/>
          <w:noProof/>
          <w:sz w:val="24"/>
          <w:szCs w:val="24"/>
          <w:lang w:eastAsia="en-GB"/>
        </w:rPr>
        <w:t>4.1. Description of high level options</w:t>
      </w:r>
      <w:bookmarkEnd w:id="24"/>
    </w:p>
    <w:p w:rsidR="00B32D69" w:rsidRDefault="00FB661A">
      <w:pPr>
        <w:keepNext/>
        <w:spacing w:before="240" w:after="240" w:line="240" w:lineRule="auto"/>
        <w:jc w:val="both"/>
        <w:outlineLvl w:val="1"/>
        <w:rPr>
          <w:rFonts w:ascii="Times New Roman" w:eastAsia="Times New Roman" w:hAnsi="Times New Roman" w:cs="Times New Roman"/>
          <w:b/>
          <w:bCs/>
          <w:iCs/>
          <w:noProof/>
          <w:sz w:val="24"/>
          <w:szCs w:val="24"/>
          <w:lang w:eastAsia="en-GB"/>
        </w:rPr>
      </w:pPr>
      <w:bookmarkStart w:id="26" w:name="_Toc466452968"/>
      <w:r>
        <w:rPr>
          <w:rFonts w:ascii="Times New Roman" w:eastAsia="Times New Roman" w:hAnsi="Times New Roman" w:cs="Times New Roman"/>
          <w:b/>
          <w:bCs/>
          <w:iCs/>
          <w:noProof/>
          <w:sz w:val="24"/>
          <w:szCs w:val="24"/>
          <w:lang w:eastAsia="en-GB"/>
        </w:rPr>
        <w:t>Option 1: Maintaining the status quo (baseline scenario)</w:t>
      </w:r>
      <w:bookmarkEnd w:id="25"/>
      <w:bookmarkEnd w:id="26"/>
    </w:p>
    <w:p w:rsidR="00B32D69" w:rsidRDefault="00FB661A">
      <w:pPr>
        <w:widowControl w:val="0"/>
        <w:autoSpaceDE w:val="0"/>
        <w:autoSpaceDN w:val="0"/>
        <w:adjustRightInd w:val="0"/>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expected evolution of status quo is described in section 2.4. </w:t>
      </w:r>
    </w:p>
    <w:p w:rsidR="00B32D69" w:rsidRDefault="00FB661A">
      <w:pPr>
        <w:keepNext/>
        <w:spacing w:before="240" w:after="240" w:line="240" w:lineRule="auto"/>
        <w:jc w:val="both"/>
        <w:outlineLvl w:val="1"/>
        <w:rPr>
          <w:rFonts w:ascii="Times New Roman" w:eastAsia="Times New Roman" w:hAnsi="Times New Roman" w:cs="Times New Roman"/>
          <w:b/>
          <w:bCs/>
          <w:iCs/>
          <w:noProof/>
          <w:sz w:val="24"/>
          <w:szCs w:val="28"/>
          <w:lang w:eastAsia="en-GB"/>
        </w:rPr>
      </w:pPr>
      <w:bookmarkStart w:id="27" w:name="_Toc459390481"/>
      <w:bookmarkStart w:id="28" w:name="_Toc466452969"/>
      <w:r>
        <w:rPr>
          <w:rFonts w:ascii="Times New Roman" w:eastAsia="Times New Roman" w:hAnsi="Times New Roman" w:cs="Times New Roman"/>
          <w:b/>
          <w:bCs/>
          <w:iCs/>
          <w:noProof/>
          <w:sz w:val="24"/>
          <w:szCs w:val="28"/>
          <w:lang w:eastAsia="en-GB"/>
        </w:rPr>
        <w:t xml:space="preserve">Option 2: Setting up a fully harmonised preventive restructuring procedure and a second chance </w:t>
      </w:r>
      <w:bookmarkEnd w:id="27"/>
      <w:r>
        <w:rPr>
          <w:rFonts w:ascii="Times New Roman" w:eastAsia="Times New Roman" w:hAnsi="Times New Roman" w:cs="Times New Roman"/>
          <w:b/>
          <w:bCs/>
          <w:iCs/>
          <w:noProof/>
          <w:sz w:val="24"/>
          <w:szCs w:val="28"/>
          <w:lang w:eastAsia="en-GB"/>
        </w:rPr>
        <w:t>framework</w:t>
      </w:r>
      <w:bookmarkEnd w:id="28"/>
    </w:p>
    <w:p w:rsidR="00B32D69" w:rsidRDefault="00FB661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Under this option, key elements of at least one type of preventive restructuring procedure would be fully harmonised. For restructuring, in addition to</w:t>
      </w:r>
      <w:r>
        <w:rPr>
          <w:rFonts w:ascii="Times New Roman" w:eastAsia="Calibri" w:hAnsi="Times New Roman" w:cs="Times New Roman"/>
          <w:noProof/>
          <w:sz w:val="24"/>
          <w:szCs w:val="24"/>
        </w:rPr>
        <w:t xml:space="preserve"> the main principles which were defined in the 2014 Recommendation, many more rules would need to be harmonised,  including for example the definition of 'insolvency' or 'likelihood of insolvency', the majorities required for plan adoption (e.g. a plan sho</w:t>
      </w:r>
      <w:r>
        <w:rPr>
          <w:rFonts w:ascii="Times New Roman" w:eastAsia="Calibri" w:hAnsi="Times New Roman" w:cs="Times New Roman"/>
          <w:noProof/>
          <w:sz w:val="24"/>
          <w:szCs w:val="24"/>
        </w:rPr>
        <w:t>uld be adopted by 75% in value of creditors' claims), the treatment of shareholders in restructuring (e.g. whether they should be treated as a separate class and given a right to vote or not) and protection on new financing (e.g. whether new financing shou</w:t>
      </w:r>
      <w:r>
        <w:rPr>
          <w:rFonts w:ascii="Times New Roman" w:eastAsia="Calibri" w:hAnsi="Times New Roman" w:cs="Times New Roman"/>
          <w:noProof/>
          <w:sz w:val="24"/>
          <w:szCs w:val="24"/>
        </w:rPr>
        <w:t>ld be given super-priority status in subsequent insolvency proceedings). Other more technical rules which make up national restructuring frameworks are those relating to whether to bifurcate secured claims according to the value of the collateral, or how t</w:t>
      </w:r>
      <w:r>
        <w:rPr>
          <w:rFonts w:ascii="Times New Roman" w:eastAsia="Calibri" w:hAnsi="Times New Roman" w:cs="Times New Roman"/>
          <w:noProof/>
          <w:sz w:val="24"/>
          <w:szCs w:val="24"/>
        </w:rPr>
        <w:t>o treat contingent and contested claims. On second chance, such harmonisation may include rules on the conditions for repayment plans, on filing of claims, on determining the disposable income of natural persons from which creditors can be repaid for the p</w:t>
      </w:r>
      <w:r>
        <w:rPr>
          <w:rFonts w:ascii="Times New Roman" w:eastAsia="Calibri" w:hAnsi="Times New Roman" w:cs="Times New Roman"/>
          <w:noProof/>
          <w:sz w:val="24"/>
          <w:szCs w:val="24"/>
        </w:rPr>
        <w:t>eriod of the discharge period etc.</w:t>
      </w:r>
    </w:p>
    <w:p w:rsidR="00B32D69" w:rsidRDefault="00FB661A">
      <w:pPr>
        <w:keepNext/>
        <w:spacing w:before="240" w:after="240" w:line="240" w:lineRule="auto"/>
        <w:jc w:val="both"/>
        <w:outlineLvl w:val="1"/>
        <w:rPr>
          <w:rFonts w:ascii="Times New Roman" w:eastAsia="Times New Roman" w:hAnsi="Times New Roman" w:cs="Times New Roman"/>
          <w:b/>
          <w:bCs/>
          <w:iCs/>
          <w:noProof/>
          <w:sz w:val="24"/>
          <w:szCs w:val="28"/>
          <w:lang w:eastAsia="en-GB"/>
        </w:rPr>
      </w:pPr>
      <w:bookmarkStart w:id="29" w:name="_Toc459390482"/>
      <w:bookmarkStart w:id="30" w:name="_Toc466452970"/>
      <w:r>
        <w:rPr>
          <w:rFonts w:ascii="Times New Roman" w:eastAsia="Times New Roman" w:hAnsi="Times New Roman" w:cs="Times New Roman"/>
          <w:b/>
          <w:bCs/>
          <w:iCs/>
          <w:noProof/>
          <w:sz w:val="24"/>
          <w:szCs w:val="28"/>
          <w:lang w:eastAsia="en-GB"/>
        </w:rPr>
        <w:t>Option 3: Introducing an alternative, optional EU restructuring and second chance regime</w:t>
      </w:r>
      <w:bookmarkEnd w:id="29"/>
      <w:r>
        <w:rPr>
          <w:rFonts w:ascii="Times New Roman" w:eastAsia="Times New Roman" w:hAnsi="Times New Roman" w:cs="Times New Roman"/>
          <w:b/>
          <w:bCs/>
          <w:iCs/>
          <w:noProof/>
          <w:sz w:val="24"/>
          <w:szCs w:val="28"/>
          <w:lang w:eastAsia="en-GB"/>
        </w:rPr>
        <w:t xml:space="preserve"> for cross-border cases</w:t>
      </w:r>
      <w:bookmarkEnd w:id="30"/>
    </w:p>
    <w:p w:rsidR="00B32D69" w:rsidRDefault="00FB661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This option would imply establishing, alongside national restructuring and insolvency procedures, an alternat</w:t>
      </w:r>
      <w:r>
        <w:rPr>
          <w:rFonts w:ascii="Times New Roman" w:eastAsia="Calibri" w:hAnsi="Times New Roman" w:cs="Times New Roman"/>
          <w:noProof/>
          <w:sz w:val="24"/>
          <w:szCs w:val="24"/>
        </w:rPr>
        <w:t>ive EU procedure which could be chosen by the party initiating it, for example, the debtor, or the creditors with the debtor's consent</w:t>
      </w:r>
      <w:r>
        <w:rPr>
          <w:noProof/>
          <w:vertAlign w:val="superscript"/>
        </w:rPr>
        <w:footnoteReference w:id="156"/>
      </w:r>
      <w:r>
        <w:rPr>
          <w:rFonts w:ascii="Times New Roman" w:eastAsia="Calibri" w:hAnsi="Times New Roman" w:cs="Times New Roman"/>
          <w:noProof/>
          <w:sz w:val="24"/>
          <w:szCs w:val="24"/>
        </w:rPr>
        <w:t>. This European procedure could be available in principle in both cross-border insolvency cases and in domestic cases</w:t>
      </w:r>
      <w:r>
        <w:rPr>
          <w:rFonts w:eastAsia="Calibri" w:cs="Times New Roman"/>
          <w:noProof/>
          <w:sz w:val="24"/>
          <w:szCs w:val="24"/>
          <w:vertAlign w:val="superscript"/>
        </w:rPr>
        <w:footnoteReference w:id="157"/>
      </w:r>
      <w:r>
        <w:rPr>
          <w:rFonts w:ascii="Times New Roman" w:eastAsia="Calibri" w:hAnsi="Times New Roman" w:cs="Times New Roman"/>
          <w:noProof/>
          <w:sz w:val="24"/>
          <w:szCs w:val="24"/>
        </w:rPr>
        <w:t>, b</w:t>
      </w:r>
      <w:r>
        <w:rPr>
          <w:rFonts w:ascii="Times New Roman" w:eastAsia="Calibri" w:hAnsi="Times New Roman" w:cs="Times New Roman"/>
          <w:noProof/>
          <w:sz w:val="24"/>
          <w:szCs w:val="24"/>
        </w:rPr>
        <w:t>ut the experience with other European civil procedures shows that Member States will not accept the application of European procedures to purely domestic situations</w:t>
      </w:r>
      <w:r>
        <w:rPr>
          <w:noProof/>
          <w:vertAlign w:val="superscript"/>
        </w:rPr>
        <w:footnoteReference w:id="158"/>
      </w:r>
      <w:r>
        <w:rPr>
          <w:rFonts w:ascii="Times New Roman" w:eastAsia="Calibri" w:hAnsi="Times New Roman" w:cs="Times New Roman"/>
          <w:noProof/>
          <w:sz w:val="24"/>
          <w:szCs w:val="24"/>
        </w:rPr>
        <w:t>. In order to operate as a stand-alone restructuring and second chance framework, this opti</w:t>
      </w:r>
      <w:r>
        <w:rPr>
          <w:rFonts w:ascii="Times New Roman" w:eastAsia="Calibri" w:hAnsi="Times New Roman" w:cs="Times New Roman"/>
          <w:noProof/>
          <w:sz w:val="24"/>
          <w:szCs w:val="24"/>
        </w:rPr>
        <w:t>on would require a full harmonisation as described in Option 2 above.</w:t>
      </w:r>
    </w:p>
    <w:p w:rsidR="00B32D69" w:rsidRDefault="00FB661A">
      <w:pPr>
        <w:keepNext/>
        <w:spacing w:after="240" w:line="240" w:lineRule="auto"/>
        <w:jc w:val="both"/>
        <w:outlineLvl w:val="1"/>
        <w:rPr>
          <w:rFonts w:ascii="Times New Roman" w:eastAsia="Calibri" w:hAnsi="Times New Roman" w:cs="Times New Roman"/>
          <w:noProof/>
          <w:sz w:val="24"/>
          <w:szCs w:val="24"/>
        </w:rPr>
      </w:pPr>
      <w:bookmarkStart w:id="31" w:name="_Toc466452718"/>
      <w:bookmarkStart w:id="32" w:name="_Toc466452971"/>
      <w:r>
        <w:rPr>
          <w:rFonts w:ascii="Times New Roman" w:eastAsia="Calibri" w:hAnsi="Times New Roman" w:cs="Times New Roman"/>
          <w:noProof/>
          <w:sz w:val="24"/>
          <w:szCs w:val="24"/>
        </w:rPr>
        <w:t xml:space="preserve">An optional regime available in both cross-border and domestic cases would need to be based on Article 114 TFEU. An optional regime available in cross-border cases only would need to be </w:t>
      </w:r>
      <w:r>
        <w:rPr>
          <w:rFonts w:ascii="Times New Roman" w:eastAsia="Calibri" w:hAnsi="Times New Roman" w:cs="Times New Roman"/>
          <w:noProof/>
          <w:sz w:val="24"/>
          <w:szCs w:val="24"/>
        </w:rPr>
        <w:t>based on Article 81 TFEU on judicial cooperation in civil law matters.</w:t>
      </w:r>
      <w:bookmarkEnd w:id="31"/>
      <w:bookmarkEnd w:id="32"/>
      <w:r>
        <w:rPr>
          <w:rFonts w:ascii="Times New Roman" w:eastAsia="Calibri" w:hAnsi="Times New Roman" w:cs="Times New Roman"/>
          <w:noProof/>
          <w:sz w:val="24"/>
          <w:szCs w:val="24"/>
        </w:rPr>
        <w:t xml:space="preserve"> </w:t>
      </w:r>
      <w:bookmarkStart w:id="33" w:name="_Toc459390483"/>
    </w:p>
    <w:p w:rsidR="00B32D69" w:rsidRDefault="00FB661A">
      <w:pPr>
        <w:keepNext/>
        <w:spacing w:after="240" w:line="240" w:lineRule="auto"/>
        <w:jc w:val="both"/>
        <w:outlineLvl w:val="1"/>
        <w:rPr>
          <w:rFonts w:ascii="Times New Roman" w:eastAsia="Times New Roman" w:hAnsi="Times New Roman" w:cs="Times New Roman"/>
          <w:b/>
          <w:bCs/>
          <w:iCs/>
          <w:noProof/>
          <w:sz w:val="24"/>
          <w:szCs w:val="28"/>
          <w:lang w:eastAsia="en-GB"/>
        </w:rPr>
      </w:pPr>
      <w:bookmarkStart w:id="34" w:name="_Toc466452972"/>
      <w:r>
        <w:rPr>
          <w:rFonts w:ascii="Times New Roman" w:eastAsia="Times New Roman" w:hAnsi="Times New Roman" w:cs="Times New Roman"/>
          <w:b/>
          <w:bCs/>
          <w:iCs/>
          <w:noProof/>
          <w:sz w:val="24"/>
          <w:szCs w:val="28"/>
          <w:lang w:eastAsia="en-GB"/>
        </w:rPr>
        <w:t>Option 4: Setting up a minimum harmonised legal framework in the area of restructuring and second chance for entrepreneurs</w:t>
      </w:r>
      <w:bookmarkEnd w:id="34"/>
      <w:r>
        <w:rPr>
          <w:rFonts w:ascii="Times New Roman" w:eastAsia="Times New Roman" w:hAnsi="Times New Roman" w:cs="Times New Roman"/>
          <w:b/>
          <w:bCs/>
          <w:iCs/>
          <w:noProof/>
          <w:sz w:val="24"/>
          <w:szCs w:val="28"/>
          <w:lang w:eastAsia="en-GB"/>
        </w:rPr>
        <w:t xml:space="preserve"> </w:t>
      </w:r>
      <w:bookmarkEnd w:id="33"/>
    </w:p>
    <w:p w:rsidR="00B32D69" w:rsidRDefault="00FB661A">
      <w:pPr>
        <w:autoSpaceDE w:val="0"/>
        <w:autoSpaceDN w:val="0"/>
        <w:adjustRightInd w:val="0"/>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High level principles accompanied by more targeted rules </w:t>
      </w:r>
      <w:r>
        <w:rPr>
          <w:rFonts w:ascii="Times New Roman" w:eastAsia="Calibri" w:hAnsi="Times New Roman" w:cs="Times New Roman"/>
          <w:noProof/>
          <w:sz w:val="24"/>
          <w:szCs w:val="24"/>
        </w:rPr>
        <w:t>where necessary would follow in the steps of the 2014 Recommendation and provide an appropriate follow up response. It would allow Member States to choose the means of implementing these principles and rules. For example, the rule that creditors should vot</w:t>
      </w:r>
      <w:r>
        <w:rPr>
          <w:rFonts w:ascii="Times New Roman" w:eastAsia="Calibri" w:hAnsi="Times New Roman" w:cs="Times New Roman"/>
          <w:noProof/>
          <w:sz w:val="24"/>
          <w:szCs w:val="24"/>
        </w:rPr>
        <w:t xml:space="preserve">e in separate classes on the adoption of the plan, would need detailed rules on for example on how to deal with secured claims where the value of the collateral is lower than the claim (whether to bifurcate such claims or not). National law will also need </w:t>
      </w:r>
      <w:r>
        <w:rPr>
          <w:rFonts w:ascii="Times New Roman" w:eastAsia="Calibri" w:hAnsi="Times New Roman" w:cs="Times New Roman"/>
          <w:noProof/>
          <w:sz w:val="24"/>
          <w:szCs w:val="24"/>
        </w:rPr>
        <w:t>to specify the majority(ies) needed to adopt a plan, be it one single majority in all classes (either simple majority or qualified majority), or different majorities for different classes (e.g. simple majority for unsecured creditors' class, qualified majo</w:t>
      </w:r>
      <w:r>
        <w:rPr>
          <w:rFonts w:ascii="Times New Roman" w:eastAsia="Calibri" w:hAnsi="Times New Roman" w:cs="Times New Roman"/>
          <w:noProof/>
          <w:sz w:val="24"/>
          <w:szCs w:val="24"/>
        </w:rPr>
        <w:t>rity for secured creditors' class).Whilst the general rules would be established at the EU level to ensure coherence and consistent application, the detailed implementation rules would be established in national law .</w:t>
      </w:r>
    </w:p>
    <w:p w:rsidR="00B32D69" w:rsidRDefault="00FB661A">
      <w:pPr>
        <w:autoSpaceDE w:val="0"/>
        <w:autoSpaceDN w:val="0"/>
        <w:adjustRightInd w:val="0"/>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This option would make binding the pri</w:t>
      </w:r>
      <w:r>
        <w:rPr>
          <w:rFonts w:ascii="Times New Roman" w:eastAsia="Calibri" w:hAnsi="Times New Roman" w:cs="Times New Roman"/>
          <w:noProof/>
          <w:sz w:val="24"/>
          <w:szCs w:val="24"/>
        </w:rPr>
        <w:t>nciples and rules set out in the 2014 Recommendation, but would significantly reinforce the framework with additional efficiency elements. For restructuring frameworks, such rules would be for example include early warning tools, the treatment of sharehold</w:t>
      </w:r>
      <w:r>
        <w:rPr>
          <w:rFonts w:ascii="Times New Roman" w:eastAsia="Calibri" w:hAnsi="Times New Roman" w:cs="Times New Roman"/>
          <w:noProof/>
          <w:sz w:val="24"/>
          <w:szCs w:val="24"/>
        </w:rPr>
        <w:t>ers in restructuring procedures, the protection for interim financing necessary to keep the operations going throughout the negotiations; the duties of directors in the vicinity of insolvency. Furthermore, rules on the effectiveness of all restructuring, s</w:t>
      </w:r>
      <w:r>
        <w:rPr>
          <w:rFonts w:ascii="Times New Roman" w:eastAsia="Calibri" w:hAnsi="Times New Roman" w:cs="Times New Roman"/>
          <w:noProof/>
          <w:sz w:val="24"/>
          <w:szCs w:val="24"/>
        </w:rPr>
        <w:t>econd chance as well as formal insolvency procedures could be envisaged, such as rules on the specialisation of judges and/or courts, on enhancing the quality of insolvency practitioners and on digitisation of procedures.</w:t>
      </w:r>
    </w:p>
    <w:p w:rsidR="00B32D69" w:rsidRDefault="00FB661A">
      <w:pPr>
        <w:pStyle w:val="ManualHeading2"/>
        <w:rPr>
          <w:rFonts w:eastAsia="Calibri"/>
          <w:noProof/>
        </w:rPr>
      </w:pPr>
      <w:bookmarkStart w:id="35" w:name="_Toc466452973"/>
      <w:r>
        <w:rPr>
          <w:rFonts w:eastAsia="Calibri"/>
          <w:noProof/>
        </w:rPr>
        <w:tab/>
        <w:t>4.2. Analysis of high level optio</w:t>
      </w:r>
      <w:r>
        <w:rPr>
          <w:rFonts w:eastAsia="Calibri"/>
          <w:noProof/>
        </w:rPr>
        <w:t>ns and discarded options</w:t>
      </w:r>
      <w:bookmarkEnd w:id="35"/>
    </w:p>
    <w:p w:rsidR="00B32D69" w:rsidRDefault="00FB661A">
      <w:pPr>
        <w:widowControl w:val="0"/>
        <w:autoSpaceDE w:val="0"/>
        <w:autoSpaceDN w:val="0"/>
        <w:adjustRightInd w:val="0"/>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Option 1</w:t>
      </w:r>
      <w:r>
        <w:rPr>
          <w:rFonts w:ascii="Times New Roman" w:eastAsia="Calibri" w:hAnsi="Times New Roman" w:cs="Times New Roman"/>
          <w:noProof/>
          <w:sz w:val="24"/>
          <w:szCs w:val="24"/>
        </w:rPr>
        <w:t>: as already demonstrated in the assessment of the baseline scenario (point 2.4 above), if no further action is taken, the solutions between Member State laws will continue to diverge. This is likely to lead to important de</w:t>
      </w:r>
      <w:r>
        <w:rPr>
          <w:rFonts w:ascii="Times New Roman" w:eastAsia="Calibri" w:hAnsi="Times New Roman" w:cs="Times New Roman"/>
          <w:noProof/>
          <w:sz w:val="24"/>
          <w:szCs w:val="24"/>
        </w:rPr>
        <w:t>lays in concluding insolvency procedures and a low success rate for cross-border restructurings which would ultimately result in more unnecessary liquidations of viable companies, instead of restructuring and entrepreneurs and consumers being trapped in de</w:t>
      </w:r>
      <w:r>
        <w:rPr>
          <w:rFonts w:ascii="Times New Roman" w:eastAsia="Calibri" w:hAnsi="Times New Roman" w:cs="Times New Roman"/>
          <w:noProof/>
          <w:sz w:val="24"/>
          <w:szCs w:val="24"/>
        </w:rPr>
        <w:t>bt for too long</w:t>
      </w:r>
      <w:r>
        <w:rPr>
          <w:rFonts w:eastAsia="Calibri" w:cs="Times New Roman"/>
          <w:noProof/>
          <w:sz w:val="24"/>
          <w:szCs w:val="24"/>
          <w:vertAlign w:val="superscript"/>
        </w:rPr>
        <w:footnoteReference w:id="159"/>
      </w:r>
      <w:r>
        <w:rPr>
          <w:rFonts w:ascii="Times New Roman" w:eastAsia="Calibri" w:hAnsi="Times New Roman" w:cs="Times New Roman"/>
          <w:noProof/>
          <w:sz w:val="24"/>
          <w:szCs w:val="24"/>
        </w:rPr>
        <w:t>. It would also be a deterrent to cross-boder investments. This option needs therefore to be discarded.</w:t>
      </w:r>
    </w:p>
    <w:p w:rsidR="00B32D69" w:rsidRDefault="00FB661A">
      <w:pPr>
        <w:widowControl w:val="0"/>
        <w:autoSpaceDE w:val="0"/>
        <w:autoSpaceDN w:val="0"/>
        <w:adjustRightInd w:val="0"/>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Option 3</w:t>
      </w:r>
      <w:r>
        <w:rPr>
          <w:rFonts w:ascii="Times New Roman" w:eastAsia="Calibri" w:hAnsi="Times New Roman" w:cs="Times New Roman"/>
          <w:noProof/>
          <w:sz w:val="24"/>
          <w:szCs w:val="24"/>
        </w:rPr>
        <w:t xml:space="preserve"> (optional instrument) has to be discarded as well since creating a European procedure competing with national procedures could </w:t>
      </w:r>
      <w:r>
        <w:rPr>
          <w:rFonts w:ascii="Times New Roman" w:eastAsia="Calibri" w:hAnsi="Times New Roman" w:cs="Times New Roman"/>
          <w:noProof/>
          <w:sz w:val="24"/>
          <w:szCs w:val="24"/>
        </w:rPr>
        <w:t>prove highly contentious without bringing the desired benefits. First, litigations would arise in situations where at least some of the creditors would have more rights or more favourable treatment under the otherwise applicable domestic law</w:t>
      </w:r>
      <w:r>
        <w:rPr>
          <w:rFonts w:eastAsia="Calibri" w:cs="Times New Roman"/>
          <w:noProof/>
          <w:sz w:val="24"/>
          <w:szCs w:val="24"/>
          <w:vertAlign w:val="superscript"/>
        </w:rPr>
        <w:footnoteReference w:id="160"/>
      </w:r>
      <w:r>
        <w:rPr>
          <w:rFonts w:ascii="Times New Roman" w:eastAsia="Calibri" w:hAnsi="Times New Roman" w:cs="Times New Roman"/>
          <w:noProof/>
          <w:sz w:val="24"/>
          <w:szCs w:val="24"/>
        </w:rPr>
        <w:t>. Second, debt</w:t>
      </w:r>
      <w:r>
        <w:rPr>
          <w:rFonts w:ascii="Times New Roman" w:eastAsia="Calibri" w:hAnsi="Times New Roman" w:cs="Times New Roman"/>
          <w:noProof/>
          <w:sz w:val="24"/>
          <w:szCs w:val="24"/>
        </w:rPr>
        <w:t xml:space="preserve">ors (when initiating the restructuring) and creditors (when considering whether to support the restructuring efforts) would likely make an assessment of whether the European or the domestic procedures are better suited for their interests. This assessment </w:t>
      </w:r>
      <w:r>
        <w:rPr>
          <w:rFonts w:ascii="Times New Roman" w:eastAsia="Calibri" w:hAnsi="Times New Roman" w:cs="Times New Roman"/>
          <w:noProof/>
          <w:sz w:val="24"/>
          <w:szCs w:val="24"/>
        </w:rPr>
        <w:t xml:space="preserve">exercise – whether carried out </w:t>
      </w:r>
      <w:r>
        <w:rPr>
          <w:rFonts w:ascii="Times New Roman" w:eastAsia="Calibri" w:hAnsi="Times New Roman" w:cs="Times New Roman"/>
          <w:i/>
          <w:noProof/>
          <w:sz w:val="24"/>
          <w:szCs w:val="24"/>
        </w:rPr>
        <w:t>ex ante</w:t>
      </w:r>
      <w:r>
        <w:rPr>
          <w:rFonts w:ascii="Times New Roman" w:eastAsia="Calibri" w:hAnsi="Times New Roman" w:cs="Times New Roman"/>
          <w:noProof/>
          <w:sz w:val="24"/>
          <w:szCs w:val="24"/>
        </w:rPr>
        <w:t xml:space="preserve">, when investing or trading cross-border, or </w:t>
      </w:r>
      <w:r>
        <w:rPr>
          <w:rFonts w:ascii="Times New Roman" w:eastAsia="Calibri" w:hAnsi="Times New Roman" w:cs="Times New Roman"/>
          <w:i/>
          <w:noProof/>
          <w:sz w:val="24"/>
          <w:szCs w:val="24"/>
        </w:rPr>
        <w:t>ex post</w:t>
      </w:r>
      <w:r>
        <w:rPr>
          <w:rFonts w:ascii="Times New Roman" w:eastAsia="Calibri" w:hAnsi="Times New Roman" w:cs="Times New Roman"/>
          <w:noProof/>
          <w:sz w:val="24"/>
          <w:szCs w:val="24"/>
        </w:rPr>
        <w:t xml:space="preserve"> when restructuring efforts start – would increase legal costs, decrease legal certainty and, in the </w:t>
      </w:r>
      <w:r>
        <w:rPr>
          <w:rFonts w:ascii="Times New Roman" w:eastAsia="Calibri" w:hAnsi="Times New Roman" w:cs="Times New Roman"/>
          <w:i/>
          <w:noProof/>
          <w:sz w:val="24"/>
          <w:szCs w:val="24"/>
        </w:rPr>
        <w:t>ex post</w:t>
      </w:r>
      <w:r>
        <w:rPr>
          <w:rFonts w:ascii="Times New Roman" w:eastAsia="Calibri" w:hAnsi="Times New Roman" w:cs="Times New Roman"/>
          <w:noProof/>
          <w:sz w:val="24"/>
          <w:szCs w:val="24"/>
        </w:rPr>
        <w:t xml:space="preserve"> scenario, delay the restructuring procedures</w:t>
      </w:r>
      <w:r>
        <w:rPr>
          <w:rFonts w:eastAsia="Calibri" w:cs="Times New Roman"/>
          <w:noProof/>
          <w:sz w:val="24"/>
          <w:szCs w:val="24"/>
          <w:vertAlign w:val="superscript"/>
        </w:rPr>
        <w:footnoteReference w:id="161"/>
      </w:r>
      <w:r>
        <w:rPr>
          <w:rFonts w:ascii="Times New Roman" w:eastAsia="Calibri" w:hAnsi="Times New Roman" w:cs="Times New Roman"/>
          <w:noProof/>
          <w:sz w:val="24"/>
          <w:szCs w:val="24"/>
        </w:rPr>
        <w:t>. For the sa</w:t>
      </w:r>
      <w:r>
        <w:rPr>
          <w:rFonts w:ascii="Times New Roman" w:eastAsia="Calibri" w:hAnsi="Times New Roman" w:cs="Times New Roman"/>
          <w:noProof/>
          <w:sz w:val="24"/>
          <w:szCs w:val="24"/>
        </w:rPr>
        <w:t>me reasons, a fully-fledged discharge framework for entrepreneurs and consumers defined at the EU level would not be a feasible variant either. Third, an optional instrument would not guarantee the necessary uptake to address the EU level scale of the prob</w:t>
      </w:r>
      <w:r>
        <w:rPr>
          <w:rFonts w:ascii="Times New Roman" w:eastAsia="Calibri" w:hAnsi="Times New Roman" w:cs="Times New Roman"/>
          <w:noProof/>
          <w:sz w:val="24"/>
          <w:szCs w:val="24"/>
        </w:rPr>
        <w:t>lem and would likely not be applied by Member States anyway.</w:t>
      </w:r>
    </w:p>
    <w:p w:rsidR="00B32D69" w:rsidRDefault="00FB661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Additionally, there are also some political constraints to be considered under this option. Although in principle an optional regime could stand alongside national regimes and be 'chosen' in dome</w:t>
      </w:r>
      <w:r>
        <w:rPr>
          <w:rFonts w:ascii="Times New Roman" w:eastAsia="Calibri" w:hAnsi="Times New Roman" w:cs="Times New Roman"/>
          <w:noProof/>
          <w:sz w:val="24"/>
          <w:szCs w:val="24"/>
        </w:rPr>
        <w:t>stic cases also, this option would most probably be restricted in scope to cross-border insolvencies, as several European procedures show</w:t>
      </w:r>
      <w:r>
        <w:rPr>
          <w:rStyle w:val="FootnoteReference"/>
          <w:rFonts w:ascii="Times New Roman" w:eastAsia="Calibri" w:hAnsi="Times New Roman"/>
          <w:noProof/>
          <w:sz w:val="24"/>
          <w:szCs w:val="24"/>
        </w:rPr>
        <w:footnoteReference w:id="162"/>
      </w:r>
      <w:r>
        <w:rPr>
          <w:rFonts w:ascii="Times New Roman" w:eastAsia="Calibri" w:hAnsi="Times New Roman" w:cs="Times New Roman"/>
          <w:noProof/>
          <w:sz w:val="24"/>
          <w:szCs w:val="24"/>
        </w:rPr>
        <w:t xml:space="preserve">. </w:t>
      </w:r>
    </w:p>
    <w:p w:rsidR="00B32D69" w:rsidRDefault="00FB661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Option 2</w:t>
      </w:r>
      <w:r>
        <w:rPr>
          <w:rFonts w:ascii="Times New Roman" w:eastAsia="Calibri" w:hAnsi="Times New Roman" w:cs="Times New Roman"/>
          <w:noProof/>
          <w:sz w:val="24"/>
          <w:szCs w:val="24"/>
        </w:rPr>
        <w:t xml:space="preserve"> (full harmonisation) would facilitate the restructuring of groups of companies, increase legal certainty a</w:t>
      </w:r>
      <w:r>
        <w:rPr>
          <w:rFonts w:ascii="Times New Roman" w:eastAsia="Calibri" w:hAnsi="Times New Roman" w:cs="Times New Roman"/>
          <w:noProof/>
          <w:sz w:val="24"/>
          <w:szCs w:val="24"/>
        </w:rPr>
        <w:t>nd reduce risk assessment costs for investors investing in more than one Member State. It would also reduce the number of unnecessary liquidations of viable companies in favour of successful restructurings. For such a solution to work efficiently, harmonis</w:t>
      </w:r>
      <w:r>
        <w:rPr>
          <w:rFonts w:ascii="Times New Roman" w:eastAsia="Calibri" w:hAnsi="Times New Roman" w:cs="Times New Roman"/>
          <w:noProof/>
          <w:sz w:val="24"/>
          <w:szCs w:val="24"/>
        </w:rPr>
        <w:t>ation of certain key formal insolvency aspects, such as the ranking of claims and avoidance actions in the event of the insolvency of the debtor, would also be necessary, including a single maximum discharge period for natural persons across the EU</w:t>
      </w:r>
      <w:r>
        <w:rPr>
          <w:rFonts w:ascii="Times New Roman" w:eastAsia="Calibri" w:hAnsi="Times New Roman" w:cs="Times New Roman"/>
          <w:noProof/>
          <w:sz w:val="24"/>
          <w:szCs w:val="24"/>
          <w:vertAlign w:val="superscript"/>
        </w:rPr>
        <w:footnoteReference w:id="163"/>
      </w:r>
      <w:r>
        <w:rPr>
          <w:rFonts w:ascii="Times New Roman" w:eastAsia="Calibri" w:hAnsi="Times New Roman" w:cs="Times New Roman"/>
          <w:noProof/>
          <w:sz w:val="24"/>
          <w:szCs w:val="24"/>
        </w:rPr>
        <w:t>. While</w:t>
      </w:r>
      <w:r>
        <w:rPr>
          <w:rFonts w:ascii="Times New Roman" w:eastAsia="Calibri" w:hAnsi="Times New Roman" w:cs="Times New Roman"/>
          <w:noProof/>
          <w:sz w:val="24"/>
          <w:szCs w:val="24"/>
        </w:rPr>
        <w:t xml:space="preserve"> this option would be most effective in ensuring full legal certainty of insolvency laws across the EU, it would at this juncture be premature, too intrusive and does not seem feasible as an initiative at this stage given the current diversity in Member St</w:t>
      </w:r>
      <w:r>
        <w:rPr>
          <w:rFonts w:ascii="Times New Roman" w:eastAsia="Calibri" w:hAnsi="Times New Roman" w:cs="Times New Roman"/>
          <w:noProof/>
          <w:sz w:val="24"/>
          <w:szCs w:val="24"/>
        </w:rPr>
        <w:t>ates' restructuring and insolvency frameworks</w:t>
      </w:r>
      <w:r>
        <w:rPr>
          <w:rFonts w:ascii="Times New Roman" w:eastAsia="Calibri" w:hAnsi="Times New Roman" w:cs="Times New Roman"/>
          <w:noProof/>
          <w:sz w:val="24"/>
          <w:szCs w:val="24"/>
          <w:vertAlign w:val="superscript"/>
        </w:rPr>
        <w:footnoteReference w:id="164"/>
      </w:r>
      <w:r>
        <w:rPr>
          <w:rFonts w:ascii="Times New Roman" w:eastAsia="Calibri" w:hAnsi="Times New Roman" w:cs="Times New Roman"/>
          <w:noProof/>
          <w:sz w:val="24"/>
          <w:szCs w:val="24"/>
        </w:rPr>
        <w:t xml:space="preserve"> and the political reticence that such a proposal would face. This option must also be discarded, as politically unfeasible and clearly disproportionate.</w:t>
      </w:r>
    </w:p>
    <w:p w:rsidR="00B32D69" w:rsidRDefault="00FB661A">
      <w:pPr>
        <w:autoSpaceDE w:val="0"/>
        <w:autoSpaceDN w:val="0"/>
        <w:adjustRightInd w:val="0"/>
        <w:spacing w:after="240" w:line="240" w:lineRule="auto"/>
        <w:jc w:val="both"/>
        <w:rPr>
          <w:rFonts w:ascii="Times New Roman" w:hAnsi="Times New Roman" w:cs="Times New Roman"/>
          <w:noProof/>
          <w:sz w:val="24"/>
          <w:szCs w:val="24"/>
          <w:lang w:val="en-US"/>
        </w:rPr>
      </w:pPr>
      <w:r>
        <w:rPr>
          <w:rFonts w:ascii="Times New Roman" w:eastAsia="Calibri" w:hAnsi="Times New Roman" w:cs="Times New Roman"/>
          <w:b/>
          <w:noProof/>
          <w:sz w:val="24"/>
          <w:szCs w:val="24"/>
        </w:rPr>
        <w:t xml:space="preserve">Option 4, i.e. </w:t>
      </w:r>
      <w:r>
        <w:rPr>
          <w:rFonts w:ascii="Times New Roman" w:eastAsia="Calibri" w:hAnsi="Times New Roman" w:cs="Times New Roman"/>
          <w:noProof/>
          <w:color w:val="000000"/>
          <w:sz w:val="24"/>
          <w:szCs w:val="24"/>
          <w:lang w:eastAsia="en-GB"/>
        </w:rPr>
        <w:t>a binding instrument in the form of a</w:t>
      </w:r>
      <w:r>
        <w:rPr>
          <w:rFonts w:ascii="Times New Roman" w:eastAsia="Calibri" w:hAnsi="Times New Roman" w:cs="Times New Roman"/>
          <w:noProof/>
          <w:sz w:val="24"/>
          <w:szCs w:val="24"/>
          <w:lang w:eastAsia="en-GB"/>
        </w:rPr>
        <w:t xml:space="preserve"> Dir</w:t>
      </w:r>
      <w:r>
        <w:rPr>
          <w:rFonts w:ascii="Times New Roman" w:eastAsia="Calibri" w:hAnsi="Times New Roman" w:cs="Times New Roman"/>
          <w:noProof/>
          <w:sz w:val="24"/>
          <w:szCs w:val="24"/>
          <w:lang w:eastAsia="en-GB"/>
        </w:rPr>
        <w:t>ective setting up a minimum harmonised framework covering a number of key aspects is conducive to effectively achieving the policy objectives in the areas of restructuring and insolvency</w:t>
      </w:r>
      <w:r>
        <w:rPr>
          <w:rFonts w:eastAsia="Calibri" w:cs="Times New Roman"/>
          <w:noProof/>
          <w:sz w:val="24"/>
          <w:szCs w:val="24"/>
          <w:vertAlign w:val="superscript"/>
          <w:lang w:eastAsia="en-GB"/>
        </w:rPr>
        <w:footnoteReference w:id="165"/>
      </w:r>
      <w:r>
        <w:rPr>
          <w:rFonts w:ascii="Times New Roman" w:eastAsia="Calibri" w:hAnsi="Times New Roman" w:cs="Times New Roman"/>
          <w:noProof/>
          <w:sz w:val="24"/>
          <w:szCs w:val="24"/>
          <w:lang w:eastAsia="en-GB"/>
        </w:rPr>
        <w:t xml:space="preserve">, which are highly regulated at the national level. </w:t>
      </w:r>
    </w:p>
    <w:p w:rsidR="00B32D69" w:rsidRDefault="00FB661A">
      <w:pPr>
        <w:autoSpaceDE w:val="0"/>
        <w:autoSpaceDN w:val="0"/>
        <w:adjustRightInd w:val="0"/>
        <w:spacing w:after="240" w:line="240" w:lineRule="auto"/>
        <w:jc w:val="both"/>
        <w:rPr>
          <w:rFonts w:ascii="Times New Roman" w:hAnsi="Times New Roman" w:cs="Times New Roman"/>
          <w:noProof/>
          <w:sz w:val="24"/>
          <w:szCs w:val="24"/>
          <w:lang w:val="en-US"/>
        </w:rPr>
      </w:pPr>
      <w:r>
        <w:rPr>
          <w:rFonts w:ascii="Times New Roman" w:eastAsia="Calibri" w:hAnsi="Times New Roman" w:cs="Times New Roman"/>
          <w:noProof/>
          <w:sz w:val="24"/>
          <w:szCs w:val="24"/>
          <w:lang w:eastAsia="en-GB"/>
        </w:rPr>
        <w:t xml:space="preserve">It is true that </w:t>
      </w:r>
      <w:r>
        <w:rPr>
          <w:rFonts w:ascii="Times New Roman" w:eastAsia="Calibri" w:hAnsi="Times New Roman" w:cs="Times New Roman"/>
          <w:noProof/>
          <w:sz w:val="24"/>
          <w:szCs w:val="24"/>
          <w:lang w:eastAsia="en-GB"/>
        </w:rPr>
        <w:t>in terms of addressing the full spectrum of drivers identified as triggering difficulties due to fragmented national legislation this option could be considered to remain below that of Option 2 (full harmonisation). However, f</w:t>
      </w:r>
      <w:r>
        <w:rPr>
          <w:rFonts w:ascii="Times New Roman" w:hAnsi="Times New Roman" w:cs="Times New Roman"/>
          <w:noProof/>
          <w:sz w:val="24"/>
          <w:szCs w:val="24"/>
          <w:lang w:val="en-US"/>
        </w:rPr>
        <w:t>ully harmonised rules in relat</w:t>
      </w:r>
      <w:r>
        <w:rPr>
          <w:rFonts w:ascii="Times New Roman" w:hAnsi="Times New Roman" w:cs="Times New Roman"/>
          <w:noProof/>
          <w:sz w:val="24"/>
          <w:szCs w:val="24"/>
          <w:lang w:val="en-US"/>
        </w:rPr>
        <w:t>ion to these problems may seem to be a preferable solution only at first sight, but not necessary a workable solution required for overcoming the full set of problems. More specifically, a full harmonisation of insolvency law in general is a very complex o</w:t>
      </w:r>
      <w:r>
        <w:rPr>
          <w:rFonts w:ascii="Times New Roman" w:hAnsi="Times New Roman" w:cs="Times New Roman"/>
          <w:noProof/>
          <w:sz w:val="24"/>
          <w:szCs w:val="24"/>
          <w:lang w:val="en-US"/>
        </w:rPr>
        <w:t>ption, not advisable at this stage for several reasons.</w:t>
      </w:r>
    </w:p>
    <w:p w:rsidR="00B32D69" w:rsidRDefault="00FB661A">
      <w:pPr>
        <w:autoSpaceDE w:val="0"/>
        <w:autoSpaceDN w:val="0"/>
        <w:adjustRightInd w:val="0"/>
        <w:spacing w:after="240" w:line="240" w:lineRule="auto"/>
        <w:jc w:val="both"/>
        <w:rPr>
          <w:noProof/>
          <w:sz w:val="24"/>
          <w:szCs w:val="24"/>
          <w:lang w:val="en-US"/>
        </w:rPr>
      </w:pPr>
      <w:r>
        <w:rPr>
          <w:rFonts w:ascii="Times New Roman" w:hAnsi="Times New Roman" w:cs="Times New Roman"/>
          <w:noProof/>
          <w:sz w:val="24"/>
          <w:szCs w:val="24"/>
          <w:lang w:val="en-US"/>
        </w:rPr>
        <w:t>Firstly, account needs to be taken of the fact that these drivers are not isolated but have to be considered in the context of the entirety of national insolvency tools and that a certain degree of fl</w:t>
      </w:r>
      <w:r>
        <w:rPr>
          <w:rFonts w:ascii="Times New Roman" w:hAnsi="Times New Roman" w:cs="Times New Roman"/>
          <w:noProof/>
          <w:sz w:val="24"/>
          <w:szCs w:val="24"/>
          <w:lang w:val="en-US"/>
        </w:rPr>
        <w:t>exibility is needed to enable Member States to apply them in a suitable fashion. A minimum harmonization</w:t>
      </w:r>
      <w:r>
        <w:rPr>
          <w:rFonts w:ascii="Times New Roman" w:eastAsia="Calibri" w:hAnsi="Times New Roman" w:cs="Times New Roman"/>
          <w:noProof/>
          <w:sz w:val="24"/>
          <w:szCs w:val="24"/>
          <w:lang w:eastAsia="en-GB"/>
        </w:rPr>
        <w:t xml:space="preserve"> Directive would allow Member States to retain the most appropriate means to make those tools work in their national context. </w:t>
      </w:r>
      <w:r>
        <w:rPr>
          <w:rFonts w:ascii="Times New Roman" w:hAnsi="Times New Roman" w:cs="Times New Roman"/>
          <w:noProof/>
          <w:sz w:val="24"/>
          <w:szCs w:val="24"/>
          <w:lang w:val="en-US"/>
        </w:rPr>
        <w:t xml:space="preserve">Secondly, in the light of </w:t>
      </w:r>
      <w:r>
        <w:rPr>
          <w:rFonts w:ascii="Times New Roman" w:hAnsi="Times New Roman" w:cs="Times New Roman"/>
          <w:noProof/>
          <w:sz w:val="24"/>
          <w:szCs w:val="24"/>
          <w:lang w:val="en-US"/>
        </w:rPr>
        <w:t>numerous links of insolvency law with connected areas of national law, such as tax law, employment law, social security laws (to a good extent outside EU competence), fully harmonising only insolvency law could still not produce the desired effect of compl</w:t>
      </w:r>
      <w:r>
        <w:rPr>
          <w:rFonts w:ascii="Times New Roman" w:hAnsi="Times New Roman" w:cs="Times New Roman"/>
          <w:noProof/>
          <w:sz w:val="24"/>
          <w:szCs w:val="24"/>
          <w:lang w:val="en-US"/>
        </w:rPr>
        <w:t>ete uniformity. Therefore, continuing to have a certain level of differences between Member States’ regulations (and as a consequence still some costs relating to the need to identify and assess these differences), appears unavoidable. And thirdly, conside</w:t>
      </w:r>
      <w:r>
        <w:rPr>
          <w:rFonts w:ascii="Times New Roman" w:hAnsi="Times New Roman" w:cs="Times New Roman"/>
          <w:noProof/>
          <w:sz w:val="24"/>
          <w:szCs w:val="24"/>
          <w:lang w:val="en-US"/>
        </w:rPr>
        <w:t>ration of subsidiarity and proportionality of the EU intervention would have to be duly considered as regards a full harmonisation of insolvency related aspects.</w:t>
      </w:r>
    </w:p>
    <w:p w:rsidR="00B32D69" w:rsidRDefault="00FB661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Option 4 would be a tangible approach to substantial convergence of national frameworks based </w:t>
      </w:r>
      <w:r>
        <w:rPr>
          <w:rFonts w:ascii="Times New Roman" w:hAnsi="Times New Roman" w:cs="Times New Roman"/>
          <w:noProof/>
          <w:sz w:val="24"/>
          <w:szCs w:val="24"/>
          <w:lang w:val="en-US"/>
        </w:rPr>
        <w:t>on key common rules applicable in all Member States to companies in financial difficulties, but viable and therefore susceptible to successful restructuring, as well as on the other individual aspects highlighted in this document. This would ensure major p</w:t>
      </w:r>
      <w:r>
        <w:rPr>
          <w:rFonts w:ascii="Times New Roman" w:hAnsi="Times New Roman" w:cs="Times New Roman"/>
          <w:noProof/>
          <w:sz w:val="24"/>
          <w:szCs w:val="24"/>
          <w:lang w:val="en-US"/>
        </w:rPr>
        <w:t xml:space="preserve">rogress towards a functioning internal market. Under such a convergent framework cross-border investment would no longer be inhibited by concerns that, for example, preventive restructuring of the debtor is not effectively possible in all Member States or </w:t>
      </w:r>
      <w:r>
        <w:rPr>
          <w:rFonts w:ascii="Times New Roman" w:hAnsi="Times New Roman" w:cs="Times New Roman"/>
          <w:noProof/>
          <w:sz w:val="24"/>
          <w:szCs w:val="24"/>
          <w:lang w:val="en-US"/>
        </w:rPr>
        <w:t xml:space="preserve">that shareholders may bloc a plan which is supported by creditors. </w:t>
      </w:r>
    </w:p>
    <w:p w:rsidR="00B32D69" w:rsidRDefault="00FB661A">
      <w:pPr>
        <w:jc w:val="both"/>
        <w:rPr>
          <w:noProof/>
          <w:sz w:val="24"/>
          <w:szCs w:val="24"/>
          <w:lang w:val="en-US"/>
        </w:rPr>
      </w:pPr>
      <w:r>
        <w:rPr>
          <w:rFonts w:ascii="Times New Roman" w:hAnsi="Times New Roman" w:cs="Times New Roman"/>
          <w:noProof/>
          <w:sz w:val="24"/>
          <w:szCs w:val="24"/>
          <w:lang w:val="en-US"/>
        </w:rPr>
        <w:t>For these reasons, it appears most appropriate to consider high-level Option 4 the preferred option and to assess in detail a number of sub-options only with regard to this high-level Opti</w:t>
      </w:r>
      <w:r>
        <w:rPr>
          <w:rFonts w:ascii="Times New Roman" w:hAnsi="Times New Roman" w:cs="Times New Roman"/>
          <w:noProof/>
          <w:sz w:val="24"/>
          <w:szCs w:val="24"/>
          <w:lang w:val="en-US"/>
        </w:rPr>
        <w:t xml:space="preserve">on. </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In terms of the material scope of a minimum harmonized legal framework, Option 4 focuses</w:t>
      </w:r>
      <w:r>
        <w:rPr>
          <w:rFonts w:ascii="Times New Roman" w:hAnsi="Times New Roman" w:cs="Times New Roman"/>
          <w:noProof/>
          <w:sz w:val="24"/>
          <w:szCs w:val="24"/>
          <w:lang w:val="en-US"/>
        </w:rPr>
        <w:t xml:space="preserve"> on early restructuring and second chance frameworks, but also aims at achieving more effectiveness of formal insolvency (liquidation procedures) and at amending s</w:t>
      </w:r>
      <w:r>
        <w:rPr>
          <w:rFonts w:ascii="Times New Roman" w:hAnsi="Times New Roman" w:cs="Times New Roman"/>
          <w:noProof/>
          <w:sz w:val="24"/>
          <w:szCs w:val="24"/>
          <w:lang w:val="en-US"/>
        </w:rPr>
        <w:t xml:space="preserve">uch procedures in order to make early restructuring more attractive. </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As regards early restructuring, the key aspects for consideration are as follows: </w:t>
      </w:r>
    </w:p>
    <w:p w:rsidR="00B32D69" w:rsidRDefault="00FB661A">
      <w:pPr>
        <w:pStyle w:val="ListParagraph"/>
        <w:numPr>
          <w:ilvl w:val="0"/>
          <w:numId w:val="24"/>
        </w:numPr>
        <w:spacing w:after="240" w:line="240" w:lineRule="auto"/>
        <w:ind w:left="567" w:hanging="567"/>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objectives of increasing recovery rates for creditors, saving jobs and know-how is best served by early restructuring of a viable company than by liquidation; </w:t>
      </w:r>
    </w:p>
    <w:p w:rsidR="00B32D69" w:rsidRDefault="00FB661A">
      <w:pPr>
        <w:pStyle w:val="ListParagraph"/>
        <w:numPr>
          <w:ilvl w:val="0"/>
          <w:numId w:val="24"/>
        </w:numPr>
        <w:spacing w:after="240" w:line="240" w:lineRule="auto"/>
        <w:ind w:left="567" w:hanging="567"/>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early restructuring is also the first port of call for transforming a non-performing loan in</w:t>
      </w:r>
      <w:r>
        <w:rPr>
          <w:rFonts w:ascii="Times New Roman" w:hAnsi="Times New Roman" w:cs="Times New Roman"/>
          <w:noProof/>
          <w:sz w:val="24"/>
          <w:szCs w:val="24"/>
          <w:lang w:val="en-US"/>
        </w:rPr>
        <w:t>to one which performs;</w:t>
      </w:r>
    </w:p>
    <w:p w:rsidR="00B32D69" w:rsidRDefault="00FB661A">
      <w:pPr>
        <w:pStyle w:val="ListParagraph"/>
        <w:numPr>
          <w:ilvl w:val="0"/>
          <w:numId w:val="24"/>
        </w:numPr>
        <w:spacing w:after="240" w:line="240" w:lineRule="auto"/>
        <w:ind w:left="567" w:hanging="567"/>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currently, the early restructuring frameworks in the Member States are developing, but there is little coherence between them, </w:t>
      </w:r>
    </w:p>
    <w:p w:rsidR="00B32D69" w:rsidRDefault="00FB661A">
      <w:pPr>
        <w:pStyle w:val="ListParagraph"/>
        <w:numPr>
          <w:ilvl w:val="0"/>
          <w:numId w:val="24"/>
        </w:numPr>
        <w:spacing w:after="240" w:line="240" w:lineRule="auto"/>
        <w:ind w:left="567" w:hanging="567"/>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given the current diversity of rules, it is impossible to have a restructuring of a cross-border group of</w:t>
      </w:r>
      <w:r>
        <w:rPr>
          <w:rFonts w:ascii="Times New Roman" w:hAnsi="Times New Roman" w:cs="Times New Roman"/>
          <w:noProof/>
          <w:sz w:val="24"/>
          <w:szCs w:val="24"/>
          <w:lang w:val="en-US"/>
        </w:rPr>
        <w:t xml:space="preserve"> companies with members in more than two MS;</w:t>
      </w:r>
    </w:p>
    <w:p w:rsidR="00B32D69" w:rsidRDefault="00FB661A">
      <w:pPr>
        <w:pStyle w:val="ListParagraph"/>
        <w:numPr>
          <w:ilvl w:val="0"/>
          <w:numId w:val="24"/>
        </w:numPr>
        <w:spacing w:after="240" w:line="240" w:lineRule="auto"/>
        <w:ind w:left="567" w:hanging="567"/>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need to focus on restructuring rather than liquidation was confirmed by the results of two public consultations (one on CMU in spring 2015 and one on restructuring, insolvency and second chance in spring 201</w:t>
      </w:r>
      <w:r>
        <w:rPr>
          <w:rFonts w:ascii="Times New Roman" w:hAnsi="Times New Roman" w:cs="Times New Roman"/>
          <w:noProof/>
          <w:sz w:val="24"/>
          <w:szCs w:val="24"/>
          <w:lang w:val="en-US"/>
        </w:rPr>
        <w:t xml:space="preserve">6), by discussions with a specially created expert group and a group of stakeholders representing a wide range of interested parties as well as by the two meetings with governmental experts from the Member States. </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As for liquidation procedures, a thorough</w:t>
      </w:r>
      <w:r>
        <w:rPr>
          <w:rFonts w:ascii="Times New Roman" w:hAnsi="Times New Roman" w:cs="Times New Roman"/>
          <w:noProof/>
          <w:sz w:val="24"/>
          <w:szCs w:val="24"/>
          <w:lang w:val="en-US"/>
        </w:rPr>
        <w:t xml:space="preserve"> analysis of what could be harmonized for the purposes of improving the effectiveness of the procedures was performed. On the basis of this analysis only provisions directly linked with shortening the length of such procedures and to making early restructu</w:t>
      </w:r>
      <w:r>
        <w:rPr>
          <w:rFonts w:ascii="Times New Roman" w:hAnsi="Times New Roman" w:cs="Times New Roman"/>
          <w:noProof/>
          <w:sz w:val="24"/>
          <w:szCs w:val="24"/>
          <w:lang w:val="en-US"/>
        </w:rPr>
        <w:t>ring effective appear adequate to be covered at this stage by this EU initiative for the following reasons:</w:t>
      </w:r>
    </w:p>
    <w:p w:rsidR="00B32D69" w:rsidRDefault="00FB661A">
      <w:pPr>
        <w:pStyle w:val="ListParagraph"/>
        <w:numPr>
          <w:ilvl w:val="0"/>
          <w:numId w:val="25"/>
        </w:numPr>
        <w:spacing w:after="240" w:line="240" w:lineRule="auto"/>
        <w:ind w:left="567" w:hanging="567"/>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in liquidation, the most important is legal certainty and the speed of the procedures, hence the provisions on courts, insolvency practitioners and </w:t>
      </w:r>
      <w:r>
        <w:rPr>
          <w:rFonts w:ascii="Times New Roman" w:hAnsi="Times New Roman" w:cs="Times New Roman"/>
          <w:noProof/>
          <w:sz w:val="24"/>
          <w:szCs w:val="24"/>
          <w:lang w:val="en-US"/>
        </w:rPr>
        <w:t>digitalisation of procedures which are horizontal</w:t>
      </w:r>
    </w:p>
    <w:p w:rsidR="00B32D69" w:rsidRDefault="00FB661A">
      <w:pPr>
        <w:pStyle w:val="ListParagraph"/>
        <w:numPr>
          <w:ilvl w:val="0"/>
          <w:numId w:val="24"/>
        </w:numPr>
        <w:spacing w:after="240" w:line="240" w:lineRule="auto"/>
        <w:ind w:left="567" w:hanging="567"/>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harmonising substantive liquidation issues such as the definition of insolvency, ranking of claims and avoidance actions would touch upon fundamental values in the Member States, such as the protection of w</w:t>
      </w:r>
      <w:r>
        <w:rPr>
          <w:rFonts w:ascii="Times New Roman" w:hAnsi="Times New Roman" w:cs="Times New Roman"/>
          <w:noProof/>
          <w:sz w:val="24"/>
          <w:szCs w:val="24"/>
          <w:lang w:val="en-US"/>
        </w:rPr>
        <w:t xml:space="preserve">orkers and the safeguarding of security rights. </w:t>
      </w:r>
    </w:p>
    <w:p w:rsidR="00B32D69" w:rsidRDefault="00FB661A">
      <w:pPr>
        <w:pStyle w:val="ListParagraph"/>
        <w:numPr>
          <w:ilvl w:val="0"/>
          <w:numId w:val="24"/>
        </w:numPr>
        <w:spacing w:after="240" w:line="240" w:lineRule="auto"/>
        <w:ind w:left="567" w:hanging="567"/>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liquidation, there are important links with other areas of law, such as company law (definition of insolvency), property law (ranking of claims and avoidance actions), criminal law (disqualification of di</w:t>
      </w:r>
      <w:r>
        <w:rPr>
          <w:rFonts w:ascii="Times New Roman" w:hAnsi="Times New Roman" w:cs="Times New Roman"/>
          <w:noProof/>
          <w:sz w:val="24"/>
          <w:szCs w:val="24"/>
          <w:lang w:val="en-US"/>
        </w:rPr>
        <w:t>rectors) which makes harmonization on the basis of minimum standards a disproportionately complex exercise.</w:t>
      </w:r>
    </w:p>
    <w:p w:rsidR="00B32D69" w:rsidRDefault="00FB661A">
      <w:pPr>
        <w:pStyle w:val="ListParagraph"/>
        <w:numPr>
          <w:ilvl w:val="0"/>
          <w:numId w:val="24"/>
        </w:numPr>
        <w:spacing w:after="240" w:line="240" w:lineRule="auto"/>
        <w:ind w:left="567" w:hanging="567"/>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early restructuring happens 'in the shadow' of the alternative, which are formal insolvency (liquidation) procedures. For this reason, insolvency ru</w:t>
      </w:r>
      <w:r>
        <w:rPr>
          <w:rFonts w:ascii="Times New Roman" w:hAnsi="Times New Roman" w:cs="Times New Roman"/>
          <w:noProof/>
          <w:sz w:val="24"/>
          <w:szCs w:val="24"/>
          <w:lang w:val="en-US"/>
        </w:rPr>
        <w:t>les on avoidance actions need to be adapted to ensure that the early restructuring of companies in difficulty is attractive for new investors and creditors, i.e. provides for sufficient guarantees that their investment will be protected in subsequent insol</w:t>
      </w:r>
      <w:r>
        <w:rPr>
          <w:rFonts w:ascii="Times New Roman" w:hAnsi="Times New Roman" w:cs="Times New Roman"/>
          <w:noProof/>
          <w:sz w:val="24"/>
          <w:szCs w:val="24"/>
          <w:lang w:val="en-US"/>
        </w:rPr>
        <w:t>vency procedures.</w:t>
      </w:r>
    </w:p>
    <w:p w:rsidR="00B32D69" w:rsidRDefault="00FB661A">
      <w:p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Nevertheless, the measures to increase the effectiveness of the procedures have a horizontal scope and are equally valid for restructuring and for liquidation, or indeed second chance. In all types of procedures timing is of the essence: </w:t>
      </w:r>
      <w:r>
        <w:rPr>
          <w:rFonts w:ascii="Times New Roman" w:hAnsi="Times New Roman" w:cs="Times New Roman"/>
          <w:noProof/>
          <w:sz w:val="24"/>
          <w:szCs w:val="24"/>
          <w:lang w:val="en-US"/>
        </w:rPr>
        <w:t>increasing the specialisation of courts and the professionalism of insolvency practitioners and by introducing the digitalisation of all types of restructuring and insolvency procedures should be able to address these issues. As a means to ensure the effec</w:t>
      </w:r>
      <w:r>
        <w:rPr>
          <w:rFonts w:ascii="Times New Roman" w:hAnsi="Times New Roman" w:cs="Times New Roman"/>
          <w:noProof/>
          <w:sz w:val="24"/>
          <w:szCs w:val="24"/>
          <w:lang w:val="en-US"/>
        </w:rPr>
        <w:t>tiveness of procedures, the collection and analysis of data on number and outcome of restructuring and insolvency procedures is of paramount importance.</w:t>
      </w:r>
    </w:p>
    <w:p w:rsidR="00B32D69" w:rsidRDefault="00FB661A">
      <w:p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Some elements of substantive law could therefore not be addressed at this stage, given the current dive</w:t>
      </w:r>
      <w:r>
        <w:rPr>
          <w:rFonts w:ascii="Times New Roman" w:hAnsi="Times New Roman" w:cs="Times New Roman"/>
          <w:noProof/>
          <w:sz w:val="24"/>
          <w:szCs w:val="24"/>
          <w:lang w:val="en-US"/>
        </w:rPr>
        <w:t>rsity in Member States' restructuring and insolvency frameworks: harmonising the definition of insolvency, ranking of claims and avoidance actions (with the exception of those actions concerning transactions directly linked to preventive restructuring) wou</w:t>
      </w:r>
      <w:r>
        <w:rPr>
          <w:rFonts w:ascii="Times New Roman" w:hAnsi="Times New Roman" w:cs="Times New Roman"/>
          <w:noProof/>
          <w:sz w:val="24"/>
          <w:szCs w:val="24"/>
          <w:lang w:val="en-US"/>
        </w:rPr>
        <w:t xml:space="preserve">ld touch upon fundamental values in the Member States, such as the place of workers and of state creditors, and the safeguarding of security rights. </w:t>
      </w:r>
    </w:p>
    <w:p w:rsidR="00B32D69" w:rsidRDefault="00FB661A">
      <w:p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Because an initiative could not at this stage reasonably be able to fully harmonise all insolvency-related</w:t>
      </w:r>
      <w:r>
        <w:rPr>
          <w:rFonts w:ascii="Times New Roman" w:hAnsi="Times New Roman" w:cs="Times New Roman"/>
          <w:noProof/>
          <w:sz w:val="24"/>
          <w:szCs w:val="24"/>
          <w:lang w:val="en-US"/>
        </w:rPr>
        <w:t xml:space="preserve"> aspects, investors would still face additional costs when assessing or defending their rights in restructuring and/or insolvency. It is certain however that costs will be significantly reduced for investors. </w:t>
      </w:r>
    </w:p>
    <w:p w:rsidR="00B32D69" w:rsidRDefault="00FB661A">
      <w:p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First, the minimum harmonisation of some restr</w:t>
      </w:r>
      <w:r>
        <w:rPr>
          <w:rFonts w:ascii="Times New Roman" w:hAnsi="Times New Roman" w:cs="Times New Roman"/>
          <w:noProof/>
          <w:sz w:val="24"/>
          <w:szCs w:val="24"/>
          <w:lang w:val="en-US"/>
        </w:rPr>
        <w:t>ucturing rules would mean that investors may still need to assess their position in the jurisdiction of the COMI state. For example:</w:t>
      </w:r>
    </w:p>
    <w:p w:rsidR="00B32D69" w:rsidRDefault="00FB661A">
      <w:pPr>
        <w:spacing w:after="240" w:line="240" w:lineRule="auto"/>
        <w:ind w:left="567" w:hanging="567"/>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ab/>
        <w:t>investors will have legal certainty as to the fact that a debtor in financial difficulties will have the right to a temp</w:t>
      </w:r>
      <w:r>
        <w:rPr>
          <w:rFonts w:ascii="Times New Roman" w:hAnsi="Times New Roman" w:cs="Times New Roman"/>
          <w:noProof/>
          <w:sz w:val="24"/>
          <w:szCs w:val="24"/>
          <w:lang w:val="en-US"/>
        </w:rPr>
        <w:t>orary, limited in time stay of individual enforcement actions and that they (the investors) will have a right to ask for the stay to be lifted in certain circumstances; however, investors may still need to investigate in which Member States that stay can b</w:t>
      </w:r>
      <w:r>
        <w:rPr>
          <w:rFonts w:ascii="Times New Roman" w:hAnsi="Times New Roman" w:cs="Times New Roman"/>
          <w:noProof/>
          <w:sz w:val="24"/>
          <w:szCs w:val="24"/>
          <w:lang w:val="en-US"/>
        </w:rPr>
        <w:t>e prolonged and for how long;</w:t>
      </w:r>
    </w:p>
    <w:p w:rsidR="00B32D69" w:rsidRDefault="00FB661A">
      <w:pPr>
        <w:spacing w:after="240" w:line="240" w:lineRule="auto"/>
        <w:ind w:left="567" w:hanging="567"/>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ab/>
        <w:t xml:space="preserve">while it will be possible to adopt restructuring plans by a majority of creditors and while creditors will have the certainty that they will have voting rights proportionate with the amount of their claim and in a class of </w:t>
      </w:r>
      <w:r>
        <w:rPr>
          <w:rFonts w:ascii="Times New Roman" w:hAnsi="Times New Roman" w:cs="Times New Roman"/>
          <w:noProof/>
          <w:sz w:val="24"/>
          <w:szCs w:val="24"/>
          <w:lang w:val="en-US"/>
        </w:rPr>
        <w:t>similar claims, there will still be differences as to the exact proportion of claims needed under national law to adopt a plan;</w:t>
      </w:r>
    </w:p>
    <w:p w:rsidR="00B32D69" w:rsidRDefault="00FB661A">
      <w:pPr>
        <w:spacing w:after="240" w:line="240" w:lineRule="auto"/>
        <w:ind w:left="567" w:hanging="567"/>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ab/>
        <w:t xml:space="preserve">investors will have legal certainty that new and interim financing is protected everywhere in the EU from avoidance actions, </w:t>
      </w:r>
      <w:r>
        <w:rPr>
          <w:rFonts w:ascii="Times New Roman" w:hAnsi="Times New Roman" w:cs="Times New Roman"/>
          <w:noProof/>
          <w:sz w:val="24"/>
          <w:szCs w:val="24"/>
          <w:lang w:val="en-US"/>
        </w:rPr>
        <w:t>but new investors may wish to know in which Member States they will be given even better protection by way of super-priority status in subsequent liquidation procedures;</w:t>
      </w:r>
    </w:p>
    <w:p w:rsidR="00B32D69" w:rsidRDefault="00FB661A">
      <w:pPr>
        <w:spacing w:after="240" w:line="240" w:lineRule="auto"/>
        <w:ind w:left="567" w:hanging="567"/>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ab/>
        <w:t>finally, even if it is not possible to harmonise at this stage the raking of claims</w:t>
      </w:r>
      <w:r>
        <w:rPr>
          <w:rFonts w:ascii="Times New Roman" w:hAnsi="Times New Roman" w:cs="Times New Roman"/>
          <w:noProof/>
          <w:sz w:val="24"/>
          <w:szCs w:val="24"/>
          <w:lang w:val="en-US"/>
        </w:rPr>
        <w:t xml:space="preserve"> in the event of liquidation under national law, by incorporating the best interest of creditors' test and the absolute priority rule into the restructuring framework, creditors will have legal certainty as to the </w:t>
      </w:r>
      <w:r>
        <w:rPr>
          <w:rFonts w:ascii="Times New Roman" w:hAnsi="Times New Roman" w:cs="Times New Roman"/>
          <w:i/>
          <w:noProof/>
          <w:sz w:val="24"/>
          <w:szCs w:val="24"/>
          <w:lang w:val="en-US"/>
        </w:rPr>
        <w:t>de minimis</w:t>
      </w:r>
      <w:r>
        <w:rPr>
          <w:rFonts w:ascii="Times New Roman" w:hAnsi="Times New Roman" w:cs="Times New Roman"/>
          <w:noProof/>
          <w:sz w:val="24"/>
          <w:szCs w:val="24"/>
          <w:lang w:val="en-US"/>
        </w:rPr>
        <w:t xml:space="preserve"> returns they have a right to in</w:t>
      </w:r>
      <w:r>
        <w:rPr>
          <w:rFonts w:ascii="Times New Roman" w:hAnsi="Times New Roman" w:cs="Times New Roman"/>
          <w:noProof/>
          <w:sz w:val="24"/>
          <w:szCs w:val="24"/>
          <w:lang w:val="en-US"/>
        </w:rPr>
        <w:t xml:space="preserve"> restructuring procedures.</w:t>
      </w:r>
    </w:p>
    <w:p w:rsidR="00B32D69" w:rsidRDefault="00FB661A">
      <w:p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Second, leaving large parts of the liquidation procedures non-harmonised would indeed mean that investors would still experience additional costs needed to assess ex-ante their rights where the debtor goes into liquidation as wel</w:t>
      </w:r>
      <w:r>
        <w:rPr>
          <w:rFonts w:ascii="Times New Roman" w:hAnsi="Times New Roman" w:cs="Times New Roman"/>
          <w:noProof/>
          <w:sz w:val="24"/>
          <w:szCs w:val="24"/>
          <w:lang w:val="en-US"/>
        </w:rPr>
        <w:t>l as ex-post costs to manage liquidation procedures in Member States where they have not contemplated that the COMI will be situated. However, even in the absence of harmonisation of liquidation procedures, this proposal would have positive effects in term</w:t>
      </w:r>
      <w:r>
        <w:rPr>
          <w:rFonts w:ascii="Times New Roman" w:hAnsi="Times New Roman" w:cs="Times New Roman"/>
          <w:noProof/>
          <w:sz w:val="24"/>
          <w:szCs w:val="24"/>
          <w:lang w:val="en-US"/>
        </w:rPr>
        <w:t xml:space="preserve">s of increasing legal certainty for creditors, e.g. </w:t>
      </w:r>
      <w:r>
        <w:rPr>
          <w:rFonts w:ascii="Times New Roman" w:hAnsi="Times New Roman" w:cs="Times New Roman"/>
          <w:i/>
          <w:noProof/>
          <w:sz w:val="24"/>
          <w:szCs w:val="24"/>
          <w:lang w:val="en-US"/>
        </w:rPr>
        <w:t>vis a vis</w:t>
      </w:r>
      <w:r>
        <w:rPr>
          <w:rFonts w:ascii="Times New Roman" w:hAnsi="Times New Roman" w:cs="Times New Roman"/>
          <w:noProof/>
          <w:sz w:val="24"/>
          <w:szCs w:val="24"/>
          <w:lang w:val="en-US"/>
        </w:rPr>
        <w:t xml:space="preserve"> avoidance actions of new and interim financing given in preventive restructuring procedures or the reduction of length of liquidation procedures and the increased participation of creditors via </w:t>
      </w:r>
      <w:r>
        <w:rPr>
          <w:rFonts w:ascii="Times New Roman" w:hAnsi="Times New Roman" w:cs="Times New Roman"/>
          <w:noProof/>
          <w:sz w:val="24"/>
          <w:szCs w:val="24"/>
          <w:lang w:val="en-US"/>
        </w:rPr>
        <w:t xml:space="preserve">distance means - both leading to higher recovery rates for creditors. </w:t>
      </w:r>
    </w:p>
    <w:p w:rsidR="00B32D69" w:rsidRDefault="00FB661A">
      <w:p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Third, a discharge of debt alone may in some Member States not be enough to allow the entrepreneur to take up a new business activity. For example, where bankruptcy triggers a disqualif</w:t>
      </w:r>
      <w:r>
        <w:rPr>
          <w:rFonts w:ascii="Times New Roman" w:hAnsi="Times New Roman" w:cs="Times New Roman"/>
          <w:noProof/>
          <w:sz w:val="24"/>
          <w:szCs w:val="24"/>
          <w:lang w:val="en-US"/>
        </w:rPr>
        <w:t xml:space="preserve">ication order which lasts for longer periods of time and which may be issued without consideration being given to whether the entrepreneurs was acting in good faith or not. In order to give honest entrepreneurs an effective second chance, disqualification </w:t>
      </w:r>
      <w:r>
        <w:rPr>
          <w:rFonts w:ascii="Times New Roman" w:hAnsi="Times New Roman" w:cs="Times New Roman"/>
          <w:noProof/>
          <w:sz w:val="24"/>
          <w:szCs w:val="24"/>
          <w:lang w:val="en-US"/>
        </w:rPr>
        <w:t>orders linked to over-indebtedness should also be limited in time to expire at the latest when the discharge period ends. Other potential impediments to second chance stemming from the retention and use of personal data linked to an entrepreneurs over-inde</w:t>
      </w:r>
      <w:r>
        <w:rPr>
          <w:rFonts w:ascii="Times New Roman" w:hAnsi="Times New Roman" w:cs="Times New Roman"/>
          <w:noProof/>
          <w:sz w:val="24"/>
          <w:szCs w:val="24"/>
          <w:lang w:val="en-US"/>
        </w:rPr>
        <w:t>btedness beyond a certain period of time, for example in credit rating databases, are sufficiently addressed by the provisions of the General Data Protection Regulation</w:t>
      </w:r>
      <w:r>
        <w:rPr>
          <w:rFonts w:ascii="Times New Roman" w:hAnsi="Times New Roman"/>
          <w:noProof/>
          <w:sz w:val="24"/>
          <w:lang w:val="en-US"/>
        </w:rPr>
        <w:footnoteReference w:id="166"/>
      </w:r>
      <w:r>
        <w:rPr>
          <w:rFonts w:ascii="Times New Roman" w:hAnsi="Times New Roman" w:cs="Times New Roman"/>
          <w:noProof/>
          <w:sz w:val="24"/>
          <w:szCs w:val="24"/>
          <w:lang w:val="en-US"/>
        </w:rPr>
        <w:t>.</w:t>
      </w:r>
    </w:p>
    <w:p w:rsidR="00B32D69" w:rsidRDefault="00FB661A">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On second chance aspects, this option would give Member States the flexibility to determine the most appropriate means to achieve the following objectives: </w:t>
      </w:r>
    </w:p>
    <w:p w:rsidR="00B32D69" w:rsidRDefault="00FB661A">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 access of all honest debtors to a full discharge of debt after no more than 3 years; </w:t>
      </w:r>
    </w:p>
    <w:p w:rsidR="00B32D69" w:rsidRDefault="00FB661A">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debtors m</w:t>
      </w:r>
      <w:r>
        <w:rPr>
          <w:rFonts w:ascii="Times New Roman" w:eastAsia="Calibri" w:hAnsi="Times New Roman" w:cs="Times New Roman"/>
          <w:noProof/>
          <w:sz w:val="24"/>
          <w:szCs w:val="24"/>
        </w:rPr>
        <w:t xml:space="preserve">ust have effective access to early warning tools, just as business debtors; </w:t>
      </w:r>
    </w:p>
    <w:p w:rsidR="00B32D69" w:rsidRDefault="00FB661A">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 debtors unable to pay any part of their outstanding debt could be provided an opportunity of discharge without obligation of repayment; </w:t>
      </w:r>
    </w:p>
    <w:p w:rsidR="00B32D69" w:rsidRDefault="00FB661A">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on expiry of the discharge period, deb</w:t>
      </w:r>
      <w:r>
        <w:rPr>
          <w:rFonts w:ascii="Times New Roman" w:eastAsia="Calibri" w:hAnsi="Times New Roman" w:cs="Times New Roman"/>
          <w:noProof/>
          <w:sz w:val="24"/>
          <w:szCs w:val="24"/>
        </w:rPr>
        <w:t xml:space="preserve">tors would be discharged of their debts without the need in principle to re-apply to a court. </w:t>
      </w:r>
    </w:p>
    <w:p w:rsidR="00B32D69" w:rsidRDefault="00FB661A">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As personal debts of professional and non-professional nature are often intertwined (and also that of families), Member States could try to consolidate such proc</w:t>
      </w:r>
      <w:r>
        <w:rPr>
          <w:rFonts w:ascii="Times New Roman" w:eastAsia="Calibri" w:hAnsi="Times New Roman" w:cs="Times New Roman"/>
          <w:noProof/>
          <w:sz w:val="24"/>
          <w:szCs w:val="24"/>
        </w:rPr>
        <w:t xml:space="preserve">eedings to achieve a coherent outcome, or, at the very least, should coordinate them. </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val="en-US" w:eastAsia="en-GB"/>
        </w:rPr>
        <w:t xml:space="preserve">As to consumers, </w:t>
      </w:r>
      <w:r>
        <w:rPr>
          <w:rFonts w:ascii="Times New Roman" w:eastAsia="Calibri" w:hAnsi="Times New Roman" w:cs="Times New Roman"/>
          <w:noProof/>
          <w:sz w:val="24"/>
          <w:szCs w:val="24"/>
        </w:rPr>
        <w:t>their discharge treatment is in many Member States not different than that for entrepreneurs. Indeed, there is no apparent reason why consumers should h</w:t>
      </w:r>
      <w:r>
        <w:rPr>
          <w:rFonts w:ascii="Times New Roman" w:eastAsia="Calibri" w:hAnsi="Times New Roman" w:cs="Times New Roman"/>
          <w:noProof/>
          <w:sz w:val="24"/>
          <w:szCs w:val="24"/>
        </w:rPr>
        <w:t xml:space="preserve">ave a different discharge regime than entrepreneurs: in both cases what is at stage is the personal liability of the debtor and in most cases it is very difficult or even impossible to distinguish between the professional and non-professional debts of the </w:t>
      </w:r>
      <w:r>
        <w:rPr>
          <w:rFonts w:ascii="Times New Roman" w:eastAsia="Calibri" w:hAnsi="Times New Roman" w:cs="Times New Roman"/>
          <w:noProof/>
          <w:sz w:val="24"/>
          <w:szCs w:val="24"/>
        </w:rPr>
        <w:t>debtor</w:t>
      </w:r>
      <w:r>
        <w:rPr>
          <w:rFonts w:eastAsia="Calibri" w:cs="Times New Roman"/>
          <w:noProof/>
          <w:sz w:val="24"/>
          <w:szCs w:val="24"/>
          <w:vertAlign w:val="superscript"/>
        </w:rPr>
        <w:footnoteReference w:id="167"/>
      </w:r>
      <w:r>
        <w:rPr>
          <w:rFonts w:ascii="Times New Roman" w:eastAsia="Calibri" w:hAnsi="Times New Roman" w:cs="Times New Roman"/>
          <w:noProof/>
          <w:sz w:val="24"/>
          <w:szCs w:val="24"/>
        </w:rPr>
        <w:t xml:space="preserve">.  However, in view of the business focus of this initiative and its objective to primarily tackle internal market problems relating to the investment of capital and the freedom of establishment for entrepeneurs as self-employed persons and in view </w:t>
      </w:r>
      <w:r>
        <w:rPr>
          <w:rFonts w:ascii="Times New Roman" w:eastAsia="Calibri" w:hAnsi="Times New Roman" w:cs="Times New Roman"/>
          <w:noProof/>
          <w:sz w:val="24"/>
          <w:szCs w:val="24"/>
        </w:rPr>
        <w:t>of the differences between discharge periods for entrepreneurs and consumers respectively particularly as regards the degree of an internal market problem</w:t>
      </w:r>
      <w:r>
        <w:rPr>
          <w:rStyle w:val="FootnoteReference"/>
          <w:rFonts w:ascii="Times New Roman" w:eastAsia="Calibri" w:hAnsi="Times New Roman"/>
          <w:noProof/>
          <w:sz w:val="24"/>
          <w:szCs w:val="24"/>
        </w:rPr>
        <w:footnoteReference w:id="168"/>
      </w:r>
      <w:r>
        <w:rPr>
          <w:rFonts w:ascii="Times New Roman" w:eastAsia="Calibri" w:hAnsi="Times New Roman" w:cs="Times New Roman"/>
          <w:noProof/>
          <w:sz w:val="24"/>
          <w:szCs w:val="24"/>
        </w:rPr>
        <w:t xml:space="preserve"> binding rules for consumer discharge periods should remain outside the scope of a potential instrume</w:t>
      </w:r>
      <w:r>
        <w:rPr>
          <w:rFonts w:ascii="Times New Roman" w:eastAsia="Calibri" w:hAnsi="Times New Roman" w:cs="Times New Roman"/>
          <w:noProof/>
          <w:sz w:val="24"/>
          <w:szCs w:val="24"/>
        </w:rPr>
        <w:t>nt. Nevertheless, taking into account that many Member States treat the discharge and second chance for natural persons in the same way irrespective of whether the indebted person is a consumer or entrepreneur it should remain possible and be encouraged, i</w:t>
      </w:r>
      <w:r>
        <w:rPr>
          <w:rFonts w:ascii="Times New Roman" w:eastAsia="Calibri" w:hAnsi="Times New Roman" w:cs="Times New Roman"/>
          <w:noProof/>
          <w:sz w:val="24"/>
          <w:szCs w:val="24"/>
        </w:rPr>
        <w:t>f outside the context of legal obligations, to coordinate of debt resolution procedures regarding sole entrepreneurs and consumers. Concrete sub-options concerning consumer discharge will be assessed in the light of these considerations.</w:t>
      </w:r>
    </w:p>
    <w:p w:rsidR="00B32D69" w:rsidRDefault="00FB661A">
      <w:pPr>
        <w:keepNext/>
        <w:keepLines/>
        <w:spacing w:before="240" w:after="240"/>
        <w:ind w:left="567" w:hanging="567"/>
        <w:outlineLvl w:val="0"/>
        <w:rPr>
          <w:rFonts w:ascii="Times New Roman" w:eastAsia="Calibri" w:hAnsi="Times New Roman" w:cs="Times New Roman"/>
          <w:b/>
          <w:bCs/>
          <w:noProof/>
          <w:sz w:val="28"/>
          <w:szCs w:val="28"/>
          <w:lang w:eastAsia="en-GB"/>
        </w:rPr>
      </w:pPr>
      <w:bookmarkStart w:id="36" w:name="_Toc466452974"/>
      <w:r>
        <w:rPr>
          <w:rFonts w:ascii="Times New Roman" w:eastAsiaTheme="majorEastAsia" w:hAnsi="Times New Roman" w:cs="Times New Roman"/>
          <w:b/>
          <w:bCs/>
          <w:noProof/>
          <w:sz w:val="28"/>
          <w:szCs w:val="28"/>
          <w:lang w:val="cs-CZ"/>
        </w:rPr>
        <w:t xml:space="preserve">5. </w:t>
      </w:r>
      <w:r>
        <w:rPr>
          <w:rFonts w:ascii="Times New Roman" w:eastAsiaTheme="majorEastAsia" w:hAnsi="Times New Roman" w:cs="Times New Roman"/>
          <w:b/>
          <w:bCs/>
          <w:noProof/>
          <w:sz w:val="28"/>
          <w:szCs w:val="28"/>
          <w:lang w:val="cs-CZ"/>
        </w:rPr>
        <w:tab/>
      </w:r>
      <w:r>
        <w:rPr>
          <w:rFonts w:ascii="Times New Roman" w:eastAsia="Calibri" w:hAnsi="Times New Roman" w:cs="Times New Roman"/>
          <w:b/>
          <w:bCs/>
          <w:noProof/>
          <w:sz w:val="28"/>
          <w:szCs w:val="28"/>
          <w:lang w:eastAsia="en-GB"/>
        </w:rPr>
        <w:t>SUBSTANTIVE SU</w:t>
      </w:r>
      <w:r>
        <w:rPr>
          <w:rFonts w:ascii="Times New Roman" w:eastAsia="Calibri" w:hAnsi="Times New Roman" w:cs="Times New Roman"/>
          <w:b/>
          <w:bCs/>
          <w:noProof/>
          <w:sz w:val="28"/>
          <w:szCs w:val="28"/>
          <w:lang w:eastAsia="en-GB"/>
        </w:rPr>
        <w:t>B- OPTIONS AND ANALYSIS OF THEIR IMPACT</w:t>
      </w:r>
      <w:bookmarkEnd w:id="23"/>
      <w:bookmarkEnd w:id="36"/>
    </w:p>
    <w:p w:rsidR="00B32D69" w:rsidRDefault="00FB661A">
      <w:pPr>
        <w:widowControl w:val="0"/>
        <w:autoSpaceDE w:val="0"/>
        <w:autoSpaceDN w:val="0"/>
        <w:adjustRightInd w:val="0"/>
        <w:spacing w:after="240" w:line="240" w:lineRule="auto"/>
        <w:jc w:val="both"/>
        <w:rPr>
          <w:rFonts w:ascii="Times New Roman" w:eastAsia="Calibri" w:hAnsi="Times New Roman" w:cs="Times New Roman"/>
          <w:noProof/>
          <w:sz w:val="24"/>
          <w:szCs w:val="24"/>
          <w:lang w:val="en-US" w:eastAsia="en-GB"/>
        </w:rPr>
      </w:pPr>
      <w:r>
        <w:rPr>
          <w:rFonts w:ascii="Times New Roman" w:eastAsia="Calibri" w:hAnsi="Times New Roman" w:cs="Times New Roman"/>
          <w:noProof/>
          <w:sz w:val="24"/>
          <w:szCs w:val="24"/>
          <w:lang w:eastAsia="en-GB"/>
        </w:rPr>
        <w:t xml:space="preserve">To achieve the objectives above, various substantive sub-options can be envisaged. The choice between the various substantive sub-options has no influence on the type of the instrument.  </w:t>
      </w:r>
    </w:p>
    <w:p w:rsidR="00B32D69" w:rsidRDefault="00FB661A">
      <w:pPr>
        <w:widowControl w:val="0"/>
        <w:autoSpaceDE w:val="0"/>
        <w:autoSpaceDN w:val="0"/>
        <w:adjustRightInd w:val="0"/>
        <w:spacing w:after="240" w:line="240" w:lineRule="auto"/>
        <w:jc w:val="both"/>
        <w:rPr>
          <w:rFonts w:ascii="Times New Roman" w:eastAsia="Calibri" w:hAnsi="Times New Roman" w:cs="Times New Roman"/>
          <w:noProof/>
          <w:sz w:val="24"/>
          <w:szCs w:val="24"/>
          <w:lang w:val="en-US" w:eastAsia="en-GB"/>
        </w:rPr>
      </w:pPr>
      <w:r>
        <w:rPr>
          <w:rFonts w:ascii="Times New Roman" w:hAnsi="Times New Roman" w:cs="Times New Roman"/>
          <w:noProof/>
          <w:sz w:val="24"/>
          <w:szCs w:val="24"/>
        </w:rPr>
        <w:t>The objective of the instrum</w:t>
      </w:r>
      <w:r>
        <w:rPr>
          <w:rFonts w:ascii="Times New Roman" w:hAnsi="Times New Roman" w:cs="Times New Roman"/>
          <w:noProof/>
          <w:sz w:val="24"/>
          <w:szCs w:val="24"/>
        </w:rPr>
        <w:t xml:space="preserve">ent is to ensure that certain essential minimum standards are in place. </w:t>
      </w:r>
      <w:r>
        <w:rPr>
          <w:rFonts w:ascii="Times New Roman" w:eastAsia="Calibri" w:hAnsi="Times New Roman" w:cs="Times New Roman"/>
          <w:noProof/>
          <w:sz w:val="24"/>
          <w:szCs w:val="24"/>
          <w:lang w:eastAsia="en-GB"/>
        </w:rPr>
        <w:t>As to the parameters of the restructuring procedure to be harmonised, the described substantive options are those which have most impact on ensuring a swift and efficient procedure. In</w:t>
      </w:r>
      <w:r>
        <w:rPr>
          <w:rFonts w:ascii="Times New Roman" w:eastAsia="Calibri" w:hAnsi="Times New Roman" w:cs="Times New Roman"/>
          <w:noProof/>
          <w:sz w:val="24"/>
          <w:szCs w:val="24"/>
          <w:lang w:eastAsia="en-GB"/>
        </w:rPr>
        <w:t xml:space="preserve"> general, these elements (i) early restructuring, (ii) shorter discharge periods for entrepreneurs, (iii) raising the quality and efficiency of courts and insolvency practitioners and (iv) digitalisation in all types of restructuring and insolvency procedu</w:t>
      </w:r>
      <w:r>
        <w:rPr>
          <w:rFonts w:ascii="Times New Roman" w:eastAsia="Calibri" w:hAnsi="Times New Roman" w:cs="Times New Roman"/>
          <w:noProof/>
          <w:sz w:val="24"/>
          <w:szCs w:val="24"/>
          <w:lang w:eastAsia="en-GB"/>
        </w:rPr>
        <w:t xml:space="preserve">res (including liquidation). </w:t>
      </w:r>
    </w:p>
    <w:p w:rsidR="00B32D69" w:rsidRDefault="00FB661A">
      <w:pPr>
        <w:widowControl w:val="0"/>
        <w:autoSpaceDE w:val="0"/>
        <w:autoSpaceDN w:val="0"/>
        <w:adjustRightInd w:val="0"/>
        <w:spacing w:after="240" w:line="240" w:lineRule="auto"/>
        <w:jc w:val="both"/>
        <w:rPr>
          <w:rFonts w:ascii="Times New Roman" w:eastAsia="Calibri" w:hAnsi="Times New Roman" w:cs="Times New Roman"/>
          <w:noProof/>
          <w:sz w:val="24"/>
          <w:szCs w:val="24"/>
          <w:lang w:eastAsia="en-GB"/>
        </w:rPr>
      </w:pPr>
      <w:r>
        <w:rPr>
          <w:rFonts w:ascii="Times New Roman" w:hAnsi="Times New Roman" w:cs="Times New Roman"/>
          <w:noProof/>
          <w:sz w:val="24"/>
          <w:szCs w:val="24"/>
        </w:rPr>
        <w:t xml:space="preserve">On most points, it suffices to introduce clear general principles without entering into too detailed and prescriptive regulation (e.g. shareholders should not be able to block a restructuring, debtors should remain in control </w:t>
      </w:r>
      <w:r>
        <w:rPr>
          <w:rFonts w:ascii="Times New Roman" w:hAnsi="Times New Roman" w:cs="Times New Roman"/>
          <w:noProof/>
          <w:sz w:val="24"/>
          <w:szCs w:val="24"/>
        </w:rPr>
        <w:t>of their assets and affairs). On certain points, however, it is necessary to be more specific in order to ensure a useful effect of the instrument. For instance, in order to prevent obstructing shareholders from blocking the adoption of a restructuring pla</w:t>
      </w:r>
      <w:r>
        <w:rPr>
          <w:rFonts w:ascii="Times New Roman" w:hAnsi="Times New Roman" w:cs="Times New Roman"/>
          <w:noProof/>
          <w:sz w:val="24"/>
          <w:szCs w:val="24"/>
        </w:rPr>
        <w:t>n, the general principle should be established while leaving to Member States the exact details of how this may be achieved. On the other hand, when it comes to the stay of enforcement actions, one needs to address the duration of the stay and the conditio</w:t>
      </w:r>
      <w:r>
        <w:rPr>
          <w:rFonts w:ascii="Times New Roman" w:hAnsi="Times New Roman" w:cs="Times New Roman"/>
          <w:noProof/>
          <w:sz w:val="24"/>
          <w:szCs w:val="24"/>
        </w:rPr>
        <w:t>ns for its extension need to be addressed in order to meet creditors' concerns and reduce the length of restructuring procedures. The period of the stay (in principle no more than 4 months) has been established by looking at recent reforms in Member States</w:t>
      </w:r>
      <w:r>
        <w:rPr>
          <w:rFonts w:ascii="Times New Roman" w:hAnsi="Times New Roman" w:cs="Times New Roman"/>
          <w:noProof/>
          <w:sz w:val="24"/>
          <w:szCs w:val="24"/>
        </w:rPr>
        <w:t xml:space="preserve"> e.g. DE, FR, ES, IE, PT, SI).</w:t>
      </w:r>
    </w:p>
    <w:p w:rsidR="00B32D69" w:rsidRDefault="00FB661A">
      <w:p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For the key sub-options on debtor-in-possession, stay of enforcement, cram-down, new finance the inspiration came originally from the work of INSOL Europe at the time of the 2014 Recommendation on restructuring and second cha</w:t>
      </w:r>
      <w:r>
        <w:rPr>
          <w:rFonts w:ascii="Times New Roman" w:hAnsi="Times New Roman" w:cs="Times New Roman"/>
          <w:noProof/>
          <w:sz w:val="24"/>
          <w:szCs w:val="24"/>
          <w:lang w:val="en-US"/>
        </w:rPr>
        <w:t>nce</w:t>
      </w:r>
      <w:r>
        <w:rPr>
          <w:rStyle w:val="FootnoteReference"/>
          <w:rFonts w:ascii="Times New Roman" w:hAnsi="Times New Roman"/>
          <w:noProof/>
          <w:sz w:val="24"/>
          <w:szCs w:val="24"/>
          <w:lang w:val="en-US"/>
        </w:rPr>
        <w:footnoteReference w:id="169"/>
      </w:r>
      <w:r>
        <w:rPr>
          <w:rFonts w:ascii="Times New Roman" w:hAnsi="Times New Roman" w:cs="Times New Roman"/>
          <w:noProof/>
          <w:sz w:val="24"/>
          <w:szCs w:val="24"/>
          <w:lang w:val="en-US"/>
        </w:rPr>
        <w:t xml:space="preserve">, from best practices in this area, from the elements of restructuring identified in the World Bank Index, from the review of the implementation in the Member States. These rules have been further developed with the assistance of a specially created </w:t>
      </w:r>
      <w:r>
        <w:rPr>
          <w:rFonts w:ascii="Times New Roman" w:hAnsi="Times New Roman" w:cs="Times New Roman"/>
          <w:noProof/>
          <w:sz w:val="24"/>
          <w:szCs w:val="24"/>
          <w:lang w:val="en-US"/>
        </w:rPr>
        <w:t>representative group of restructuring and insolvency experts from across the EU, also in the light of the results of two specific public consultations, on Capital Market Union (spring 2015) and on restructuring, insolvency and second chance (spring 2016) .</w:t>
      </w:r>
      <w:r>
        <w:rPr>
          <w:rFonts w:ascii="Times New Roman" w:hAnsi="Times New Roman" w:cs="Times New Roman"/>
          <w:noProof/>
          <w:sz w:val="24"/>
          <w:szCs w:val="24"/>
          <w:lang w:val="en-US"/>
        </w:rPr>
        <w:t xml:space="preserve"> For example, a new rule on the effects of the stay on early termination clauses in contracts was suggested by this group, as was the additional rules on safe harbour from avoidance actions provisions (there was high support for harmonising the rules on av</w:t>
      </w:r>
      <w:r>
        <w:rPr>
          <w:rFonts w:ascii="Times New Roman" w:hAnsi="Times New Roman" w:cs="Times New Roman"/>
          <w:noProof/>
          <w:sz w:val="24"/>
          <w:szCs w:val="24"/>
          <w:lang w:val="en-US"/>
        </w:rPr>
        <w:t>oidance actions in the 2016 public consultation). Some other rules were inspired by the responses to the public consultation (e.g. the rules on early warning are supported by Business Europe, UEAPME and other business organisations, those on the specialisa</w:t>
      </w:r>
      <w:r>
        <w:rPr>
          <w:rFonts w:ascii="Times New Roman" w:hAnsi="Times New Roman" w:cs="Times New Roman"/>
          <w:noProof/>
          <w:sz w:val="24"/>
          <w:szCs w:val="24"/>
          <w:lang w:val="en-US"/>
        </w:rPr>
        <w:t>tion of courts and IPs are supported by the Association of Financial Markets in Europe). Where valid concerns where advanced by stakeholders, certain sub-options were not retained: this is the case with the rule on the release of third party guarantees.</w:t>
      </w:r>
    </w:p>
    <w:tbl>
      <w:tblPr>
        <w:tblW w:w="90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8"/>
        <w:gridCol w:w="2333"/>
        <w:gridCol w:w="1167"/>
        <w:gridCol w:w="1166"/>
        <w:gridCol w:w="2334"/>
      </w:tblGrid>
      <w:tr w:rsidR="00B32D69">
        <w:tc>
          <w:tcPr>
            <w:tcW w:w="20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2D69" w:rsidRDefault="00FB661A">
            <w:pPr>
              <w:spacing w:before="60" w:after="60" w:line="240" w:lineRule="auto"/>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Op</w:t>
            </w:r>
            <w:r>
              <w:rPr>
                <w:rFonts w:ascii="Times New Roman" w:eastAsia="Calibri" w:hAnsi="Times New Roman" w:cs="Times New Roman"/>
                <w:b/>
                <w:noProof/>
                <w:sz w:val="20"/>
                <w:szCs w:val="20"/>
              </w:rPr>
              <w:t>erational objective (Driver)</w:t>
            </w:r>
          </w:p>
        </w:tc>
        <w:tc>
          <w:tcPr>
            <w:tcW w:w="700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2D69" w:rsidRDefault="00FB661A">
            <w:pPr>
              <w:spacing w:before="60" w:after="60" w:line="240" w:lineRule="auto"/>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Sub-options: building blocks of the proposed framework</w:t>
            </w:r>
          </w:p>
        </w:tc>
      </w:tr>
      <w:tr w:rsidR="00B32D69">
        <w:tc>
          <w:tcPr>
            <w:tcW w:w="903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line="240" w:lineRule="auto"/>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EFFECTIVE RESTRUCTURING FRAMEWORK</w:t>
            </w:r>
          </w:p>
        </w:tc>
      </w:tr>
      <w:tr w:rsidR="00B32D69">
        <w:tc>
          <w:tcPr>
            <w:tcW w:w="203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 xml:space="preserve">5.1. Enable early restructuring </w:t>
            </w:r>
          </w:p>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(Rules on the possibility of restructuring at an early stage)</w:t>
            </w:r>
          </w:p>
        </w:tc>
        <w:tc>
          <w:tcPr>
            <w:tcW w:w="233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Sub-option 1</w:t>
            </w:r>
          </w:p>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 xml:space="preserve">The procedure is available </w:t>
            </w:r>
            <w:r>
              <w:rPr>
                <w:rFonts w:ascii="Times New Roman" w:eastAsia="Calibri" w:hAnsi="Times New Roman" w:cs="Times New Roman"/>
                <w:noProof/>
                <w:sz w:val="20"/>
                <w:szCs w:val="20"/>
              </w:rPr>
              <w:t>when a viable debtor is in financial difficulties and there is a likelihood of insolvency.</w:t>
            </w:r>
            <w:r>
              <w:rPr>
                <w:rFonts w:ascii="Times New Roman" w:eastAsia="Calibri" w:hAnsi="Times New Roman" w:cs="Times New Roman"/>
                <w:i/>
                <w:noProof/>
                <w:sz w:val="20"/>
                <w:szCs w:val="20"/>
              </w:rPr>
              <w:t xml:space="preserve"> </w:t>
            </w:r>
          </w:p>
        </w:tc>
        <w:tc>
          <w:tcPr>
            <w:tcW w:w="2333" w:type="dxa"/>
            <w:gridSpan w:val="2"/>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 xml:space="preserve">Sub-option 2 </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Sub-option 1 + over-indebted but viable debtors must have a clear possibility to enter preventive restructuring.</w:t>
            </w:r>
          </w:p>
        </w:tc>
        <w:tc>
          <w:tcPr>
            <w:tcW w:w="233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Sub-option 3</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Sub-option 2 + early war</w:t>
            </w:r>
            <w:r>
              <w:rPr>
                <w:rFonts w:ascii="Times New Roman" w:eastAsia="Calibri" w:hAnsi="Times New Roman" w:cs="Times New Roman"/>
                <w:noProof/>
                <w:sz w:val="20"/>
                <w:szCs w:val="20"/>
              </w:rPr>
              <w:t>ning tools (advice and/or alert systems) + model restructuring plan.</w:t>
            </w:r>
          </w:p>
        </w:tc>
      </w:tr>
      <w:tr w:rsidR="00B32D69">
        <w:tc>
          <w:tcPr>
            <w:tcW w:w="203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 xml:space="preserve">5.2. Improve chances of negotiations by allowing debtor a 'breathing space' </w:t>
            </w:r>
            <w:r>
              <w:rPr>
                <w:rFonts w:ascii="Times New Roman" w:eastAsia="Calibri" w:hAnsi="Times New Roman" w:cs="Times New Roman"/>
                <w:noProof/>
                <w:sz w:val="20"/>
                <w:szCs w:val="20"/>
              </w:rPr>
              <w:t>(Rules on stay of enforcement actions (moratorium))</w:t>
            </w:r>
          </w:p>
        </w:tc>
        <w:tc>
          <w:tcPr>
            <w:tcW w:w="233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Sub-option 1</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color w:val="000000"/>
                <w:sz w:val="20"/>
                <w:szCs w:val="20"/>
              </w:rPr>
              <w:t>Moratorium affects individual enforcement act</w:t>
            </w:r>
            <w:r>
              <w:rPr>
                <w:rFonts w:ascii="Times New Roman" w:eastAsia="Calibri" w:hAnsi="Times New Roman" w:cs="Times New Roman"/>
                <w:noProof/>
                <w:color w:val="000000"/>
                <w:sz w:val="20"/>
                <w:szCs w:val="20"/>
              </w:rPr>
              <w:t>ions and suspends formal insolvency proceedings</w:t>
            </w:r>
            <w:r>
              <w:rPr>
                <w:rFonts w:ascii="Times New Roman" w:eastAsia="Calibri" w:hAnsi="Times New Roman" w:cs="Times New Roman"/>
                <w:noProof/>
                <w:sz w:val="20"/>
                <w:szCs w:val="20"/>
              </w:rPr>
              <w:t>.</w:t>
            </w:r>
          </w:p>
        </w:tc>
        <w:tc>
          <w:tcPr>
            <w:tcW w:w="2333" w:type="dxa"/>
            <w:gridSpan w:val="2"/>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 xml:space="preserve"> </w:t>
            </w:r>
            <w:r>
              <w:rPr>
                <w:rFonts w:ascii="Times New Roman" w:eastAsia="Calibri" w:hAnsi="Times New Roman" w:cs="Times New Roman"/>
                <w:b/>
                <w:noProof/>
                <w:sz w:val="20"/>
                <w:szCs w:val="20"/>
              </w:rPr>
              <w:t>Sub-option 2</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Sub-option 1 + </w:t>
            </w:r>
            <w:r>
              <w:rPr>
                <w:rFonts w:ascii="Times New Roman" w:eastAsia="Calibri" w:hAnsi="Times New Roman" w:cs="Times New Roman"/>
                <w:noProof/>
                <w:color w:val="000000"/>
                <w:sz w:val="20"/>
                <w:szCs w:val="20"/>
              </w:rPr>
              <w:t>suspension of the right of essential suppliers to avail themselves of early termination clauses.</w:t>
            </w:r>
          </w:p>
        </w:tc>
        <w:tc>
          <w:tcPr>
            <w:tcW w:w="233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Sub-option 3</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Sub-option 2 + moratorium of a short, limited duration no longer </w:t>
            </w:r>
            <w:r>
              <w:rPr>
                <w:rFonts w:ascii="Times New Roman" w:eastAsia="Calibri" w:hAnsi="Times New Roman" w:cs="Times New Roman"/>
                <w:noProof/>
                <w:sz w:val="20"/>
                <w:szCs w:val="20"/>
              </w:rPr>
              <w:t>than 4 months and giving creditors right to ask for lifting the stay.</w:t>
            </w:r>
          </w:p>
        </w:tc>
      </w:tr>
      <w:tr w:rsidR="00B32D69">
        <w:tc>
          <w:tcPr>
            <w:tcW w:w="203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 xml:space="preserve">5.3. Facilitate continuation of debtor's business  while restructuring (debtor in possession) </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(Rules on debtor-in-possession)</w:t>
            </w:r>
          </w:p>
        </w:tc>
        <w:tc>
          <w:tcPr>
            <w:tcW w:w="3500" w:type="dxa"/>
            <w:gridSpan w:val="2"/>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b/>
                <w:noProof/>
                <w:sz w:val="20"/>
                <w:szCs w:val="20"/>
              </w:rPr>
              <w:t>Sub-option 1</w:t>
            </w:r>
            <w:r>
              <w:rPr>
                <w:rFonts w:ascii="Times New Roman" w:eastAsia="Calibri" w:hAnsi="Times New Roman" w:cs="Times New Roman"/>
                <w:noProof/>
                <w:sz w:val="20"/>
                <w:szCs w:val="20"/>
              </w:rPr>
              <w:t xml:space="preserve"> </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Debtor remains in possession, but Member </w:t>
            </w:r>
            <w:r>
              <w:rPr>
                <w:rFonts w:ascii="Times New Roman" w:eastAsia="Calibri" w:hAnsi="Times New Roman" w:cs="Times New Roman"/>
                <w:noProof/>
                <w:sz w:val="20"/>
                <w:szCs w:val="20"/>
              </w:rPr>
              <w:t>States</w:t>
            </w:r>
            <w:r>
              <w:rPr>
                <w:rFonts w:ascii="Times New Roman" w:eastAsia="Calibri" w:hAnsi="Times New Roman" w:cs="Times New Roman"/>
                <w:noProof/>
              </w:rPr>
              <w:t xml:space="preserve"> </w:t>
            </w:r>
            <w:r>
              <w:rPr>
                <w:rFonts w:ascii="Times New Roman" w:eastAsia="Calibri" w:hAnsi="Times New Roman" w:cs="Times New Roman"/>
                <w:noProof/>
                <w:sz w:val="20"/>
                <w:szCs w:val="20"/>
              </w:rPr>
              <w:t xml:space="preserve">may enable courts to appoint a mediator and /or a supervisor. </w:t>
            </w:r>
          </w:p>
        </w:tc>
        <w:tc>
          <w:tcPr>
            <w:tcW w:w="3500" w:type="dxa"/>
            <w:gridSpan w:val="2"/>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Sub-option 2</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Debtor remains in possession but a mediator or a supervisor is always appointed.</w:t>
            </w:r>
          </w:p>
        </w:tc>
      </w:tr>
      <w:tr w:rsidR="00B32D69">
        <w:tc>
          <w:tcPr>
            <w:tcW w:w="203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 xml:space="preserve">5.4. Disallow minority creditors and shareholders to jeopardise restructuring efforts  </w:t>
            </w:r>
            <w:r>
              <w:rPr>
                <w:rFonts w:ascii="Times New Roman" w:eastAsia="Calibri" w:hAnsi="Times New Roman" w:cs="Times New Roman"/>
                <w:noProof/>
                <w:sz w:val="20"/>
                <w:szCs w:val="20"/>
              </w:rPr>
              <w:t>(Rul</w:t>
            </w:r>
            <w:r>
              <w:rPr>
                <w:rFonts w:ascii="Times New Roman" w:eastAsia="Calibri" w:hAnsi="Times New Roman" w:cs="Times New Roman"/>
                <w:noProof/>
                <w:sz w:val="20"/>
                <w:szCs w:val="20"/>
              </w:rPr>
              <w:t>es on the preparation and adoption of restructuring plans)</w:t>
            </w:r>
          </w:p>
        </w:tc>
        <w:tc>
          <w:tcPr>
            <w:tcW w:w="233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 xml:space="preserve">Sub-option 1 </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The plan is adopted if the required majority in every class is in favour of the plan, provided that the minority creditors are not unfairly prejudiced; all classes of creditors can be</w:t>
            </w:r>
            <w:r>
              <w:rPr>
                <w:rFonts w:ascii="Times New Roman" w:eastAsia="Calibri" w:hAnsi="Times New Roman" w:cs="Times New Roman"/>
                <w:noProof/>
                <w:sz w:val="20"/>
                <w:szCs w:val="20"/>
              </w:rPr>
              <w:t xml:space="preserve"> affected by the plan, vote and be bound by it, including secured creditors</w:t>
            </w:r>
          </w:p>
        </w:tc>
        <w:tc>
          <w:tcPr>
            <w:tcW w:w="2333" w:type="dxa"/>
            <w:gridSpan w:val="2"/>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 xml:space="preserve">Sub-option 2 </w:t>
            </w:r>
          </w:p>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Sub-option 1 + Member States may also provide that the plan can be adopted if the required majority in at least one class of creditors is in favour of the plan, provi</w:t>
            </w:r>
            <w:r>
              <w:rPr>
                <w:rFonts w:ascii="Times New Roman" w:eastAsia="Calibri" w:hAnsi="Times New Roman" w:cs="Times New Roman"/>
                <w:noProof/>
                <w:sz w:val="20"/>
                <w:szCs w:val="20"/>
              </w:rPr>
              <w:t>ded that dissenting classes are not unfairly prejudiced (inter-class cram-down).</w:t>
            </w:r>
          </w:p>
        </w:tc>
        <w:tc>
          <w:tcPr>
            <w:tcW w:w="233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Sub-option 3</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Sub-option 2 + principle that shareholders should not be able to block the plan if their interests are protected (e.g. by including shareholders as  class(es) of </w:t>
            </w:r>
            <w:r>
              <w:rPr>
                <w:rFonts w:ascii="Times New Roman" w:eastAsia="Calibri" w:hAnsi="Times New Roman" w:cs="Times New Roman"/>
                <w:noProof/>
                <w:sz w:val="20"/>
                <w:szCs w:val="20"/>
              </w:rPr>
              <w:t>their own).</w:t>
            </w:r>
          </w:p>
        </w:tc>
      </w:tr>
      <w:tr w:rsidR="00B32D69">
        <w:tc>
          <w:tcPr>
            <w:tcW w:w="203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 xml:space="preserve">5.5. Increase chances of success of the restructuring plan </w:t>
            </w:r>
            <w:r>
              <w:rPr>
                <w:rFonts w:ascii="Times New Roman" w:eastAsia="Calibri" w:hAnsi="Times New Roman" w:cs="Times New Roman"/>
                <w:noProof/>
                <w:sz w:val="20"/>
                <w:szCs w:val="20"/>
              </w:rPr>
              <w:t>(Rules on provision of new financing in restructuring)</w:t>
            </w:r>
          </w:p>
        </w:tc>
        <w:tc>
          <w:tcPr>
            <w:tcW w:w="233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 xml:space="preserve">Sub-option 1 </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Exempting new financing</w:t>
            </w:r>
            <w:r>
              <w:rPr>
                <w:rFonts w:ascii="Times New Roman" w:eastAsia="Calibri" w:hAnsi="Times New Roman" w:cs="Times New Roman"/>
                <w:b/>
                <w:noProof/>
                <w:sz w:val="20"/>
                <w:szCs w:val="20"/>
              </w:rPr>
              <w:t xml:space="preserve"> </w:t>
            </w:r>
            <w:r>
              <w:rPr>
                <w:rFonts w:ascii="Times New Roman" w:eastAsia="Calibri" w:hAnsi="Times New Roman" w:cs="Times New Roman"/>
                <w:noProof/>
                <w:sz w:val="20"/>
                <w:szCs w:val="20"/>
              </w:rPr>
              <w:t>contained in the restructuring plan from avoidance actions. Member States</w:t>
            </w:r>
            <w:r>
              <w:rPr>
                <w:rFonts w:ascii="Times New Roman" w:eastAsia="Calibri" w:hAnsi="Times New Roman" w:cs="Times New Roman"/>
                <w:noProof/>
              </w:rPr>
              <w:t xml:space="preserve"> </w:t>
            </w:r>
            <w:r>
              <w:rPr>
                <w:rFonts w:ascii="Times New Roman" w:eastAsia="Calibri" w:hAnsi="Times New Roman" w:cs="Times New Roman"/>
                <w:noProof/>
                <w:sz w:val="20"/>
                <w:szCs w:val="20"/>
              </w:rPr>
              <w:t xml:space="preserve">may also provide </w:t>
            </w:r>
            <w:r>
              <w:rPr>
                <w:rFonts w:ascii="Times New Roman" w:eastAsia="Calibri" w:hAnsi="Times New Roman" w:cs="Times New Roman"/>
                <w:noProof/>
                <w:sz w:val="20"/>
                <w:szCs w:val="20"/>
              </w:rPr>
              <w:t>for super-priority status to new financing, ranking it at least above unsecured creditors</w:t>
            </w:r>
          </w:p>
        </w:tc>
        <w:tc>
          <w:tcPr>
            <w:tcW w:w="2333" w:type="dxa"/>
            <w:gridSpan w:val="2"/>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 xml:space="preserve">Sub-option 2 </w:t>
            </w:r>
          </w:p>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Sub-option 1 + Non-related party transaction entered into before insolvency, but in connection with a restructuring plan adopted by creditors shall be e</w:t>
            </w:r>
            <w:r>
              <w:rPr>
                <w:rFonts w:ascii="Times New Roman" w:eastAsia="Calibri" w:hAnsi="Times New Roman" w:cs="Times New Roman"/>
                <w:noProof/>
                <w:sz w:val="20"/>
                <w:szCs w:val="20"/>
              </w:rPr>
              <w:t>xempted from avoidance actions (safe harbour provisions).</w:t>
            </w:r>
          </w:p>
        </w:tc>
        <w:tc>
          <w:tcPr>
            <w:tcW w:w="233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Sub-option 3</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Sub-option 2 + limited co-obligors' and guarantors'  releases under the plan</w:t>
            </w:r>
          </w:p>
        </w:tc>
      </w:tr>
      <w:tr w:rsidR="00B32D69">
        <w:tc>
          <w:tcPr>
            <w:tcW w:w="203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5.6. Reducing the formalities relating to court proceedings</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(Intensity of courts' and insolvency administra</w:t>
            </w:r>
            <w:r>
              <w:rPr>
                <w:rFonts w:ascii="Times New Roman" w:eastAsia="Calibri" w:hAnsi="Times New Roman" w:cs="Times New Roman"/>
                <w:noProof/>
                <w:sz w:val="20"/>
                <w:szCs w:val="20"/>
              </w:rPr>
              <w:t>tors' involvement)</w:t>
            </w:r>
          </w:p>
        </w:tc>
        <w:tc>
          <w:tcPr>
            <w:tcW w:w="3500" w:type="dxa"/>
            <w:gridSpan w:val="2"/>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b/>
                <w:noProof/>
                <w:sz w:val="20"/>
                <w:szCs w:val="20"/>
              </w:rPr>
              <w:t>Sub-option 1</w:t>
            </w:r>
            <w:r>
              <w:rPr>
                <w:rFonts w:ascii="Times New Roman" w:eastAsia="Calibri" w:hAnsi="Times New Roman" w:cs="Times New Roman"/>
                <w:noProof/>
                <w:sz w:val="20"/>
                <w:szCs w:val="20"/>
              </w:rPr>
              <w:t xml:space="preserve">: </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color w:val="000000"/>
                <w:sz w:val="20"/>
                <w:szCs w:val="20"/>
              </w:rPr>
              <w:t>A flexible framework, which allows for a more limited involvement of courts.</w:t>
            </w:r>
          </w:p>
        </w:tc>
        <w:tc>
          <w:tcPr>
            <w:tcW w:w="3500" w:type="dxa"/>
            <w:gridSpan w:val="2"/>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Sub-option 2</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Sub-option 1 + use of modern technology such as electronic voting</w:t>
            </w:r>
          </w:p>
          <w:p w:rsidR="00B32D69" w:rsidRDefault="00B32D69">
            <w:pPr>
              <w:spacing w:before="60" w:after="60" w:line="240" w:lineRule="auto"/>
              <w:rPr>
                <w:rFonts w:ascii="Times New Roman" w:eastAsia="Calibri" w:hAnsi="Times New Roman" w:cs="Times New Roman"/>
                <w:noProof/>
                <w:sz w:val="20"/>
                <w:szCs w:val="20"/>
              </w:rPr>
            </w:pPr>
          </w:p>
        </w:tc>
      </w:tr>
      <w:tr w:rsidR="00B32D69">
        <w:tc>
          <w:tcPr>
            <w:tcW w:w="903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B32D69" w:rsidRDefault="00FB661A">
            <w:pPr>
              <w:spacing w:before="60" w:after="60" w:line="240" w:lineRule="auto"/>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SECOND CHANCE FOR NATURAL PERSONS</w:t>
            </w:r>
          </w:p>
        </w:tc>
      </w:tr>
      <w:tr w:rsidR="00B32D69">
        <w:trPr>
          <w:trHeight w:val="346"/>
        </w:trPr>
        <w:tc>
          <w:tcPr>
            <w:tcW w:w="903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32D69" w:rsidRDefault="00FB661A">
            <w:pPr>
              <w:spacing w:before="60" w:after="60" w:line="240" w:lineRule="auto"/>
              <w:jc w:val="center"/>
              <w:rPr>
                <w:rFonts w:ascii="Times New Roman" w:eastAsia="Calibri" w:hAnsi="Times New Roman" w:cs="Times New Roman"/>
                <w:noProof/>
                <w:sz w:val="20"/>
                <w:szCs w:val="20"/>
              </w:rPr>
            </w:pPr>
            <w:r>
              <w:rPr>
                <w:rFonts w:ascii="Times New Roman" w:eastAsia="Calibri" w:hAnsi="Times New Roman" w:cs="Times New Roman"/>
                <w:b/>
                <w:noProof/>
                <w:sz w:val="20"/>
                <w:szCs w:val="20"/>
              </w:rPr>
              <w:t>FOR ENTREPRENEURS</w:t>
            </w:r>
          </w:p>
        </w:tc>
      </w:tr>
      <w:tr w:rsidR="00B32D69">
        <w:trPr>
          <w:trHeight w:val="2300"/>
        </w:trPr>
        <w:tc>
          <w:tcPr>
            <w:tcW w:w="203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5.7.1.</w:t>
            </w:r>
            <w:r>
              <w:rPr>
                <w:noProof/>
              </w:rPr>
              <w:t xml:space="preserve"> </w:t>
            </w:r>
            <w:r>
              <w:rPr>
                <w:rFonts w:ascii="Times New Roman" w:eastAsia="Calibri" w:hAnsi="Times New Roman" w:cs="Times New Roman"/>
                <w:b/>
                <w:noProof/>
                <w:sz w:val="20"/>
                <w:szCs w:val="20"/>
              </w:rPr>
              <w:t>Enable the discharge for natural persons in a reasonable time for those in good faith</w:t>
            </w:r>
          </w:p>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(Rules on debt restructuring for natural persons - entrepreneurs, including discharge and second chance)</w:t>
            </w:r>
          </w:p>
        </w:tc>
        <w:tc>
          <w:tcPr>
            <w:tcW w:w="233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 xml:space="preserve">Sub-option 1: </w:t>
            </w:r>
            <w:r>
              <w:rPr>
                <w:rFonts w:ascii="Times New Roman" w:eastAsia="Calibri" w:hAnsi="Times New Roman" w:cs="Times New Roman"/>
                <w:noProof/>
                <w:sz w:val="20"/>
                <w:szCs w:val="20"/>
              </w:rPr>
              <w:t xml:space="preserve">Discharge of debts for entrepreneurs within 1 year </w:t>
            </w:r>
            <w:r>
              <w:rPr>
                <w:rFonts w:ascii="Times New Roman" w:eastAsia="Calibri" w:hAnsi="Times New Roman" w:cs="Times New Roman"/>
                <w:noProof/>
                <w:sz w:val="20"/>
                <w:szCs w:val="20"/>
              </w:rPr>
              <w:t>from start of liquidation proceedings, with limited exceptions.</w:t>
            </w:r>
          </w:p>
        </w:tc>
        <w:tc>
          <w:tcPr>
            <w:tcW w:w="2333" w:type="dxa"/>
            <w:gridSpan w:val="2"/>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 xml:space="preserve">Sub-option 2: </w:t>
            </w:r>
            <w:r>
              <w:rPr>
                <w:rFonts w:ascii="Times New Roman" w:eastAsia="Calibri" w:hAnsi="Times New Roman" w:cs="Times New Roman"/>
                <w:noProof/>
                <w:sz w:val="20"/>
                <w:szCs w:val="20"/>
              </w:rPr>
              <w:t>Discharge of debts for entrepreneurs within 3 years from when liquidation proceedings are open or the repayment plan starts being implemented, with limited exceptions.</w:t>
            </w:r>
          </w:p>
        </w:tc>
        <w:tc>
          <w:tcPr>
            <w:tcW w:w="233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Sub-option</w:t>
            </w:r>
            <w:r>
              <w:rPr>
                <w:rFonts w:ascii="Times New Roman" w:eastAsia="Calibri" w:hAnsi="Times New Roman" w:cs="Times New Roman"/>
                <w:b/>
                <w:noProof/>
                <w:sz w:val="20"/>
                <w:szCs w:val="20"/>
              </w:rPr>
              <w:t xml:space="preserve"> 3: </w:t>
            </w:r>
            <w:r>
              <w:rPr>
                <w:rFonts w:ascii="Times New Roman" w:eastAsia="Calibri" w:hAnsi="Times New Roman" w:cs="Times New Roman"/>
                <w:noProof/>
                <w:sz w:val="20"/>
                <w:szCs w:val="20"/>
              </w:rPr>
              <w:t>Sub-option 2 + the possibility to consolidate all personal debts of the entrepreneur in one procedure, be they business or non-business in nature</w:t>
            </w:r>
          </w:p>
        </w:tc>
      </w:tr>
      <w:tr w:rsidR="00B32D69">
        <w:tc>
          <w:tcPr>
            <w:tcW w:w="903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32D69" w:rsidRDefault="00FB661A">
            <w:pPr>
              <w:spacing w:before="60" w:after="60"/>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FOR CONSUMERS</w:t>
            </w:r>
          </w:p>
        </w:tc>
      </w:tr>
      <w:tr w:rsidR="00B32D69">
        <w:trPr>
          <w:trHeight w:val="2466"/>
        </w:trPr>
        <w:tc>
          <w:tcPr>
            <w:tcW w:w="203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hAnsi="Times New Roman" w:cs="Times New Roman"/>
                <w:b/>
                <w:noProof/>
                <w:sz w:val="20"/>
                <w:szCs w:val="20"/>
              </w:rPr>
              <w:t xml:space="preserve">5.7.2. Enable the discharge for natural persons in a reasonable time for those in good </w:t>
            </w:r>
            <w:r>
              <w:rPr>
                <w:rFonts w:ascii="Times New Roman" w:hAnsi="Times New Roman" w:cs="Times New Roman"/>
                <w:b/>
                <w:noProof/>
                <w:sz w:val="20"/>
                <w:szCs w:val="20"/>
              </w:rPr>
              <w:t>faith</w:t>
            </w:r>
          </w:p>
          <w:p w:rsidR="00B32D69" w:rsidRDefault="00FB661A">
            <w:pPr>
              <w:spacing w:before="60" w:after="60" w:line="240" w:lineRule="auto"/>
              <w:rPr>
                <w:rFonts w:ascii="Times New Roman" w:hAnsi="Times New Roman" w:cs="Times New Roman"/>
                <w:noProof/>
              </w:rPr>
            </w:pPr>
            <w:r>
              <w:rPr>
                <w:rFonts w:ascii="Times New Roman" w:eastAsia="Calibri" w:hAnsi="Times New Roman" w:cs="Times New Roman"/>
                <w:noProof/>
                <w:sz w:val="20"/>
                <w:szCs w:val="20"/>
              </w:rPr>
              <w:t>(Rules on debt restructuring for natural persons - consumers, including discharge and second chance)</w:t>
            </w:r>
          </w:p>
        </w:tc>
        <w:tc>
          <w:tcPr>
            <w:tcW w:w="3500" w:type="dxa"/>
            <w:gridSpan w:val="2"/>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b/>
                <w:noProof/>
                <w:sz w:val="20"/>
                <w:szCs w:val="20"/>
              </w:rPr>
              <w:t xml:space="preserve">Sub-option 1: </w:t>
            </w:r>
            <w:r>
              <w:rPr>
                <w:rFonts w:ascii="Times New Roman" w:eastAsia="Calibri" w:hAnsi="Times New Roman" w:cs="Times New Roman"/>
                <w:noProof/>
                <w:sz w:val="20"/>
                <w:szCs w:val="20"/>
              </w:rPr>
              <w:t>Discharge of debts for consumers within 1 year from start of liquidation proceedings, with limited exceptions.</w:t>
            </w:r>
          </w:p>
        </w:tc>
        <w:tc>
          <w:tcPr>
            <w:tcW w:w="3500" w:type="dxa"/>
            <w:gridSpan w:val="2"/>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b/>
                <w:noProof/>
                <w:sz w:val="20"/>
                <w:szCs w:val="20"/>
              </w:rPr>
              <w:t xml:space="preserve">Sub-option 2: </w:t>
            </w:r>
            <w:r>
              <w:rPr>
                <w:rFonts w:ascii="Times New Roman" w:eastAsia="Calibri" w:hAnsi="Times New Roman" w:cs="Times New Roman"/>
                <w:noProof/>
                <w:sz w:val="20"/>
                <w:szCs w:val="20"/>
              </w:rPr>
              <w:t>Possible d</w:t>
            </w:r>
            <w:r>
              <w:rPr>
                <w:rFonts w:ascii="Times New Roman" w:eastAsia="Calibri" w:hAnsi="Times New Roman" w:cs="Times New Roman"/>
                <w:noProof/>
                <w:sz w:val="20"/>
                <w:szCs w:val="20"/>
              </w:rPr>
              <w:t>ischarge of debts for consumers within 3 years from start of liquidation proceedings or the start of implementation of repayment plan, with limited exceptions.</w:t>
            </w:r>
          </w:p>
        </w:tc>
      </w:tr>
      <w:tr w:rsidR="00B32D69">
        <w:tc>
          <w:tcPr>
            <w:tcW w:w="9038"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B32D69" w:rsidRDefault="00FB661A">
            <w:pPr>
              <w:spacing w:before="60" w:after="60" w:line="240" w:lineRule="auto"/>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EFFECTIVENESS OF RESTRUCTURING, SECOND CHANCE AND INSOLVENCY PROCEDURES</w:t>
            </w:r>
          </w:p>
        </w:tc>
      </w:tr>
      <w:tr w:rsidR="00B32D69">
        <w:trPr>
          <w:trHeight w:val="2466"/>
        </w:trPr>
        <w:tc>
          <w:tcPr>
            <w:tcW w:w="2038"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hAnsi="Times New Roman" w:cs="Times New Roman"/>
                <w:b/>
                <w:noProof/>
                <w:sz w:val="20"/>
                <w:szCs w:val="20"/>
              </w:rPr>
            </w:pPr>
            <w:r>
              <w:rPr>
                <w:rFonts w:ascii="Times New Roman" w:hAnsi="Times New Roman" w:cs="Times New Roman"/>
                <w:b/>
                <w:noProof/>
                <w:sz w:val="20"/>
                <w:szCs w:val="20"/>
              </w:rPr>
              <w:t xml:space="preserve">5.8. Reduce average </w:t>
            </w:r>
            <w:r>
              <w:rPr>
                <w:rFonts w:ascii="Times New Roman" w:hAnsi="Times New Roman" w:cs="Times New Roman"/>
                <w:b/>
                <w:noProof/>
                <w:sz w:val="20"/>
                <w:szCs w:val="20"/>
              </w:rPr>
              <w:t>length of procedures to 2 years or less in all Member States</w:t>
            </w:r>
          </w:p>
          <w:p w:rsidR="00B32D69" w:rsidRDefault="00FB661A">
            <w:pPr>
              <w:spacing w:before="60" w:after="60" w:line="240" w:lineRule="auto"/>
              <w:rPr>
                <w:rFonts w:ascii="Times New Roman" w:hAnsi="Times New Roman" w:cs="Times New Roman"/>
                <w:noProof/>
                <w:sz w:val="20"/>
                <w:szCs w:val="20"/>
              </w:rPr>
            </w:pPr>
            <w:r>
              <w:rPr>
                <w:rFonts w:ascii="Times New Roman" w:hAnsi="Times New Roman" w:cs="Times New Roman"/>
                <w:noProof/>
                <w:sz w:val="20"/>
                <w:szCs w:val="20"/>
              </w:rPr>
              <w:t>(Rules to increase effectiveness of procedures)</w:t>
            </w:r>
          </w:p>
        </w:tc>
        <w:tc>
          <w:tcPr>
            <w:tcW w:w="2333"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Sub-option 1:</w:t>
            </w:r>
            <w:r>
              <w:rPr>
                <w:rFonts w:ascii="Times New Roman" w:eastAsia="Calibri" w:hAnsi="Times New Roman" w:cs="Times New Roman"/>
                <w:noProof/>
                <w:sz w:val="20"/>
                <w:szCs w:val="20"/>
              </w:rPr>
              <w:t xml:space="preserve"> specialisation of judges, training and professional standards for practitioners in the area of restructuring, insolvency and second c</w:t>
            </w:r>
            <w:r>
              <w:rPr>
                <w:rFonts w:ascii="Times New Roman" w:eastAsia="Calibri" w:hAnsi="Times New Roman" w:cs="Times New Roman"/>
                <w:noProof/>
                <w:sz w:val="20"/>
                <w:szCs w:val="20"/>
              </w:rPr>
              <w:t>hance</w:t>
            </w:r>
          </w:p>
        </w:tc>
        <w:tc>
          <w:tcPr>
            <w:tcW w:w="2333" w:type="dxa"/>
            <w:gridSpan w:val="2"/>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Sub-option 2</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S/o 1 + digitisation of court procedures</w:t>
            </w:r>
          </w:p>
        </w:tc>
        <w:tc>
          <w:tcPr>
            <w:tcW w:w="2334"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 xml:space="preserve">Sub-option 3: </w:t>
            </w:r>
            <w:r>
              <w:rPr>
                <w:rFonts w:ascii="Times New Roman" w:eastAsia="Calibri" w:hAnsi="Times New Roman" w:cs="Times New Roman"/>
                <w:noProof/>
                <w:sz w:val="20"/>
                <w:szCs w:val="20"/>
              </w:rPr>
              <w:t>S/o 2 + monitoring and data collection on number and outcome of procedures</w:t>
            </w:r>
          </w:p>
        </w:tc>
      </w:tr>
    </w:tbl>
    <w:p w:rsidR="00B32D69" w:rsidRDefault="00FB661A">
      <w:pPr>
        <w:keepNext/>
        <w:spacing w:before="240" w:after="240" w:line="240" w:lineRule="auto"/>
        <w:jc w:val="both"/>
        <w:outlineLvl w:val="1"/>
        <w:rPr>
          <w:rFonts w:ascii="Times New Roman" w:eastAsia="Calibri" w:hAnsi="Times New Roman" w:cs="Times New Roman"/>
          <w:b/>
          <w:bCs/>
          <w:iCs/>
          <w:noProof/>
          <w:sz w:val="24"/>
          <w:szCs w:val="28"/>
        </w:rPr>
      </w:pPr>
      <w:bookmarkStart w:id="37" w:name="_Toc459390471"/>
      <w:bookmarkStart w:id="38" w:name="_Toc378078039"/>
      <w:bookmarkStart w:id="39" w:name="_Toc466452975"/>
      <w:r>
        <w:rPr>
          <w:rFonts w:ascii="Times New Roman" w:eastAsia="Calibri" w:hAnsi="Times New Roman" w:cs="Times New Roman"/>
          <w:b/>
          <w:bCs/>
          <w:iCs/>
          <w:noProof/>
          <w:sz w:val="24"/>
          <w:szCs w:val="28"/>
        </w:rPr>
        <w:t>5.1. Early restructuring possibility</w:t>
      </w:r>
      <w:bookmarkEnd w:id="37"/>
      <w:bookmarkEnd w:id="38"/>
      <w:bookmarkEnd w:id="39"/>
    </w:p>
    <w:p w:rsidR="00B32D69" w:rsidRDefault="00FB661A">
      <w:pPr>
        <w:spacing w:after="24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t>5.1.1 Description of sub-options</w:t>
      </w:r>
    </w:p>
    <w:p w:rsidR="00B32D69" w:rsidRDefault="00FB661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u w:val="single"/>
        </w:rPr>
        <w:t>Sub-option 1</w:t>
      </w:r>
      <w:r>
        <w:rPr>
          <w:rFonts w:ascii="Times New Roman" w:eastAsia="Calibri" w:hAnsi="Times New Roman" w:cs="Times New Roman"/>
          <w:noProof/>
          <w:sz w:val="24"/>
          <w:szCs w:val="24"/>
          <w:u w:val="single"/>
        </w:rPr>
        <w:t>:</w:t>
      </w:r>
      <w:r>
        <w:rPr>
          <w:rFonts w:ascii="Times New Roman" w:eastAsia="Calibri" w:hAnsi="Times New Roman" w:cs="Times New Roman"/>
          <w:noProof/>
          <w:sz w:val="24"/>
          <w:szCs w:val="24"/>
        </w:rPr>
        <w:t xml:space="preserve"> Since the concept of 'likelihood of insolvency' is not defined in the Insolvency Regulation, one option would be to simply leave it up to the Member States to define the concept, however diverse their approaches. </w:t>
      </w:r>
    </w:p>
    <w:p w:rsidR="00B32D69" w:rsidRDefault="00FB661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u w:val="single"/>
        </w:rPr>
        <w:t>Sub-option 2</w:t>
      </w:r>
      <w:r>
        <w:rPr>
          <w:rFonts w:ascii="Times New Roman" w:eastAsia="Calibri" w:hAnsi="Times New Roman" w:cs="Times New Roman"/>
          <w:noProof/>
          <w:sz w:val="24"/>
          <w:szCs w:val="24"/>
          <w:u w:val="single"/>
        </w:rPr>
        <w:t>:</w:t>
      </w:r>
      <w:r>
        <w:rPr>
          <w:rFonts w:ascii="Times New Roman" w:eastAsia="Calibri" w:hAnsi="Times New Roman" w:cs="Times New Roman"/>
          <w:noProof/>
          <w:sz w:val="24"/>
          <w:szCs w:val="24"/>
        </w:rPr>
        <w:t xml:space="preserve"> Legal certainty could be en</w:t>
      </w:r>
      <w:r>
        <w:rPr>
          <w:rFonts w:ascii="Times New Roman" w:eastAsia="Calibri" w:hAnsi="Times New Roman" w:cs="Times New Roman"/>
          <w:noProof/>
          <w:sz w:val="24"/>
          <w:szCs w:val="24"/>
        </w:rPr>
        <w:t>hanced by having a common definition of 'insolvency' or at least of 'likelihood of insolvency'. However, Member States are almost unanimously opposed to such a harmonisation. Nevertheless, the situations could be improved if Member States which apply the o</w:t>
      </w:r>
      <w:r>
        <w:rPr>
          <w:rFonts w:ascii="Times New Roman" w:eastAsia="Calibri" w:hAnsi="Times New Roman" w:cs="Times New Roman"/>
          <w:noProof/>
          <w:sz w:val="24"/>
          <w:szCs w:val="24"/>
        </w:rPr>
        <w:t xml:space="preserve">ver-indebtedness test as a trigger for the duty to file for insolvency would enable directors of viable debtors to enter preventive procedures at any time before the business becomes illiquid. </w:t>
      </w:r>
    </w:p>
    <w:p w:rsidR="00B32D69" w:rsidRDefault="00FB661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u w:val="single"/>
        </w:rPr>
        <w:t>Sub-option 3</w:t>
      </w:r>
      <w:r>
        <w:rPr>
          <w:rFonts w:ascii="Times New Roman" w:eastAsia="Calibri" w:hAnsi="Times New Roman" w:cs="Times New Roman"/>
          <w:noProof/>
          <w:sz w:val="24"/>
          <w:szCs w:val="24"/>
          <w:u w:val="single"/>
        </w:rPr>
        <w:t>:</w:t>
      </w:r>
      <w:r>
        <w:rPr>
          <w:rFonts w:ascii="Times New Roman" w:eastAsia="Calibri" w:hAnsi="Times New Roman" w:cs="Times New Roman"/>
          <w:noProof/>
          <w:sz w:val="24"/>
          <w:szCs w:val="24"/>
        </w:rPr>
        <w:t xml:space="preserve"> it is not sufficient to enable debtors to restru</w:t>
      </w:r>
      <w:r>
        <w:rPr>
          <w:rFonts w:ascii="Times New Roman" w:eastAsia="Calibri" w:hAnsi="Times New Roman" w:cs="Times New Roman"/>
          <w:noProof/>
          <w:sz w:val="24"/>
          <w:szCs w:val="24"/>
        </w:rPr>
        <w:t xml:space="preserve">cture at an early stage. Additional measures need to be taken to incentivise SMEs in particular to access early restructuring procedure. For example, SMEs should be helped to detect early their financial difficulties and to obtain support in drafting good </w:t>
      </w:r>
      <w:r>
        <w:rPr>
          <w:rFonts w:ascii="Times New Roman" w:eastAsia="Calibri" w:hAnsi="Times New Roman" w:cs="Times New Roman"/>
          <w:noProof/>
          <w:sz w:val="24"/>
          <w:szCs w:val="24"/>
        </w:rPr>
        <w:t xml:space="preserve">restructuring plans and making the necessary disclosures to creditors adaptable to the needs of every SME. </w:t>
      </w:r>
    </w:p>
    <w:p w:rsidR="00B32D69" w:rsidRDefault="00FB661A">
      <w:pPr>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t>5.1.2. Assessment of impact of the sub-options and the preferred sub-option</w:t>
      </w:r>
    </w:p>
    <w:tbl>
      <w:tblPr>
        <w:tblW w:w="91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8"/>
        <w:gridCol w:w="2603"/>
        <w:gridCol w:w="2607"/>
        <w:gridCol w:w="2603"/>
      </w:tblGrid>
      <w:tr w:rsidR="00B32D69">
        <w:trPr>
          <w:trHeight w:val="279"/>
        </w:trPr>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line="240" w:lineRule="auto"/>
              <w:jc w:val="center"/>
              <w:rPr>
                <w:rFonts w:ascii="Times New Roman" w:hAnsi="Times New Roman" w:cs="Times New Roman"/>
                <w:b/>
                <w:noProof/>
              </w:rPr>
            </w:pPr>
            <w:r>
              <w:rPr>
                <w:rFonts w:ascii="Times New Roman" w:hAnsi="Times New Roman" w:cs="Times New Roman"/>
                <w:b/>
                <w:noProof/>
              </w:rPr>
              <w:t>Sub-options</w:t>
            </w:r>
          </w:p>
        </w:tc>
        <w:tc>
          <w:tcPr>
            <w:tcW w:w="26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after="0"/>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Sub-option 1</w:t>
            </w:r>
          </w:p>
        </w:tc>
        <w:tc>
          <w:tcPr>
            <w:tcW w:w="2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after="0"/>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Sub-option 2</w:t>
            </w:r>
          </w:p>
        </w:tc>
        <w:tc>
          <w:tcPr>
            <w:tcW w:w="26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after="0"/>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Sub-option 3</w:t>
            </w:r>
          </w:p>
        </w:tc>
      </w:tr>
      <w:tr w:rsidR="00B32D69">
        <w:trPr>
          <w:trHeight w:val="1031"/>
        </w:trPr>
        <w:tc>
          <w:tcPr>
            <w:tcW w:w="136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hAnsi="Times New Roman" w:cs="Times New Roman"/>
                <w:i/>
                <w:noProof/>
              </w:rPr>
            </w:pPr>
            <w:r>
              <w:rPr>
                <w:rFonts w:ascii="Times New Roman" w:hAnsi="Times New Roman" w:cs="Times New Roman"/>
                <w:i/>
                <w:noProof/>
              </w:rPr>
              <w:t>Sub-option summary</w:t>
            </w:r>
          </w:p>
        </w:tc>
        <w:tc>
          <w:tcPr>
            <w:tcW w:w="260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 xml:space="preserve">Restructuring framework available when viable debtor is facing a 'likelihood' of insolvency. </w:t>
            </w:r>
            <w:r>
              <w:rPr>
                <w:rFonts w:ascii="Times New Roman" w:eastAsia="Calibri" w:hAnsi="Times New Roman" w:cs="Times New Roman"/>
                <w:i/>
                <w:noProof/>
                <w:sz w:val="20"/>
                <w:szCs w:val="20"/>
              </w:rPr>
              <w:t xml:space="preserve"> </w:t>
            </w:r>
          </w:p>
        </w:tc>
        <w:tc>
          <w:tcPr>
            <w:tcW w:w="2607"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 xml:space="preserve">Sub-option 1 + over-indebted but viable debtors must have a clear possibility to enter preventive restructuring </w:t>
            </w:r>
          </w:p>
        </w:tc>
        <w:tc>
          <w:tcPr>
            <w:tcW w:w="260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Sub-option 2 + early warning tools (advice and/o</w:t>
            </w:r>
            <w:r>
              <w:rPr>
                <w:rFonts w:ascii="Times New Roman" w:eastAsia="Calibri" w:hAnsi="Times New Roman" w:cs="Times New Roman"/>
                <w:noProof/>
                <w:sz w:val="20"/>
                <w:szCs w:val="20"/>
              </w:rPr>
              <w:t>r alert systems) + model restructuring plan</w:t>
            </w:r>
          </w:p>
        </w:tc>
      </w:tr>
      <w:tr w:rsidR="00B32D69">
        <w:trPr>
          <w:trHeight w:val="269"/>
        </w:trPr>
        <w:tc>
          <w:tcPr>
            <w:tcW w:w="918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32D69" w:rsidRDefault="00FB661A">
            <w:pPr>
              <w:spacing w:before="60" w:after="60" w:line="240" w:lineRule="auto"/>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Impacts</w:t>
            </w:r>
          </w:p>
        </w:tc>
      </w:tr>
      <w:tr w:rsidR="00B32D69">
        <w:tc>
          <w:tcPr>
            <w:tcW w:w="136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0" w:line="240" w:lineRule="auto"/>
              <w:rPr>
                <w:rFonts w:ascii="Times New Roman" w:eastAsia="Calibri" w:hAnsi="Times New Roman" w:cs="Times New Roman"/>
                <w:i/>
                <w:noProof/>
                <w:sz w:val="20"/>
                <w:szCs w:val="20"/>
              </w:rPr>
            </w:pPr>
            <w:r>
              <w:rPr>
                <w:rFonts w:ascii="Times New Roman" w:eastAsia="Calibri" w:hAnsi="Times New Roman" w:cs="Times New Roman"/>
                <w:i/>
                <w:noProof/>
                <w:sz w:val="20"/>
                <w:szCs w:val="20"/>
              </w:rPr>
              <w:t>Reduced costs of assessing risk by investors</w:t>
            </w:r>
          </w:p>
        </w:tc>
        <w:tc>
          <w:tcPr>
            <w:tcW w:w="260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The risk that debtors could not access early restructuring would be removed, but the intricacies in determining if the conditions of 'likelihood of insolvency' are met in each Member States would still be costly. In particular, investors would face uncerta</w:t>
            </w:r>
            <w:r>
              <w:rPr>
                <w:rFonts w:ascii="Times New Roman" w:eastAsia="Calibri" w:hAnsi="Times New Roman" w:cs="Times New Roman"/>
                <w:noProof/>
                <w:sz w:val="20"/>
                <w:szCs w:val="20"/>
              </w:rPr>
              <w:t xml:space="preserve">inty in MS where the debtor might have a duty to file for formal insolvency proceedings when over-indebted. </w:t>
            </w:r>
          </w:p>
        </w:tc>
        <w:tc>
          <w:tcPr>
            <w:tcW w:w="2607"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Ensuring that viable businesses can access restructuring procedures when over-indebted but not illiquid everywhere in the EU will increase legal</w:t>
            </w:r>
            <w:r>
              <w:rPr>
                <w:rFonts w:ascii="Times New Roman" w:eastAsia="Calibri" w:hAnsi="Times New Roman" w:cs="Times New Roman"/>
                <w:noProof/>
                <w:sz w:val="20"/>
                <w:szCs w:val="20"/>
              </w:rPr>
              <w:t xml:space="preserve"> certainty for investors and, thus, reduces the costs with risk assessment even more. The potential risk of moral hazard could be addressed by a safeguard ensuring that when debtors are illiquid courts should decide whether to allow the debtor to continue </w:t>
            </w:r>
            <w:r>
              <w:rPr>
                <w:rFonts w:ascii="Times New Roman" w:eastAsia="Calibri" w:hAnsi="Times New Roman" w:cs="Times New Roman"/>
                <w:noProof/>
                <w:sz w:val="20"/>
                <w:szCs w:val="20"/>
              </w:rPr>
              <w:t>the restructuring efforts or whether the channel them toward liquidation.</w:t>
            </w:r>
          </w:p>
        </w:tc>
        <w:tc>
          <w:tcPr>
            <w:tcW w:w="260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An early warning mechanism may lead to debtors taking action earlier rather than later, and therefore indirectly to lower risks for investors.</w:t>
            </w:r>
          </w:p>
        </w:tc>
      </w:tr>
      <w:tr w:rsidR="00B32D69">
        <w:tc>
          <w:tcPr>
            <w:tcW w:w="136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0" w:line="240" w:lineRule="auto"/>
              <w:rPr>
                <w:rFonts w:ascii="Times New Roman" w:eastAsia="Calibri" w:hAnsi="Times New Roman" w:cs="Times New Roman"/>
                <w:i/>
                <w:noProof/>
                <w:sz w:val="20"/>
                <w:szCs w:val="20"/>
              </w:rPr>
            </w:pPr>
            <w:r>
              <w:rPr>
                <w:rFonts w:ascii="Times New Roman" w:eastAsia="Calibri" w:hAnsi="Times New Roman" w:cs="Times New Roman"/>
                <w:i/>
                <w:noProof/>
                <w:sz w:val="20"/>
                <w:szCs w:val="20"/>
              </w:rPr>
              <w:t>Reduced costs of restructuring, in</w:t>
            </w:r>
            <w:r>
              <w:rPr>
                <w:rFonts w:ascii="Times New Roman" w:eastAsia="Calibri" w:hAnsi="Times New Roman" w:cs="Times New Roman"/>
                <w:i/>
                <w:noProof/>
                <w:sz w:val="20"/>
                <w:szCs w:val="20"/>
              </w:rPr>
              <w:t xml:space="preserve"> particular of cross-border groups</w:t>
            </w:r>
          </w:p>
        </w:tc>
        <w:tc>
          <w:tcPr>
            <w:tcW w:w="260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Being able to access restructuring proceedings before a duty to file for formal insolvency will enable the early restructuring of each member of the group, thus ensuring the higher benefits of early restructuring (e.g. </w:t>
            </w:r>
            <w:r>
              <w:rPr>
                <w:rFonts w:ascii="Times New Roman" w:eastAsia="Calibri" w:hAnsi="Times New Roman" w:cs="Times New Roman"/>
                <w:noProof/>
                <w:sz w:val="20"/>
                <w:szCs w:val="20"/>
              </w:rPr>
              <w:t>higher returns to creditors) for the group as a whole.</w:t>
            </w:r>
          </w:p>
        </w:tc>
        <w:tc>
          <w:tcPr>
            <w:tcW w:w="2607"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As compared to Sub-option 1, this sub-option would further reduce costs, because group members in countries where over-indebtedness may trigger a duty to file would have increased legal certainty th</w:t>
            </w:r>
            <w:r>
              <w:rPr>
                <w:rFonts w:ascii="Times New Roman" w:eastAsia="Calibri" w:hAnsi="Times New Roman" w:cs="Times New Roman"/>
                <w:noProof/>
                <w:sz w:val="20"/>
                <w:szCs w:val="20"/>
              </w:rPr>
              <w:t>at they can access such restructuring procedures before they are illiquid. The restructuring of several members of the group or even the entire group could then be launched in tandem in the different jurisdictions.</w:t>
            </w:r>
          </w:p>
        </w:tc>
        <w:tc>
          <w:tcPr>
            <w:tcW w:w="260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The availability of a model restructu</w:t>
            </w:r>
            <w:r>
              <w:rPr>
                <w:rFonts w:ascii="Times New Roman" w:eastAsia="Calibri" w:hAnsi="Times New Roman" w:cs="Times New Roman"/>
                <w:noProof/>
                <w:sz w:val="20"/>
                <w:szCs w:val="20"/>
              </w:rPr>
              <w:t xml:space="preserve">ring plan may facilitate the adoption of a coherent group plan, especially when the group members are SMEs. </w:t>
            </w:r>
          </w:p>
        </w:tc>
      </w:tr>
      <w:tr w:rsidR="00B32D69">
        <w:tc>
          <w:tcPr>
            <w:tcW w:w="136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0" w:line="240" w:lineRule="auto"/>
              <w:rPr>
                <w:rFonts w:ascii="Times New Roman" w:eastAsia="Calibri" w:hAnsi="Times New Roman" w:cs="Times New Roman"/>
                <w:i/>
                <w:noProof/>
                <w:sz w:val="20"/>
                <w:szCs w:val="20"/>
              </w:rPr>
            </w:pPr>
            <w:r>
              <w:rPr>
                <w:rFonts w:ascii="Times New Roman" w:eastAsia="Calibri" w:hAnsi="Times New Roman" w:cs="Times New Roman"/>
                <w:i/>
                <w:noProof/>
                <w:sz w:val="20"/>
                <w:szCs w:val="20"/>
              </w:rPr>
              <w:t>Effectiveness</w:t>
            </w:r>
          </w:p>
        </w:tc>
        <w:tc>
          <w:tcPr>
            <w:tcW w:w="260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Increase the number of preventive restructuring procedures, and consequently of business and jobs being saved, increase creditors'</w:t>
            </w:r>
            <w:r>
              <w:rPr>
                <w:rFonts w:ascii="Times New Roman" w:eastAsia="Calibri" w:hAnsi="Times New Roman" w:cs="Times New Roman"/>
                <w:noProof/>
                <w:sz w:val="20"/>
                <w:szCs w:val="20"/>
              </w:rPr>
              <w:t xml:space="preserve"> recovery rates including state creditors, and increase productivity since only profitable parts of the business are likely to survive while other resources can be reallocated.</w:t>
            </w:r>
          </w:p>
        </w:tc>
        <w:tc>
          <w:tcPr>
            <w:tcW w:w="2607"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As compared to Sub-option 1, this sub-option will further increase the numbe</w:t>
            </w:r>
            <w:r>
              <w:rPr>
                <w:rFonts w:ascii="Times New Roman" w:eastAsia="Calibri" w:hAnsi="Times New Roman" w:cs="Times New Roman"/>
                <w:noProof/>
                <w:sz w:val="20"/>
                <w:szCs w:val="20"/>
              </w:rPr>
              <w:t>r of businesses potentially accessing preventive restructuring possibilities.</w:t>
            </w:r>
          </w:p>
        </w:tc>
        <w:tc>
          <w:tcPr>
            <w:tcW w:w="260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In helping SMEs detect earlier signs of financial distress and helping them draft good quality restructuring plans, this Sub-option would represent an improvement compared to</w:t>
            </w:r>
            <w:r>
              <w:rPr>
                <w:rFonts w:ascii="Times New Roman" w:eastAsia="Calibri" w:hAnsi="Times New Roman" w:cs="Times New Roman"/>
                <w:noProof/>
                <w:sz w:val="20"/>
                <w:szCs w:val="20"/>
              </w:rPr>
              <w:t xml:space="preserve"> Sub-option 2.</w:t>
            </w:r>
          </w:p>
        </w:tc>
      </w:tr>
      <w:tr w:rsidR="00B32D69">
        <w:tc>
          <w:tcPr>
            <w:tcW w:w="136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0" w:line="240" w:lineRule="auto"/>
              <w:rPr>
                <w:rFonts w:ascii="Times New Roman" w:eastAsia="Calibri" w:hAnsi="Times New Roman" w:cs="Times New Roman"/>
                <w:i/>
                <w:noProof/>
                <w:sz w:val="20"/>
                <w:szCs w:val="20"/>
              </w:rPr>
            </w:pPr>
            <w:r>
              <w:rPr>
                <w:rFonts w:ascii="Times New Roman" w:eastAsia="Calibri" w:hAnsi="Times New Roman" w:cs="Times New Roman"/>
                <w:i/>
                <w:noProof/>
                <w:sz w:val="20"/>
                <w:szCs w:val="20"/>
              </w:rPr>
              <w:t>Legal systems</w:t>
            </w:r>
          </w:p>
        </w:tc>
        <w:tc>
          <w:tcPr>
            <w:tcW w:w="260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This sub-option would enlarge the restructuring possibilities for debtors in those Member States</w:t>
            </w:r>
            <w:r>
              <w:rPr>
                <w:rFonts w:ascii="Times New Roman" w:eastAsia="Calibri" w:hAnsi="Times New Roman" w:cs="Times New Roman"/>
                <w:noProof/>
              </w:rPr>
              <w:t xml:space="preserve"> </w:t>
            </w:r>
            <w:r>
              <w:rPr>
                <w:rFonts w:ascii="Times New Roman" w:eastAsia="Calibri" w:hAnsi="Times New Roman" w:cs="Times New Roman"/>
                <w:noProof/>
                <w:sz w:val="20"/>
                <w:szCs w:val="20"/>
              </w:rPr>
              <w:t>where restructuring procedures are available only if the debtor is actually insolvent or his insolvency is 'imminent'. Sub-sequ</w:t>
            </w:r>
            <w:r>
              <w:rPr>
                <w:rFonts w:ascii="Times New Roman" w:eastAsia="Calibri" w:hAnsi="Times New Roman" w:cs="Times New Roman"/>
                <w:noProof/>
                <w:sz w:val="20"/>
                <w:szCs w:val="20"/>
              </w:rPr>
              <w:t>ent changes may be needed in company law for example.</w:t>
            </w:r>
          </w:p>
        </w:tc>
        <w:tc>
          <w:tcPr>
            <w:tcW w:w="2607"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 - </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This sub-option will require that in some Member States the restructuring framework is amended to allow a clear choice for debtors in financial difficulty between preventive restructuring and forma</w:t>
            </w:r>
            <w:r>
              <w:rPr>
                <w:rFonts w:ascii="Times New Roman" w:eastAsia="Calibri" w:hAnsi="Times New Roman" w:cs="Times New Roman"/>
                <w:noProof/>
                <w:sz w:val="20"/>
                <w:szCs w:val="20"/>
              </w:rPr>
              <w:t>l insolvency proceedings. Sub-sequent changes may be needed in company law for example.</w:t>
            </w:r>
          </w:p>
        </w:tc>
        <w:tc>
          <w:tcPr>
            <w:tcW w:w="260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 - </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Some Member States may need to provide for early warning tools, but these may not necessarily be costly (e.g. making information publicly available on-line, </w:t>
            </w:r>
            <w:r>
              <w:rPr>
                <w:rFonts w:ascii="Times New Roman" w:eastAsia="Calibri" w:hAnsi="Times New Roman" w:cs="Times New Roman"/>
                <w:noProof/>
                <w:sz w:val="20"/>
                <w:szCs w:val="20"/>
              </w:rPr>
              <w:t>requiring that Chambers of Commerce provide advice). Almost all Member States will need to implement national model restructuring plans (UK is an exception).</w:t>
            </w:r>
          </w:p>
        </w:tc>
      </w:tr>
    </w:tbl>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u w:val="single"/>
        </w:rPr>
        <w:t>Summary assessment of the preferred sub-option</w:t>
      </w:r>
      <w:r>
        <w:rPr>
          <w:rFonts w:ascii="Times New Roman" w:eastAsia="Calibri" w:hAnsi="Times New Roman" w:cs="Times New Roman"/>
          <w:noProof/>
          <w:sz w:val="24"/>
          <w:szCs w:val="24"/>
        </w:rPr>
        <w:t xml:space="preserve">: </w:t>
      </w:r>
      <w:r>
        <w:rPr>
          <w:rFonts w:ascii="Times New Roman" w:eastAsia="Calibri" w:hAnsi="Times New Roman" w:cs="Times New Roman"/>
          <w:i/>
          <w:noProof/>
          <w:sz w:val="24"/>
          <w:szCs w:val="24"/>
        </w:rPr>
        <w:t>Sub-option 3</w:t>
      </w:r>
      <w:r>
        <w:rPr>
          <w:rFonts w:ascii="Times New Roman" w:eastAsia="Calibri" w:hAnsi="Times New Roman" w:cs="Times New Roman"/>
          <w:noProof/>
          <w:sz w:val="24"/>
          <w:szCs w:val="24"/>
        </w:rPr>
        <w:t xml:space="preserve"> is the preferred sub-option since it ensures an early possibility of restructuring which can be effectively used also by SMEs. By lowering the thresholds on access to such procedures, the preferred sub-option will ensure a higher number of applications fr</w:t>
      </w:r>
      <w:r>
        <w:rPr>
          <w:rFonts w:ascii="Times New Roman" w:eastAsia="Calibri" w:hAnsi="Times New Roman" w:cs="Times New Roman"/>
          <w:noProof/>
          <w:sz w:val="24"/>
          <w:szCs w:val="24"/>
        </w:rPr>
        <w:t xml:space="preserve">om viable enterprises at an early stage. Certain </w:t>
      </w:r>
      <w:r>
        <w:rPr>
          <w:rFonts w:ascii="Times New Roman" w:eastAsia="Calibri" w:hAnsi="Times New Roman" w:cs="Times New Roman"/>
          <w:b/>
          <w:noProof/>
          <w:sz w:val="24"/>
          <w:szCs w:val="24"/>
        </w:rPr>
        <w:t>downside risks</w:t>
      </w:r>
      <w:r>
        <w:rPr>
          <w:rFonts w:ascii="Times New Roman" w:eastAsia="Calibri" w:hAnsi="Times New Roman" w:cs="Times New Roman"/>
          <w:noProof/>
          <w:sz w:val="24"/>
          <w:szCs w:val="24"/>
        </w:rPr>
        <w:t xml:space="preserve"> which could be associated with the possibility of early restructuring have been identified and can be addressed in a proportionate manner. First, </w:t>
      </w:r>
      <w:r>
        <w:rPr>
          <w:rFonts w:ascii="Times New Roman" w:hAnsi="Times New Roman"/>
          <w:noProof/>
          <w:sz w:val="24"/>
          <w:szCs w:val="24"/>
          <w:lang w:val="en-US"/>
        </w:rPr>
        <w:t>there may be a concern that allowing the debto</w:t>
      </w:r>
      <w:r>
        <w:rPr>
          <w:rFonts w:ascii="Times New Roman" w:hAnsi="Times New Roman"/>
          <w:noProof/>
          <w:sz w:val="24"/>
          <w:szCs w:val="24"/>
          <w:lang w:val="en-US"/>
        </w:rPr>
        <w:t>r an easy access to preventive restructuring procedures will lead many unviable enterprises in financial difficulties to enter restructuring negotiations simply to postpone the moment of filing for insolvency and thus potentially deplete assets from the in</w:t>
      </w:r>
      <w:r>
        <w:rPr>
          <w:rFonts w:ascii="Times New Roman" w:hAnsi="Times New Roman"/>
          <w:noProof/>
          <w:sz w:val="24"/>
          <w:szCs w:val="24"/>
          <w:lang w:val="en-US"/>
        </w:rPr>
        <w:t xml:space="preserve">solvent estate. On the other hand, a too restrictive access into such procedure discourages debtors and translates in very low numbers of filings. There should be therefore a balance between the possibility of debtors to enter easily into such procedures, </w:t>
      </w:r>
      <w:r>
        <w:rPr>
          <w:rFonts w:ascii="Times New Roman" w:hAnsi="Times New Roman"/>
          <w:noProof/>
          <w:sz w:val="24"/>
          <w:szCs w:val="24"/>
          <w:lang w:val="en-US"/>
        </w:rPr>
        <w:t xml:space="preserve">but at the same time to have in place possibilities for creditors to terminate negotiations where they are not likely to lead to a successful restructuring. Second, </w:t>
      </w:r>
      <w:r>
        <w:rPr>
          <w:rFonts w:ascii="Times New Roman" w:eastAsia="Calibri" w:hAnsi="Times New Roman" w:cs="Times New Roman"/>
          <w:noProof/>
          <w:sz w:val="24"/>
          <w:szCs w:val="24"/>
        </w:rPr>
        <w:t>this sub-option may bring about a risk of misuse or high costs. However, the fact that ther</w:t>
      </w:r>
      <w:r>
        <w:rPr>
          <w:rFonts w:ascii="Times New Roman" w:eastAsia="Calibri" w:hAnsi="Times New Roman" w:cs="Times New Roman"/>
          <w:noProof/>
          <w:sz w:val="24"/>
          <w:szCs w:val="24"/>
        </w:rPr>
        <w:t xml:space="preserve">e need to be a likelihood of insolvency suggests a real threat to the existence of the company. </w:t>
      </w:r>
    </w:p>
    <w:p w:rsidR="00B32D69" w:rsidRDefault="00FB661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This sub-option does not have negative impacts on </w:t>
      </w:r>
      <w:r>
        <w:rPr>
          <w:rFonts w:ascii="Times New Roman" w:eastAsia="Calibri" w:hAnsi="Times New Roman" w:cs="Times New Roman"/>
          <w:b/>
          <w:noProof/>
          <w:sz w:val="24"/>
          <w:szCs w:val="24"/>
        </w:rPr>
        <w:t>fundamental rights</w:t>
      </w:r>
      <w:r>
        <w:rPr>
          <w:rFonts w:ascii="Times New Roman" w:eastAsia="Calibri" w:hAnsi="Times New Roman" w:cs="Times New Roman"/>
          <w:noProof/>
          <w:sz w:val="24"/>
          <w:szCs w:val="24"/>
        </w:rPr>
        <w:t>, as most Member States have now recognised that the need to safeguard the rights of credit</w:t>
      </w:r>
      <w:r>
        <w:rPr>
          <w:rFonts w:ascii="Times New Roman" w:eastAsia="Calibri" w:hAnsi="Times New Roman" w:cs="Times New Roman"/>
          <w:noProof/>
          <w:sz w:val="24"/>
          <w:szCs w:val="24"/>
        </w:rPr>
        <w:t xml:space="preserve">ors must be balanced against the general interest of saving companies and jobs, and for this reason some interference with (dissenting) creditors' rights in order to make restructuring effective is justified. The </w:t>
      </w:r>
      <w:r>
        <w:rPr>
          <w:rFonts w:ascii="Times New Roman" w:eastAsia="Calibri" w:hAnsi="Times New Roman" w:cs="Times New Roman"/>
          <w:b/>
          <w:noProof/>
          <w:sz w:val="24"/>
          <w:szCs w:val="24"/>
        </w:rPr>
        <w:t>social impacts</w:t>
      </w:r>
      <w:r>
        <w:rPr>
          <w:rFonts w:ascii="Times New Roman" w:eastAsia="Calibri" w:hAnsi="Times New Roman" w:cs="Times New Roman"/>
          <w:noProof/>
          <w:sz w:val="24"/>
          <w:szCs w:val="24"/>
        </w:rPr>
        <w:t xml:space="preserve"> of such procedures should be</w:t>
      </w:r>
      <w:r>
        <w:rPr>
          <w:rFonts w:ascii="Times New Roman" w:eastAsia="Calibri" w:hAnsi="Times New Roman" w:cs="Times New Roman"/>
          <w:noProof/>
          <w:sz w:val="24"/>
          <w:szCs w:val="24"/>
        </w:rPr>
        <w:t xml:space="preserve"> positive, as one of the main objectives of early restructuring procedures is to save jobs by saving the companies which employ them. While it is true that as a result of a restructuring some jobs might be lost, such losses would have to be expected as bei</w:t>
      </w:r>
      <w:r>
        <w:rPr>
          <w:rFonts w:ascii="Times New Roman" w:eastAsia="Calibri" w:hAnsi="Times New Roman" w:cs="Times New Roman"/>
          <w:noProof/>
          <w:sz w:val="24"/>
          <w:szCs w:val="24"/>
        </w:rPr>
        <w:t>ng greatly lower than in a liquidation scenario, and putting a company back on a growth part has also the potential of creating new jobs. For example, the restructuring of an old-fashioned factory may require the introduction of more modern technologies wh</w:t>
      </w:r>
      <w:r>
        <w:rPr>
          <w:rFonts w:ascii="Times New Roman" w:eastAsia="Calibri" w:hAnsi="Times New Roman" w:cs="Times New Roman"/>
          <w:noProof/>
          <w:sz w:val="24"/>
          <w:szCs w:val="24"/>
        </w:rPr>
        <w:t xml:space="preserve">ich require less operating personnel. But the loss of machine-operating jobs may be compensated by the creation of other types of jobs, such as product design, sales or marketing. </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Most Member States supported the idea of early restructuring already at the</w:t>
      </w:r>
      <w:r>
        <w:rPr>
          <w:rFonts w:ascii="Times New Roman" w:eastAsia="Calibri" w:hAnsi="Times New Roman" w:cs="Times New Roman"/>
          <w:noProof/>
          <w:sz w:val="24"/>
          <w:szCs w:val="24"/>
        </w:rPr>
        <w:t xml:space="preserve"> time of the Recommendation on restructuring and second chance. In the performed public consultation the majority of respondents were in favour of early restructuring procedures while a smaller part believed that restructuring should be available at any ti</w:t>
      </w:r>
      <w:r>
        <w:rPr>
          <w:rFonts w:ascii="Times New Roman" w:eastAsia="Calibri" w:hAnsi="Times New Roman" w:cs="Times New Roman"/>
          <w:noProof/>
          <w:sz w:val="24"/>
          <w:szCs w:val="24"/>
        </w:rPr>
        <w:t>me. Member States</w:t>
      </w:r>
      <w:r>
        <w:rPr>
          <w:rFonts w:eastAsia="Calibri" w:cs="Times New Roman"/>
          <w:noProof/>
          <w:sz w:val="24"/>
          <w:szCs w:val="24"/>
          <w:vertAlign w:val="superscript"/>
        </w:rPr>
        <w:footnoteReference w:id="170"/>
      </w:r>
      <w:r>
        <w:rPr>
          <w:rFonts w:ascii="Times New Roman" w:eastAsia="Calibri" w:hAnsi="Times New Roman" w:cs="Times New Roman"/>
          <w:noProof/>
          <w:sz w:val="24"/>
          <w:szCs w:val="24"/>
        </w:rPr>
        <w:t xml:space="preserve"> agreed on the necessity of preventive measures enabling early restructuring of viable businesses. During the dedicated meetings with the Member States, they were of the view that when the viability of the business is threatened due to ov</w:t>
      </w:r>
      <w:r>
        <w:rPr>
          <w:rFonts w:ascii="Times New Roman" w:eastAsia="Calibri" w:hAnsi="Times New Roman" w:cs="Times New Roman"/>
          <w:noProof/>
          <w:sz w:val="24"/>
          <w:szCs w:val="24"/>
        </w:rPr>
        <w:t>er-indebtedness, the businesses should have a right to access an early restructuring framework. However, almost all MS (e.g. AT, EE, FI, DE, IE, PL, PT, ES, SE) were opposed to harmonising the definition of insolvency or that of the likelihood of insolvenc</w:t>
      </w:r>
      <w:r>
        <w:rPr>
          <w:rFonts w:ascii="Times New Roman" w:eastAsia="Calibri" w:hAnsi="Times New Roman" w:cs="Times New Roman"/>
          <w:noProof/>
          <w:sz w:val="24"/>
          <w:szCs w:val="24"/>
        </w:rPr>
        <w:t xml:space="preserve">y. All the Member States advocated for early warning mechanisms and tools, but there was no consensus regarding the modalities how these systems should be established and operated (whether they should be funded and monitored by the State or by the private </w:t>
      </w:r>
      <w:r>
        <w:rPr>
          <w:rFonts w:ascii="Times New Roman" w:eastAsia="Calibri" w:hAnsi="Times New Roman" w:cs="Times New Roman"/>
          <w:noProof/>
          <w:sz w:val="24"/>
          <w:szCs w:val="24"/>
        </w:rPr>
        <w:t>sector). As for model restructuring plans, although the majority of Member States expressed concerns regarding the effectiveness, they were in favour as long as these models are optional and can be adapted to each case.</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business sector (Eurochambers, I</w:t>
      </w:r>
      <w:r>
        <w:rPr>
          <w:rFonts w:ascii="Times New Roman" w:eastAsia="Calibri" w:hAnsi="Times New Roman" w:cs="Times New Roman"/>
          <w:noProof/>
          <w:sz w:val="24"/>
          <w:szCs w:val="24"/>
        </w:rPr>
        <w:t>ndependent Retail Europe, EUAPME) was strongly in favour of early restructuring for viable businesses when there is a likelihood of insolvency and they underlined the importance for early warning tools. Some business organisations (Independent Retail Europ</w:t>
      </w:r>
      <w:r>
        <w:rPr>
          <w:rFonts w:ascii="Times New Roman" w:eastAsia="Calibri" w:hAnsi="Times New Roman" w:cs="Times New Roman"/>
          <w:noProof/>
          <w:sz w:val="24"/>
          <w:szCs w:val="24"/>
        </w:rPr>
        <w:t xml:space="preserve">e, EUAPME) also stressed that models for restructuring plans could be used as a starting point in order to reduce costs for SMEs, as long as they are optional and flexible. </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Legal practitioners, insolvency practitioners and academics were in favour of earl</w:t>
      </w:r>
      <w:r>
        <w:rPr>
          <w:rFonts w:ascii="Times New Roman" w:eastAsia="Calibri" w:hAnsi="Times New Roman" w:cs="Times New Roman"/>
          <w:noProof/>
          <w:sz w:val="24"/>
          <w:szCs w:val="24"/>
        </w:rPr>
        <w:t>y restructuring for viable debtors, when there is a likelihood of insolvency, including when the viability of the business is threatened due to over-indebtedness. They were also in favour of early warning mechanisms and facilitating access to advice. As fo</w:t>
      </w:r>
      <w:r>
        <w:rPr>
          <w:rFonts w:ascii="Times New Roman" w:eastAsia="Calibri" w:hAnsi="Times New Roman" w:cs="Times New Roman"/>
          <w:noProof/>
          <w:sz w:val="24"/>
          <w:szCs w:val="24"/>
        </w:rPr>
        <w:t xml:space="preserve">r the model restructuring plans, although some professionals (ACCA) expressed feasibility concerns, others (CCBE, ELI) were in favour. </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financial sector (EBF, AFME) supported option 3 and advocated for more efficient alert mechanisms, such as tax and s</w:t>
      </w:r>
      <w:r>
        <w:rPr>
          <w:rFonts w:ascii="Times New Roman" w:eastAsia="Calibri" w:hAnsi="Times New Roman" w:cs="Times New Roman"/>
          <w:noProof/>
          <w:sz w:val="24"/>
          <w:szCs w:val="24"/>
        </w:rPr>
        <w:t>ocial security authorities flagging a negative development of a business.</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Trade unions (ETUC) agreed that an early restructuring framework should be available to viable debtors in financial difficulties when there is a likelihood of insolvency. However, th</w:t>
      </w:r>
      <w:r>
        <w:rPr>
          <w:rFonts w:ascii="Times New Roman" w:eastAsia="Calibri" w:hAnsi="Times New Roman" w:cs="Times New Roman"/>
          <w:noProof/>
          <w:sz w:val="24"/>
          <w:szCs w:val="24"/>
        </w:rPr>
        <w:t>ey reminded of abusive practices by which insolvency proceedings, and in particular restructuring, are deliberately used to evade responsibilities under labour law. An easier access to preventive restructuring framework should be counterbalanced by safegua</w:t>
      </w:r>
      <w:r>
        <w:rPr>
          <w:rFonts w:ascii="Times New Roman" w:eastAsia="Calibri" w:hAnsi="Times New Roman" w:cs="Times New Roman"/>
          <w:noProof/>
          <w:sz w:val="24"/>
          <w:szCs w:val="24"/>
        </w:rPr>
        <w:t xml:space="preserve">rds against 'tactical insolvencies', for the protection of workers’ rights. Additionally, they advocated that the EU labour </w:t>
      </w:r>
      <w:r>
        <w:rPr>
          <w:rFonts w:ascii="Times New Roman" w:eastAsia="Calibri" w:hAnsi="Times New Roman" w:cs="Times New Roman"/>
          <w:i/>
          <w:noProof/>
          <w:sz w:val="24"/>
          <w:szCs w:val="24"/>
        </w:rPr>
        <w:t>acquis</w:t>
      </w:r>
      <w:r>
        <w:rPr>
          <w:rFonts w:ascii="Times New Roman" w:eastAsia="Calibri" w:hAnsi="Times New Roman" w:cs="Times New Roman"/>
          <w:noProof/>
          <w:sz w:val="24"/>
          <w:szCs w:val="24"/>
        </w:rPr>
        <w:t xml:space="preserve"> should not be affected.</w:t>
      </w:r>
    </w:p>
    <w:p w:rsidR="00B32D69" w:rsidRDefault="00FB661A">
      <w:pPr>
        <w:spacing w:before="240" w:after="240" w:line="240" w:lineRule="auto"/>
        <w:jc w:val="both"/>
        <w:rPr>
          <w:rFonts w:ascii="Times New Roman" w:eastAsia="Calibri" w:hAnsi="Times New Roman" w:cs="Times New Roman"/>
          <w:b/>
          <w:bCs/>
          <w:iCs/>
          <w:noProof/>
          <w:sz w:val="24"/>
          <w:szCs w:val="28"/>
        </w:rPr>
      </w:pPr>
      <w:bookmarkStart w:id="40" w:name="_Toc459390472"/>
      <w:bookmarkStart w:id="41" w:name="_Toc378078040"/>
      <w:r>
        <w:rPr>
          <w:rFonts w:ascii="Times New Roman" w:eastAsia="Calibri" w:hAnsi="Times New Roman" w:cs="Times New Roman"/>
          <w:b/>
          <w:bCs/>
          <w:iCs/>
          <w:noProof/>
          <w:sz w:val="24"/>
          <w:szCs w:val="28"/>
        </w:rPr>
        <w:t>5.2. Stay of enforcement actions (moratorium</w:t>
      </w:r>
      <w:bookmarkEnd w:id="40"/>
      <w:bookmarkEnd w:id="41"/>
      <w:r>
        <w:rPr>
          <w:rFonts w:ascii="Times New Roman" w:eastAsia="Calibri" w:hAnsi="Times New Roman" w:cs="Times New Roman"/>
          <w:b/>
          <w:bCs/>
          <w:iCs/>
          <w:noProof/>
          <w:sz w:val="24"/>
          <w:szCs w:val="28"/>
        </w:rPr>
        <w:t>)</w:t>
      </w:r>
    </w:p>
    <w:p w:rsidR="00B32D69" w:rsidRDefault="00FB661A">
      <w:pPr>
        <w:spacing w:before="240" w:after="24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t>5.2.1. Description of sub-options</w:t>
      </w:r>
    </w:p>
    <w:p w:rsidR="00B32D69" w:rsidRDefault="00FB661A">
      <w:pPr>
        <w:spacing w:before="120"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u w:val="single"/>
        </w:rPr>
        <w:t>Sub-option 1</w:t>
      </w:r>
      <w:r>
        <w:rPr>
          <w:rFonts w:ascii="Times New Roman" w:eastAsia="Calibri" w:hAnsi="Times New Roman" w:cs="Times New Roman"/>
          <w:noProof/>
          <w:sz w:val="24"/>
          <w:szCs w:val="24"/>
          <w:u w:val="single"/>
        </w:rPr>
        <w:t>:</w:t>
      </w:r>
      <w:r>
        <w:rPr>
          <w:rFonts w:ascii="Times New Roman" w:eastAsia="Calibri" w:hAnsi="Times New Roman" w:cs="Times New Roman"/>
          <w:noProof/>
          <w:sz w:val="24"/>
          <w:szCs w:val="24"/>
        </w:rPr>
        <w:t xml:space="preserve"> In order to ensure that the debtor can effectively conduct restructuring negotiations, the legal framework must allow it a 'breathing space', i.e. the possibility to address the problem of hold-out creditors who might have an interest in enforcing their i</w:t>
      </w:r>
      <w:r>
        <w:rPr>
          <w:rFonts w:ascii="Times New Roman" w:eastAsia="Calibri" w:hAnsi="Times New Roman" w:cs="Times New Roman"/>
          <w:noProof/>
          <w:sz w:val="24"/>
          <w:szCs w:val="24"/>
        </w:rPr>
        <w:t>ndividual claims immediately rather than participate in the negotiation process and saving the debtor. The exact configuration of the stay can vary but it should also suspend the duty to file for formal insolvency procedures in order to be effective.</w:t>
      </w:r>
    </w:p>
    <w:p w:rsidR="00B32D69" w:rsidRDefault="00FB661A">
      <w:pPr>
        <w:spacing w:before="120"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u w:val="single"/>
        </w:rPr>
        <w:t>Sub-option 2</w:t>
      </w:r>
      <w:r>
        <w:rPr>
          <w:rFonts w:ascii="Times New Roman" w:eastAsia="Calibri" w:hAnsi="Times New Roman" w:cs="Times New Roman"/>
          <w:noProof/>
          <w:sz w:val="24"/>
          <w:szCs w:val="24"/>
          <w:u w:val="single"/>
        </w:rPr>
        <w:t>:</w:t>
      </w:r>
      <w:r>
        <w:rPr>
          <w:rFonts w:ascii="Times New Roman" w:eastAsia="Calibri" w:hAnsi="Times New Roman" w:cs="Times New Roman"/>
          <w:noProof/>
          <w:sz w:val="24"/>
          <w:szCs w:val="24"/>
        </w:rPr>
        <w:t xml:space="preserve"> Contracts usually contain clauses enabling one of the parties to terminate early or the counter-party enters insolvency proceedings. Such clauses are also often extended to situations where the debtor enters restructuring procedures. As a min</w:t>
      </w:r>
      <w:r>
        <w:rPr>
          <w:rFonts w:ascii="Times New Roman" w:eastAsia="Calibri" w:hAnsi="Times New Roman" w:cs="Times New Roman"/>
          <w:noProof/>
          <w:sz w:val="24"/>
          <w:szCs w:val="24"/>
        </w:rPr>
        <w:t>imum, such clauses should not be enforceable for the period of the stay in respect of essential supplies necessary for the continuation of the business.</w:t>
      </w:r>
    </w:p>
    <w:p w:rsidR="00B32D69" w:rsidRDefault="00FB661A">
      <w:pPr>
        <w:spacing w:before="120"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u w:val="single"/>
        </w:rPr>
        <w:t>Sub-option 3</w:t>
      </w:r>
      <w:r>
        <w:rPr>
          <w:rFonts w:ascii="Times New Roman" w:eastAsia="Calibri" w:hAnsi="Times New Roman" w:cs="Times New Roman"/>
          <w:noProof/>
          <w:sz w:val="24"/>
          <w:szCs w:val="24"/>
          <w:u w:val="single"/>
        </w:rPr>
        <w:t>:</w:t>
      </w:r>
      <w:r>
        <w:rPr>
          <w:rFonts w:ascii="Times New Roman" w:eastAsia="Calibri" w:hAnsi="Times New Roman" w:cs="Times New Roman"/>
          <w:noProof/>
          <w:sz w:val="24"/>
          <w:szCs w:val="24"/>
        </w:rPr>
        <w:t xml:space="preserve"> Creditors' rights are safeguarded by limiting the duration of the stay and by giving them</w:t>
      </w:r>
      <w:r>
        <w:rPr>
          <w:rFonts w:ascii="Times New Roman" w:eastAsia="Calibri" w:hAnsi="Times New Roman" w:cs="Times New Roman"/>
          <w:noProof/>
          <w:sz w:val="24"/>
          <w:szCs w:val="24"/>
        </w:rPr>
        <w:t xml:space="preserve"> the right to ask for the stay to be lifted in certain circumstances. </w:t>
      </w:r>
    </w:p>
    <w:p w:rsidR="00B32D69" w:rsidRDefault="00FB661A">
      <w:pPr>
        <w:spacing w:before="240" w:after="24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t>5.2.2. Assessment of impact of the sub-options and preferred sub-option</w:t>
      </w: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435"/>
        <w:gridCol w:w="2666"/>
        <w:gridCol w:w="2692"/>
      </w:tblGrid>
      <w:tr w:rsidR="00B32D69">
        <w:trPr>
          <w:trHeight w:val="258"/>
        </w:trPr>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32D69" w:rsidRDefault="00FB661A">
            <w:pPr>
              <w:spacing w:before="60" w:after="60" w:line="240" w:lineRule="auto"/>
              <w:jc w:val="center"/>
              <w:rPr>
                <w:rFonts w:ascii="Times New Roman" w:hAnsi="Times New Roman" w:cs="Times New Roman"/>
                <w:b/>
                <w:noProof/>
                <w:sz w:val="20"/>
                <w:szCs w:val="20"/>
              </w:rPr>
            </w:pPr>
            <w:r>
              <w:rPr>
                <w:rFonts w:ascii="Times New Roman" w:hAnsi="Times New Roman" w:cs="Times New Roman"/>
                <w:b/>
                <w:noProof/>
                <w:sz w:val="20"/>
                <w:szCs w:val="20"/>
              </w:rPr>
              <w:t>Sub-options</w:t>
            </w:r>
          </w:p>
        </w:tc>
        <w:tc>
          <w:tcPr>
            <w:tcW w:w="2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32D69" w:rsidRDefault="00FB661A">
            <w:pPr>
              <w:spacing w:before="60" w:after="60" w:line="240" w:lineRule="auto"/>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Sub-option 1</w:t>
            </w:r>
          </w:p>
        </w:tc>
        <w:tc>
          <w:tcPr>
            <w:tcW w:w="2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32D69" w:rsidRDefault="00FB661A">
            <w:pPr>
              <w:spacing w:before="60" w:after="60" w:line="240" w:lineRule="auto"/>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Sub-option 2</w:t>
            </w:r>
          </w:p>
        </w:tc>
        <w:tc>
          <w:tcPr>
            <w:tcW w:w="26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32D69" w:rsidRDefault="00FB661A">
            <w:pPr>
              <w:spacing w:before="60" w:after="60" w:line="240" w:lineRule="auto"/>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Sub-option 3</w:t>
            </w:r>
          </w:p>
        </w:tc>
      </w:tr>
      <w:tr w:rsidR="00B32D69">
        <w:trPr>
          <w:trHeight w:val="1332"/>
        </w:trPr>
        <w:tc>
          <w:tcPr>
            <w:tcW w:w="1417" w:type="dxa"/>
            <w:tcBorders>
              <w:top w:val="single" w:sz="4" w:space="0" w:color="auto"/>
              <w:left w:val="single" w:sz="4" w:space="0" w:color="auto"/>
              <w:bottom w:val="single" w:sz="4" w:space="0" w:color="auto"/>
              <w:right w:val="single" w:sz="4" w:space="0" w:color="auto"/>
            </w:tcBorders>
            <w:hideMark/>
          </w:tcPr>
          <w:p w:rsidR="00B32D69" w:rsidRDefault="00FB661A">
            <w:pPr>
              <w:rPr>
                <w:rFonts w:ascii="Times New Roman" w:hAnsi="Times New Roman" w:cs="Times New Roman"/>
                <w:i/>
                <w:noProof/>
              </w:rPr>
            </w:pPr>
            <w:r>
              <w:rPr>
                <w:rFonts w:ascii="Times New Roman" w:hAnsi="Times New Roman" w:cs="Times New Roman"/>
                <w:i/>
                <w:noProof/>
              </w:rPr>
              <w:t>Sub-option summary</w:t>
            </w:r>
          </w:p>
        </w:tc>
        <w:tc>
          <w:tcPr>
            <w:tcW w:w="2435"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 xml:space="preserve">Moratorium which suspends </w:t>
            </w:r>
            <w:r>
              <w:rPr>
                <w:rFonts w:ascii="Times New Roman" w:eastAsia="Calibri" w:hAnsi="Times New Roman" w:cs="Times New Roman"/>
                <w:noProof/>
                <w:color w:val="000000"/>
                <w:sz w:val="20"/>
                <w:szCs w:val="20"/>
              </w:rPr>
              <w:t xml:space="preserve">individual </w:t>
            </w:r>
            <w:r>
              <w:rPr>
                <w:rFonts w:ascii="Times New Roman" w:eastAsia="Calibri" w:hAnsi="Times New Roman" w:cs="Times New Roman"/>
                <w:noProof/>
                <w:color w:val="000000"/>
                <w:sz w:val="20"/>
                <w:szCs w:val="20"/>
              </w:rPr>
              <w:t>enforcement actions and the duty to file for formal insolvency proceedings</w:t>
            </w:r>
            <w:r>
              <w:rPr>
                <w:rFonts w:ascii="Times New Roman" w:eastAsia="Calibri" w:hAnsi="Times New Roman" w:cs="Times New Roman"/>
                <w:noProof/>
                <w:sz w:val="20"/>
                <w:szCs w:val="20"/>
              </w:rPr>
              <w:t xml:space="preserve">. </w:t>
            </w:r>
          </w:p>
        </w:tc>
        <w:tc>
          <w:tcPr>
            <w:tcW w:w="266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 xml:space="preserve">Sub-option 1 + suspension of the right of essential suppliers to avail themselves </w:t>
            </w:r>
            <w:r>
              <w:rPr>
                <w:rFonts w:ascii="Times New Roman" w:eastAsia="Calibri" w:hAnsi="Times New Roman" w:cs="Times New Roman"/>
                <w:noProof/>
                <w:color w:val="000000"/>
                <w:sz w:val="20"/>
                <w:szCs w:val="20"/>
              </w:rPr>
              <w:t>of early termination clauses.</w:t>
            </w:r>
          </w:p>
        </w:tc>
        <w:tc>
          <w:tcPr>
            <w:tcW w:w="2692"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Sub-option 2 + moratorium of a short, limited duration no longer th</w:t>
            </w:r>
            <w:r>
              <w:rPr>
                <w:rFonts w:ascii="Times New Roman" w:eastAsia="Calibri" w:hAnsi="Times New Roman" w:cs="Times New Roman"/>
                <w:noProof/>
                <w:sz w:val="20"/>
                <w:szCs w:val="20"/>
              </w:rPr>
              <w:t>an 4 months and giving creditors the right to ask for lifting the stay.</w:t>
            </w:r>
          </w:p>
        </w:tc>
      </w:tr>
      <w:tr w:rsidR="00B32D69">
        <w:trPr>
          <w:trHeight w:val="247"/>
        </w:trPr>
        <w:tc>
          <w:tcPr>
            <w:tcW w:w="921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32D69" w:rsidRDefault="00FB661A">
            <w:pPr>
              <w:spacing w:before="60" w:after="60" w:line="240" w:lineRule="auto"/>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Impacts</w:t>
            </w:r>
          </w:p>
        </w:tc>
      </w:tr>
      <w:tr w:rsidR="00B32D69">
        <w:tc>
          <w:tcPr>
            <w:tcW w:w="1417"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i/>
                <w:noProof/>
                <w:sz w:val="20"/>
                <w:szCs w:val="20"/>
              </w:rPr>
            </w:pPr>
            <w:r>
              <w:rPr>
                <w:rFonts w:ascii="Times New Roman" w:eastAsia="Calibri" w:hAnsi="Times New Roman" w:cs="Times New Roman"/>
                <w:i/>
                <w:noProof/>
                <w:sz w:val="20"/>
                <w:szCs w:val="20"/>
              </w:rPr>
              <w:t>Reduced costs of assessing risk by investors</w:t>
            </w:r>
          </w:p>
        </w:tc>
        <w:tc>
          <w:tcPr>
            <w:tcW w:w="2435"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In principle, the more elements are harmonised across the EU, the lower the costs for investors in assessing risks in different MSs, and the more favourable the conditions for lending. A stay which suspends the enforcement actions to address the hold-out p</w:t>
            </w:r>
            <w:r>
              <w:rPr>
                <w:rFonts w:ascii="Times New Roman" w:eastAsia="Calibri" w:hAnsi="Times New Roman" w:cs="Times New Roman"/>
                <w:noProof/>
                <w:sz w:val="20"/>
                <w:szCs w:val="20"/>
              </w:rPr>
              <w:t xml:space="preserve">roblem gives investors a better </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The risk on the one hand that the debtor might become illiquid before the stay period expires and still be allowed the benefit of the stay and on the other hand that significant restructuring efforts could be wasted if the </w:t>
            </w:r>
            <w:r>
              <w:rPr>
                <w:rFonts w:ascii="Times New Roman" w:eastAsia="Calibri" w:hAnsi="Times New Roman" w:cs="Times New Roman"/>
                <w:noProof/>
                <w:sz w:val="20"/>
                <w:szCs w:val="20"/>
              </w:rPr>
              <w:t>procedure is stopped and the debtor channelled to insolvency/liquidation, can be addressed by requiring the intervention of a court on whether to allow the procedure to go on or not.</w:t>
            </w:r>
          </w:p>
        </w:tc>
        <w:tc>
          <w:tcPr>
            <w:tcW w:w="266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Investors will be able to predict better the chances of survival of th</w:t>
            </w:r>
            <w:r>
              <w:rPr>
                <w:rFonts w:ascii="Times New Roman" w:eastAsia="Calibri" w:hAnsi="Times New Roman" w:cs="Times New Roman"/>
                <w:noProof/>
                <w:sz w:val="20"/>
                <w:szCs w:val="20"/>
              </w:rPr>
              <w:t>eir distress debtor if during the stay the essential supplies are kept in place to ensure that the debtor can continue operating relatively normally for the period of the stay.</w:t>
            </w:r>
          </w:p>
        </w:tc>
        <w:tc>
          <w:tcPr>
            <w:tcW w:w="2692"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This option adds important safeguards to creditors that the stay will not b</w:t>
            </w:r>
            <w:r>
              <w:rPr>
                <w:rFonts w:ascii="Times New Roman" w:eastAsia="Calibri" w:hAnsi="Times New Roman" w:cs="Times New Roman"/>
                <w:noProof/>
                <w:sz w:val="20"/>
                <w:szCs w:val="20"/>
              </w:rPr>
              <w:t>e abused in order to delay formal insolvency procedures and in the meantime to deplete the estate of important assets. As such, this sub-option will reduce more costs for investors first because they will have more predictability across the EU on the lengt</w:t>
            </w:r>
            <w:r>
              <w:rPr>
                <w:rFonts w:ascii="Times New Roman" w:eastAsia="Calibri" w:hAnsi="Times New Roman" w:cs="Times New Roman"/>
                <w:noProof/>
                <w:sz w:val="20"/>
                <w:szCs w:val="20"/>
              </w:rPr>
              <w:t>h of the stay and the conditions for the lifting of the stay.</w:t>
            </w:r>
          </w:p>
        </w:tc>
      </w:tr>
      <w:tr w:rsidR="00B32D69">
        <w:tc>
          <w:tcPr>
            <w:tcW w:w="1417"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i/>
                <w:noProof/>
                <w:sz w:val="20"/>
                <w:szCs w:val="20"/>
              </w:rPr>
            </w:pPr>
            <w:r>
              <w:rPr>
                <w:rFonts w:ascii="Times New Roman" w:eastAsia="Calibri" w:hAnsi="Times New Roman" w:cs="Times New Roman"/>
                <w:i/>
                <w:noProof/>
                <w:sz w:val="20"/>
                <w:szCs w:val="20"/>
              </w:rPr>
              <w:t xml:space="preserve">Effectiveness </w:t>
            </w:r>
          </w:p>
        </w:tc>
        <w:tc>
          <w:tcPr>
            <w:tcW w:w="2435"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Suspension of individual enforcement actions means, first, protection of normal activity of the debtor and preservation of value for the estate and consequently for the </w:t>
            </w:r>
            <w:r>
              <w:rPr>
                <w:rFonts w:ascii="Times New Roman" w:eastAsia="Calibri" w:hAnsi="Times New Roman" w:cs="Times New Roman"/>
                <w:noProof/>
                <w:sz w:val="20"/>
                <w:szCs w:val="20"/>
              </w:rPr>
              <w:t>investors etc. It also ensures an equal situation for all creditors. According to a UK report, a stay on debt collection for viable businesses in distress should enable businesses to restructure more easily and deliver improved business rescue outcomes, it</w:t>
            </w:r>
            <w:r>
              <w:rPr>
                <w:rFonts w:ascii="Times New Roman" w:eastAsia="Calibri" w:hAnsi="Times New Roman" w:cs="Times New Roman"/>
                <w:noProof/>
                <w:sz w:val="20"/>
                <w:szCs w:val="20"/>
              </w:rPr>
              <w:t xml:space="preserve"> is estimated that this will deliver benefit to creditors of between £2m and £60m, with a best estimate of £31m per year</w:t>
            </w:r>
            <w:r>
              <w:rPr>
                <w:rStyle w:val="FootnoteReference"/>
                <w:rFonts w:ascii="Times New Roman" w:eastAsia="Calibri" w:hAnsi="Times New Roman"/>
                <w:noProof/>
                <w:sz w:val="20"/>
                <w:szCs w:val="20"/>
              </w:rPr>
              <w:footnoteReference w:id="171"/>
            </w:r>
            <w:r>
              <w:rPr>
                <w:rFonts w:ascii="Times New Roman" w:eastAsia="Calibri" w:hAnsi="Times New Roman" w:cs="Times New Roman"/>
                <w:noProof/>
                <w:sz w:val="20"/>
                <w:szCs w:val="20"/>
              </w:rPr>
              <w:t>.</w:t>
            </w:r>
          </w:p>
          <w:p w:rsidR="00B32D69" w:rsidRDefault="00B32D69">
            <w:pPr>
              <w:spacing w:before="60" w:after="60" w:line="240" w:lineRule="auto"/>
              <w:rPr>
                <w:rFonts w:ascii="Times New Roman" w:eastAsia="Calibri" w:hAnsi="Times New Roman" w:cs="Times New Roman"/>
                <w:b/>
                <w:noProof/>
                <w:sz w:val="20"/>
                <w:szCs w:val="20"/>
              </w:rPr>
            </w:pPr>
          </w:p>
        </w:tc>
        <w:tc>
          <w:tcPr>
            <w:tcW w:w="266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If during negotiations on a restructuring plan, trade creditors who have the benefit of a clause allowing them to terminate their</w:t>
            </w:r>
            <w:r>
              <w:rPr>
                <w:rFonts w:ascii="Times New Roman" w:eastAsia="Calibri" w:hAnsi="Times New Roman" w:cs="Times New Roman"/>
                <w:noProof/>
                <w:sz w:val="20"/>
                <w:szCs w:val="20"/>
              </w:rPr>
              <w:t xml:space="preserve"> contract unilaterally in the event of the insolvency of the debtor would cease supplying the debtor, the debtor would not be able to continue operating the business. Stay should therefore be extended to the enforcement of early termination clauses. Howeve</w:t>
            </w:r>
            <w:r>
              <w:rPr>
                <w:rFonts w:ascii="Times New Roman" w:eastAsia="Calibri" w:hAnsi="Times New Roman" w:cs="Times New Roman"/>
                <w:noProof/>
                <w:sz w:val="20"/>
                <w:szCs w:val="20"/>
              </w:rPr>
              <w:t>r, as a means of protecting affected suppliers, they should be paid in full during the stay period and such payments be protected from avoidance actions in subsequent insolvency procedures.</w:t>
            </w:r>
          </w:p>
        </w:tc>
        <w:tc>
          <w:tcPr>
            <w:tcW w:w="2692"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A limited, short period of the stay provides an incentive to s</w:t>
            </w:r>
            <w:r>
              <w:rPr>
                <w:rFonts w:ascii="Times New Roman" w:eastAsia="Calibri" w:hAnsi="Times New Roman" w:cs="Times New Roman"/>
                <w:noProof/>
                <w:sz w:val="20"/>
                <w:szCs w:val="20"/>
              </w:rPr>
              <w:t xml:space="preserve">peed up the negotiations between the debtor and his creditors. </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The short stay period will reduce the length of the procedure in Member States where restructuring procedures last too long (e.g. up to 24 months in LU, up to 18 months in FR), to the detrimen</w:t>
            </w:r>
            <w:r>
              <w:rPr>
                <w:rFonts w:ascii="Times New Roman" w:eastAsia="Calibri" w:hAnsi="Times New Roman" w:cs="Times New Roman"/>
                <w:noProof/>
                <w:sz w:val="20"/>
                <w:szCs w:val="20"/>
              </w:rPr>
              <w:t xml:space="preserve">t of creditors. At the same time, where the complexity of the case requires it and where progress in negotiations has been made, Member States could enable the courts to extend the stay period. An absolute cap would however need to put at 12 months, which </w:t>
            </w:r>
            <w:r>
              <w:rPr>
                <w:rFonts w:ascii="Times New Roman" w:eastAsia="Calibri" w:hAnsi="Times New Roman" w:cs="Times New Roman"/>
                <w:noProof/>
                <w:sz w:val="20"/>
                <w:szCs w:val="20"/>
              </w:rPr>
              <w:t>according to experts in the Expert group is the most a restructuring procedure should take.</w:t>
            </w:r>
          </w:p>
        </w:tc>
      </w:tr>
      <w:tr w:rsidR="00B32D69">
        <w:tc>
          <w:tcPr>
            <w:tcW w:w="1417"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i/>
                <w:noProof/>
                <w:sz w:val="20"/>
                <w:szCs w:val="20"/>
              </w:rPr>
            </w:pPr>
            <w:r>
              <w:rPr>
                <w:rFonts w:ascii="Times New Roman" w:eastAsia="Calibri" w:hAnsi="Times New Roman" w:cs="Times New Roman"/>
                <w:i/>
                <w:noProof/>
                <w:sz w:val="20"/>
                <w:szCs w:val="20"/>
              </w:rPr>
              <w:t>Creditors' rights</w:t>
            </w:r>
          </w:p>
        </w:tc>
        <w:tc>
          <w:tcPr>
            <w:tcW w:w="2435"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The stay of enforcement ensures that no creditor can run for the assets of the debtor, disregarding the collective benefit of restructuring the</w:t>
            </w:r>
            <w:r>
              <w:rPr>
                <w:rFonts w:ascii="Times New Roman" w:eastAsia="Calibri" w:hAnsi="Times New Roman" w:cs="Times New Roman"/>
                <w:noProof/>
                <w:color w:val="000000"/>
                <w:sz w:val="20"/>
                <w:szCs w:val="20"/>
              </w:rPr>
              <w:t xml:space="preserve"> debtor's business. However, a stay should not create unfair prejudice to any creditor. Where the stay would create such unfair prejudice, even in respect of one single creditor, the courts should refuse to grant it.</w:t>
            </w:r>
          </w:p>
        </w:tc>
        <w:tc>
          <w:tcPr>
            <w:tcW w:w="266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color w:val="000000"/>
                <w:sz w:val="20"/>
                <w:szCs w:val="20"/>
              </w:rPr>
              <w:t>A stay which at the same time improv</w:t>
            </w:r>
            <w:r>
              <w:rPr>
                <w:rFonts w:ascii="Times New Roman" w:eastAsia="Calibri" w:hAnsi="Times New Roman" w:cs="Times New Roman"/>
                <w:noProof/>
                <w:color w:val="000000"/>
                <w:sz w:val="20"/>
                <w:szCs w:val="20"/>
              </w:rPr>
              <w:t xml:space="preserve">es the chances of the debtor to continue operating during negotiations increases the likelihood of viable businesses being saved and thus improves the likely returns to the body of creditors. </w:t>
            </w:r>
          </w:p>
        </w:tc>
        <w:tc>
          <w:tcPr>
            <w:tcW w:w="2692"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color w:val="000000"/>
                <w:sz w:val="20"/>
                <w:szCs w:val="20"/>
              </w:rPr>
              <w:t>A</w:t>
            </w:r>
            <w:r>
              <w:rPr>
                <w:rFonts w:ascii="Times New Roman" w:eastAsia="Calibri" w:hAnsi="Times New Roman" w:cs="Times New Roman"/>
                <w:noProof/>
                <w:sz w:val="20"/>
                <w:szCs w:val="20"/>
              </w:rPr>
              <w:t xml:space="preserve"> short stay which could also be lifted on request by credi</w:t>
            </w:r>
            <w:r>
              <w:rPr>
                <w:rFonts w:ascii="Times New Roman" w:eastAsia="Calibri" w:hAnsi="Times New Roman" w:cs="Times New Roman"/>
                <w:noProof/>
                <w:sz w:val="20"/>
                <w:szCs w:val="20"/>
              </w:rPr>
              <w:t>tors under certain conditions is likely to mitigate further possible damaging impacts under Sub-option 2.</w:t>
            </w:r>
            <w:r>
              <w:rPr>
                <w:rFonts w:ascii="Times New Roman" w:eastAsia="Calibri" w:hAnsi="Times New Roman" w:cs="Times New Roman"/>
                <w:noProof/>
                <w:color w:val="000000"/>
                <w:sz w:val="20"/>
                <w:szCs w:val="20"/>
              </w:rPr>
              <w:t xml:space="preserve"> </w:t>
            </w:r>
          </w:p>
          <w:p w:rsidR="00B32D69" w:rsidRDefault="00B32D69">
            <w:pPr>
              <w:spacing w:before="60" w:after="60" w:line="240" w:lineRule="auto"/>
              <w:rPr>
                <w:rFonts w:ascii="Times New Roman" w:eastAsia="Calibri" w:hAnsi="Times New Roman" w:cs="Times New Roman"/>
                <w:b/>
                <w:noProof/>
                <w:sz w:val="20"/>
                <w:szCs w:val="20"/>
              </w:rPr>
            </w:pPr>
          </w:p>
        </w:tc>
      </w:tr>
      <w:tr w:rsidR="00B32D69">
        <w:tc>
          <w:tcPr>
            <w:tcW w:w="1417"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i/>
                <w:noProof/>
                <w:sz w:val="20"/>
                <w:szCs w:val="20"/>
              </w:rPr>
            </w:pPr>
            <w:r>
              <w:rPr>
                <w:rFonts w:ascii="Times New Roman" w:eastAsia="Calibri" w:hAnsi="Times New Roman" w:cs="Times New Roman"/>
                <w:i/>
                <w:noProof/>
                <w:sz w:val="20"/>
                <w:szCs w:val="20"/>
              </w:rPr>
              <w:t>Judicial authorities</w:t>
            </w:r>
          </w:p>
        </w:tc>
        <w:tc>
          <w:tcPr>
            <w:tcW w:w="2435"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0 </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A stay is always granted by a judicial authority, whether in a specific decision or as part of a decision to open </w:t>
            </w:r>
            <w:r>
              <w:rPr>
                <w:rFonts w:ascii="Times New Roman" w:eastAsia="Calibri" w:hAnsi="Times New Roman" w:cs="Times New Roman"/>
                <w:noProof/>
                <w:color w:val="000000"/>
                <w:sz w:val="20"/>
                <w:szCs w:val="20"/>
              </w:rPr>
              <w:t>restructuring procedures.</w:t>
            </w:r>
          </w:p>
        </w:tc>
        <w:tc>
          <w:tcPr>
            <w:tcW w:w="266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May require courts to assess what are essential suppliers; may cause some additional litigation.</w:t>
            </w:r>
          </w:p>
        </w:tc>
        <w:tc>
          <w:tcPr>
            <w:tcW w:w="2692"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color w:val="000000"/>
                <w:sz w:val="20"/>
                <w:szCs w:val="20"/>
              </w:rPr>
              <w:t xml:space="preserve">Slightly more negative if the possibility to lift the stay results in additional litigation. </w:t>
            </w:r>
          </w:p>
        </w:tc>
      </w:tr>
      <w:tr w:rsidR="00B32D69">
        <w:tc>
          <w:tcPr>
            <w:tcW w:w="1417"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i/>
                <w:noProof/>
                <w:sz w:val="20"/>
                <w:szCs w:val="20"/>
              </w:rPr>
            </w:pPr>
            <w:r>
              <w:rPr>
                <w:rFonts w:ascii="Times New Roman" w:eastAsia="Calibri" w:hAnsi="Times New Roman" w:cs="Times New Roman"/>
                <w:i/>
                <w:noProof/>
                <w:sz w:val="20"/>
                <w:szCs w:val="20"/>
              </w:rPr>
              <w:t xml:space="preserve">Legal systems of Member States </w:t>
            </w:r>
          </w:p>
        </w:tc>
        <w:tc>
          <w:tcPr>
            <w:tcW w:w="2435"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The concept of a stay is almost universally recognised in MS which have preventive procedures (AT is an exception). The suspension of the obligation to file for insolvency may be more controversial in some MS (e.g. DE). As explained above, to balance the</w:t>
            </w:r>
            <w:r>
              <w:rPr>
                <w:rFonts w:ascii="Times New Roman" w:eastAsia="Calibri" w:hAnsi="Times New Roman" w:cs="Times New Roman"/>
                <w:noProof/>
                <w:sz w:val="20"/>
                <w:szCs w:val="20"/>
              </w:rPr>
              <w:t xml:space="preserve"> interests of effective restructuring with those of preservation of the insolvency estate for the good of creditors, a court could be called on to decide if the illiquid (not over-indebted) debtor should continue the restructuring process or should enter f</w:t>
            </w:r>
            <w:r>
              <w:rPr>
                <w:rFonts w:ascii="Times New Roman" w:eastAsia="Calibri" w:hAnsi="Times New Roman" w:cs="Times New Roman"/>
                <w:noProof/>
                <w:sz w:val="20"/>
                <w:szCs w:val="20"/>
              </w:rPr>
              <w:t xml:space="preserve">ormal insolvency procedures. </w:t>
            </w:r>
          </w:p>
        </w:tc>
        <w:tc>
          <w:tcPr>
            <w:tcW w:w="266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w:t>
            </w:r>
          </w:p>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In several MS it is not yet possible to prevent contracts being terminated during restructuring negotiations (e.g. the UK is now considering a reform which would make this possible).</w:t>
            </w:r>
          </w:p>
        </w:tc>
        <w:tc>
          <w:tcPr>
            <w:tcW w:w="2692"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 - </w:t>
            </w:r>
          </w:p>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color w:val="000000"/>
                <w:sz w:val="20"/>
                <w:szCs w:val="20"/>
              </w:rPr>
              <w:t>This may require changes in severa</w:t>
            </w:r>
            <w:r>
              <w:rPr>
                <w:rFonts w:ascii="Times New Roman" w:eastAsia="Calibri" w:hAnsi="Times New Roman" w:cs="Times New Roman"/>
                <w:noProof/>
                <w:color w:val="000000"/>
                <w:sz w:val="20"/>
                <w:szCs w:val="20"/>
              </w:rPr>
              <w:t>l Member States, either because the stay periods are currently not limited in time (in FI for example they last for as long as necessary) or because the time limits are currently too long (e.g. 24 months in LU).</w:t>
            </w:r>
          </w:p>
        </w:tc>
      </w:tr>
      <w:tr w:rsidR="00B32D69">
        <w:tc>
          <w:tcPr>
            <w:tcW w:w="1417"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i/>
                <w:noProof/>
                <w:sz w:val="20"/>
                <w:szCs w:val="20"/>
              </w:rPr>
            </w:pPr>
            <w:r>
              <w:rPr>
                <w:rFonts w:ascii="Times New Roman" w:eastAsia="Calibri" w:hAnsi="Times New Roman" w:cs="Times New Roman"/>
                <w:i/>
                <w:noProof/>
                <w:sz w:val="20"/>
                <w:szCs w:val="20"/>
              </w:rPr>
              <w:t>Fundamental rights</w:t>
            </w:r>
          </w:p>
        </w:tc>
        <w:tc>
          <w:tcPr>
            <w:tcW w:w="2435"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Without appropriate sa</w:t>
            </w:r>
            <w:r>
              <w:rPr>
                <w:rFonts w:ascii="Times New Roman" w:eastAsia="Calibri" w:hAnsi="Times New Roman" w:cs="Times New Roman"/>
                <w:noProof/>
                <w:sz w:val="20"/>
                <w:szCs w:val="20"/>
              </w:rPr>
              <w:t xml:space="preserve">feguards this option could unfairly prejudice the creditors' property rights. This risk should be mitigated by the fact that the stay should not be granted or extended if such unfair prejudice exists. </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The right to a fair trial may be affected since the cr</w:t>
            </w:r>
            <w:r>
              <w:rPr>
                <w:rFonts w:ascii="Times New Roman" w:eastAsia="Calibri" w:hAnsi="Times New Roman" w:cs="Times New Roman"/>
                <w:noProof/>
                <w:sz w:val="20"/>
                <w:szCs w:val="20"/>
              </w:rPr>
              <w:t>editors are not able to object to the stay in an oral hearing.</w:t>
            </w:r>
          </w:p>
        </w:tc>
        <w:tc>
          <w:tcPr>
            <w:tcW w:w="266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Without appropriate safeguards this option could unfairly prejudice the creditors' property rights if for example they would not be able to terminate contracts early. To mitigate this risk, s</w:t>
            </w:r>
            <w:r>
              <w:rPr>
                <w:rFonts w:ascii="Times New Roman" w:eastAsia="Calibri" w:hAnsi="Times New Roman" w:cs="Times New Roman"/>
                <w:noProof/>
                <w:sz w:val="20"/>
                <w:szCs w:val="20"/>
              </w:rPr>
              <w:t>uch effects could be limited to essential contracts which are needed to ensure the continuation of the debtor's activity.</w:t>
            </w:r>
          </w:p>
        </w:tc>
        <w:tc>
          <w:tcPr>
            <w:tcW w:w="2692"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This option balances the creditors' property rights and the societal interest in saving a viable business in financial difficulties,</w:t>
            </w:r>
            <w:r>
              <w:rPr>
                <w:rFonts w:ascii="Times New Roman" w:eastAsia="Calibri" w:hAnsi="Times New Roman" w:cs="Times New Roman"/>
                <w:noProof/>
                <w:color w:val="000000"/>
                <w:sz w:val="20"/>
                <w:szCs w:val="20"/>
              </w:rPr>
              <w:t xml:space="preserve"> because it provides adequate protection also in the form of a short period of stay, of prolongation of the stay period only when necessary to ensure the adoption of a successful restructuring plan and the possibility to ask for the stay to be lifted at an</w:t>
            </w:r>
            <w:r>
              <w:rPr>
                <w:rFonts w:ascii="Times New Roman" w:eastAsia="Calibri" w:hAnsi="Times New Roman" w:cs="Times New Roman"/>
                <w:noProof/>
                <w:color w:val="000000"/>
                <w:sz w:val="20"/>
                <w:szCs w:val="20"/>
              </w:rPr>
              <w:t>y time when it no longer fulfils its objective.</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The right to a fair trial would be justified in the light of the objectives of the stay and the fact that it is granted for a short period of time. </w:t>
            </w:r>
          </w:p>
        </w:tc>
      </w:tr>
    </w:tbl>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u w:val="single"/>
        </w:rPr>
        <w:t>Summary assessment of the preferred sub-option:</w:t>
      </w:r>
      <w:r>
        <w:rPr>
          <w:rFonts w:ascii="Times New Roman" w:eastAsia="Calibri" w:hAnsi="Times New Roman" w:cs="Times New Roman"/>
          <w:b/>
          <w:noProof/>
          <w:sz w:val="24"/>
          <w:szCs w:val="24"/>
        </w:rPr>
        <w:t xml:space="preserve"> </w:t>
      </w:r>
      <w:r>
        <w:rPr>
          <w:rFonts w:ascii="Times New Roman" w:eastAsia="Calibri" w:hAnsi="Times New Roman" w:cs="Times New Roman"/>
          <w:i/>
          <w:noProof/>
          <w:sz w:val="24"/>
          <w:szCs w:val="24"/>
        </w:rPr>
        <w:t>Sub-option</w:t>
      </w:r>
      <w:r>
        <w:rPr>
          <w:rFonts w:ascii="Times New Roman" w:eastAsia="Calibri" w:hAnsi="Times New Roman" w:cs="Times New Roman"/>
          <w:i/>
          <w:noProof/>
          <w:sz w:val="24"/>
          <w:szCs w:val="24"/>
        </w:rPr>
        <w:t xml:space="preserve"> 3</w:t>
      </w:r>
      <w:r>
        <w:rPr>
          <w:rFonts w:ascii="Times New Roman" w:eastAsia="Calibri" w:hAnsi="Times New Roman" w:cs="Times New Roman"/>
          <w:noProof/>
          <w:sz w:val="24"/>
          <w:szCs w:val="24"/>
        </w:rPr>
        <w:t xml:space="preserve"> is the preferred sub-option since it balances the interests of all parties and does not have detrimental effects on the availability and cost of credit while also supporting the continuation of the debtor's business. Certain downside risks have been ide</w:t>
      </w:r>
      <w:r>
        <w:rPr>
          <w:rFonts w:ascii="Times New Roman" w:eastAsia="Calibri" w:hAnsi="Times New Roman" w:cs="Times New Roman"/>
          <w:noProof/>
          <w:sz w:val="24"/>
          <w:szCs w:val="24"/>
        </w:rPr>
        <w:t>ntified and addressed by the preferred sub-option. First, there is a risk that the stay will not fulfil its purpose of supporting negotiations but rather be misused to delay the initiation of insolvency procedures, thus leading to further devaluation of th</w:t>
      </w:r>
      <w:r>
        <w:rPr>
          <w:rFonts w:ascii="Times New Roman" w:eastAsia="Calibri" w:hAnsi="Times New Roman" w:cs="Times New Roman"/>
          <w:noProof/>
          <w:sz w:val="24"/>
          <w:szCs w:val="24"/>
        </w:rPr>
        <w:t xml:space="preserve">e business. This potential risk is addressed by the short stay period, the possibility of lifting it at the request of creditors and the conditions which need to be fulfilled for its potential extensions. Second, there is a risk that the right to property </w:t>
      </w:r>
      <w:r>
        <w:rPr>
          <w:rFonts w:ascii="Times New Roman" w:eastAsia="Calibri" w:hAnsi="Times New Roman" w:cs="Times New Roman"/>
          <w:noProof/>
          <w:sz w:val="24"/>
          <w:szCs w:val="24"/>
        </w:rPr>
        <w:t xml:space="preserve">or the right to a fair trial may be negatively affected. Several safeguards will need to be put in place to ensure that </w:t>
      </w:r>
      <w:r>
        <w:rPr>
          <w:rFonts w:ascii="Times New Roman" w:eastAsia="Calibri" w:hAnsi="Times New Roman" w:cs="Times New Roman"/>
          <w:b/>
          <w:noProof/>
          <w:sz w:val="24"/>
          <w:szCs w:val="24"/>
        </w:rPr>
        <w:t>fundamental rights</w:t>
      </w:r>
      <w:r>
        <w:rPr>
          <w:rFonts w:ascii="Times New Roman" w:eastAsia="Calibri" w:hAnsi="Times New Roman" w:cs="Times New Roman"/>
          <w:noProof/>
          <w:sz w:val="24"/>
          <w:szCs w:val="24"/>
        </w:rPr>
        <w:t xml:space="preserve"> are not affected (stay cannot be grated or extended and it can be lifted where creditors are unfairly prejudiced, cou</w:t>
      </w:r>
      <w:r>
        <w:rPr>
          <w:rFonts w:ascii="Times New Roman" w:eastAsia="Calibri" w:hAnsi="Times New Roman" w:cs="Times New Roman"/>
          <w:noProof/>
          <w:sz w:val="24"/>
          <w:szCs w:val="24"/>
        </w:rPr>
        <w:t xml:space="preserve">rt oversight when an extension of the stay is sought etc.). Third, in terms of </w:t>
      </w:r>
      <w:r>
        <w:rPr>
          <w:rFonts w:ascii="Times New Roman" w:eastAsia="Calibri" w:hAnsi="Times New Roman" w:cs="Times New Roman"/>
          <w:b/>
          <w:noProof/>
          <w:sz w:val="24"/>
          <w:szCs w:val="24"/>
        </w:rPr>
        <w:t>social impacts</w:t>
      </w:r>
      <w:r>
        <w:rPr>
          <w:rFonts w:ascii="Times New Roman" w:eastAsia="Calibri" w:hAnsi="Times New Roman" w:cs="Times New Roman"/>
          <w:noProof/>
          <w:sz w:val="24"/>
          <w:szCs w:val="24"/>
        </w:rPr>
        <w:t>, workers could be negatively affected if the stay of enforcement would suspend their possibility to recoup salaries and if the Member States have not provided for</w:t>
      </w:r>
      <w:r>
        <w:rPr>
          <w:rFonts w:ascii="Times New Roman" w:eastAsia="Calibri" w:hAnsi="Times New Roman" w:cs="Times New Roman"/>
          <w:noProof/>
          <w:sz w:val="24"/>
          <w:szCs w:val="24"/>
        </w:rPr>
        <w:t xml:space="preserve"> the means to ensure the payment of workers 'salaries (eg. by extending the coverage of insolvency guarantee funds also to preventive procedures). Member States would therefore need to make available safeguards to adequately protect the payment of salaries</w:t>
      </w:r>
      <w:r>
        <w:rPr>
          <w:rFonts w:ascii="Times New Roman" w:eastAsia="Calibri" w:hAnsi="Times New Roman" w:cs="Times New Roman"/>
          <w:noProof/>
          <w:sz w:val="24"/>
          <w:szCs w:val="24"/>
        </w:rPr>
        <w:t xml:space="preserve"> for the period of the stay.</w:t>
      </w:r>
    </w:p>
    <w:p w:rsidR="00B32D69" w:rsidRDefault="00FB661A">
      <w:pPr>
        <w:spacing w:before="240" w:after="240" w:line="240" w:lineRule="auto"/>
        <w:jc w:val="both"/>
        <w:rPr>
          <w:rFonts w:ascii="Times New Roman" w:hAnsi="Times New Roman" w:cs="Times New Roman"/>
          <w:noProof/>
          <w:sz w:val="24"/>
          <w:szCs w:val="24"/>
          <w:lang w:val="en-US"/>
        </w:rPr>
      </w:pPr>
      <w:r>
        <w:rPr>
          <w:rFonts w:ascii="Times New Roman" w:eastAsia="Calibri" w:hAnsi="Times New Roman" w:cs="Times New Roman"/>
          <w:noProof/>
          <w:sz w:val="24"/>
          <w:szCs w:val="24"/>
        </w:rPr>
        <w:t>A</w:t>
      </w:r>
      <w:r>
        <w:rPr>
          <w:rFonts w:ascii="Times New Roman" w:hAnsi="Times New Roman" w:cs="Times New Roman"/>
          <w:noProof/>
          <w:sz w:val="24"/>
          <w:szCs w:val="24"/>
          <w:lang w:val="en-US"/>
        </w:rPr>
        <w:t xml:space="preserve"> tendency in Member States which have a stay is to have shorter stays up to three or four months as a consequence of their reforms in past decades. Longer stays are becoming more and more an exception. Moreover a number of saf</w:t>
      </w:r>
      <w:r>
        <w:rPr>
          <w:rFonts w:ascii="Times New Roman" w:hAnsi="Times New Roman" w:cs="Times New Roman"/>
          <w:noProof/>
          <w:sz w:val="24"/>
          <w:szCs w:val="24"/>
          <w:lang w:val="en-US"/>
        </w:rPr>
        <w:t xml:space="preserve">eguards to prevent that the exemption situation (1 year) turns into the majority practice would need to be in place, such as: the extensions of the 4 month period can be granted by the court only, it can be granted only on the basis of a justified request </w:t>
      </w:r>
      <w:r>
        <w:rPr>
          <w:rFonts w:ascii="Times New Roman" w:hAnsi="Times New Roman" w:cs="Times New Roman"/>
          <w:noProof/>
          <w:sz w:val="24"/>
          <w:szCs w:val="24"/>
          <w:lang w:val="en-US"/>
        </w:rPr>
        <w:t>and is conditional upon evidence of progress in the negotiations.</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the public consultation, the majority of stakeholders agreed that a stay of individual enforcement actions should be available in preventive procedures. The vast majority were in favour o</w:t>
      </w:r>
      <w:r>
        <w:rPr>
          <w:rFonts w:ascii="Times New Roman" w:eastAsia="Calibri" w:hAnsi="Times New Roman" w:cs="Times New Roman"/>
          <w:noProof/>
          <w:sz w:val="24"/>
          <w:szCs w:val="24"/>
        </w:rPr>
        <w:t>f limited stay periods with a possibility of renewal in certain circumstances, or of any time limit set by the court. Particularly, in the public consultation and the dedicated meetings with the stakeholders, businesses and business support organisations w</w:t>
      </w:r>
      <w:r>
        <w:rPr>
          <w:rFonts w:ascii="Times New Roman" w:eastAsia="Calibri" w:hAnsi="Times New Roman" w:cs="Times New Roman"/>
          <w:noProof/>
          <w:sz w:val="24"/>
          <w:szCs w:val="24"/>
        </w:rPr>
        <w:t>ere in favour of a short limited stay (2-3 months) for individual enforcement actions, while some of them (UEAPME) underlined that a stay should be granted for a period set by the court.</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Financial institutions were of the view that a short stay (2-3 months</w:t>
      </w:r>
      <w:r>
        <w:rPr>
          <w:rFonts w:ascii="Times New Roman" w:eastAsia="Calibri" w:hAnsi="Times New Roman" w:cs="Times New Roman"/>
          <w:noProof/>
          <w:sz w:val="24"/>
          <w:szCs w:val="24"/>
        </w:rPr>
        <w:t>) should not be automatically pronounced by the court, but only ordered in specific situations, with the possibility to be lifted at the request of the creditors.</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Legal and insolvency practitioners were in favour of a short stay of 3-4 months with the poss</w:t>
      </w:r>
      <w:r>
        <w:rPr>
          <w:rFonts w:ascii="Times New Roman" w:eastAsia="Calibri" w:hAnsi="Times New Roman" w:cs="Times New Roman"/>
          <w:noProof/>
          <w:sz w:val="24"/>
          <w:szCs w:val="24"/>
        </w:rPr>
        <w:t xml:space="preserve">ibility of renewal under certain circumstances and be lifted by the creditors. Some of them (INSOL Europe) underlined that where creditors are stayed from enforcing their rights it is advisable to institute effective supervision. </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Trade Unions underlined t</w:t>
      </w:r>
      <w:r>
        <w:rPr>
          <w:rFonts w:ascii="Times New Roman" w:eastAsia="Calibri" w:hAnsi="Times New Roman" w:cs="Times New Roman"/>
          <w:noProof/>
          <w:sz w:val="24"/>
          <w:szCs w:val="24"/>
        </w:rPr>
        <w:t xml:space="preserve">hat workers should not be treated worse in preventive restructuring scenarios than in case of insolvency proceedings. </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Member States in general supported a short stay (4 months) with the possibility of its prolongation under certain circumstances, while di</w:t>
      </w:r>
      <w:r>
        <w:rPr>
          <w:rFonts w:ascii="Times New Roman" w:eastAsia="Calibri" w:hAnsi="Times New Roman" w:cs="Times New Roman"/>
          <w:noProof/>
          <w:sz w:val="24"/>
          <w:szCs w:val="24"/>
        </w:rPr>
        <w:t xml:space="preserve">verse views were expressed as to the maximum period envisaged. Some Member States (FI, SE) were in favour of a general stay, while others (NL) supported only a stay on individual enforcement actions. Most of the Member States (PL, PT, ES, SE, IT, AT) were </w:t>
      </w:r>
      <w:r>
        <w:rPr>
          <w:rFonts w:ascii="Times New Roman" w:eastAsia="Calibri" w:hAnsi="Times New Roman" w:cs="Times New Roman"/>
          <w:noProof/>
          <w:sz w:val="24"/>
          <w:szCs w:val="24"/>
        </w:rPr>
        <w:t xml:space="preserve">in favour of an automatic stay (which can be ordered without the obligation for the debtor to prove chances of success of the restructuring), but with the possibility to be lifted by the creditors. </w:t>
      </w:r>
    </w:p>
    <w:p w:rsidR="00B32D69" w:rsidRDefault="00FB661A">
      <w:pPr>
        <w:keepNext/>
        <w:spacing w:before="120" w:after="120" w:line="240" w:lineRule="auto"/>
        <w:jc w:val="both"/>
        <w:outlineLvl w:val="1"/>
        <w:rPr>
          <w:rFonts w:ascii="Times New Roman" w:eastAsia="Calibri" w:hAnsi="Times New Roman" w:cs="Times New Roman"/>
          <w:b/>
          <w:bCs/>
          <w:iCs/>
          <w:noProof/>
          <w:sz w:val="24"/>
          <w:szCs w:val="28"/>
        </w:rPr>
      </w:pPr>
      <w:bookmarkStart w:id="42" w:name="_Toc459390473"/>
      <w:bookmarkStart w:id="43" w:name="_Toc378078041"/>
      <w:bookmarkStart w:id="44" w:name="_Toc466452976"/>
      <w:r>
        <w:rPr>
          <w:rFonts w:ascii="Times New Roman" w:eastAsia="Calibri" w:hAnsi="Times New Roman" w:cs="Times New Roman"/>
          <w:b/>
          <w:bCs/>
          <w:iCs/>
          <w:noProof/>
          <w:sz w:val="24"/>
          <w:szCs w:val="28"/>
        </w:rPr>
        <w:t>5.3. Debtor in possession</w:t>
      </w:r>
      <w:bookmarkEnd w:id="42"/>
      <w:bookmarkEnd w:id="43"/>
      <w:bookmarkEnd w:id="44"/>
      <w:r>
        <w:rPr>
          <w:rFonts w:ascii="Times New Roman" w:eastAsia="Calibri" w:hAnsi="Times New Roman" w:cs="Times New Roman"/>
          <w:b/>
          <w:bCs/>
          <w:iCs/>
          <w:noProof/>
          <w:sz w:val="24"/>
          <w:szCs w:val="28"/>
        </w:rPr>
        <w:t xml:space="preserve"> </w:t>
      </w:r>
    </w:p>
    <w:p w:rsidR="00B32D69" w:rsidRDefault="00FB661A">
      <w:pPr>
        <w:spacing w:before="240" w:after="24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t xml:space="preserve">5.3.1. Description of </w:t>
      </w:r>
      <w:r>
        <w:rPr>
          <w:rFonts w:ascii="Times New Roman" w:eastAsia="Calibri" w:hAnsi="Times New Roman" w:cs="Times New Roman"/>
          <w:i/>
          <w:noProof/>
          <w:sz w:val="24"/>
          <w:szCs w:val="24"/>
        </w:rPr>
        <w:t>sub-options</w:t>
      </w:r>
    </w:p>
    <w:p w:rsidR="00B32D69" w:rsidRDefault="00FB661A">
      <w:pPr>
        <w:spacing w:before="120" w:after="24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i/>
          <w:noProof/>
          <w:color w:val="000000"/>
          <w:sz w:val="24"/>
          <w:szCs w:val="24"/>
          <w:u w:val="single"/>
        </w:rPr>
        <w:t>Sub-option 1</w:t>
      </w:r>
      <w:r>
        <w:rPr>
          <w:rFonts w:ascii="Times New Roman" w:eastAsia="Calibri" w:hAnsi="Times New Roman" w:cs="Times New Roman"/>
          <w:noProof/>
          <w:color w:val="000000"/>
          <w:sz w:val="24"/>
          <w:szCs w:val="24"/>
          <w:u w:val="single"/>
        </w:rPr>
        <w:t>:</w:t>
      </w:r>
      <w:r>
        <w:rPr>
          <w:rFonts w:ascii="Times New Roman" w:eastAsia="Calibri" w:hAnsi="Times New Roman" w:cs="Times New Roman"/>
          <w:noProof/>
          <w:color w:val="000000"/>
          <w:sz w:val="24"/>
          <w:szCs w:val="24"/>
        </w:rPr>
        <w:t xml:space="preserve"> An obligation to appoint in court a professional insolvency practitioner in all cases may increase the costs which can make the procedures prohibitive for SMEs. However, in certain circumstances a mediator is necessary to broker a</w:t>
      </w:r>
      <w:r>
        <w:rPr>
          <w:rFonts w:ascii="Times New Roman" w:eastAsia="Calibri" w:hAnsi="Times New Roman" w:cs="Times New Roman"/>
          <w:noProof/>
          <w:color w:val="000000"/>
          <w:sz w:val="24"/>
          <w:szCs w:val="24"/>
        </w:rPr>
        <w:t xml:space="preserve"> deal with the creditors, especially in cases of companies with few financial creditors, sometimes one bank, and a few main clients. In other cases (for example where transactions out of the ordinary course of business need to be concluded during this peri</w:t>
      </w:r>
      <w:r>
        <w:rPr>
          <w:rFonts w:ascii="Times New Roman" w:eastAsia="Calibri" w:hAnsi="Times New Roman" w:cs="Times New Roman"/>
          <w:noProof/>
          <w:color w:val="000000"/>
          <w:sz w:val="24"/>
          <w:szCs w:val="24"/>
        </w:rPr>
        <w:t xml:space="preserve">od), the debtor would need to be supervised if he is to benefit from protection from avoidance actions later on. </w:t>
      </w:r>
    </w:p>
    <w:p w:rsidR="00B32D69" w:rsidRDefault="00FB661A">
      <w:pPr>
        <w:spacing w:before="120" w:after="24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i/>
          <w:noProof/>
          <w:color w:val="000000"/>
          <w:sz w:val="24"/>
          <w:szCs w:val="24"/>
          <w:u w:val="single"/>
        </w:rPr>
        <w:t>Sub-option 2</w:t>
      </w:r>
      <w:r>
        <w:rPr>
          <w:rFonts w:ascii="Times New Roman" w:eastAsia="Calibri" w:hAnsi="Times New Roman" w:cs="Times New Roman"/>
          <w:noProof/>
          <w:color w:val="000000"/>
          <w:sz w:val="24"/>
          <w:szCs w:val="24"/>
          <w:u w:val="single"/>
        </w:rPr>
        <w:t>:</w:t>
      </w:r>
      <w:r>
        <w:rPr>
          <w:rFonts w:ascii="Times New Roman" w:eastAsia="Calibri" w:hAnsi="Times New Roman" w:cs="Times New Roman"/>
          <w:noProof/>
          <w:color w:val="000000"/>
          <w:sz w:val="24"/>
          <w:szCs w:val="24"/>
        </w:rPr>
        <w:t xml:space="preserve"> Having a mediator and/or supervisor appointed in every case may enhance the trust in the procedure but it would also raise costs.</w:t>
      </w:r>
    </w:p>
    <w:p w:rsidR="00B32D69" w:rsidRDefault="00FB661A">
      <w:pPr>
        <w:jc w:val="both"/>
        <w:rPr>
          <w:rFonts w:ascii="Times New Roman" w:eastAsia="Calibri" w:hAnsi="Times New Roman" w:cs="Times New Roman"/>
          <w:noProof/>
          <w:color w:val="000000"/>
          <w:sz w:val="24"/>
          <w:szCs w:val="24"/>
        </w:rPr>
      </w:pPr>
      <w:r>
        <w:rPr>
          <w:rFonts w:ascii="Times New Roman" w:eastAsia="Calibri" w:hAnsi="Times New Roman" w:cs="Times New Roman"/>
          <w:i/>
          <w:noProof/>
          <w:sz w:val="24"/>
          <w:szCs w:val="24"/>
        </w:rPr>
        <w:t>5.3.2. Assessment of impact of the sub-options and preferred sub-option</w:t>
      </w:r>
      <w:r>
        <w:rPr>
          <w:rFonts w:ascii="Times New Roman" w:eastAsia="Calibri" w:hAnsi="Times New Roman" w:cs="Times New Roman"/>
          <w:noProof/>
          <w:color w:val="000000"/>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3671"/>
        <w:gridCol w:w="3671"/>
      </w:tblGrid>
      <w:tr w:rsidR="00B32D69">
        <w:trPr>
          <w:trHeight w:val="247"/>
        </w:trPr>
        <w:tc>
          <w:tcPr>
            <w:tcW w:w="1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line="240" w:lineRule="auto"/>
              <w:jc w:val="center"/>
              <w:rPr>
                <w:rFonts w:ascii="Times New Roman" w:hAnsi="Times New Roman" w:cs="Times New Roman"/>
                <w:b/>
                <w:noProof/>
              </w:rPr>
            </w:pPr>
            <w:r>
              <w:rPr>
                <w:rFonts w:ascii="Times New Roman" w:hAnsi="Times New Roman" w:cs="Times New Roman"/>
                <w:b/>
                <w:noProof/>
              </w:rPr>
              <w:t>Sub-options</w:t>
            </w:r>
          </w:p>
        </w:tc>
        <w:tc>
          <w:tcPr>
            <w:tcW w:w="3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jc w:val="center"/>
              <w:rPr>
                <w:rFonts w:ascii="Times New Roman" w:eastAsia="Calibri" w:hAnsi="Times New Roman" w:cs="Times New Roman"/>
                <w:noProof/>
                <w:color w:val="000000"/>
                <w:sz w:val="20"/>
                <w:szCs w:val="20"/>
              </w:rPr>
            </w:pPr>
            <w:r>
              <w:rPr>
                <w:rFonts w:ascii="Times New Roman" w:eastAsia="Calibri" w:hAnsi="Times New Roman" w:cs="Times New Roman"/>
                <w:b/>
                <w:noProof/>
                <w:color w:val="000000"/>
                <w:sz w:val="20"/>
                <w:szCs w:val="20"/>
              </w:rPr>
              <w:t>Sub-option 1</w:t>
            </w:r>
          </w:p>
        </w:tc>
        <w:tc>
          <w:tcPr>
            <w:tcW w:w="36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jc w:val="center"/>
              <w:rPr>
                <w:rFonts w:ascii="Times New Roman" w:eastAsia="Calibri" w:hAnsi="Times New Roman" w:cs="Times New Roman"/>
                <w:noProof/>
                <w:color w:val="000000"/>
                <w:sz w:val="20"/>
                <w:szCs w:val="20"/>
              </w:rPr>
            </w:pPr>
            <w:r>
              <w:rPr>
                <w:rFonts w:ascii="Times New Roman" w:eastAsia="Calibri" w:hAnsi="Times New Roman" w:cs="Times New Roman"/>
                <w:b/>
                <w:noProof/>
                <w:sz w:val="20"/>
                <w:szCs w:val="20"/>
              </w:rPr>
              <w:t>Sub-option 2</w:t>
            </w:r>
          </w:p>
        </w:tc>
      </w:tr>
      <w:tr w:rsidR="00B32D69">
        <w:trPr>
          <w:trHeight w:val="859"/>
        </w:trPr>
        <w:tc>
          <w:tcPr>
            <w:tcW w:w="1730"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hAnsi="Times New Roman" w:cs="Times New Roman"/>
                <w:i/>
                <w:noProof/>
                <w:sz w:val="20"/>
                <w:szCs w:val="20"/>
              </w:rPr>
            </w:pPr>
            <w:r>
              <w:rPr>
                <w:rFonts w:ascii="Times New Roman" w:hAnsi="Times New Roman" w:cs="Times New Roman"/>
                <w:i/>
                <w:noProof/>
                <w:sz w:val="20"/>
                <w:szCs w:val="20"/>
              </w:rPr>
              <w:t xml:space="preserve">Sub-option </w:t>
            </w:r>
            <w:r>
              <w:rPr>
                <w:rFonts w:ascii="Times New Roman" w:hAnsi="Times New Roman" w:cs="Times New Roman"/>
                <w:i/>
                <w:noProof/>
                <w:sz w:val="20"/>
                <w:szCs w:val="20"/>
              </w:rPr>
              <w:t>summary</w:t>
            </w:r>
          </w:p>
        </w:tc>
        <w:tc>
          <w:tcPr>
            <w:tcW w:w="3671"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color w:val="000000"/>
                <w:sz w:val="20"/>
                <w:szCs w:val="20"/>
              </w:rPr>
            </w:pPr>
            <w:r>
              <w:rPr>
                <w:rFonts w:ascii="Times New Roman" w:eastAsia="Calibri" w:hAnsi="Times New Roman" w:cs="Times New Roman"/>
                <w:noProof/>
                <w:color w:val="000000"/>
                <w:sz w:val="20"/>
                <w:szCs w:val="20"/>
              </w:rPr>
              <w:t xml:space="preserve">Courts may appoint, on request by the debtor, the creditors or any interested party (e.g. a regulator) a mediator and /or a supervisor (insolvency practitioner). </w:t>
            </w:r>
          </w:p>
        </w:tc>
        <w:tc>
          <w:tcPr>
            <w:tcW w:w="3671"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Debtor remains in possession but a mediator and/or a supervisor (</w:t>
            </w:r>
            <w:r>
              <w:rPr>
                <w:rFonts w:ascii="Times New Roman" w:eastAsia="Calibri" w:hAnsi="Times New Roman" w:cs="Times New Roman"/>
                <w:noProof/>
                <w:color w:val="000000"/>
                <w:sz w:val="20"/>
                <w:szCs w:val="20"/>
              </w:rPr>
              <w:t>insolvency practitio</w:t>
            </w:r>
            <w:r>
              <w:rPr>
                <w:rFonts w:ascii="Times New Roman" w:eastAsia="Calibri" w:hAnsi="Times New Roman" w:cs="Times New Roman"/>
                <w:noProof/>
                <w:color w:val="000000"/>
                <w:sz w:val="20"/>
                <w:szCs w:val="20"/>
              </w:rPr>
              <w:t>ner</w:t>
            </w:r>
            <w:r>
              <w:rPr>
                <w:rFonts w:ascii="Times New Roman" w:eastAsia="Calibri" w:hAnsi="Times New Roman" w:cs="Times New Roman"/>
                <w:noProof/>
                <w:sz w:val="20"/>
                <w:szCs w:val="20"/>
              </w:rPr>
              <w:t xml:space="preserve">) is always appointed </w:t>
            </w:r>
          </w:p>
        </w:tc>
      </w:tr>
      <w:tr w:rsidR="00B32D69">
        <w:trPr>
          <w:trHeight w:val="205"/>
        </w:trPr>
        <w:tc>
          <w:tcPr>
            <w:tcW w:w="907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32D69" w:rsidRDefault="00FB661A">
            <w:pPr>
              <w:spacing w:before="60" w:after="60" w:line="240" w:lineRule="auto"/>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Impact</w:t>
            </w:r>
          </w:p>
        </w:tc>
      </w:tr>
      <w:tr w:rsidR="00B32D69">
        <w:tc>
          <w:tcPr>
            <w:tcW w:w="1730"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i/>
                <w:noProof/>
                <w:sz w:val="20"/>
                <w:szCs w:val="20"/>
              </w:rPr>
            </w:pPr>
            <w:r>
              <w:rPr>
                <w:rFonts w:ascii="Times New Roman" w:eastAsia="Calibri" w:hAnsi="Times New Roman" w:cs="Times New Roman"/>
                <w:i/>
                <w:noProof/>
                <w:sz w:val="20"/>
                <w:szCs w:val="20"/>
              </w:rPr>
              <w:t>Reduced costs of assessing risk by investors</w:t>
            </w:r>
          </w:p>
        </w:tc>
        <w:tc>
          <w:tcPr>
            <w:tcW w:w="3671"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A procedure where there is no blanket supervision obligation by a professional may raise costs for investors in assessing when such a mediation or supervision is needed.</w:t>
            </w:r>
          </w:p>
        </w:tc>
        <w:tc>
          <w:tcPr>
            <w:tcW w:w="3671"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If a professional is always appointed, there are less risk assessment costs for the investor.</w:t>
            </w:r>
          </w:p>
          <w:p w:rsidR="00B32D69" w:rsidRDefault="00B32D69">
            <w:pPr>
              <w:spacing w:before="60" w:after="60" w:line="240" w:lineRule="auto"/>
              <w:rPr>
                <w:rFonts w:ascii="Times New Roman" w:eastAsia="Calibri" w:hAnsi="Times New Roman" w:cs="Times New Roman"/>
                <w:noProof/>
                <w:sz w:val="20"/>
                <w:szCs w:val="20"/>
              </w:rPr>
            </w:pPr>
          </w:p>
        </w:tc>
      </w:tr>
      <w:tr w:rsidR="00B32D69">
        <w:tc>
          <w:tcPr>
            <w:tcW w:w="1730"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i/>
                <w:noProof/>
                <w:sz w:val="20"/>
                <w:szCs w:val="20"/>
              </w:rPr>
            </w:pPr>
            <w:r>
              <w:rPr>
                <w:rFonts w:ascii="Times New Roman" w:eastAsia="Calibri" w:hAnsi="Times New Roman" w:cs="Times New Roman"/>
                <w:i/>
                <w:noProof/>
                <w:sz w:val="20"/>
                <w:szCs w:val="20"/>
              </w:rPr>
              <w:t>Reduced costs of restructuring of cross-border group</w:t>
            </w:r>
          </w:p>
        </w:tc>
        <w:tc>
          <w:tcPr>
            <w:tcW w:w="3671"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0</w:t>
            </w:r>
          </w:p>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Cross-border groups are likely to involve complex restructurings with external professionals brought by t</w:t>
            </w:r>
            <w:r>
              <w:rPr>
                <w:rFonts w:ascii="Times New Roman" w:eastAsia="Calibri" w:hAnsi="Times New Roman" w:cs="Times New Roman"/>
                <w:noProof/>
                <w:sz w:val="20"/>
                <w:szCs w:val="20"/>
              </w:rPr>
              <w:t>he debtor and/or the creditors. Such professionals may work for the interest of the group as a whole, rather than for one member of the group.</w:t>
            </w:r>
          </w:p>
        </w:tc>
        <w:tc>
          <w:tcPr>
            <w:tcW w:w="3671"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Cross-border groups are likely to involve complex restructurings with external professionals brought in by the </w:t>
            </w:r>
            <w:r>
              <w:rPr>
                <w:rFonts w:ascii="Times New Roman" w:eastAsia="Calibri" w:hAnsi="Times New Roman" w:cs="Times New Roman"/>
                <w:noProof/>
                <w:sz w:val="20"/>
                <w:szCs w:val="20"/>
              </w:rPr>
              <w:t>debtor and/or the creditors. An obligation for a court-appointed mediator/supervisor in each jurisdiction may make restructuring more difficult.</w:t>
            </w:r>
          </w:p>
        </w:tc>
      </w:tr>
      <w:tr w:rsidR="00B32D69">
        <w:tc>
          <w:tcPr>
            <w:tcW w:w="1730"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i/>
                <w:noProof/>
                <w:color w:val="000000"/>
                <w:sz w:val="20"/>
                <w:szCs w:val="20"/>
              </w:rPr>
            </w:pPr>
            <w:r>
              <w:rPr>
                <w:rFonts w:ascii="Times New Roman" w:eastAsia="Calibri" w:hAnsi="Times New Roman" w:cs="Times New Roman"/>
                <w:i/>
                <w:noProof/>
                <w:color w:val="000000"/>
                <w:sz w:val="20"/>
                <w:szCs w:val="20"/>
              </w:rPr>
              <w:t>Effectiveness</w:t>
            </w:r>
          </w:p>
          <w:p w:rsidR="00B32D69" w:rsidRDefault="00B32D69">
            <w:pPr>
              <w:spacing w:before="60" w:after="60" w:line="240" w:lineRule="auto"/>
              <w:rPr>
                <w:rFonts w:ascii="Times New Roman" w:eastAsia="Calibri" w:hAnsi="Times New Roman" w:cs="Times New Roman"/>
                <w:i/>
                <w:noProof/>
                <w:color w:val="000000"/>
                <w:sz w:val="20"/>
                <w:szCs w:val="20"/>
              </w:rPr>
            </w:pPr>
          </w:p>
        </w:tc>
        <w:tc>
          <w:tcPr>
            <w:tcW w:w="3671"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A mediator may be appointed on court's initiative or on request by the debtor or creditors where the parties cannot manage the negotiations by themselves to help reach a compromise. </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A supervisor may be appointed on a case-by-case basis, e.g. where there i</w:t>
            </w:r>
            <w:r>
              <w:rPr>
                <w:rFonts w:ascii="Times New Roman" w:eastAsia="Calibri" w:hAnsi="Times New Roman" w:cs="Times New Roman"/>
                <w:noProof/>
                <w:color w:val="000000"/>
                <w:sz w:val="20"/>
                <w:szCs w:val="20"/>
              </w:rPr>
              <w:t xml:space="preserve">s a risk of abuse of the stay or of high-risk transactions being undertaken by the debtor. </w:t>
            </w:r>
          </w:p>
        </w:tc>
        <w:tc>
          <w:tcPr>
            <w:tcW w:w="3671"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A full-time mediator/supervisor appointed by a court is likely to increase confidence in the procedure and the quality of the process. He may also increase the qu</w:t>
            </w:r>
            <w:r>
              <w:rPr>
                <w:rFonts w:ascii="Times New Roman" w:eastAsia="Calibri" w:hAnsi="Times New Roman" w:cs="Times New Roman"/>
                <w:noProof/>
                <w:color w:val="000000"/>
                <w:sz w:val="20"/>
                <w:szCs w:val="20"/>
              </w:rPr>
              <w:t xml:space="preserve">ality of the restructuring plan and reduce the likelihood of challenges at a later stage. </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In many Member States it may be considered a necessary condition to reduce the involvement of the court in the procedure. However, such appointment would add to cost</w:t>
            </w:r>
            <w:r>
              <w:rPr>
                <w:rFonts w:ascii="Times New Roman" w:eastAsia="Calibri" w:hAnsi="Times New Roman" w:cs="Times New Roman"/>
                <w:noProof/>
                <w:color w:val="000000"/>
                <w:sz w:val="20"/>
                <w:szCs w:val="20"/>
              </w:rPr>
              <w:t xml:space="preserve">s which would in turn undermine the attractiveness of the procedure for SMEs in financial difficulty already short of funds. </w:t>
            </w:r>
          </w:p>
        </w:tc>
      </w:tr>
      <w:tr w:rsidR="00B32D69">
        <w:tc>
          <w:tcPr>
            <w:tcW w:w="1730"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i/>
                <w:noProof/>
                <w:color w:val="000000"/>
                <w:sz w:val="20"/>
                <w:szCs w:val="20"/>
              </w:rPr>
            </w:pPr>
            <w:r>
              <w:rPr>
                <w:rFonts w:ascii="Times New Roman" w:eastAsia="Calibri" w:hAnsi="Times New Roman" w:cs="Times New Roman"/>
                <w:i/>
                <w:noProof/>
                <w:color w:val="000000"/>
                <w:sz w:val="20"/>
                <w:szCs w:val="20"/>
              </w:rPr>
              <w:t>Impact on creditors</w:t>
            </w:r>
          </w:p>
        </w:tc>
        <w:tc>
          <w:tcPr>
            <w:tcW w:w="3671"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When insolvency practitioners have a key say in deciding on the viability of the distressed debtor, </w:t>
            </w:r>
            <w:r>
              <w:rPr>
                <w:rFonts w:ascii="Times New Roman" w:eastAsia="Calibri" w:hAnsi="Times New Roman" w:cs="Times New Roman"/>
                <w:noProof/>
                <w:color w:val="000000"/>
                <w:sz w:val="20"/>
                <w:szCs w:val="20"/>
              </w:rPr>
              <w:t>recovery rates for creditors are more than 10% higher</w:t>
            </w:r>
            <w:r>
              <w:rPr>
                <w:rFonts w:eastAsia="Calibri" w:cs="Times New Roman"/>
                <w:noProof/>
                <w:color w:val="000000"/>
                <w:sz w:val="20"/>
                <w:szCs w:val="20"/>
                <w:vertAlign w:val="superscript"/>
              </w:rPr>
              <w:footnoteReference w:id="172"/>
            </w:r>
            <w:r>
              <w:rPr>
                <w:rFonts w:ascii="Times New Roman" w:eastAsia="Calibri" w:hAnsi="Times New Roman" w:cs="Times New Roman"/>
                <w:noProof/>
                <w:color w:val="000000"/>
                <w:sz w:val="20"/>
                <w:szCs w:val="20"/>
              </w:rPr>
              <w:t xml:space="preserve">. However, this sub-option is likely to </w:t>
            </w:r>
          </w:p>
        </w:tc>
        <w:tc>
          <w:tcPr>
            <w:tcW w:w="3671"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As compared with Sub-option 1, this sub-option could in principle further contribute to increasing recovery for creditors, but an obligation to have a supervi</w:t>
            </w:r>
            <w:r>
              <w:rPr>
                <w:rFonts w:ascii="Times New Roman" w:eastAsia="Calibri" w:hAnsi="Times New Roman" w:cs="Times New Roman"/>
                <w:noProof/>
                <w:color w:val="000000"/>
                <w:sz w:val="20"/>
                <w:szCs w:val="20"/>
              </w:rPr>
              <w:t>sor may prove in some cases prohibitively costly. The trade seems to be between having more restructuring cases and less, bearing in mind that the administrative costs are a high obstacle to entry.</w:t>
            </w:r>
          </w:p>
        </w:tc>
      </w:tr>
      <w:tr w:rsidR="00B32D69">
        <w:tc>
          <w:tcPr>
            <w:tcW w:w="1730"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i/>
                <w:noProof/>
                <w:color w:val="000000"/>
                <w:sz w:val="20"/>
                <w:szCs w:val="20"/>
              </w:rPr>
            </w:pPr>
            <w:r>
              <w:rPr>
                <w:rFonts w:ascii="Times New Roman" w:eastAsia="Calibri" w:hAnsi="Times New Roman" w:cs="Times New Roman"/>
                <w:i/>
                <w:noProof/>
                <w:color w:val="000000"/>
                <w:sz w:val="20"/>
                <w:szCs w:val="20"/>
              </w:rPr>
              <w:t>Costs of procedure</w:t>
            </w:r>
          </w:p>
        </w:tc>
        <w:tc>
          <w:tcPr>
            <w:tcW w:w="3671"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This sub-option could be more costly for certain debtors, but the costs are mitigated by the benefits of having a mediator helping with negotiations or, in more complex cases, a supervisor advising on the legality of certain actions of the debtor and credi</w:t>
            </w:r>
            <w:r>
              <w:rPr>
                <w:rFonts w:ascii="Times New Roman" w:eastAsia="Calibri" w:hAnsi="Times New Roman" w:cs="Times New Roman"/>
                <w:noProof/>
                <w:color w:val="000000"/>
                <w:sz w:val="20"/>
                <w:szCs w:val="20"/>
              </w:rPr>
              <w:t xml:space="preserve">tors. </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Still, the reduction in costs is significant compared to those preventive national procedures where a supervisor is always appointed, as the fees of insolvency practitioners are the biggest single cost element of insolvency procedures. </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The reductio</w:t>
            </w:r>
            <w:r>
              <w:rPr>
                <w:rFonts w:ascii="Times New Roman" w:eastAsia="Calibri" w:hAnsi="Times New Roman" w:cs="Times New Roman"/>
                <w:noProof/>
                <w:color w:val="000000"/>
                <w:sz w:val="20"/>
                <w:szCs w:val="20"/>
              </w:rPr>
              <w:t>n of costs of restructuring is crucial for allowing SMEs to benefit from restructuring procedures.</w:t>
            </w:r>
          </w:p>
        </w:tc>
        <w:tc>
          <w:tcPr>
            <w:tcW w:w="3671"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 </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The costs of having a fulltime supervisor will be high, even prohibitive for smaller businesses. The services of a mediator may be somewhat less costly. </w:t>
            </w:r>
          </w:p>
        </w:tc>
      </w:tr>
      <w:tr w:rsidR="00B32D69">
        <w:tc>
          <w:tcPr>
            <w:tcW w:w="1730"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i/>
                <w:noProof/>
                <w:color w:val="000000"/>
                <w:sz w:val="20"/>
                <w:szCs w:val="20"/>
              </w:rPr>
            </w:pPr>
            <w:r>
              <w:rPr>
                <w:rFonts w:ascii="Times New Roman" w:eastAsia="Calibri" w:hAnsi="Times New Roman" w:cs="Times New Roman"/>
                <w:i/>
                <w:noProof/>
                <w:color w:val="000000"/>
                <w:sz w:val="20"/>
                <w:szCs w:val="20"/>
              </w:rPr>
              <w:t>Legal systems</w:t>
            </w:r>
          </w:p>
          <w:p w:rsidR="00B32D69" w:rsidRDefault="00B32D69">
            <w:pPr>
              <w:spacing w:before="60" w:after="60" w:line="240" w:lineRule="auto"/>
              <w:rPr>
                <w:rFonts w:ascii="Times New Roman" w:eastAsia="Calibri" w:hAnsi="Times New Roman" w:cs="Times New Roman"/>
                <w:i/>
                <w:noProof/>
                <w:color w:val="000000"/>
                <w:sz w:val="20"/>
                <w:szCs w:val="20"/>
              </w:rPr>
            </w:pPr>
          </w:p>
        </w:tc>
        <w:tc>
          <w:tcPr>
            <w:tcW w:w="3671"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Some </w:t>
            </w:r>
            <w:r>
              <w:rPr>
                <w:rFonts w:ascii="Times New Roman" w:eastAsia="Calibri" w:hAnsi="Times New Roman" w:cs="Times New Roman"/>
                <w:noProof/>
                <w:sz w:val="20"/>
                <w:szCs w:val="20"/>
              </w:rPr>
              <w:t>Member States</w:t>
            </w:r>
            <w:r>
              <w:rPr>
                <w:rFonts w:ascii="Times New Roman" w:eastAsia="Calibri" w:hAnsi="Times New Roman" w:cs="Times New Roman"/>
                <w:noProof/>
              </w:rPr>
              <w:t xml:space="preserve"> </w:t>
            </w:r>
            <w:r>
              <w:rPr>
                <w:rFonts w:ascii="Times New Roman" w:eastAsia="Calibri" w:hAnsi="Times New Roman" w:cs="Times New Roman"/>
                <w:noProof/>
                <w:color w:val="000000"/>
                <w:sz w:val="20"/>
                <w:szCs w:val="20"/>
              </w:rPr>
              <w:t>already provide for the possibility that a mediator/supervisor need not a priori be appointed by a court (PT, BE, EL, IT, ES).</w:t>
            </w:r>
          </w:p>
          <w:p w:rsidR="00B32D69" w:rsidRDefault="00FB661A">
            <w:pPr>
              <w:spacing w:before="60" w:after="60" w:line="240" w:lineRule="auto"/>
              <w:rPr>
                <w:rFonts w:ascii="Times New Roman" w:eastAsia="Calibri" w:hAnsi="Times New Roman" w:cs="Times New Roman"/>
                <w:b/>
                <w:noProof/>
                <w:color w:val="000000"/>
                <w:sz w:val="20"/>
                <w:szCs w:val="20"/>
              </w:rPr>
            </w:pPr>
            <w:r>
              <w:rPr>
                <w:rFonts w:ascii="Times New Roman" w:eastAsia="Calibri" w:hAnsi="Times New Roman" w:cs="Times New Roman"/>
                <w:noProof/>
                <w:color w:val="000000"/>
                <w:sz w:val="20"/>
                <w:szCs w:val="20"/>
              </w:rPr>
              <w:t xml:space="preserve">Other </w:t>
            </w:r>
            <w:r>
              <w:rPr>
                <w:rFonts w:ascii="Times New Roman" w:eastAsia="Calibri" w:hAnsi="Times New Roman" w:cs="Times New Roman"/>
                <w:noProof/>
                <w:sz w:val="20"/>
                <w:szCs w:val="20"/>
              </w:rPr>
              <w:t>Member States</w:t>
            </w:r>
            <w:r>
              <w:rPr>
                <w:rFonts w:ascii="Times New Roman" w:eastAsia="Calibri" w:hAnsi="Times New Roman" w:cs="Times New Roman"/>
                <w:noProof/>
              </w:rPr>
              <w:t xml:space="preserve"> </w:t>
            </w:r>
            <w:r>
              <w:rPr>
                <w:rFonts w:ascii="Times New Roman" w:eastAsia="Calibri" w:hAnsi="Times New Roman" w:cs="Times New Roman"/>
                <w:noProof/>
                <w:color w:val="000000"/>
                <w:sz w:val="20"/>
                <w:szCs w:val="20"/>
              </w:rPr>
              <w:t xml:space="preserve">would need to remove the obligation to appoint a mediator or a </w:t>
            </w:r>
            <w:r>
              <w:rPr>
                <w:rFonts w:ascii="Times New Roman" w:eastAsia="Calibri" w:hAnsi="Times New Roman" w:cs="Times New Roman"/>
                <w:noProof/>
                <w:color w:val="000000"/>
                <w:sz w:val="20"/>
                <w:szCs w:val="20"/>
              </w:rPr>
              <w:t>supervisor in every case and specify the conditions under which such appointment would always be necessary.</w:t>
            </w:r>
          </w:p>
        </w:tc>
        <w:tc>
          <w:tcPr>
            <w:tcW w:w="3671"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Similar to sub-option 1 some MS already have such obligations, while in others this is not the case. </w:t>
            </w:r>
          </w:p>
        </w:tc>
      </w:tr>
      <w:tr w:rsidR="00B32D69">
        <w:tc>
          <w:tcPr>
            <w:tcW w:w="1730"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i/>
                <w:noProof/>
                <w:color w:val="000000"/>
                <w:sz w:val="20"/>
                <w:szCs w:val="20"/>
              </w:rPr>
            </w:pPr>
            <w:r>
              <w:rPr>
                <w:rFonts w:ascii="Times New Roman" w:eastAsia="Calibri" w:hAnsi="Times New Roman" w:cs="Times New Roman"/>
                <w:i/>
                <w:noProof/>
                <w:color w:val="000000"/>
                <w:sz w:val="20"/>
                <w:szCs w:val="20"/>
              </w:rPr>
              <w:t>Judiciary authorities</w:t>
            </w:r>
          </w:p>
        </w:tc>
        <w:tc>
          <w:tcPr>
            <w:tcW w:w="3671"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0</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A supervisor is a </w:t>
            </w:r>
            <w:r>
              <w:rPr>
                <w:rFonts w:ascii="Times New Roman" w:eastAsia="Calibri" w:hAnsi="Times New Roman" w:cs="Times New Roman"/>
                <w:noProof/>
                <w:color w:val="000000"/>
                <w:sz w:val="20"/>
                <w:szCs w:val="20"/>
              </w:rPr>
              <w:t xml:space="preserve">guarantor of procedural fairness, so this sub-option may reduce the burden on the judiciary at the stage of confirmation of the plan or challenging the plan. However courts may have to play a more prominent role in more simple restructuring cases where an </w:t>
            </w:r>
            <w:r>
              <w:rPr>
                <w:rFonts w:ascii="Times New Roman" w:eastAsia="Calibri" w:hAnsi="Times New Roman" w:cs="Times New Roman"/>
                <w:noProof/>
                <w:color w:val="000000"/>
                <w:sz w:val="20"/>
                <w:szCs w:val="20"/>
              </w:rPr>
              <w:t>insolvency practitioner is not appointed.</w:t>
            </w:r>
          </w:p>
        </w:tc>
        <w:tc>
          <w:tcPr>
            <w:tcW w:w="3671"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0</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In practice, there is likely to be no significant difference in the number of cases where a supervisor is appointed in sub-options 1 and 2. As compared to Sub-option 1, this sub-option would lead to less restruct</w:t>
            </w:r>
            <w:r>
              <w:rPr>
                <w:rFonts w:ascii="Times New Roman" w:eastAsia="Calibri" w:hAnsi="Times New Roman" w:cs="Times New Roman"/>
                <w:noProof/>
                <w:color w:val="000000"/>
                <w:sz w:val="20"/>
                <w:szCs w:val="20"/>
              </w:rPr>
              <w:t>uring applications, but not necessarily less workload for the courts as debtors who are not restructured early go into liquidation procedures. .</w:t>
            </w:r>
          </w:p>
        </w:tc>
      </w:tr>
    </w:tbl>
    <w:p w:rsidR="00B32D69" w:rsidRDefault="00FB661A">
      <w:pPr>
        <w:spacing w:before="240" w:after="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u w:val="single"/>
        </w:rPr>
        <w:t>Summary assessment of the preferred sub-option</w:t>
      </w:r>
      <w:r>
        <w:rPr>
          <w:rFonts w:ascii="Times New Roman" w:eastAsia="Calibri" w:hAnsi="Times New Roman" w:cs="Times New Roman"/>
          <w:b/>
          <w:noProof/>
          <w:color w:val="000000"/>
          <w:sz w:val="24"/>
          <w:szCs w:val="24"/>
          <w:u w:val="single"/>
        </w:rPr>
        <w:t>:</w:t>
      </w:r>
      <w:r>
        <w:rPr>
          <w:rFonts w:ascii="Times New Roman" w:eastAsia="Calibri" w:hAnsi="Times New Roman" w:cs="Times New Roman"/>
          <w:b/>
          <w:noProof/>
          <w:color w:val="000000"/>
          <w:sz w:val="24"/>
          <w:szCs w:val="24"/>
        </w:rPr>
        <w:t xml:space="preserve"> </w:t>
      </w:r>
      <w:r>
        <w:rPr>
          <w:rFonts w:ascii="Times New Roman" w:eastAsia="Calibri" w:hAnsi="Times New Roman" w:cs="Times New Roman"/>
          <w:i/>
          <w:noProof/>
          <w:color w:val="000000"/>
          <w:sz w:val="24"/>
          <w:szCs w:val="24"/>
        </w:rPr>
        <w:t>Sub-option 1</w:t>
      </w:r>
      <w:r>
        <w:rPr>
          <w:rFonts w:ascii="Times New Roman" w:eastAsia="Calibri" w:hAnsi="Times New Roman" w:cs="Times New Roman"/>
          <w:noProof/>
          <w:color w:val="000000"/>
          <w:sz w:val="24"/>
          <w:szCs w:val="24"/>
        </w:rPr>
        <w:t xml:space="preserve"> is the preferred sub-option since it allows for a reduction of the costs of procedures, which could be significant for SMEs, while at the same time it ensures necessary assistance and supervision from an independent insolvency practitioner in more complex</w:t>
      </w:r>
      <w:r>
        <w:rPr>
          <w:rFonts w:ascii="Times New Roman" w:eastAsia="Calibri" w:hAnsi="Times New Roman" w:cs="Times New Roman"/>
          <w:noProof/>
          <w:color w:val="000000"/>
          <w:sz w:val="24"/>
          <w:szCs w:val="24"/>
        </w:rPr>
        <w:t xml:space="preserve"> cases. </w:t>
      </w:r>
      <w:r>
        <w:rPr>
          <w:rFonts w:ascii="Times New Roman" w:eastAsia="Calibri" w:hAnsi="Times New Roman" w:cs="Times New Roman"/>
          <w:noProof/>
          <w:sz w:val="24"/>
          <w:szCs w:val="24"/>
        </w:rPr>
        <w:t>This possibility is not hampered by the principle that appointment of a mediator or a supervisor needs to be made on a case-by-case basis. This option does not have any apparent impacts on fundamental rights or social impacts. The downside risk tha</w:t>
      </w:r>
      <w:r>
        <w:rPr>
          <w:rFonts w:ascii="Times New Roman" w:eastAsia="Calibri" w:hAnsi="Times New Roman" w:cs="Times New Roman"/>
          <w:noProof/>
          <w:sz w:val="24"/>
          <w:szCs w:val="24"/>
        </w:rPr>
        <w:t>t debtors may abuse of the debtor-in-possession possibility to engage in transactions affecting negatively the rights of creditors is addressed to some extent by rules on liability of directors and on avoidance actions which are already in place in the Mem</w:t>
      </w:r>
      <w:r>
        <w:rPr>
          <w:rFonts w:ascii="Times New Roman" w:eastAsia="Calibri" w:hAnsi="Times New Roman" w:cs="Times New Roman"/>
          <w:noProof/>
          <w:sz w:val="24"/>
          <w:szCs w:val="24"/>
        </w:rPr>
        <w:t xml:space="preserve">ber States. </w:t>
      </w:r>
    </w:p>
    <w:p w:rsidR="00B32D69" w:rsidRDefault="00FB661A">
      <w:pPr>
        <w:spacing w:before="240" w:after="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In the public consultation the vast majority of respondents were of the view that debtors should be allowed to keep control over the day-to-day operation of the business, in order to maintain the productive capacity of the debtor.</w:t>
      </w:r>
    </w:p>
    <w:p w:rsidR="00B32D69" w:rsidRDefault="00FB661A">
      <w:pPr>
        <w:spacing w:before="240" w:after="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From the </w:t>
      </w:r>
      <w:r>
        <w:rPr>
          <w:rFonts w:ascii="Times New Roman" w:eastAsia="Calibri" w:hAnsi="Times New Roman" w:cs="Times New Roman"/>
          <w:noProof/>
          <w:color w:val="000000"/>
          <w:sz w:val="24"/>
          <w:szCs w:val="24"/>
        </w:rPr>
        <w:t>public consultation and the dedicated meetings with the stakeholders, businesses and business support organisations were strongly in favour of sub-option 1. They particularly underlined that if the appointment of a supervisor/mediator is optional, this cou</w:t>
      </w:r>
      <w:r>
        <w:rPr>
          <w:rFonts w:ascii="Times New Roman" w:eastAsia="Calibri" w:hAnsi="Times New Roman" w:cs="Times New Roman"/>
          <w:noProof/>
          <w:color w:val="000000"/>
          <w:sz w:val="24"/>
          <w:szCs w:val="24"/>
        </w:rPr>
        <w:t>ld reduce costs for SMEs. Some of them were also of the view that when rights of third parties are not affected, the decision of the appointment of a supervisor should be confidential.</w:t>
      </w:r>
    </w:p>
    <w:p w:rsidR="00B32D69" w:rsidRDefault="00FB661A">
      <w:pPr>
        <w:spacing w:before="240" w:after="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Practitioners were in favour of debtor-in-possession principle with the</w:t>
      </w:r>
      <w:r>
        <w:rPr>
          <w:rFonts w:ascii="Times New Roman" w:eastAsia="Calibri" w:hAnsi="Times New Roman" w:cs="Times New Roman"/>
          <w:noProof/>
          <w:color w:val="000000"/>
          <w:sz w:val="24"/>
          <w:szCs w:val="24"/>
        </w:rPr>
        <w:t xml:space="preserve"> possibility for appointing a supervisor. They were however reluctant to harmonising the conditions for appointing an insolvency practitioner. </w:t>
      </w:r>
    </w:p>
    <w:p w:rsidR="00B32D69" w:rsidRDefault="00FB661A">
      <w:pPr>
        <w:spacing w:before="240" w:after="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Credit and financial institutions were of the view that the debtor should in principle remain in possession and </w:t>
      </w:r>
      <w:r>
        <w:rPr>
          <w:rFonts w:ascii="Times New Roman" w:eastAsia="Calibri" w:hAnsi="Times New Roman" w:cs="Times New Roman"/>
          <w:noProof/>
          <w:color w:val="000000"/>
          <w:sz w:val="24"/>
          <w:szCs w:val="24"/>
        </w:rPr>
        <w:t>they fully supported the principle according to which the appointment of a mediator in a preventive restructuring framework should not be mandatory, but made by the court on a case by-case basis. They also underlined the importance of transparency of infor</w:t>
      </w:r>
      <w:r>
        <w:rPr>
          <w:rFonts w:ascii="Times New Roman" w:eastAsia="Calibri" w:hAnsi="Times New Roman" w:cs="Times New Roman"/>
          <w:noProof/>
          <w:color w:val="000000"/>
          <w:sz w:val="24"/>
          <w:szCs w:val="24"/>
        </w:rPr>
        <w:t xml:space="preserve">mation for creditors. </w:t>
      </w:r>
    </w:p>
    <w:p w:rsidR="00B32D69" w:rsidRDefault="00FB661A">
      <w:pPr>
        <w:spacing w:before="240" w:after="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Trade Unions supported the debtor-in-possession principle, but underlined that the workers’ rights to information and consultation should not be affected. </w:t>
      </w:r>
    </w:p>
    <w:p w:rsidR="00B32D69" w:rsidRDefault="00FB661A">
      <w:pPr>
        <w:spacing w:before="240" w:after="0" w:line="240" w:lineRule="auto"/>
        <w:jc w:val="both"/>
        <w:rPr>
          <w:rFonts w:ascii="Times New Roman" w:eastAsia="Calibri" w:hAnsi="Times New Roman" w:cs="Times New Roman"/>
          <w:noProof/>
          <w:color w:val="000000"/>
        </w:rPr>
      </w:pPr>
      <w:r>
        <w:rPr>
          <w:rFonts w:ascii="Times New Roman" w:eastAsia="Calibri" w:hAnsi="Times New Roman" w:cs="Times New Roman"/>
          <w:noProof/>
          <w:color w:val="000000"/>
          <w:sz w:val="24"/>
          <w:szCs w:val="24"/>
        </w:rPr>
        <w:t>Almost all the Member States (AT, BE, EE, DE, EL, HU, IE, FR, FI, IT, LV, LT,</w:t>
      </w:r>
      <w:r>
        <w:rPr>
          <w:rFonts w:ascii="Times New Roman" w:eastAsia="Calibri" w:hAnsi="Times New Roman" w:cs="Times New Roman"/>
          <w:noProof/>
          <w:color w:val="000000"/>
          <w:sz w:val="24"/>
          <w:szCs w:val="24"/>
        </w:rPr>
        <w:t xml:space="preserve"> PL, SK, SI) were in favour of the debtor remaining in possession, but subject to supervision by a suitably qualified mediator/ supervisor/ court. They also agreed that the appointment of a mediator or supervisor (insolvency practitioner) should remain opt</w:t>
      </w:r>
      <w:r>
        <w:rPr>
          <w:rFonts w:ascii="Times New Roman" w:eastAsia="Calibri" w:hAnsi="Times New Roman" w:cs="Times New Roman"/>
          <w:noProof/>
          <w:color w:val="000000"/>
          <w:sz w:val="24"/>
          <w:szCs w:val="24"/>
        </w:rPr>
        <w:t xml:space="preserve">ional, but were not in favour of harmonising the conditions for appointment.  </w:t>
      </w:r>
    </w:p>
    <w:p w:rsidR="00B32D69" w:rsidRDefault="00FB661A">
      <w:pPr>
        <w:keepNext/>
        <w:spacing w:before="240" w:after="240" w:line="240" w:lineRule="auto"/>
        <w:jc w:val="both"/>
        <w:outlineLvl w:val="1"/>
        <w:rPr>
          <w:rFonts w:ascii="Times New Roman" w:eastAsia="Calibri" w:hAnsi="Times New Roman" w:cs="Times New Roman"/>
          <w:b/>
          <w:bCs/>
          <w:iCs/>
          <w:noProof/>
          <w:sz w:val="24"/>
          <w:szCs w:val="28"/>
        </w:rPr>
      </w:pPr>
      <w:bookmarkStart w:id="45" w:name="_Toc459390474"/>
      <w:bookmarkStart w:id="46" w:name="_Toc378078042"/>
      <w:bookmarkStart w:id="47" w:name="_Toc466452977"/>
      <w:r>
        <w:rPr>
          <w:rFonts w:ascii="Times New Roman" w:eastAsia="Calibri" w:hAnsi="Times New Roman" w:cs="Times New Roman"/>
          <w:b/>
          <w:bCs/>
          <w:iCs/>
          <w:noProof/>
          <w:sz w:val="24"/>
          <w:szCs w:val="28"/>
        </w:rPr>
        <w:t>5.4. Plan approval by a majority of creditors</w:t>
      </w:r>
      <w:bookmarkEnd w:id="45"/>
      <w:bookmarkEnd w:id="46"/>
      <w:bookmarkEnd w:id="47"/>
    </w:p>
    <w:p w:rsidR="00B32D69" w:rsidRDefault="00FB661A">
      <w:pPr>
        <w:spacing w:before="240" w:after="24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t>5.4.1. Description of sub-options</w:t>
      </w:r>
    </w:p>
    <w:p w:rsidR="00B32D69" w:rsidRDefault="00FB661A">
      <w:pPr>
        <w:spacing w:before="120"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u w:val="single"/>
        </w:rPr>
        <w:t>Sub-option 1</w:t>
      </w:r>
      <w:r>
        <w:rPr>
          <w:rFonts w:ascii="Times New Roman" w:eastAsia="Calibri" w:hAnsi="Times New Roman" w:cs="Times New Roman"/>
          <w:noProof/>
          <w:sz w:val="24"/>
          <w:szCs w:val="24"/>
          <w:u w:val="single"/>
        </w:rPr>
        <w:t>:</w:t>
      </w:r>
      <w:r>
        <w:rPr>
          <w:rFonts w:ascii="Times New Roman" w:eastAsia="Calibri" w:hAnsi="Times New Roman" w:cs="Times New Roman"/>
          <w:noProof/>
          <w:sz w:val="24"/>
          <w:szCs w:val="24"/>
        </w:rPr>
        <w:t xml:space="preserve"> Creditors act individually and are unaware of the broader impact that their actions will have on businesses, causing rescue to become more difficult and therefore worsening the position for creditors as a whole</w:t>
      </w:r>
      <w:r>
        <w:rPr>
          <w:rFonts w:ascii="Times New Roman" w:eastAsia="Calibri" w:hAnsi="Times New Roman" w:cs="Times New Roman"/>
          <w:noProof/>
          <w:sz w:val="24"/>
          <w:szCs w:val="24"/>
          <w:vertAlign w:val="superscript"/>
        </w:rPr>
        <w:footnoteReference w:id="173"/>
      </w:r>
      <w:r>
        <w:rPr>
          <w:rFonts w:ascii="Times New Roman" w:eastAsia="Calibri" w:hAnsi="Times New Roman" w:cs="Times New Roman"/>
          <w:noProof/>
          <w:sz w:val="24"/>
          <w:szCs w:val="24"/>
        </w:rPr>
        <w:t>.</w:t>
      </w:r>
    </w:p>
    <w:p w:rsidR="00B32D69" w:rsidRDefault="00FB661A">
      <w:pPr>
        <w:spacing w:before="120"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u w:val="single"/>
        </w:rPr>
        <w:t>Sub-option 2</w:t>
      </w:r>
      <w:r>
        <w:rPr>
          <w:rFonts w:ascii="Times New Roman" w:eastAsia="Calibri" w:hAnsi="Times New Roman" w:cs="Times New Roman"/>
          <w:noProof/>
          <w:sz w:val="24"/>
          <w:szCs w:val="24"/>
          <w:u w:val="single"/>
        </w:rPr>
        <w:t>:</w:t>
      </w:r>
      <w:r>
        <w:rPr>
          <w:rFonts w:ascii="Times New Roman" w:eastAsia="Calibri" w:hAnsi="Times New Roman" w:cs="Times New Roman"/>
          <w:noProof/>
          <w:sz w:val="24"/>
          <w:szCs w:val="24"/>
        </w:rPr>
        <w:t xml:space="preserve"> This sub-option includes the</w:t>
      </w:r>
      <w:r>
        <w:rPr>
          <w:rFonts w:ascii="Times New Roman" w:eastAsia="Calibri" w:hAnsi="Times New Roman" w:cs="Times New Roman"/>
          <w:noProof/>
          <w:sz w:val="24"/>
          <w:szCs w:val="24"/>
        </w:rPr>
        <w:t xml:space="preserve"> first sub-option and, in addition, allows Member States to foresee that the plan can be adopted if the required majority in at least one class of creditors is in favour of the plan, provided that dissenting classes are not unfairly prejudiced (inter-class</w:t>
      </w:r>
      <w:r>
        <w:rPr>
          <w:rFonts w:ascii="Times New Roman" w:eastAsia="Calibri" w:hAnsi="Times New Roman" w:cs="Times New Roman"/>
          <w:noProof/>
          <w:sz w:val="24"/>
          <w:szCs w:val="24"/>
        </w:rPr>
        <w:t xml:space="preserve"> cram-down).</w:t>
      </w:r>
    </w:p>
    <w:p w:rsidR="00B32D69" w:rsidRDefault="00FB661A">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u w:val="single"/>
        </w:rPr>
        <w:t>Sub-option 3</w:t>
      </w:r>
      <w:r>
        <w:rPr>
          <w:rFonts w:ascii="Times New Roman" w:eastAsia="Calibri" w:hAnsi="Times New Roman" w:cs="Times New Roman"/>
          <w:noProof/>
          <w:sz w:val="24"/>
          <w:szCs w:val="24"/>
          <w:u w:val="single"/>
        </w:rPr>
        <w:t>:</w:t>
      </w:r>
      <w:r>
        <w:rPr>
          <w:rFonts w:ascii="Times New Roman" w:eastAsia="Calibri" w:hAnsi="Times New Roman" w:cs="Times New Roman"/>
          <w:noProof/>
          <w:sz w:val="24"/>
          <w:szCs w:val="24"/>
        </w:rPr>
        <w:t xml:space="preserve"> Equity holders may also oppose the adoption of restructuring plans in some Member States, even when the value of the company is so low that they are no longer 'in the money'. Appropriate safeguards for equity holders should accom</w:t>
      </w:r>
      <w:r>
        <w:rPr>
          <w:rFonts w:ascii="Times New Roman" w:eastAsia="Calibri" w:hAnsi="Times New Roman" w:cs="Times New Roman"/>
          <w:noProof/>
          <w:sz w:val="24"/>
          <w:szCs w:val="24"/>
        </w:rPr>
        <w:t>pany any such measure (e.g. business valuation test, right to challenge the plan in court) to ensure that they are not effectively expropriated.</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rPr>
        <w:t>5.4.2. Assessment of impact of the sub-options and preferred sub-option</w:t>
      </w:r>
      <w:r>
        <w:rPr>
          <w:rFonts w:ascii="Times New Roman" w:eastAsia="Calibri" w:hAnsi="Times New Roman" w:cs="Times New Roman"/>
          <w:noProof/>
          <w:sz w:val="24"/>
          <w:szCs w:val="24"/>
        </w:rPr>
        <w:t xml:space="preserve"> </w:t>
      </w:r>
    </w:p>
    <w:tbl>
      <w:tblPr>
        <w:tblW w:w="91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2484"/>
        <w:gridCol w:w="2484"/>
        <w:gridCol w:w="2484"/>
      </w:tblGrid>
      <w:tr w:rsidR="00B32D69">
        <w:trPr>
          <w:trHeight w:val="237"/>
        </w:trPr>
        <w:tc>
          <w:tcPr>
            <w:tcW w:w="17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line="240" w:lineRule="auto"/>
              <w:jc w:val="center"/>
              <w:rPr>
                <w:rFonts w:ascii="Times New Roman" w:hAnsi="Times New Roman" w:cs="Times New Roman"/>
                <w:b/>
                <w:noProof/>
                <w:sz w:val="20"/>
                <w:szCs w:val="20"/>
              </w:rPr>
            </w:pPr>
            <w:r>
              <w:rPr>
                <w:rFonts w:ascii="Times New Roman" w:hAnsi="Times New Roman" w:cs="Times New Roman"/>
                <w:b/>
                <w:noProof/>
                <w:sz w:val="20"/>
                <w:szCs w:val="20"/>
              </w:rPr>
              <w:t>Sub-options</w:t>
            </w:r>
          </w:p>
        </w:tc>
        <w:tc>
          <w:tcPr>
            <w:tcW w:w="2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jc w:val="center"/>
              <w:rPr>
                <w:rFonts w:ascii="Times New Roman" w:eastAsia="Calibri" w:hAnsi="Times New Roman" w:cs="Times New Roman"/>
                <w:noProof/>
                <w:color w:val="000000"/>
                <w:sz w:val="20"/>
                <w:szCs w:val="20"/>
              </w:rPr>
            </w:pPr>
            <w:r>
              <w:rPr>
                <w:rFonts w:ascii="Times New Roman" w:eastAsia="Calibri" w:hAnsi="Times New Roman" w:cs="Times New Roman"/>
                <w:b/>
                <w:noProof/>
                <w:color w:val="000000"/>
                <w:sz w:val="20"/>
                <w:szCs w:val="20"/>
              </w:rPr>
              <w:t>Sub-option 1</w:t>
            </w:r>
          </w:p>
        </w:tc>
        <w:tc>
          <w:tcPr>
            <w:tcW w:w="2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jc w:val="center"/>
              <w:rPr>
                <w:rFonts w:ascii="Times New Roman" w:eastAsia="Calibri" w:hAnsi="Times New Roman" w:cs="Times New Roman"/>
                <w:noProof/>
                <w:color w:val="000000"/>
                <w:sz w:val="20"/>
                <w:szCs w:val="20"/>
              </w:rPr>
            </w:pPr>
            <w:r>
              <w:rPr>
                <w:rFonts w:ascii="Times New Roman" w:eastAsia="Calibri" w:hAnsi="Times New Roman" w:cs="Times New Roman"/>
                <w:b/>
                <w:noProof/>
                <w:color w:val="000000"/>
                <w:sz w:val="20"/>
                <w:szCs w:val="20"/>
              </w:rPr>
              <w:t>Sub- option 2</w:t>
            </w:r>
          </w:p>
        </w:tc>
        <w:tc>
          <w:tcPr>
            <w:tcW w:w="2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jc w:val="center"/>
              <w:rPr>
                <w:rFonts w:ascii="Times New Roman" w:eastAsia="Calibri" w:hAnsi="Times New Roman" w:cs="Times New Roman"/>
                <w:noProof/>
                <w:color w:val="000000"/>
                <w:sz w:val="20"/>
                <w:szCs w:val="20"/>
              </w:rPr>
            </w:pPr>
            <w:r>
              <w:rPr>
                <w:rFonts w:ascii="Times New Roman" w:eastAsia="Calibri" w:hAnsi="Times New Roman" w:cs="Times New Roman"/>
                <w:b/>
                <w:noProof/>
                <w:color w:val="000000"/>
                <w:sz w:val="20"/>
                <w:szCs w:val="20"/>
              </w:rPr>
              <w:t>Sub-option 3</w:t>
            </w:r>
          </w:p>
        </w:tc>
      </w:tr>
      <w:tr w:rsidR="00B32D69">
        <w:trPr>
          <w:trHeight w:val="1096"/>
        </w:trPr>
        <w:tc>
          <w:tcPr>
            <w:tcW w:w="1729"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i/>
                <w:noProof/>
                <w:color w:val="000000"/>
                <w:sz w:val="20"/>
                <w:szCs w:val="20"/>
              </w:rPr>
            </w:pPr>
            <w:r>
              <w:rPr>
                <w:rFonts w:ascii="Times New Roman" w:eastAsia="Calibri" w:hAnsi="Times New Roman" w:cs="Times New Roman"/>
                <w:i/>
                <w:noProof/>
                <w:color w:val="000000"/>
                <w:sz w:val="20"/>
                <w:szCs w:val="20"/>
              </w:rPr>
              <w:t xml:space="preserve">Sub-option summary </w:t>
            </w:r>
          </w:p>
        </w:tc>
        <w:tc>
          <w:tcPr>
            <w:tcW w:w="248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color w:val="000000"/>
                <w:sz w:val="20"/>
                <w:szCs w:val="20"/>
              </w:rPr>
            </w:pPr>
            <w:r>
              <w:rPr>
                <w:rFonts w:ascii="Times New Roman" w:eastAsia="Calibri" w:hAnsi="Times New Roman" w:cs="Times New Roman"/>
                <w:noProof/>
                <w:sz w:val="20"/>
                <w:szCs w:val="20"/>
              </w:rPr>
              <w:t xml:space="preserve">The plan is adopted if the required majority in every class is in favour of the plan, provided that the minority creditors are not unfairly prejudiced; all classes of creditors can be affected by the plan, vote and be </w:t>
            </w:r>
            <w:r>
              <w:rPr>
                <w:rFonts w:ascii="Times New Roman" w:eastAsia="Calibri" w:hAnsi="Times New Roman" w:cs="Times New Roman"/>
                <w:noProof/>
                <w:sz w:val="20"/>
                <w:szCs w:val="20"/>
              </w:rPr>
              <w:t>bound by it, including secured creditors.</w:t>
            </w:r>
          </w:p>
        </w:tc>
        <w:tc>
          <w:tcPr>
            <w:tcW w:w="248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color w:val="000000"/>
                <w:sz w:val="20"/>
                <w:szCs w:val="20"/>
              </w:rPr>
            </w:pPr>
            <w:r>
              <w:rPr>
                <w:rFonts w:ascii="Times New Roman" w:eastAsia="Calibri" w:hAnsi="Times New Roman" w:cs="Times New Roman"/>
                <w:noProof/>
                <w:sz w:val="20"/>
                <w:szCs w:val="20"/>
              </w:rPr>
              <w:t>Sub-option 1 + the plan can be adopted if the required majority in at least one class of creditors is in favour of the plan, provided that dissenting classes are not unfairly prejudiced (inter-class cram-down).</w:t>
            </w:r>
          </w:p>
        </w:tc>
        <w:tc>
          <w:tcPr>
            <w:tcW w:w="248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color w:val="000000"/>
                <w:sz w:val="20"/>
                <w:szCs w:val="20"/>
              </w:rPr>
            </w:pPr>
            <w:r>
              <w:rPr>
                <w:rFonts w:ascii="Times New Roman" w:eastAsia="Calibri" w:hAnsi="Times New Roman" w:cs="Times New Roman"/>
                <w:noProof/>
                <w:sz w:val="20"/>
                <w:szCs w:val="20"/>
              </w:rPr>
              <w:t>Sub</w:t>
            </w:r>
            <w:r>
              <w:rPr>
                <w:rFonts w:ascii="Times New Roman" w:eastAsia="Calibri" w:hAnsi="Times New Roman" w:cs="Times New Roman"/>
                <w:noProof/>
                <w:sz w:val="20"/>
                <w:szCs w:val="20"/>
              </w:rPr>
              <w:t>-option 2 + principle that shareholders should not be able to block the plan if their interests are protected (e.g. by including shareholders as  class(es) of their own)</w:t>
            </w:r>
          </w:p>
        </w:tc>
      </w:tr>
      <w:tr w:rsidR="00B32D69">
        <w:tc>
          <w:tcPr>
            <w:tcW w:w="1729"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i/>
                <w:noProof/>
              </w:rPr>
            </w:pPr>
            <w:r>
              <w:rPr>
                <w:rFonts w:ascii="Times New Roman" w:eastAsia="Calibri" w:hAnsi="Times New Roman" w:cs="Times New Roman"/>
                <w:i/>
                <w:noProof/>
              </w:rPr>
              <w:t>Reduced costs of assessing risk by investors</w:t>
            </w:r>
          </w:p>
        </w:tc>
        <w:tc>
          <w:tcPr>
            <w:tcW w:w="248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The more predictable the conditions </w:t>
            </w:r>
            <w:r>
              <w:rPr>
                <w:rFonts w:ascii="Times New Roman" w:eastAsia="Calibri" w:hAnsi="Times New Roman" w:cs="Times New Roman"/>
                <w:noProof/>
                <w:sz w:val="20"/>
                <w:szCs w:val="20"/>
              </w:rPr>
              <w:t>for adoption of restructuring plans by creditors across the EU Member States, the lower the up-front costs for investors.</w:t>
            </w:r>
          </w:p>
        </w:tc>
        <w:tc>
          <w:tcPr>
            <w:tcW w:w="248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This sub-option will provide better chance for quick adoption of a plan despite the dissent of one or more classes of creditors, so</w:t>
            </w:r>
            <w:r>
              <w:rPr>
                <w:rFonts w:ascii="Times New Roman" w:eastAsia="Calibri" w:hAnsi="Times New Roman" w:cs="Times New Roman"/>
                <w:noProof/>
                <w:sz w:val="20"/>
                <w:szCs w:val="20"/>
              </w:rPr>
              <w:t xml:space="preserve"> costs of assessing risk will be potentially lower..</w:t>
            </w:r>
          </w:p>
        </w:tc>
        <w:tc>
          <w:tcPr>
            <w:tcW w:w="248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The option reduces additional source of risk to be assessed, namely the opposition of shareholders to a plan which is otherwise capable of returning the debtor to viability. </w:t>
            </w:r>
          </w:p>
        </w:tc>
      </w:tr>
      <w:tr w:rsidR="00B32D69">
        <w:tc>
          <w:tcPr>
            <w:tcW w:w="1729"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i/>
                <w:noProof/>
              </w:rPr>
            </w:pPr>
            <w:r>
              <w:rPr>
                <w:rFonts w:ascii="Times New Roman" w:eastAsia="Calibri" w:hAnsi="Times New Roman" w:cs="Times New Roman"/>
                <w:i/>
                <w:noProof/>
              </w:rPr>
              <w:t>Reduced costs of restru</w:t>
            </w:r>
            <w:r>
              <w:rPr>
                <w:rFonts w:ascii="Times New Roman" w:eastAsia="Calibri" w:hAnsi="Times New Roman" w:cs="Times New Roman"/>
                <w:i/>
                <w:noProof/>
              </w:rPr>
              <w:t>cturing of cross-border group</w:t>
            </w:r>
          </w:p>
        </w:tc>
        <w:tc>
          <w:tcPr>
            <w:tcW w:w="248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The more uniform the rules on the adoption of restructuring plans, the lower the costs for running parallel restructurings for members of the cross-border group.</w:t>
            </w:r>
          </w:p>
        </w:tc>
        <w:tc>
          <w:tcPr>
            <w:tcW w:w="248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This sub-option enables a quicker and more feasible adoptio</w:t>
            </w:r>
            <w:r>
              <w:rPr>
                <w:rFonts w:ascii="Times New Roman" w:eastAsia="Calibri" w:hAnsi="Times New Roman" w:cs="Times New Roman"/>
                <w:noProof/>
                <w:sz w:val="20"/>
                <w:szCs w:val="20"/>
              </w:rPr>
              <w:t>n of a restructuring plan in a group context, so additional costs of restructuring for cross border groups will be limited.</w:t>
            </w:r>
          </w:p>
        </w:tc>
        <w:tc>
          <w:tcPr>
            <w:tcW w:w="248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Enabling the adoption of viable plans despite the opposition of shareholders would further reduce the risk of delays and possibl</w:t>
            </w:r>
            <w:r>
              <w:rPr>
                <w:rFonts w:ascii="Times New Roman" w:eastAsia="Calibri" w:hAnsi="Times New Roman" w:cs="Times New Roman"/>
                <w:noProof/>
                <w:sz w:val="20"/>
                <w:szCs w:val="20"/>
              </w:rPr>
              <w:t>e failures to restructure one or more members of the cross-border group</w:t>
            </w:r>
            <w:r>
              <w:rPr>
                <w:rFonts w:ascii="Times New Roman" w:eastAsia="Calibri" w:hAnsi="Times New Roman" w:cs="Times New Roman"/>
                <w:b/>
                <w:noProof/>
                <w:sz w:val="20"/>
                <w:szCs w:val="20"/>
              </w:rPr>
              <w:t xml:space="preserve">. </w:t>
            </w:r>
          </w:p>
        </w:tc>
      </w:tr>
      <w:tr w:rsidR="00B32D69">
        <w:tc>
          <w:tcPr>
            <w:tcW w:w="1729"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i/>
                <w:noProof/>
                <w:color w:val="000000"/>
                <w:sz w:val="20"/>
                <w:szCs w:val="20"/>
              </w:rPr>
            </w:pPr>
            <w:r>
              <w:rPr>
                <w:rFonts w:ascii="Times New Roman" w:eastAsia="Calibri" w:hAnsi="Times New Roman" w:cs="Times New Roman"/>
                <w:i/>
                <w:noProof/>
                <w:color w:val="000000"/>
                <w:sz w:val="20"/>
                <w:szCs w:val="20"/>
              </w:rPr>
              <w:t>Effectiveness</w:t>
            </w:r>
          </w:p>
        </w:tc>
        <w:tc>
          <w:tcPr>
            <w:tcW w:w="248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Without a majority rule binding secured creditors, restructuring would not be effective: most cases include debt restructuring of companies whose business is </w:t>
            </w:r>
            <w:r>
              <w:rPr>
                <w:rFonts w:ascii="Times New Roman" w:eastAsia="Calibri" w:hAnsi="Times New Roman" w:cs="Times New Roman"/>
                <w:noProof/>
                <w:color w:val="000000"/>
                <w:sz w:val="20"/>
                <w:szCs w:val="20"/>
              </w:rPr>
              <w:t>otherwise sound; and most financial claims (e.g. bank loans) enjoy some form of collateral.</w:t>
            </w:r>
          </w:p>
        </w:tc>
        <w:tc>
          <w:tcPr>
            <w:tcW w:w="248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sz w:val="20"/>
                <w:szCs w:val="20"/>
              </w:rPr>
              <w:t>This sub-option would be more effective since classes of creditors which do not have a stake in restructuring (because the valuation of the company shows that in</w:t>
            </w:r>
            <w:r>
              <w:rPr>
                <w:rFonts w:ascii="Times New Roman" w:eastAsia="Calibri" w:hAnsi="Times New Roman" w:cs="Times New Roman"/>
                <w:noProof/>
                <w:sz w:val="20"/>
                <w:szCs w:val="20"/>
              </w:rPr>
              <w:t xml:space="preserve"> a liquidation scenario they would recuperate very little or nothing) would not be able to obstruct the restructuring process. This sub-option will therefore result in a higher number of restructurings. Such restructuring are also likely to be more sustain</w:t>
            </w:r>
            <w:r>
              <w:rPr>
                <w:rFonts w:ascii="Times New Roman" w:eastAsia="Calibri" w:hAnsi="Times New Roman" w:cs="Times New Roman"/>
                <w:noProof/>
                <w:sz w:val="20"/>
                <w:szCs w:val="20"/>
              </w:rPr>
              <w:t>able in the long run, since they will be able to effect more radical changes needed to rescue the business (such as sales of parts of the business) without the need to 'buy' the support of classes of creditors which do not have an interest in the restructu</w:t>
            </w:r>
            <w:r>
              <w:rPr>
                <w:rFonts w:ascii="Times New Roman" w:eastAsia="Calibri" w:hAnsi="Times New Roman" w:cs="Times New Roman"/>
                <w:noProof/>
                <w:sz w:val="20"/>
                <w:szCs w:val="20"/>
              </w:rPr>
              <w:t xml:space="preserve">ring. </w:t>
            </w:r>
          </w:p>
        </w:tc>
        <w:tc>
          <w:tcPr>
            <w:tcW w:w="248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This sub-option will be even more effective and would allow for example debt-to-equity swaps as a means to restructure the capital structure of the company – a measure which is unlikely to be supported by shareholders who would see their shares </w:t>
            </w:r>
            <w:r>
              <w:rPr>
                <w:rFonts w:ascii="Times New Roman" w:eastAsia="Calibri" w:hAnsi="Times New Roman" w:cs="Times New Roman"/>
                <w:noProof/>
                <w:color w:val="000000"/>
                <w:sz w:val="20"/>
                <w:szCs w:val="20"/>
              </w:rPr>
              <w:t>devalued as a consequence. This option would increase the number of successful restructurings in Member States where currently shareholders are able to block the adoption of a restructuring plan.</w:t>
            </w:r>
          </w:p>
        </w:tc>
      </w:tr>
      <w:tr w:rsidR="00B32D69">
        <w:tc>
          <w:tcPr>
            <w:tcW w:w="1729"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i/>
                <w:noProof/>
                <w:color w:val="000000"/>
                <w:sz w:val="20"/>
                <w:szCs w:val="20"/>
              </w:rPr>
            </w:pPr>
            <w:r>
              <w:rPr>
                <w:rFonts w:ascii="Times New Roman" w:eastAsia="Calibri" w:hAnsi="Times New Roman" w:cs="Times New Roman"/>
                <w:i/>
                <w:noProof/>
                <w:color w:val="000000"/>
                <w:sz w:val="20"/>
                <w:szCs w:val="20"/>
              </w:rPr>
              <w:t>Availability and cost of credit</w:t>
            </w:r>
          </w:p>
          <w:p w:rsidR="00B32D69" w:rsidRDefault="00B32D69">
            <w:pPr>
              <w:spacing w:before="60" w:after="60" w:line="240" w:lineRule="auto"/>
              <w:rPr>
                <w:rFonts w:ascii="Times New Roman" w:eastAsia="Calibri" w:hAnsi="Times New Roman" w:cs="Times New Roman"/>
                <w:i/>
                <w:noProof/>
                <w:color w:val="000000"/>
                <w:sz w:val="20"/>
                <w:szCs w:val="20"/>
              </w:rPr>
            </w:pPr>
          </w:p>
        </w:tc>
        <w:tc>
          <w:tcPr>
            <w:tcW w:w="248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0</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This sub-option would ha</w:t>
            </w:r>
            <w:r>
              <w:rPr>
                <w:rFonts w:ascii="Times New Roman" w:eastAsia="Calibri" w:hAnsi="Times New Roman" w:cs="Times New Roman"/>
                <w:noProof/>
                <w:color w:val="000000"/>
                <w:sz w:val="20"/>
                <w:szCs w:val="20"/>
              </w:rPr>
              <w:t>ve negative impacts on the availability and cost of finance if dissenting creditors would not be adequately protected to ensure that they do not lose more in restructuring than in liquidation (best interest of creditors test). Appropriate valuation require</w:t>
            </w:r>
            <w:r>
              <w:rPr>
                <w:rFonts w:ascii="Times New Roman" w:eastAsia="Calibri" w:hAnsi="Times New Roman" w:cs="Times New Roman"/>
                <w:noProof/>
                <w:color w:val="000000"/>
                <w:sz w:val="20"/>
                <w:szCs w:val="20"/>
              </w:rPr>
              <w:t>ment should also be put in place</w:t>
            </w:r>
          </w:p>
        </w:tc>
        <w:tc>
          <w:tcPr>
            <w:tcW w:w="248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0</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This sub-option may have in the short term negative impacts on the availability and cost of finance, as lenders adapt to the new rules. To mitigate such risks, appropriate safeguards should be put in place to ensure that </w:t>
            </w:r>
            <w:r>
              <w:rPr>
                <w:rFonts w:ascii="Times New Roman" w:eastAsia="Calibri" w:hAnsi="Times New Roman" w:cs="Times New Roman"/>
                <w:noProof/>
                <w:color w:val="000000"/>
                <w:sz w:val="20"/>
                <w:szCs w:val="20"/>
              </w:rPr>
              <w:t>dissenting creditors do not lose more as a result of the restructuring plan than they would in liquidation (best interest of creditors test). Appropriate valuation requirement should also be put in place.</w:t>
            </w:r>
          </w:p>
        </w:tc>
        <w:tc>
          <w:tcPr>
            <w:tcW w:w="248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0</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This option may have in the short term negative i</w:t>
            </w:r>
            <w:r>
              <w:rPr>
                <w:rFonts w:ascii="Times New Roman" w:eastAsia="Calibri" w:hAnsi="Times New Roman" w:cs="Times New Roman"/>
                <w:noProof/>
                <w:color w:val="000000"/>
                <w:sz w:val="20"/>
                <w:szCs w:val="20"/>
              </w:rPr>
              <w:t>mpacts as equity investors may in principle shy away unless they can be confident that their interests are protected. Appropriate safeguards need to be put in place so that shareholders do not lose more than they would in a scenario where the debtor's busi</w:t>
            </w:r>
            <w:r>
              <w:rPr>
                <w:rFonts w:ascii="Times New Roman" w:eastAsia="Calibri" w:hAnsi="Times New Roman" w:cs="Times New Roman"/>
                <w:noProof/>
                <w:color w:val="000000"/>
                <w:sz w:val="20"/>
                <w:szCs w:val="20"/>
              </w:rPr>
              <w:t>ness is sold as going concern (shareholders are normally last in the distribution of proceeds from liquidation, but in preventive procedures they receive normally some proceeds if there is still value in the company). Appropriate valuation requirement shou</w:t>
            </w:r>
            <w:r>
              <w:rPr>
                <w:rFonts w:ascii="Times New Roman" w:eastAsia="Calibri" w:hAnsi="Times New Roman" w:cs="Times New Roman"/>
                <w:noProof/>
                <w:color w:val="000000"/>
                <w:sz w:val="20"/>
                <w:szCs w:val="20"/>
              </w:rPr>
              <w:t>ld also be put in place.</w:t>
            </w:r>
          </w:p>
        </w:tc>
      </w:tr>
      <w:tr w:rsidR="00B32D69">
        <w:tc>
          <w:tcPr>
            <w:tcW w:w="1729"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i/>
                <w:noProof/>
                <w:color w:val="000000"/>
                <w:sz w:val="20"/>
                <w:szCs w:val="20"/>
              </w:rPr>
            </w:pPr>
            <w:r>
              <w:rPr>
                <w:rFonts w:ascii="Times New Roman" w:eastAsia="Calibri" w:hAnsi="Times New Roman" w:cs="Times New Roman"/>
                <w:i/>
                <w:noProof/>
                <w:color w:val="000000"/>
                <w:sz w:val="20"/>
                <w:szCs w:val="20"/>
              </w:rPr>
              <w:t xml:space="preserve">Legal systems </w:t>
            </w:r>
          </w:p>
        </w:tc>
        <w:tc>
          <w:tcPr>
            <w:tcW w:w="248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Those </w:t>
            </w:r>
            <w:r>
              <w:rPr>
                <w:rFonts w:ascii="Times New Roman" w:eastAsia="Calibri" w:hAnsi="Times New Roman" w:cs="Times New Roman"/>
                <w:noProof/>
                <w:sz w:val="20"/>
                <w:szCs w:val="20"/>
              </w:rPr>
              <w:t>Member States</w:t>
            </w:r>
            <w:r>
              <w:rPr>
                <w:rFonts w:ascii="Times New Roman" w:eastAsia="Calibri" w:hAnsi="Times New Roman" w:cs="Times New Roman"/>
                <w:noProof/>
              </w:rPr>
              <w:t xml:space="preserve"> </w:t>
            </w:r>
            <w:r>
              <w:rPr>
                <w:rFonts w:ascii="Times New Roman" w:eastAsia="Calibri" w:hAnsi="Times New Roman" w:cs="Times New Roman"/>
                <w:noProof/>
                <w:color w:val="000000"/>
                <w:sz w:val="20"/>
                <w:szCs w:val="20"/>
              </w:rPr>
              <w:t>where preventive procedures do not contain such a feature will need to amend existing procedures (AT, EE, EL, LV, LU, NL, PT, SE).</w:t>
            </w:r>
          </w:p>
        </w:tc>
        <w:tc>
          <w:tcPr>
            <w:tcW w:w="248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Some </w:t>
            </w:r>
            <w:r>
              <w:rPr>
                <w:rFonts w:ascii="Times New Roman" w:eastAsia="Calibri" w:hAnsi="Times New Roman" w:cs="Times New Roman"/>
                <w:noProof/>
                <w:sz w:val="20"/>
                <w:szCs w:val="20"/>
              </w:rPr>
              <w:t>Member States</w:t>
            </w:r>
            <w:r>
              <w:rPr>
                <w:rFonts w:ascii="Times New Roman" w:eastAsia="Calibri" w:hAnsi="Times New Roman" w:cs="Times New Roman"/>
                <w:noProof/>
              </w:rPr>
              <w:t xml:space="preserve"> </w:t>
            </w:r>
            <w:r>
              <w:rPr>
                <w:rFonts w:ascii="Times New Roman" w:eastAsia="Calibri" w:hAnsi="Times New Roman" w:cs="Times New Roman"/>
                <w:noProof/>
                <w:color w:val="000000"/>
                <w:sz w:val="20"/>
                <w:szCs w:val="20"/>
              </w:rPr>
              <w:t xml:space="preserve">already have such possibility in place </w:t>
            </w:r>
            <w:r>
              <w:rPr>
                <w:rFonts w:ascii="Times New Roman" w:eastAsia="Calibri" w:hAnsi="Times New Roman" w:cs="Times New Roman"/>
                <w:noProof/>
                <w:color w:val="000000"/>
                <w:sz w:val="20"/>
                <w:szCs w:val="20"/>
              </w:rPr>
              <w:t>(e.g. FI), while others will have to create such a possibility in order to facilitate the adoption of restructuring plans.</w:t>
            </w:r>
          </w:p>
        </w:tc>
        <w:tc>
          <w:tcPr>
            <w:tcW w:w="248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 - </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Member States which have no system of ensuring that shareholders cannot block restructuring plans will need to provide for such </w:t>
            </w:r>
            <w:r>
              <w:rPr>
                <w:rFonts w:ascii="Times New Roman" w:eastAsia="Calibri" w:hAnsi="Times New Roman" w:cs="Times New Roman"/>
                <w:noProof/>
                <w:color w:val="000000"/>
                <w:sz w:val="20"/>
                <w:szCs w:val="20"/>
              </w:rPr>
              <w:t xml:space="preserve">means. Because treatment of shareholders raises some sensitive constitutional concerns about the protection of the right to property, the means of implementing this rule should be left to the Member States, provided they are effective. There may be a need </w:t>
            </w:r>
            <w:r>
              <w:rPr>
                <w:rFonts w:ascii="Times New Roman" w:eastAsia="Calibri" w:hAnsi="Times New Roman" w:cs="Times New Roman"/>
                <w:noProof/>
                <w:color w:val="000000"/>
                <w:sz w:val="20"/>
                <w:szCs w:val="20"/>
              </w:rPr>
              <w:t>to adapt the company law (rights of shareholders) legislation as well.</w:t>
            </w:r>
          </w:p>
        </w:tc>
      </w:tr>
      <w:tr w:rsidR="00B32D69">
        <w:tc>
          <w:tcPr>
            <w:tcW w:w="1729"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i/>
                <w:noProof/>
                <w:color w:val="000000"/>
                <w:sz w:val="20"/>
                <w:szCs w:val="20"/>
              </w:rPr>
            </w:pPr>
            <w:r>
              <w:rPr>
                <w:rFonts w:ascii="Times New Roman" w:eastAsia="Calibri" w:hAnsi="Times New Roman" w:cs="Times New Roman"/>
                <w:i/>
                <w:noProof/>
                <w:color w:val="000000"/>
                <w:sz w:val="20"/>
                <w:szCs w:val="20"/>
              </w:rPr>
              <w:t>Fundamental rights (right to property)</w:t>
            </w:r>
          </w:p>
          <w:p w:rsidR="00B32D69" w:rsidRDefault="00B32D69">
            <w:pPr>
              <w:spacing w:before="60" w:after="60" w:line="240" w:lineRule="auto"/>
              <w:rPr>
                <w:rFonts w:ascii="Times New Roman" w:eastAsia="Calibri" w:hAnsi="Times New Roman" w:cs="Times New Roman"/>
                <w:i/>
                <w:noProof/>
                <w:color w:val="000000"/>
                <w:sz w:val="20"/>
                <w:szCs w:val="20"/>
              </w:rPr>
            </w:pPr>
          </w:p>
        </w:tc>
        <w:tc>
          <w:tcPr>
            <w:tcW w:w="248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A minority of creditors may need to accept a significant reduction in their claim without their consent. In order to ensure that such measures do not amount to expropriation, the restructuring plan should guarantee that dissenting creditors receive at leas</w:t>
            </w:r>
            <w:r>
              <w:rPr>
                <w:rFonts w:ascii="Times New Roman" w:eastAsia="Calibri" w:hAnsi="Times New Roman" w:cs="Times New Roman"/>
                <w:noProof/>
                <w:color w:val="000000"/>
                <w:sz w:val="20"/>
                <w:szCs w:val="20"/>
              </w:rPr>
              <w:t xml:space="preserve">t the liquidation value of their claims. </w:t>
            </w:r>
          </w:p>
        </w:tc>
        <w:tc>
          <w:tcPr>
            <w:tcW w:w="248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Still higher risk for minority creditors or creditors from dissenting classes. To limit this risk, the best interest of creditors test should be applied (i.e. they should receive at least what they would be entit</w:t>
            </w:r>
            <w:r>
              <w:rPr>
                <w:rFonts w:ascii="Times New Roman" w:eastAsia="Calibri" w:hAnsi="Times New Roman" w:cs="Times New Roman"/>
                <w:noProof/>
                <w:color w:val="000000"/>
                <w:sz w:val="20"/>
                <w:szCs w:val="20"/>
              </w:rPr>
              <w:t>led to in the event of liquidation) and the absolute priority rule (meaning that junior classes must receive nothing in order to cram-down over a senior class). A court would need to confirm such a restructuring plan after ensuring that dissenting creditor</w:t>
            </w:r>
            <w:r>
              <w:rPr>
                <w:rFonts w:ascii="Times New Roman" w:eastAsia="Calibri" w:hAnsi="Times New Roman" w:cs="Times New Roman"/>
                <w:noProof/>
                <w:color w:val="000000"/>
                <w:sz w:val="20"/>
                <w:szCs w:val="20"/>
              </w:rPr>
              <w:t>s are not unfairly prejudiced. Second, creditors and shareholders should also be able to challenge the valuation and the distribution of rewards made under the plan.</w:t>
            </w:r>
          </w:p>
        </w:tc>
        <w:tc>
          <w:tcPr>
            <w:tcW w:w="248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Expropriation risks are not higher in case of shareholders since in liquidation proceedi</w:t>
            </w:r>
            <w:r>
              <w:rPr>
                <w:rFonts w:ascii="Times New Roman" w:eastAsia="Calibri" w:hAnsi="Times New Roman" w:cs="Times New Roman"/>
                <w:noProof/>
                <w:color w:val="000000"/>
                <w:sz w:val="20"/>
                <w:szCs w:val="20"/>
              </w:rPr>
              <w:t>ngs they would likely receive nothing. However, in many Member States shareholders rights are seen as being essentially different than creditors' rights. For this reason, Member States should be allowed some flexibility as to how they understand to impleme</w:t>
            </w:r>
            <w:r>
              <w:rPr>
                <w:rFonts w:ascii="Times New Roman" w:eastAsia="Calibri" w:hAnsi="Times New Roman" w:cs="Times New Roman"/>
                <w:noProof/>
                <w:color w:val="000000"/>
                <w:sz w:val="20"/>
                <w:szCs w:val="20"/>
              </w:rPr>
              <w:t>nt this rule (e.g. by opening formal insolvency proceedings).</w:t>
            </w:r>
          </w:p>
        </w:tc>
      </w:tr>
    </w:tbl>
    <w:p w:rsidR="00B32D69" w:rsidRDefault="00FB661A">
      <w:pPr>
        <w:spacing w:before="240" w:after="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i/>
          <w:noProof/>
          <w:sz w:val="24"/>
          <w:szCs w:val="24"/>
          <w:u w:val="single"/>
        </w:rPr>
        <w:t>Summary assessment of the preferred sub-option</w:t>
      </w:r>
      <w:r>
        <w:rPr>
          <w:rFonts w:ascii="Times New Roman" w:eastAsia="Calibri" w:hAnsi="Times New Roman" w:cs="Times New Roman"/>
          <w:b/>
          <w:noProof/>
          <w:color w:val="000000"/>
          <w:sz w:val="24"/>
          <w:szCs w:val="24"/>
          <w:u w:val="single"/>
        </w:rPr>
        <w:t>:</w:t>
      </w:r>
      <w:r>
        <w:rPr>
          <w:rFonts w:ascii="Times New Roman" w:eastAsia="Calibri" w:hAnsi="Times New Roman" w:cs="Times New Roman"/>
          <w:b/>
          <w:noProof/>
          <w:color w:val="000000"/>
          <w:sz w:val="24"/>
          <w:szCs w:val="24"/>
        </w:rPr>
        <w:t xml:space="preserve"> </w:t>
      </w:r>
      <w:r>
        <w:rPr>
          <w:rFonts w:ascii="Times New Roman" w:eastAsia="Calibri" w:hAnsi="Times New Roman" w:cs="Times New Roman"/>
          <w:i/>
          <w:noProof/>
          <w:color w:val="000000"/>
          <w:sz w:val="24"/>
          <w:szCs w:val="24"/>
        </w:rPr>
        <w:t>Sub-option 3</w:t>
      </w:r>
      <w:r>
        <w:rPr>
          <w:rFonts w:ascii="Times New Roman" w:eastAsia="Calibri" w:hAnsi="Times New Roman" w:cs="Times New Roman"/>
          <w:noProof/>
          <w:color w:val="000000"/>
          <w:sz w:val="24"/>
          <w:szCs w:val="24"/>
        </w:rPr>
        <w:t xml:space="preserve"> is the preferred sub-option since it is the most likely to lead to a higher number of adopted restructuring plans. The risk that, in the absence of full harmonisation, the Member States could set a too high majority (e.g. 90%) or a double majority (both i</w:t>
      </w:r>
      <w:r>
        <w:rPr>
          <w:rFonts w:ascii="Times New Roman" w:eastAsia="Calibri" w:hAnsi="Times New Roman" w:cs="Times New Roman"/>
          <w:noProof/>
          <w:color w:val="000000"/>
          <w:sz w:val="24"/>
          <w:szCs w:val="24"/>
        </w:rPr>
        <w:t>n amount of claims and in number of creditors) which would effectively raise the obstacles to plan adoption should be addressed by limiting the maximum majority which can be required by Member States (e.g. 75%) and by establishing a simple majority only (i</w:t>
      </w:r>
      <w:r>
        <w:rPr>
          <w:rFonts w:ascii="Times New Roman" w:eastAsia="Calibri" w:hAnsi="Times New Roman" w:cs="Times New Roman"/>
          <w:noProof/>
          <w:color w:val="000000"/>
          <w:sz w:val="24"/>
          <w:szCs w:val="24"/>
        </w:rPr>
        <w:t xml:space="preserve">.e. in amount of claim). In order not to negatively impact </w:t>
      </w:r>
      <w:r>
        <w:rPr>
          <w:rFonts w:ascii="Times New Roman" w:eastAsia="Calibri" w:hAnsi="Times New Roman" w:cs="Times New Roman"/>
          <w:b/>
          <w:noProof/>
          <w:color w:val="000000"/>
          <w:sz w:val="24"/>
          <w:szCs w:val="24"/>
        </w:rPr>
        <w:t>fundamental rights</w:t>
      </w:r>
      <w:r>
        <w:rPr>
          <w:rFonts w:ascii="Times New Roman" w:eastAsia="Calibri" w:hAnsi="Times New Roman" w:cs="Times New Roman"/>
          <w:noProof/>
          <w:color w:val="000000"/>
          <w:sz w:val="24"/>
          <w:szCs w:val="24"/>
        </w:rPr>
        <w:t xml:space="preserve"> (i.e. the right to property of dissenting creditors and shareholders) and to avoid opportunistic behaviour on the part of a majority of creditors to the detriment of the minority</w:t>
      </w:r>
      <w:r>
        <w:rPr>
          <w:rFonts w:ascii="Times New Roman" w:eastAsia="Calibri" w:hAnsi="Times New Roman" w:cs="Times New Roman"/>
          <w:noProof/>
          <w:color w:val="000000"/>
          <w:sz w:val="24"/>
          <w:szCs w:val="24"/>
        </w:rPr>
        <w:t xml:space="preserve">, this option must be accompanies by several safeguards (eg. the best interest of creditors' test, the absolute priority rule). </w:t>
      </w:r>
      <w:r>
        <w:rPr>
          <w:rFonts w:ascii="Times New Roman" w:eastAsia="Calibri" w:hAnsi="Times New Roman" w:cs="Times New Roman"/>
          <w:noProof/>
          <w:sz w:val="24"/>
          <w:szCs w:val="24"/>
        </w:rPr>
        <w:t>Member States</w:t>
      </w:r>
      <w:r>
        <w:rPr>
          <w:rFonts w:ascii="Times New Roman" w:eastAsia="Calibri" w:hAnsi="Times New Roman" w:cs="Times New Roman"/>
          <w:noProof/>
          <w:color w:val="000000"/>
          <w:sz w:val="24"/>
          <w:szCs w:val="24"/>
        </w:rPr>
        <w:t xml:space="preserve"> will be able to set up the majorities they consider appropriate, although a qualified majority of the value of cla</w:t>
      </w:r>
      <w:r>
        <w:rPr>
          <w:rFonts w:ascii="Times New Roman" w:eastAsia="Calibri" w:hAnsi="Times New Roman" w:cs="Times New Roman"/>
          <w:noProof/>
          <w:color w:val="000000"/>
          <w:sz w:val="24"/>
          <w:szCs w:val="24"/>
        </w:rPr>
        <w:t>ims should be recommended. Given the sensitivity of reducing shareholders' rights, Member States should have greater flexibility in deciding which measures are more appropriate to achieve the objective of enabling plans to be confirmed despite the sharehol</w:t>
      </w:r>
      <w:r>
        <w:rPr>
          <w:rFonts w:ascii="Times New Roman" w:eastAsia="Calibri" w:hAnsi="Times New Roman" w:cs="Times New Roman"/>
          <w:noProof/>
          <w:color w:val="000000"/>
          <w:sz w:val="24"/>
          <w:szCs w:val="24"/>
        </w:rPr>
        <w:t xml:space="preserve">ders' opposition when this is not justified. In respect of </w:t>
      </w:r>
      <w:r>
        <w:rPr>
          <w:rFonts w:ascii="Times New Roman" w:eastAsia="Calibri" w:hAnsi="Times New Roman" w:cs="Times New Roman"/>
          <w:b/>
          <w:noProof/>
          <w:color w:val="000000"/>
          <w:sz w:val="24"/>
          <w:szCs w:val="24"/>
        </w:rPr>
        <w:t>social impacts</w:t>
      </w:r>
      <w:r>
        <w:rPr>
          <w:rFonts w:ascii="Times New Roman" w:eastAsia="Calibri" w:hAnsi="Times New Roman" w:cs="Times New Roman"/>
          <w:noProof/>
          <w:color w:val="000000"/>
          <w:sz w:val="24"/>
          <w:szCs w:val="24"/>
        </w:rPr>
        <w:t>, this procedure will be without prejudice to the workers' rights to information and consultation which are laid down in other EU instruments. Where they are affected as a class, work</w:t>
      </w:r>
      <w:r>
        <w:rPr>
          <w:rFonts w:ascii="Times New Roman" w:eastAsia="Calibri" w:hAnsi="Times New Roman" w:cs="Times New Roman"/>
          <w:noProof/>
          <w:color w:val="000000"/>
          <w:sz w:val="24"/>
          <w:szCs w:val="24"/>
        </w:rPr>
        <w:t xml:space="preserve">ers will have the same rights to vote on a plan as other creditors. </w:t>
      </w:r>
    </w:p>
    <w:p w:rsidR="00B32D69" w:rsidRDefault="00FB661A">
      <w:pPr>
        <w:spacing w:before="240" w:after="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In the performed public consultation, most respondents were in favour of a plan binding on secured creditors, while a smaller part of stakeholders said that secured creditors should be ex</w:t>
      </w:r>
      <w:r>
        <w:rPr>
          <w:rFonts w:ascii="Times New Roman" w:eastAsia="Calibri" w:hAnsi="Times New Roman" w:cs="Times New Roman"/>
          <w:noProof/>
          <w:color w:val="000000"/>
          <w:sz w:val="24"/>
          <w:szCs w:val="24"/>
        </w:rPr>
        <w:t xml:space="preserve">empted. The majority also supported a cross-class cram-down, provided that appropriate court supervision and the principle of "no creditor worse-off" are observed. More specifically, business organisations and insolvency practitioners supported in general </w:t>
      </w:r>
      <w:r>
        <w:rPr>
          <w:rFonts w:ascii="Times New Roman" w:eastAsia="Calibri" w:hAnsi="Times New Roman" w:cs="Times New Roman"/>
          <w:noProof/>
          <w:color w:val="000000"/>
          <w:sz w:val="24"/>
          <w:szCs w:val="24"/>
        </w:rPr>
        <w:t>that the plan should be adopted if the required majority in every class is in favour provided that the minority creditors are not unfairly prejudiced and that all classes of creditors should be affected by the plan. They were strongly of the view that secu</w:t>
      </w:r>
      <w:r>
        <w:rPr>
          <w:rFonts w:ascii="Times New Roman" w:eastAsia="Calibri" w:hAnsi="Times New Roman" w:cs="Times New Roman"/>
          <w:noProof/>
          <w:color w:val="000000"/>
          <w:sz w:val="24"/>
          <w:szCs w:val="24"/>
        </w:rPr>
        <w:t>red and unsecured creditors should be treated in separate classes.. As for shareholders' position, various views were expressed; some stakeholders were more reluctant to introducing mandatory provisions regarding shareholders in preventive restructuring, w</w:t>
      </w:r>
      <w:r>
        <w:rPr>
          <w:rFonts w:ascii="Times New Roman" w:eastAsia="Calibri" w:hAnsi="Times New Roman" w:cs="Times New Roman"/>
          <w:noProof/>
          <w:color w:val="000000"/>
          <w:sz w:val="24"/>
          <w:szCs w:val="24"/>
        </w:rPr>
        <w:t xml:space="preserve">hile others (EBF, AFME) were of the view that although shareholders should be involved in the negotiations, they should not have a hold out position if they are out of the money. </w:t>
      </w:r>
    </w:p>
    <w:p w:rsidR="00B32D69" w:rsidRDefault="00FB661A">
      <w:pPr>
        <w:spacing w:before="240" w:after="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Financial institutions were not opposed to sub-option 3, but they underlined</w:t>
      </w:r>
      <w:r>
        <w:rPr>
          <w:rFonts w:ascii="Times New Roman" w:eastAsia="Calibri" w:hAnsi="Times New Roman" w:cs="Times New Roman"/>
          <w:noProof/>
          <w:color w:val="000000"/>
          <w:sz w:val="24"/>
          <w:szCs w:val="24"/>
        </w:rPr>
        <w:t xml:space="preserve"> that adequate safeguards should exist for secured creditors, because the write off of claims of a secured creditor without individual consent could generate the type of uncertainty that may result in higher costs of financing. They were also of the view t</w:t>
      </w:r>
      <w:r>
        <w:rPr>
          <w:rFonts w:ascii="Times New Roman" w:eastAsia="Calibri" w:hAnsi="Times New Roman" w:cs="Times New Roman"/>
          <w:noProof/>
          <w:color w:val="000000"/>
          <w:sz w:val="24"/>
          <w:szCs w:val="24"/>
        </w:rPr>
        <w:t xml:space="preserve">hat shareholders' rights might need to be limited in certain circumstances, i.e when they prevent the plan from being adopted although this plan is likely to ensure the continuation of the company's activity and the recovery of the debts. </w:t>
      </w:r>
    </w:p>
    <w:p w:rsidR="00B32D69" w:rsidRDefault="00FB661A">
      <w:pPr>
        <w:spacing w:before="240" w:after="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The majority of </w:t>
      </w:r>
      <w:r>
        <w:rPr>
          <w:rFonts w:ascii="Times New Roman" w:eastAsia="Calibri" w:hAnsi="Times New Roman" w:cs="Times New Roman"/>
          <w:noProof/>
          <w:color w:val="000000"/>
          <w:sz w:val="24"/>
          <w:szCs w:val="24"/>
        </w:rPr>
        <w:t>the Member States were in favour of sub-option 2, as long as appropriate safeguards are put in place. However, views were diverging with regard to majorities required, exceptions and safeguards. As for the position of shareholders in early restructuring, d</w:t>
      </w:r>
      <w:r>
        <w:rPr>
          <w:rFonts w:ascii="Times New Roman" w:eastAsia="Calibri" w:hAnsi="Times New Roman" w:cs="Times New Roman"/>
          <w:noProof/>
          <w:color w:val="000000"/>
          <w:sz w:val="24"/>
          <w:szCs w:val="24"/>
        </w:rPr>
        <w:t>espite the fact that all the Member States supported the rationale, some of them (FI, ES, BE, IE) were concerned about the idea of introducing mandatory detailed rules, because of potential implications on company law and constitutional protection of prope</w:t>
      </w:r>
      <w:r>
        <w:rPr>
          <w:rFonts w:ascii="Times New Roman" w:eastAsia="Calibri" w:hAnsi="Times New Roman" w:cs="Times New Roman"/>
          <w:noProof/>
          <w:color w:val="000000"/>
          <w:sz w:val="24"/>
          <w:szCs w:val="24"/>
        </w:rPr>
        <w:t xml:space="preserve">rty rights. </w:t>
      </w:r>
    </w:p>
    <w:p w:rsidR="00B32D69" w:rsidRDefault="00FB661A">
      <w:pPr>
        <w:keepNext/>
        <w:spacing w:before="240" w:after="240" w:line="240" w:lineRule="auto"/>
        <w:jc w:val="both"/>
        <w:outlineLvl w:val="1"/>
        <w:rPr>
          <w:rFonts w:ascii="Times New Roman" w:eastAsia="Calibri" w:hAnsi="Times New Roman" w:cs="Times New Roman"/>
          <w:b/>
          <w:bCs/>
          <w:iCs/>
          <w:noProof/>
          <w:sz w:val="24"/>
          <w:szCs w:val="28"/>
        </w:rPr>
      </w:pPr>
      <w:bookmarkStart w:id="48" w:name="_Toc378078043"/>
      <w:bookmarkStart w:id="49" w:name="_Toc459390475"/>
      <w:bookmarkStart w:id="50" w:name="_Toc466452978"/>
      <w:r>
        <w:rPr>
          <w:rFonts w:ascii="Times New Roman" w:eastAsia="Calibri" w:hAnsi="Times New Roman" w:cs="Times New Roman"/>
          <w:b/>
          <w:bCs/>
          <w:iCs/>
          <w:noProof/>
          <w:sz w:val="24"/>
          <w:szCs w:val="28"/>
        </w:rPr>
        <w:t>5.5. New financing</w:t>
      </w:r>
      <w:bookmarkEnd w:id="48"/>
      <w:r>
        <w:rPr>
          <w:rFonts w:ascii="Times New Roman" w:eastAsia="Calibri" w:hAnsi="Times New Roman" w:cs="Times New Roman"/>
          <w:b/>
          <w:bCs/>
          <w:iCs/>
          <w:noProof/>
          <w:sz w:val="24"/>
          <w:szCs w:val="28"/>
        </w:rPr>
        <w:t xml:space="preserve"> and interim financing, safe harbour provisions and third party releases</w:t>
      </w:r>
      <w:bookmarkEnd w:id="49"/>
      <w:bookmarkEnd w:id="50"/>
    </w:p>
    <w:p w:rsidR="00B32D69" w:rsidRDefault="00FB661A">
      <w:pPr>
        <w:spacing w:before="240" w:after="24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t>5.5.1. Description of sub-options</w:t>
      </w:r>
    </w:p>
    <w:p w:rsidR="00B32D69" w:rsidRDefault="00FB661A">
      <w:pPr>
        <w:spacing w:before="120"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u w:val="single"/>
        </w:rPr>
        <w:t>Sub-option 1</w:t>
      </w:r>
      <w:r>
        <w:rPr>
          <w:rFonts w:ascii="Times New Roman" w:eastAsia="Calibri" w:hAnsi="Times New Roman" w:cs="Times New Roman"/>
          <w:noProof/>
          <w:sz w:val="24"/>
          <w:szCs w:val="24"/>
          <w:u w:val="single"/>
        </w:rPr>
        <w:t>:</w:t>
      </w:r>
      <w:r>
        <w:rPr>
          <w:rFonts w:ascii="Times New Roman" w:eastAsia="Calibri" w:hAnsi="Times New Roman" w:cs="Times New Roman"/>
          <w:noProof/>
          <w:sz w:val="24"/>
          <w:szCs w:val="24"/>
        </w:rPr>
        <w:t xml:space="preserve"> Protection of new financing - necessary to implement a restructuring plan - and of interim financing, necessary to keep the debtor operating during restructuring negotiations - is essential to make funds available to distressed businesses and for companie</w:t>
      </w:r>
      <w:r>
        <w:rPr>
          <w:rFonts w:ascii="Times New Roman" w:eastAsia="Calibri" w:hAnsi="Times New Roman" w:cs="Times New Roman"/>
          <w:noProof/>
          <w:sz w:val="24"/>
          <w:szCs w:val="24"/>
        </w:rPr>
        <w:t xml:space="preserve">s to keep operating while negotiating a restructuring plan. In both cases, protection can range from exemption from avoidance actions to a priority allowing the provider of new financing to rank above unsecured creditors. </w:t>
      </w:r>
    </w:p>
    <w:p w:rsidR="00B32D69" w:rsidRDefault="00FB661A">
      <w:pPr>
        <w:spacing w:before="120"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u w:val="single"/>
        </w:rPr>
        <w:t>Sub-option 2:</w:t>
      </w:r>
      <w:r>
        <w:rPr>
          <w:rFonts w:ascii="Times New Roman" w:eastAsia="Calibri" w:hAnsi="Times New Roman" w:cs="Times New Roman"/>
          <w:noProof/>
          <w:sz w:val="24"/>
          <w:szCs w:val="24"/>
        </w:rPr>
        <w:t xml:space="preserve"> In addition to prot</w:t>
      </w:r>
      <w:r>
        <w:rPr>
          <w:rFonts w:ascii="Times New Roman" w:eastAsia="Calibri" w:hAnsi="Times New Roman" w:cs="Times New Roman"/>
          <w:noProof/>
          <w:sz w:val="24"/>
          <w:szCs w:val="24"/>
        </w:rPr>
        <w:t xml:space="preserve">ection from avoidance actions, protection of new financing in the form of rebuttable presumption ensures safe harbour from challenges for non-related party transactions which were concluded during negotiation of a restructuring plan. </w:t>
      </w:r>
    </w:p>
    <w:p w:rsidR="00B32D69" w:rsidRDefault="00FB661A">
      <w:pPr>
        <w:spacing w:before="120"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u w:val="single"/>
        </w:rPr>
        <w:t>Sub-option 3:</w:t>
      </w:r>
      <w:r>
        <w:rPr>
          <w:rFonts w:ascii="Times New Roman" w:eastAsia="Calibri" w:hAnsi="Times New Roman" w:cs="Times New Roman"/>
          <w:noProof/>
          <w:sz w:val="24"/>
          <w:szCs w:val="24"/>
        </w:rPr>
        <w:t xml:space="preserve"> Finally</w:t>
      </w:r>
      <w:r>
        <w:rPr>
          <w:rFonts w:ascii="Times New Roman" w:eastAsia="Calibri" w:hAnsi="Times New Roman" w:cs="Times New Roman"/>
          <w:noProof/>
          <w:sz w:val="24"/>
          <w:szCs w:val="24"/>
        </w:rPr>
        <w:t>, release of third parties related to the insolvent subject from contractual obligations under the restructuring plan may be useful to strengthen the chances of restructuring of a business in difficulty. However, given the risks of interfering with the nat</w:t>
      </w:r>
      <w:r>
        <w:rPr>
          <w:rFonts w:ascii="Times New Roman" w:eastAsia="Calibri" w:hAnsi="Times New Roman" w:cs="Times New Roman"/>
          <w:noProof/>
          <w:sz w:val="24"/>
          <w:szCs w:val="24"/>
        </w:rPr>
        <w:t>ional provisions on guarantees and the security of transactions, such release provisions should be limited to two situations:</w:t>
      </w:r>
    </w:p>
    <w:p w:rsidR="00B32D69" w:rsidRDefault="00FB661A">
      <w:pPr>
        <w:spacing w:before="120" w:after="120" w:line="240" w:lineRule="auto"/>
        <w:ind w:left="567" w:hanging="567"/>
        <w:jc w:val="both"/>
        <w:rPr>
          <w:rFonts w:ascii="Times New Roman" w:eastAsia="Times New Roman" w:hAnsi="Times New Roman" w:cs="Times New Roman"/>
          <w:noProof/>
          <w:sz w:val="24"/>
          <w:szCs w:val="24"/>
        </w:rPr>
      </w:pPr>
      <w:r>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ab/>
        <w:t xml:space="preserve">a debtor must be released from </w:t>
      </w:r>
      <w:r>
        <w:rPr>
          <w:rFonts w:ascii="Times New Roman" w:eastAsia="Times New Roman" w:hAnsi="Times New Roman" w:cs="Times New Roman"/>
          <w:noProof/>
          <w:sz w:val="24"/>
          <w:szCs w:val="24"/>
        </w:rPr>
        <w:t xml:space="preserve">recourse claims of other affected obligors or guarantors in the same way as he is discharged of </w:t>
      </w:r>
      <w:r>
        <w:rPr>
          <w:rFonts w:ascii="Times New Roman" w:eastAsia="Times New Roman" w:hAnsi="Times New Roman" w:cs="Times New Roman"/>
          <w:noProof/>
          <w:sz w:val="24"/>
          <w:szCs w:val="24"/>
        </w:rPr>
        <w:t>the claims of the guaranteed creditors;</w:t>
      </w:r>
    </w:p>
    <w:p w:rsidR="00B32D69" w:rsidRDefault="00FB661A">
      <w:pPr>
        <w:spacing w:before="120" w:after="120" w:line="240" w:lineRule="auto"/>
        <w:ind w:left="567" w:hanging="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ab/>
        <w:t>except for legal entities, co-obligors and persons who have granted a personal guarantee or allocated or assigned an asset as collateral may avail themselves of the provisions of the restructuring plan confirmed b</w:t>
      </w:r>
      <w:r>
        <w:rPr>
          <w:rFonts w:ascii="Times New Roman" w:eastAsia="Times New Roman" w:hAnsi="Times New Roman" w:cs="Times New Roman"/>
          <w:noProof/>
          <w:sz w:val="24"/>
          <w:szCs w:val="24"/>
        </w:rPr>
        <w:t>y a court.</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rPr>
        <w:t>5.5.2. Assessment of impact of the sub-options and preferred sub-option</w:t>
      </w:r>
      <w:r>
        <w:rPr>
          <w:rFonts w:ascii="Times New Roman" w:eastAsia="Calibri" w:hAnsi="Times New Roman" w:cs="Times New Roman"/>
          <w:noProof/>
          <w:sz w:val="24"/>
          <w:szCs w:val="24"/>
        </w:rPr>
        <w:t xml:space="preserve">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2493"/>
        <w:gridCol w:w="2635"/>
        <w:gridCol w:w="2636"/>
      </w:tblGrid>
      <w:tr w:rsidR="00B32D69">
        <w:trPr>
          <w:trHeight w:val="215"/>
        </w:trPr>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line="240" w:lineRule="auto"/>
              <w:jc w:val="center"/>
              <w:rPr>
                <w:rFonts w:ascii="Times New Roman" w:eastAsia="Calibri" w:hAnsi="Times New Roman" w:cs="Times New Roman"/>
                <w:b/>
                <w:noProof/>
                <w:color w:val="000000"/>
                <w:sz w:val="20"/>
                <w:szCs w:val="20"/>
              </w:rPr>
            </w:pPr>
            <w:r>
              <w:rPr>
                <w:rFonts w:ascii="Times New Roman" w:eastAsia="Calibri" w:hAnsi="Times New Roman" w:cs="Times New Roman"/>
                <w:b/>
                <w:noProof/>
                <w:color w:val="000000"/>
                <w:sz w:val="20"/>
                <w:szCs w:val="20"/>
              </w:rPr>
              <w:t>Sub-options</w:t>
            </w:r>
          </w:p>
        </w:tc>
        <w:tc>
          <w:tcPr>
            <w:tcW w:w="2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line="240" w:lineRule="auto"/>
              <w:jc w:val="center"/>
              <w:rPr>
                <w:rFonts w:ascii="Times New Roman" w:eastAsia="Calibri" w:hAnsi="Times New Roman" w:cs="Times New Roman"/>
                <w:b/>
                <w:noProof/>
                <w:color w:val="000000"/>
                <w:sz w:val="20"/>
                <w:szCs w:val="20"/>
              </w:rPr>
            </w:pPr>
            <w:r>
              <w:rPr>
                <w:rFonts w:ascii="Times New Roman" w:eastAsia="Calibri" w:hAnsi="Times New Roman" w:cs="Times New Roman"/>
                <w:b/>
                <w:noProof/>
                <w:color w:val="000000"/>
                <w:sz w:val="20"/>
                <w:szCs w:val="20"/>
              </w:rPr>
              <w:t>Sub-option 1</w:t>
            </w:r>
          </w:p>
        </w:tc>
        <w:tc>
          <w:tcPr>
            <w:tcW w:w="2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line="240" w:lineRule="auto"/>
              <w:jc w:val="center"/>
              <w:rPr>
                <w:rFonts w:ascii="Times New Roman" w:eastAsia="Calibri" w:hAnsi="Times New Roman" w:cs="Times New Roman"/>
                <w:b/>
                <w:noProof/>
                <w:color w:val="000000"/>
                <w:sz w:val="20"/>
                <w:szCs w:val="20"/>
              </w:rPr>
            </w:pPr>
            <w:r>
              <w:rPr>
                <w:rFonts w:ascii="Times New Roman" w:eastAsia="Calibri" w:hAnsi="Times New Roman" w:cs="Times New Roman"/>
                <w:b/>
                <w:noProof/>
                <w:sz w:val="20"/>
                <w:szCs w:val="20"/>
              </w:rPr>
              <w:t>Sub-option 2</w:t>
            </w:r>
          </w:p>
        </w:tc>
        <w:tc>
          <w:tcPr>
            <w:tcW w:w="26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line="240" w:lineRule="auto"/>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Sub-option 3</w:t>
            </w:r>
          </w:p>
        </w:tc>
      </w:tr>
      <w:tr w:rsidR="00B32D69">
        <w:trPr>
          <w:trHeight w:val="416"/>
        </w:trPr>
        <w:tc>
          <w:tcPr>
            <w:tcW w:w="141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hAnsi="Times New Roman" w:cs="Times New Roman"/>
                <w:i/>
                <w:noProof/>
                <w:sz w:val="20"/>
                <w:szCs w:val="20"/>
              </w:rPr>
            </w:pPr>
            <w:r>
              <w:rPr>
                <w:rFonts w:ascii="Times New Roman" w:hAnsi="Times New Roman" w:cs="Times New Roman"/>
                <w:i/>
                <w:noProof/>
                <w:sz w:val="20"/>
                <w:szCs w:val="20"/>
              </w:rPr>
              <w:t xml:space="preserve">Sub-option summary </w:t>
            </w:r>
          </w:p>
        </w:tc>
        <w:tc>
          <w:tcPr>
            <w:tcW w:w="249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color w:val="000000"/>
                <w:sz w:val="20"/>
                <w:szCs w:val="20"/>
              </w:rPr>
            </w:pPr>
            <w:r>
              <w:rPr>
                <w:rFonts w:ascii="Times New Roman" w:eastAsia="Calibri" w:hAnsi="Times New Roman" w:cs="Times New Roman"/>
                <w:noProof/>
                <w:sz w:val="20"/>
                <w:szCs w:val="20"/>
              </w:rPr>
              <w:t>Exempting new financing</w:t>
            </w:r>
            <w:r>
              <w:rPr>
                <w:rFonts w:ascii="Times New Roman" w:eastAsia="Calibri" w:hAnsi="Times New Roman" w:cs="Times New Roman"/>
                <w:b/>
                <w:noProof/>
                <w:sz w:val="20"/>
                <w:szCs w:val="20"/>
              </w:rPr>
              <w:t xml:space="preserve"> </w:t>
            </w:r>
            <w:r>
              <w:rPr>
                <w:rFonts w:ascii="Times New Roman" w:eastAsia="Calibri" w:hAnsi="Times New Roman" w:cs="Times New Roman"/>
                <w:noProof/>
                <w:sz w:val="20"/>
                <w:szCs w:val="20"/>
              </w:rPr>
              <w:t xml:space="preserve">contained in the restructuring plan and interim financing necessary to </w:t>
            </w:r>
            <w:r>
              <w:rPr>
                <w:rFonts w:ascii="Times New Roman" w:eastAsia="Calibri" w:hAnsi="Times New Roman" w:cs="Times New Roman"/>
                <w:noProof/>
                <w:sz w:val="20"/>
                <w:szCs w:val="20"/>
              </w:rPr>
              <w:t>support the debtor during negotiations from avoidance actions. Member States</w:t>
            </w:r>
            <w:r>
              <w:rPr>
                <w:rFonts w:ascii="Times New Roman" w:eastAsia="Calibri" w:hAnsi="Times New Roman" w:cs="Times New Roman"/>
                <w:noProof/>
              </w:rPr>
              <w:t xml:space="preserve"> </w:t>
            </w:r>
            <w:r>
              <w:rPr>
                <w:rFonts w:ascii="Times New Roman" w:eastAsia="Calibri" w:hAnsi="Times New Roman" w:cs="Times New Roman"/>
                <w:noProof/>
                <w:sz w:val="20"/>
                <w:szCs w:val="20"/>
              </w:rPr>
              <w:t>may also provide for super-priority status to new financing, ranking it at least above unsecured creditors.</w:t>
            </w:r>
          </w:p>
        </w:tc>
        <w:tc>
          <w:tcPr>
            <w:tcW w:w="2635"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Sub-option 1 + Non-related party transaction entered into before insolv</w:t>
            </w:r>
            <w:r>
              <w:rPr>
                <w:rFonts w:ascii="Times New Roman" w:eastAsia="Calibri" w:hAnsi="Times New Roman" w:cs="Times New Roman"/>
                <w:noProof/>
                <w:sz w:val="20"/>
                <w:szCs w:val="20"/>
              </w:rPr>
              <w:t>ency, and in connection with a restructuring plan adopted by creditors shall be exempted from avoidance actions (safe harbour provisions).</w:t>
            </w:r>
          </w:p>
        </w:tc>
        <w:tc>
          <w:tcPr>
            <w:tcW w:w="263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Sub-option 2</w:t>
            </w:r>
            <w:r>
              <w:rPr>
                <w:rFonts w:ascii="Times New Roman" w:eastAsia="Calibri" w:hAnsi="Times New Roman" w:cs="Times New Roman"/>
                <w:b/>
                <w:noProof/>
                <w:sz w:val="20"/>
                <w:szCs w:val="20"/>
              </w:rPr>
              <w:t xml:space="preserve"> + </w:t>
            </w:r>
            <w:r>
              <w:rPr>
                <w:rFonts w:ascii="Times New Roman" w:eastAsia="Calibri" w:hAnsi="Times New Roman" w:cs="Times New Roman"/>
                <w:noProof/>
                <w:sz w:val="20"/>
                <w:szCs w:val="20"/>
              </w:rPr>
              <w:t xml:space="preserve">limited co-obligors' and guarantors'  releases under the plan </w:t>
            </w:r>
          </w:p>
        </w:tc>
      </w:tr>
      <w:tr w:rsidR="00B32D69">
        <w:trPr>
          <w:trHeight w:val="237"/>
        </w:trPr>
        <w:tc>
          <w:tcPr>
            <w:tcW w:w="918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32D69" w:rsidRDefault="00FB661A">
            <w:pPr>
              <w:spacing w:before="60" w:after="60"/>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Impacts</w:t>
            </w:r>
          </w:p>
        </w:tc>
      </w:tr>
      <w:tr w:rsidR="00B32D69">
        <w:tc>
          <w:tcPr>
            <w:tcW w:w="141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i/>
                <w:noProof/>
                <w:sz w:val="20"/>
                <w:szCs w:val="20"/>
              </w:rPr>
            </w:pPr>
            <w:r>
              <w:rPr>
                <w:rFonts w:ascii="Times New Roman" w:eastAsia="Calibri" w:hAnsi="Times New Roman" w:cs="Times New Roman"/>
                <w:i/>
                <w:noProof/>
                <w:sz w:val="20"/>
                <w:szCs w:val="20"/>
              </w:rPr>
              <w:t xml:space="preserve">Reduced costs of assessing </w:t>
            </w:r>
            <w:r>
              <w:rPr>
                <w:rFonts w:ascii="Times New Roman" w:eastAsia="Calibri" w:hAnsi="Times New Roman" w:cs="Times New Roman"/>
                <w:i/>
                <w:noProof/>
                <w:sz w:val="20"/>
                <w:szCs w:val="20"/>
              </w:rPr>
              <w:t>risk by investors</w:t>
            </w:r>
          </w:p>
        </w:tc>
        <w:tc>
          <w:tcPr>
            <w:tcW w:w="249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Ex ante, investors need to know what protection they will enjoy in case of failure of the business or, in case they are investing in a going concern business, in case of failure of the restructuring plan. The more elements of the </w:t>
            </w:r>
            <w:r>
              <w:rPr>
                <w:rFonts w:ascii="Times New Roman" w:eastAsia="Calibri" w:hAnsi="Times New Roman" w:cs="Times New Roman"/>
                <w:noProof/>
                <w:sz w:val="20"/>
                <w:szCs w:val="20"/>
              </w:rPr>
              <w:t>investors' protection are harmonised, the lower the costs of assessing risks for investors across the EU. The protection for avoidance actions is a minimum level of protection; although many MS have super-priority rules for new financing in order to encour</w:t>
            </w:r>
            <w:r>
              <w:rPr>
                <w:rFonts w:ascii="Times New Roman" w:eastAsia="Calibri" w:hAnsi="Times New Roman" w:cs="Times New Roman"/>
                <w:noProof/>
                <w:sz w:val="20"/>
                <w:szCs w:val="20"/>
              </w:rPr>
              <w:t>age investors, this is not accepted across the Union. Legitimate concerns as to the protection of the expectations of existing investors are often invoked. Moral hazard risks related to new and interim financing are addressed by the fact that protection sh</w:t>
            </w:r>
            <w:r>
              <w:rPr>
                <w:rFonts w:ascii="Times New Roman" w:eastAsia="Calibri" w:hAnsi="Times New Roman" w:cs="Times New Roman"/>
                <w:noProof/>
                <w:sz w:val="20"/>
                <w:szCs w:val="20"/>
              </w:rPr>
              <w:t>all not be available where there is fraud or bad faith.</w:t>
            </w:r>
          </w:p>
        </w:tc>
        <w:tc>
          <w:tcPr>
            <w:tcW w:w="2635"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This sub-option would ensure more certainty as to which transactions are not likely to be annulled or declared void in subsequent insolvency proceedings.  </w:t>
            </w:r>
          </w:p>
        </w:tc>
        <w:tc>
          <w:tcPr>
            <w:tcW w:w="263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 xml:space="preserve">Banks might incur higher costs in assessing </w:t>
            </w:r>
            <w:r>
              <w:rPr>
                <w:rFonts w:ascii="Times New Roman" w:eastAsia="Calibri" w:hAnsi="Times New Roman" w:cs="Times New Roman"/>
                <w:i/>
                <w:noProof/>
                <w:sz w:val="20"/>
                <w:szCs w:val="20"/>
              </w:rPr>
              <w:t>ex-ante</w:t>
            </w:r>
            <w:r>
              <w:rPr>
                <w:rFonts w:ascii="Times New Roman" w:eastAsia="Calibri" w:hAnsi="Times New Roman" w:cs="Times New Roman"/>
                <w:noProof/>
                <w:sz w:val="20"/>
                <w:szCs w:val="20"/>
              </w:rPr>
              <w:t xml:space="preserve"> the costs of releasing guarantors even in limited circumstances than making that assessment on a case-by-case basis </w:t>
            </w:r>
            <w:r>
              <w:rPr>
                <w:rFonts w:ascii="Times New Roman" w:eastAsia="Calibri" w:hAnsi="Times New Roman" w:cs="Times New Roman"/>
                <w:i/>
                <w:noProof/>
                <w:sz w:val="20"/>
                <w:szCs w:val="20"/>
              </w:rPr>
              <w:t>ex-post</w:t>
            </w:r>
            <w:r>
              <w:rPr>
                <w:rFonts w:ascii="Times New Roman" w:eastAsia="Calibri" w:hAnsi="Times New Roman" w:cs="Times New Roman"/>
                <w:noProof/>
                <w:sz w:val="20"/>
                <w:szCs w:val="20"/>
              </w:rPr>
              <w:t>.</w:t>
            </w:r>
          </w:p>
        </w:tc>
      </w:tr>
      <w:tr w:rsidR="00B32D69">
        <w:tc>
          <w:tcPr>
            <w:tcW w:w="141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i/>
                <w:noProof/>
                <w:sz w:val="20"/>
                <w:szCs w:val="20"/>
              </w:rPr>
            </w:pPr>
            <w:r>
              <w:rPr>
                <w:rFonts w:ascii="Times New Roman" w:eastAsia="Calibri" w:hAnsi="Times New Roman" w:cs="Times New Roman"/>
                <w:i/>
                <w:noProof/>
                <w:sz w:val="20"/>
                <w:szCs w:val="20"/>
              </w:rPr>
              <w:t>Reduced costs of restructuring of cross-border group</w:t>
            </w:r>
          </w:p>
        </w:tc>
        <w:tc>
          <w:tcPr>
            <w:tcW w:w="249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Protection for new fina</w:t>
            </w:r>
            <w:r>
              <w:rPr>
                <w:rFonts w:ascii="Times New Roman" w:eastAsia="Calibri" w:hAnsi="Times New Roman" w:cs="Times New Roman"/>
                <w:noProof/>
                <w:sz w:val="20"/>
                <w:szCs w:val="20"/>
              </w:rPr>
              <w:t xml:space="preserve">ncing and interim financing across the Member States will increase the chances of success of restructuring members of groups of companies in a coordinated and efficient way. </w:t>
            </w:r>
          </w:p>
        </w:tc>
        <w:tc>
          <w:tcPr>
            <w:tcW w:w="2635"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Harmonisation of additional elements of the functioning of the debtor reduces </w:t>
            </w:r>
            <w:r>
              <w:rPr>
                <w:rFonts w:ascii="Times New Roman" w:eastAsia="Calibri" w:hAnsi="Times New Roman" w:cs="Times New Roman"/>
                <w:noProof/>
                <w:sz w:val="20"/>
                <w:szCs w:val="20"/>
              </w:rPr>
              <w:t>the costs of restructuring of cross-border groups. This sub-option will protect from avoidance actions transactions which are necessary for the execution of an approved restructuring plan potentially in several Member States without having been specificall</w:t>
            </w:r>
            <w:r>
              <w:rPr>
                <w:rFonts w:ascii="Times New Roman" w:eastAsia="Calibri" w:hAnsi="Times New Roman" w:cs="Times New Roman"/>
                <w:noProof/>
                <w:sz w:val="20"/>
                <w:szCs w:val="20"/>
              </w:rPr>
              <w:t>y mentioned in the plan itself.</w:t>
            </w:r>
          </w:p>
        </w:tc>
        <w:tc>
          <w:tcPr>
            <w:tcW w:w="263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This sub-option would ensure that the restructuring of the mother company does not trigger financial difficulties for a subsidiary in another Member State.</w:t>
            </w:r>
          </w:p>
        </w:tc>
      </w:tr>
      <w:tr w:rsidR="00B32D69">
        <w:tc>
          <w:tcPr>
            <w:tcW w:w="141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i/>
                <w:noProof/>
                <w:color w:val="000000"/>
                <w:sz w:val="20"/>
                <w:szCs w:val="20"/>
              </w:rPr>
            </w:pPr>
            <w:r>
              <w:rPr>
                <w:rFonts w:ascii="Times New Roman" w:eastAsia="Calibri" w:hAnsi="Times New Roman" w:cs="Times New Roman"/>
                <w:i/>
                <w:noProof/>
                <w:color w:val="000000"/>
                <w:sz w:val="20"/>
                <w:szCs w:val="20"/>
              </w:rPr>
              <w:t xml:space="preserve">Effectiveness </w:t>
            </w:r>
          </w:p>
        </w:tc>
        <w:tc>
          <w:tcPr>
            <w:tcW w:w="249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More companies would be restructured </w:t>
            </w:r>
            <w:r>
              <w:rPr>
                <w:rFonts w:ascii="Times New Roman" w:eastAsia="Calibri" w:hAnsi="Times New Roman" w:cs="Times New Roman"/>
                <w:noProof/>
                <w:color w:val="000000"/>
                <w:sz w:val="20"/>
                <w:szCs w:val="20"/>
              </w:rPr>
              <w:t>successfully, since new and interim financing can be crucial for the rescue of business in difficulty.</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Minimum protection for their investments will encourage lenders to support viable companies in financial difficulties by extending new financing and by s</w:t>
            </w:r>
            <w:r>
              <w:rPr>
                <w:rFonts w:ascii="Times New Roman" w:eastAsia="Calibri" w:hAnsi="Times New Roman" w:cs="Times New Roman"/>
                <w:noProof/>
                <w:color w:val="000000"/>
                <w:sz w:val="20"/>
                <w:szCs w:val="20"/>
              </w:rPr>
              <w:t>upporting the continuation of operations by the debtor during restructuring</w:t>
            </w:r>
            <w:r>
              <w:rPr>
                <w:rFonts w:eastAsia="Calibri" w:cs="Times New Roman"/>
                <w:noProof/>
                <w:color w:val="000000"/>
                <w:sz w:val="20"/>
                <w:szCs w:val="20"/>
                <w:vertAlign w:val="superscript"/>
              </w:rPr>
              <w:footnoteReference w:id="174"/>
            </w:r>
            <w:r>
              <w:rPr>
                <w:rFonts w:ascii="Times New Roman" w:eastAsia="Calibri" w:hAnsi="Times New Roman" w:cs="Times New Roman"/>
                <w:noProof/>
                <w:color w:val="000000"/>
                <w:sz w:val="20"/>
                <w:szCs w:val="20"/>
              </w:rPr>
              <w:t xml:space="preserve">. </w:t>
            </w:r>
          </w:p>
        </w:tc>
        <w:tc>
          <w:tcPr>
            <w:tcW w:w="2635"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Even more companies may be successfully restructured in comparison with sub-option 1. </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Likely to increase the willingness of creditors to extend credit to the debtor undergoi</w:t>
            </w:r>
            <w:r>
              <w:rPr>
                <w:rFonts w:ascii="Times New Roman" w:eastAsia="Calibri" w:hAnsi="Times New Roman" w:cs="Times New Roman"/>
                <w:noProof/>
                <w:sz w:val="20"/>
                <w:szCs w:val="20"/>
              </w:rPr>
              <w:t xml:space="preserve">ng restructuring negotiations and to help the debtor continue its daily operation of the business. </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sz w:val="20"/>
                <w:szCs w:val="20"/>
              </w:rPr>
              <w:t>Directors will be more willing to enter transactions with non-related parties to save the businesses if they are not risking personal liability actions.</w:t>
            </w:r>
          </w:p>
        </w:tc>
        <w:tc>
          <w:tcPr>
            <w:tcW w:w="263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Even more companies restructured successfully in comparison with sub-option 2. </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Third party releases would incentivise entrepreneurs to file early in order to benefit from the provisions of the plan. This will also consolidate the position of the restruct</w:t>
            </w:r>
            <w:r>
              <w:rPr>
                <w:rFonts w:ascii="Times New Roman" w:eastAsia="Calibri" w:hAnsi="Times New Roman" w:cs="Times New Roman"/>
                <w:noProof/>
                <w:color w:val="000000"/>
                <w:sz w:val="20"/>
                <w:szCs w:val="20"/>
              </w:rPr>
              <w:t xml:space="preserve">ured debtor who will not fear a right to recourse from third parties which could annul the benefits of the restructuring. </w:t>
            </w:r>
          </w:p>
        </w:tc>
      </w:tr>
      <w:tr w:rsidR="00B32D69">
        <w:tc>
          <w:tcPr>
            <w:tcW w:w="141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i/>
                <w:noProof/>
                <w:color w:val="000000"/>
                <w:sz w:val="20"/>
                <w:szCs w:val="20"/>
              </w:rPr>
            </w:pPr>
            <w:r>
              <w:rPr>
                <w:rFonts w:ascii="Times New Roman" w:eastAsia="Calibri" w:hAnsi="Times New Roman" w:cs="Times New Roman"/>
                <w:i/>
                <w:noProof/>
                <w:sz w:val="20"/>
                <w:szCs w:val="20"/>
              </w:rPr>
              <w:t xml:space="preserve">Costs of restructuring procedure </w:t>
            </w:r>
          </w:p>
        </w:tc>
        <w:tc>
          <w:tcPr>
            <w:tcW w:w="249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sz w:val="20"/>
                <w:szCs w:val="20"/>
              </w:rPr>
              <w:t>Since many restructuring attempts are still likely to be unsuccessful and end in insolvency, the</w:t>
            </w:r>
            <w:r>
              <w:rPr>
                <w:rFonts w:ascii="Times New Roman" w:eastAsia="Calibri" w:hAnsi="Times New Roman" w:cs="Times New Roman"/>
                <w:noProof/>
                <w:sz w:val="20"/>
                <w:szCs w:val="20"/>
              </w:rPr>
              <w:t xml:space="preserve"> protection of new and interim finance may reduce the pool of assets for the pre-restructuring creditors. </w:t>
            </w:r>
            <w:r>
              <w:rPr>
                <w:rFonts w:ascii="Times New Roman" w:eastAsia="Calibri" w:hAnsi="Times New Roman" w:cs="Times New Roman"/>
                <w:noProof/>
                <w:color w:val="000000"/>
                <w:sz w:val="20"/>
                <w:szCs w:val="20"/>
              </w:rPr>
              <w:t>Giving new finance super-priority may impact even more heavily on the recovery by pre-restructuring creditors.</w:t>
            </w:r>
          </w:p>
        </w:tc>
        <w:tc>
          <w:tcPr>
            <w:tcW w:w="2635"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Since many restructuring attempts are</w:t>
            </w:r>
            <w:r>
              <w:rPr>
                <w:rFonts w:ascii="Times New Roman" w:eastAsia="Calibri" w:hAnsi="Times New Roman" w:cs="Times New Roman"/>
                <w:noProof/>
                <w:sz w:val="20"/>
                <w:szCs w:val="20"/>
              </w:rPr>
              <w:t xml:space="preserve"> still likely to be unsuccessful and end in insolvency, the protection of non-related party transactions may reduce the pool of assets for the body of creditors. No change compared with Sub-option 1.</w:t>
            </w:r>
          </w:p>
        </w:tc>
        <w:tc>
          <w:tcPr>
            <w:tcW w:w="263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Such a provision would allow lenders such as banks t</w:t>
            </w:r>
            <w:r>
              <w:rPr>
                <w:rFonts w:ascii="Times New Roman" w:eastAsia="Calibri" w:hAnsi="Times New Roman" w:cs="Times New Roman"/>
                <w:noProof/>
                <w:color w:val="000000"/>
                <w:sz w:val="20"/>
                <w:szCs w:val="20"/>
              </w:rPr>
              <w:t>o deal with both the principal loan and its guarantee in one single procedure rather than in separate procedures. Banks may need to factor in the possibility of third party releases when extending credit. This may increase the cost of credit. However, bank</w:t>
            </w:r>
            <w:r>
              <w:rPr>
                <w:rFonts w:ascii="Times New Roman" w:eastAsia="Calibri" w:hAnsi="Times New Roman" w:cs="Times New Roman"/>
                <w:noProof/>
                <w:color w:val="000000"/>
                <w:sz w:val="20"/>
                <w:szCs w:val="20"/>
              </w:rPr>
              <w:t>s may already do so on a voluntary basis.</w:t>
            </w:r>
          </w:p>
        </w:tc>
      </w:tr>
      <w:tr w:rsidR="00B32D69">
        <w:tc>
          <w:tcPr>
            <w:tcW w:w="141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i/>
                <w:noProof/>
                <w:color w:val="000000"/>
                <w:sz w:val="20"/>
                <w:szCs w:val="20"/>
              </w:rPr>
            </w:pPr>
            <w:r>
              <w:rPr>
                <w:rFonts w:ascii="Times New Roman" w:eastAsia="Calibri" w:hAnsi="Times New Roman" w:cs="Times New Roman"/>
                <w:i/>
                <w:noProof/>
                <w:color w:val="000000"/>
                <w:sz w:val="20"/>
                <w:szCs w:val="20"/>
              </w:rPr>
              <w:t xml:space="preserve">Legal systems </w:t>
            </w:r>
          </w:p>
        </w:tc>
        <w:tc>
          <w:tcPr>
            <w:tcW w:w="249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In some </w:t>
            </w:r>
            <w:r>
              <w:rPr>
                <w:rFonts w:ascii="Times New Roman" w:eastAsia="Calibri" w:hAnsi="Times New Roman" w:cs="Times New Roman"/>
                <w:noProof/>
                <w:sz w:val="20"/>
                <w:szCs w:val="20"/>
              </w:rPr>
              <w:t>Member States</w:t>
            </w:r>
            <w:r>
              <w:rPr>
                <w:rFonts w:ascii="Times New Roman" w:eastAsia="Calibri" w:hAnsi="Times New Roman" w:cs="Times New Roman"/>
                <w:noProof/>
                <w:color w:val="000000"/>
                <w:sz w:val="20"/>
                <w:szCs w:val="20"/>
              </w:rPr>
              <w:t>, changes to the rule on avoidance actions, suspect periods and the civil and criminal liability of lenders to companies in distress would need to be made.</w:t>
            </w:r>
          </w:p>
        </w:tc>
        <w:tc>
          <w:tcPr>
            <w:tcW w:w="2635"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sz w:val="20"/>
                <w:szCs w:val="20"/>
              </w:rPr>
              <w:t xml:space="preserve">Similar to </w:t>
            </w:r>
            <w:r>
              <w:rPr>
                <w:rFonts w:ascii="Times New Roman" w:eastAsia="Calibri" w:hAnsi="Times New Roman" w:cs="Times New Roman"/>
                <w:noProof/>
                <w:sz w:val="20"/>
                <w:szCs w:val="20"/>
              </w:rPr>
              <w:t xml:space="preserve">sub-option 1. This measure would not exempt transactions from avoidance actions, but simply shift the burden of proof on the insolvency administrator or creditors wishing to challenge a transaction concluded in the vicinity of insolvency as detrimental to </w:t>
            </w:r>
            <w:r>
              <w:rPr>
                <w:rFonts w:ascii="Times New Roman" w:eastAsia="Calibri" w:hAnsi="Times New Roman" w:cs="Times New Roman"/>
                <w:noProof/>
                <w:sz w:val="20"/>
                <w:szCs w:val="20"/>
              </w:rPr>
              <w:t>the general body of creditors</w:t>
            </w:r>
            <w:r>
              <w:rPr>
                <w:rFonts w:eastAsia="Calibri" w:cs="Times New Roman"/>
                <w:noProof/>
                <w:sz w:val="20"/>
                <w:szCs w:val="20"/>
                <w:vertAlign w:val="superscript"/>
              </w:rPr>
              <w:footnoteReference w:id="175"/>
            </w:r>
            <w:r>
              <w:rPr>
                <w:rFonts w:ascii="Times New Roman" w:eastAsia="Calibri" w:hAnsi="Times New Roman" w:cs="Times New Roman"/>
                <w:noProof/>
                <w:sz w:val="20"/>
                <w:szCs w:val="20"/>
              </w:rPr>
              <w:t xml:space="preserve">. Member States may need to amend their provisions on burden of proof in relation to avoidance actions, but could keep other provisions unchanged, including on suspect periods and definition of 'non-related party'. </w:t>
            </w:r>
          </w:p>
        </w:tc>
        <w:tc>
          <w:tcPr>
            <w:tcW w:w="263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sz w:val="20"/>
                <w:szCs w:val="20"/>
              </w:rPr>
              <w:t>Some a</w:t>
            </w:r>
            <w:r>
              <w:rPr>
                <w:rFonts w:ascii="Times New Roman" w:eastAsia="Calibri" w:hAnsi="Times New Roman" w:cs="Times New Roman"/>
                <w:noProof/>
                <w:sz w:val="20"/>
                <w:szCs w:val="20"/>
              </w:rPr>
              <w:t xml:space="preserve">dditional changes in relation to sub-option 2 in national legislations on enforcement of guarantees may be necessary. </w:t>
            </w:r>
          </w:p>
        </w:tc>
      </w:tr>
      <w:tr w:rsidR="00B32D69">
        <w:tc>
          <w:tcPr>
            <w:tcW w:w="141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i/>
                <w:noProof/>
                <w:color w:val="000000"/>
                <w:sz w:val="20"/>
                <w:szCs w:val="20"/>
              </w:rPr>
            </w:pPr>
            <w:r>
              <w:rPr>
                <w:rFonts w:ascii="Times New Roman" w:eastAsia="Calibri" w:hAnsi="Times New Roman" w:cs="Times New Roman"/>
                <w:i/>
                <w:noProof/>
                <w:color w:val="000000"/>
                <w:sz w:val="20"/>
                <w:szCs w:val="20"/>
              </w:rPr>
              <w:t>Fundamental rights – right to property</w:t>
            </w:r>
          </w:p>
        </w:tc>
        <w:tc>
          <w:tcPr>
            <w:tcW w:w="249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Super-priority rules may impair the rights of pre-petition creditors to property. As a </w:t>
            </w:r>
            <w:r>
              <w:rPr>
                <w:rFonts w:ascii="Times New Roman" w:eastAsia="Calibri" w:hAnsi="Times New Roman" w:cs="Times New Roman"/>
                <w:noProof/>
                <w:color w:val="000000"/>
                <w:sz w:val="20"/>
                <w:szCs w:val="20"/>
              </w:rPr>
              <w:t>safeguard, a liquidation value test should be carried out by a court, and challenges should be allowed. Super-priority can remain an option for the Member States or for creditors themselves.</w:t>
            </w:r>
          </w:p>
        </w:tc>
        <w:tc>
          <w:tcPr>
            <w:tcW w:w="2635"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0</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Avoidance actions are already an expression of the competing ri</w:t>
            </w:r>
            <w:r>
              <w:rPr>
                <w:rFonts w:ascii="Times New Roman" w:eastAsia="Calibri" w:hAnsi="Times New Roman" w:cs="Times New Roman"/>
                <w:noProof/>
                <w:color w:val="000000"/>
                <w:sz w:val="20"/>
                <w:szCs w:val="20"/>
              </w:rPr>
              <w:t xml:space="preserve">ghts to enforceability of contracts and legal certainty and protection for the interests of creditors. A large margin of appreciation is already found in the Member States. </w:t>
            </w:r>
          </w:p>
        </w:tc>
        <w:tc>
          <w:tcPr>
            <w:tcW w:w="263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Lenders may face the additional threat of not being able to fully enforce collat</w:t>
            </w:r>
            <w:r>
              <w:rPr>
                <w:rFonts w:ascii="Times New Roman" w:eastAsia="Calibri" w:hAnsi="Times New Roman" w:cs="Times New Roman"/>
                <w:noProof/>
                <w:color w:val="000000"/>
                <w:sz w:val="20"/>
                <w:szCs w:val="20"/>
              </w:rPr>
              <w:t>eral. For this reason, such measures should be allowed only in limited circumstances, and only if adequate safeguards are put in place.</w:t>
            </w:r>
          </w:p>
        </w:tc>
      </w:tr>
    </w:tbl>
    <w:p w:rsidR="00B32D69" w:rsidRDefault="00FB661A">
      <w:pPr>
        <w:spacing w:before="240" w:after="24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i/>
          <w:noProof/>
          <w:sz w:val="24"/>
          <w:szCs w:val="24"/>
          <w:u w:val="single"/>
        </w:rPr>
        <w:t>Summary assessment of the preferred sub-option</w:t>
      </w:r>
      <w:r>
        <w:rPr>
          <w:rFonts w:ascii="Times New Roman" w:eastAsia="Calibri" w:hAnsi="Times New Roman" w:cs="Times New Roman"/>
          <w:noProof/>
          <w:color w:val="000000"/>
          <w:sz w:val="24"/>
          <w:szCs w:val="24"/>
          <w:u w:val="single"/>
        </w:rPr>
        <w:t>:</w:t>
      </w:r>
      <w:r>
        <w:rPr>
          <w:rFonts w:ascii="Times New Roman" w:eastAsia="Calibri" w:hAnsi="Times New Roman" w:cs="Times New Roman"/>
          <w:b/>
          <w:noProof/>
          <w:color w:val="000000"/>
          <w:sz w:val="24"/>
          <w:szCs w:val="24"/>
        </w:rPr>
        <w:t xml:space="preserve"> </w:t>
      </w:r>
      <w:r>
        <w:rPr>
          <w:rFonts w:ascii="Times New Roman" w:eastAsia="Calibri" w:hAnsi="Times New Roman" w:cs="Times New Roman"/>
          <w:i/>
          <w:noProof/>
          <w:color w:val="000000"/>
          <w:sz w:val="24"/>
          <w:szCs w:val="24"/>
        </w:rPr>
        <w:t>Sub-option 2</w:t>
      </w:r>
      <w:r>
        <w:rPr>
          <w:rFonts w:ascii="Times New Roman" w:eastAsia="Calibri" w:hAnsi="Times New Roman" w:cs="Times New Roman"/>
          <w:noProof/>
          <w:color w:val="000000"/>
          <w:sz w:val="24"/>
          <w:szCs w:val="24"/>
        </w:rPr>
        <w:t xml:space="preserve"> is the preferred sub-option since it provides the necessary incentives for investors to support the company while negotiations are on-going and ensuring that restructuring plans can be successfully implemented by providing for new financing. These objecti</w:t>
      </w:r>
      <w:r>
        <w:rPr>
          <w:rFonts w:ascii="Times New Roman" w:eastAsia="Calibri" w:hAnsi="Times New Roman" w:cs="Times New Roman"/>
          <w:noProof/>
          <w:color w:val="000000"/>
          <w:sz w:val="24"/>
          <w:szCs w:val="24"/>
        </w:rPr>
        <w:t>ves could be achieved without excessively affecting the property rights of existing creditors, especially banks, and without raising the costs of credit. There is a risk that, in the absence of unified rules on affording new and interim finance super-prior</w:t>
      </w:r>
      <w:r>
        <w:rPr>
          <w:rFonts w:ascii="Times New Roman" w:eastAsia="Calibri" w:hAnsi="Times New Roman" w:cs="Times New Roman"/>
          <w:noProof/>
          <w:color w:val="000000"/>
          <w:sz w:val="24"/>
          <w:szCs w:val="24"/>
        </w:rPr>
        <w:t>ity status in the context of subsequent insolvency proceedings, investors would not be sufficiently encouraged to support restructuring efforts. However, if new investment would indeed be crucial to the survival of a viable debtor, such super-priority stat</w:t>
      </w:r>
      <w:r>
        <w:rPr>
          <w:rFonts w:ascii="Times New Roman" w:eastAsia="Calibri" w:hAnsi="Times New Roman" w:cs="Times New Roman"/>
          <w:noProof/>
          <w:color w:val="000000"/>
          <w:sz w:val="24"/>
          <w:szCs w:val="24"/>
        </w:rPr>
        <w:t xml:space="preserve">us could be contractually agreed upon among creditors via inter-creditor agreements. </w:t>
      </w:r>
      <w:r>
        <w:rPr>
          <w:rFonts w:ascii="Times New Roman" w:eastAsia="Calibri" w:hAnsi="Times New Roman" w:cs="Times New Roman"/>
          <w:b/>
          <w:noProof/>
          <w:color w:val="000000"/>
          <w:sz w:val="24"/>
          <w:szCs w:val="24"/>
        </w:rPr>
        <w:t>Moral hazard</w:t>
      </w:r>
      <w:r>
        <w:rPr>
          <w:rFonts w:ascii="Times New Roman" w:eastAsia="Calibri" w:hAnsi="Times New Roman" w:cs="Times New Roman"/>
          <w:noProof/>
          <w:color w:val="000000"/>
          <w:sz w:val="24"/>
          <w:szCs w:val="24"/>
        </w:rPr>
        <w:t xml:space="preserve"> risks should be addressed for example by ensuring that the protection for new financing and interim financing is not available where there is evidence of frau</w:t>
      </w:r>
      <w:r>
        <w:rPr>
          <w:rFonts w:ascii="Times New Roman" w:eastAsia="Calibri" w:hAnsi="Times New Roman" w:cs="Times New Roman"/>
          <w:noProof/>
          <w:color w:val="000000"/>
          <w:sz w:val="24"/>
          <w:szCs w:val="24"/>
        </w:rPr>
        <w:t>d or bad faith. There are no discernible social impacts related to this sub-option.</w:t>
      </w:r>
    </w:p>
    <w:p w:rsidR="00B32D69" w:rsidRDefault="00FB661A">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public consultation, the vast majority of respondents agreed that interim and new financing is needed for the successful restructuring and continuity of the business</w:t>
      </w:r>
      <w:r>
        <w:rPr>
          <w:rFonts w:ascii="Times New Roman" w:hAnsi="Times New Roman" w:cs="Times New Roman"/>
          <w:noProof/>
          <w:sz w:val="24"/>
          <w:szCs w:val="24"/>
        </w:rPr>
        <w:t>. Most stakeholders from the business sector were of the view that financing should be protected if agreed in the restructuring plan and confirmed by the court, while some of them believed that new financing should always be protected. Particularly, busine</w:t>
      </w:r>
      <w:r>
        <w:rPr>
          <w:rFonts w:ascii="Times New Roman" w:hAnsi="Times New Roman" w:cs="Times New Roman"/>
          <w:noProof/>
          <w:sz w:val="24"/>
          <w:szCs w:val="24"/>
        </w:rPr>
        <w:t xml:space="preserve">ss organisations such as UEAPME, Independent Retail Europe and BusinessEurope mentioned that adequate protection of providers of new financing will provide incentives for early restructuring. </w:t>
      </w:r>
    </w:p>
    <w:p w:rsidR="00B32D69" w:rsidRDefault="00FB661A">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Legal and insolvency practitioners were in favour of providing </w:t>
      </w:r>
      <w:r>
        <w:rPr>
          <w:rFonts w:ascii="Times New Roman" w:hAnsi="Times New Roman" w:cs="Times New Roman"/>
          <w:noProof/>
          <w:sz w:val="24"/>
          <w:szCs w:val="24"/>
        </w:rPr>
        <w:t>protection for new financing and, for the sake of greater certainty, they supported the idea of a safe harbour provision equipped with adequate safeguards. However, they were opposed to harmonising substantive definitions of avoidance actions and look back</w:t>
      </w:r>
      <w:r>
        <w:rPr>
          <w:rFonts w:ascii="Times New Roman" w:hAnsi="Times New Roman" w:cs="Times New Roman"/>
          <w:noProof/>
          <w:sz w:val="24"/>
          <w:szCs w:val="24"/>
        </w:rPr>
        <w:t xml:space="preserve"> periods, because of the existing divergence in national systems. Although they were not entirely opposed to specific rules on third party releases, they remained reluctant, mainly because of fear of moral hazard.</w:t>
      </w:r>
    </w:p>
    <w:p w:rsidR="00B32D69" w:rsidRDefault="00FB661A">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Financial institutions were in favour of a</w:t>
      </w:r>
      <w:r>
        <w:rPr>
          <w:rFonts w:ascii="Times New Roman" w:hAnsi="Times New Roman" w:cs="Times New Roman"/>
          <w:noProof/>
          <w:sz w:val="24"/>
          <w:szCs w:val="24"/>
        </w:rPr>
        <w:t>dequate protection for new financing provided that it was agreed in the plan and confirmed by the court. They were opposed to any rules on third party releases due to potential implications in cost of credit.  They were also opposed to any harmonisation of</w:t>
      </w:r>
      <w:r>
        <w:rPr>
          <w:rFonts w:ascii="Times New Roman" w:hAnsi="Times New Roman" w:cs="Times New Roman"/>
          <w:noProof/>
          <w:sz w:val="24"/>
          <w:szCs w:val="24"/>
        </w:rPr>
        <w:t xml:space="preserve"> ranking of claims. </w:t>
      </w:r>
    </w:p>
    <w:p w:rsidR="00B32D69" w:rsidRDefault="00FB661A">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During the dedicated meetings, the majority of the Member States (NL, AT, SI, RO, PT, IE, PL, EL) were in favour of general principles for the protection of new and interim financing, provided that there are appropriate safeguard again</w:t>
      </w:r>
      <w:r>
        <w:rPr>
          <w:rFonts w:ascii="Times New Roman" w:hAnsi="Times New Roman" w:cs="Times New Roman"/>
          <w:noProof/>
          <w:sz w:val="24"/>
          <w:szCs w:val="24"/>
        </w:rPr>
        <w:t>st bad faith behaviour and fraud. Member States were, nevertheless, opposed to mandatory provisions granting super priority for new money or to any rules, which would affect domestic systems of ranking of claims and securities. As to safe harbour provision</w:t>
      </w:r>
      <w:r>
        <w:rPr>
          <w:rFonts w:ascii="Times New Roman" w:hAnsi="Times New Roman" w:cs="Times New Roman"/>
          <w:noProof/>
          <w:sz w:val="24"/>
          <w:szCs w:val="24"/>
        </w:rPr>
        <w:t>s, the majority of the Member States (RO, PT, ES, DE, PL, IT, BE) were in favour of providing a safe harbour for transactions which are closely connected with the negotiation of a restructuring plan and which are adopted by the creditors and confirmed by t</w:t>
      </w:r>
      <w:r>
        <w:rPr>
          <w:rFonts w:ascii="Times New Roman" w:hAnsi="Times New Roman" w:cs="Times New Roman"/>
          <w:noProof/>
          <w:sz w:val="24"/>
          <w:szCs w:val="24"/>
        </w:rPr>
        <w:t xml:space="preserve">he court, as long as European legislation remains at the level of principles and there are no too detailed provisions. A few Member States (DE, FI, AT) expressed concerns with regard to legal certainty and the danger of abuse. Finally, the majority of the </w:t>
      </w:r>
      <w:r>
        <w:rPr>
          <w:rFonts w:ascii="Times New Roman" w:hAnsi="Times New Roman" w:cs="Times New Roman"/>
          <w:noProof/>
          <w:sz w:val="24"/>
          <w:szCs w:val="24"/>
        </w:rPr>
        <w:t xml:space="preserve">Member States were opposed to any rules on third party releases. </w:t>
      </w:r>
    </w:p>
    <w:p w:rsidR="00B32D69" w:rsidRDefault="00FB661A">
      <w:pPr>
        <w:keepNext/>
        <w:spacing w:before="240" w:after="240" w:line="240" w:lineRule="auto"/>
        <w:jc w:val="both"/>
        <w:outlineLvl w:val="1"/>
        <w:rPr>
          <w:rFonts w:ascii="Times New Roman" w:eastAsia="Calibri" w:hAnsi="Times New Roman" w:cs="Times New Roman"/>
          <w:b/>
          <w:bCs/>
          <w:iCs/>
          <w:noProof/>
          <w:sz w:val="24"/>
          <w:szCs w:val="28"/>
        </w:rPr>
      </w:pPr>
      <w:bookmarkStart w:id="51" w:name="_Toc459390476"/>
      <w:bookmarkStart w:id="52" w:name="_Toc378078044"/>
      <w:bookmarkStart w:id="53" w:name="_Toc466452979"/>
      <w:r>
        <w:rPr>
          <w:rFonts w:ascii="Times New Roman" w:eastAsia="Calibri" w:hAnsi="Times New Roman" w:cs="Times New Roman"/>
          <w:b/>
          <w:bCs/>
          <w:iCs/>
          <w:noProof/>
          <w:sz w:val="24"/>
          <w:szCs w:val="28"/>
        </w:rPr>
        <w:t>5.6. Reducing the formalities relating to court proceedings</w:t>
      </w:r>
      <w:bookmarkEnd w:id="51"/>
      <w:bookmarkEnd w:id="52"/>
      <w:bookmarkEnd w:id="53"/>
      <w:r>
        <w:rPr>
          <w:rFonts w:ascii="Times New Roman" w:eastAsia="Calibri" w:hAnsi="Times New Roman" w:cs="Times New Roman"/>
          <w:b/>
          <w:bCs/>
          <w:iCs/>
          <w:noProof/>
          <w:sz w:val="24"/>
          <w:szCs w:val="28"/>
        </w:rPr>
        <w:t xml:space="preserve"> </w:t>
      </w:r>
    </w:p>
    <w:p w:rsidR="00B32D69" w:rsidRDefault="00FB661A">
      <w:pPr>
        <w:spacing w:before="240" w:after="24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t>5.6.1. Description of sub-options</w:t>
      </w:r>
    </w:p>
    <w:p w:rsidR="00B32D69" w:rsidRDefault="00FB661A">
      <w:pPr>
        <w:spacing w:after="12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i/>
          <w:noProof/>
          <w:color w:val="000000"/>
          <w:sz w:val="24"/>
          <w:szCs w:val="24"/>
          <w:u w:val="single"/>
        </w:rPr>
        <w:t>Sub-option 1</w:t>
      </w:r>
      <w:r>
        <w:rPr>
          <w:rFonts w:ascii="Times New Roman" w:eastAsia="Calibri" w:hAnsi="Times New Roman" w:cs="Times New Roman"/>
          <w:noProof/>
          <w:color w:val="000000"/>
          <w:sz w:val="24"/>
          <w:szCs w:val="24"/>
          <w:u w:val="single"/>
        </w:rPr>
        <w:t>:</w:t>
      </w:r>
      <w:r>
        <w:rPr>
          <w:rFonts w:ascii="Times New Roman" w:eastAsia="Calibri" w:hAnsi="Times New Roman" w:cs="Times New Roman"/>
          <w:noProof/>
          <w:color w:val="000000"/>
          <w:sz w:val="24"/>
          <w:szCs w:val="24"/>
        </w:rPr>
        <w:t xml:space="preserve"> Courts need to be involved only in case procedural acts will have legal effects on third parties or where abuses need to be avoided. In a preventive procedure, the court needs only be involved at two moments: (1) when a moratorium is sought against credit</w:t>
      </w:r>
      <w:r>
        <w:rPr>
          <w:rFonts w:ascii="Times New Roman" w:eastAsia="Calibri" w:hAnsi="Times New Roman" w:cs="Times New Roman"/>
          <w:noProof/>
          <w:color w:val="000000"/>
          <w:sz w:val="24"/>
          <w:szCs w:val="24"/>
        </w:rPr>
        <w:t xml:space="preserve">ors and (2) when a plan needs to be approved in order to bind a minority of creditors or to provide security to new lenders. Removing the involvement of courts in other steps, such as formally opening a court procedure, convening creditors' committees and </w:t>
      </w:r>
      <w:r>
        <w:rPr>
          <w:rFonts w:ascii="Times New Roman" w:eastAsia="Calibri" w:hAnsi="Times New Roman" w:cs="Times New Roman"/>
          <w:noProof/>
          <w:color w:val="000000"/>
          <w:sz w:val="24"/>
          <w:szCs w:val="24"/>
        </w:rPr>
        <w:t>taking a vote among the creditors present in a court hearing would make these procedures less costly and speedier. At the same time, it must be acknowledged that a high level of court involvement may produce more trust in the procedures especially in Membe</w:t>
      </w:r>
      <w:r>
        <w:rPr>
          <w:rFonts w:ascii="Times New Roman" w:eastAsia="Calibri" w:hAnsi="Times New Roman" w:cs="Times New Roman"/>
          <w:noProof/>
          <w:color w:val="000000"/>
          <w:sz w:val="24"/>
          <w:szCs w:val="24"/>
        </w:rPr>
        <w:t xml:space="preserve">r States where insolvency practitioners are not highly specialised. </w:t>
      </w:r>
    </w:p>
    <w:p w:rsidR="00B32D69" w:rsidRDefault="00FB661A">
      <w:pPr>
        <w:spacing w:after="120" w:line="240" w:lineRule="auto"/>
        <w:jc w:val="both"/>
        <w:rPr>
          <w:rFonts w:ascii="Times New Roman" w:eastAsia="Calibri" w:hAnsi="Times New Roman" w:cs="Times New Roman"/>
          <w:i/>
          <w:noProof/>
          <w:color w:val="000000"/>
          <w:sz w:val="24"/>
          <w:szCs w:val="24"/>
          <w:u w:val="single"/>
        </w:rPr>
      </w:pPr>
      <w:r>
        <w:rPr>
          <w:rFonts w:ascii="Times New Roman" w:eastAsia="Calibri" w:hAnsi="Times New Roman" w:cs="Times New Roman"/>
          <w:i/>
          <w:noProof/>
          <w:color w:val="000000"/>
          <w:sz w:val="24"/>
          <w:szCs w:val="24"/>
          <w:u w:val="single"/>
        </w:rPr>
        <w:t>Sub-option 2:</w:t>
      </w:r>
      <w:r>
        <w:rPr>
          <w:rFonts w:ascii="Times New Roman" w:eastAsia="Calibri" w:hAnsi="Times New Roman" w:cs="Times New Roman"/>
          <w:i/>
          <w:noProof/>
          <w:color w:val="000000"/>
          <w:sz w:val="24"/>
          <w:szCs w:val="24"/>
        </w:rPr>
        <w:t xml:space="preserve"> </w:t>
      </w:r>
      <w:r>
        <w:rPr>
          <w:rFonts w:ascii="Times New Roman" w:eastAsia="Calibri" w:hAnsi="Times New Roman" w:cs="Times New Roman"/>
          <w:noProof/>
          <w:color w:val="000000"/>
          <w:sz w:val="24"/>
          <w:szCs w:val="24"/>
        </w:rPr>
        <w:t xml:space="preserve">Full involvement of courts, e.g. for opening formally restructuring procedures, for appointing in every case a practitioner in the field of restructuring, for taking a vote </w:t>
      </w:r>
      <w:r>
        <w:rPr>
          <w:rFonts w:ascii="Times New Roman" w:eastAsia="Calibri" w:hAnsi="Times New Roman" w:cs="Times New Roman"/>
          <w:noProof/>
          <w:color w:val="000000"/>
          <w:sz w:val="24"/>
          <w:szCs w:val="24"/>
        </w:rPr>
        <w:t>among creditors etc.</w:t>
      </w:r>
    </w:p>
    <w:p w:rsidR="00B32D69" w:rsidRDefault="00FB661A">
      <w:pPr>
        <w:spacing w:before="240" w:after="24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i/>
          <w:noProof/>
          <w:sz w:val="24"/>
          <w:szCs w:val="24"/>
        </w:rPr>
        <w:t>5.6.2. Assessment of impact of the sub-options and the preferred sub-option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3732"/>
        <w:gridCol w:w="3732"/>
      </w:tblGrid>
      <w:tr w:rsidR="00B32D69">
        <w:trPr>
          <w:trHeight w:val="247"/>
        </w:trPr>
        <w:tc>
          <w:tcPr>
            <w:tcW w:w="17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line="240" w:lineRule="auto"/>
              <w:jc w:val="center"/>
              <w:rPr>
                <w:rFonts w:ascii="Times New Roman" w:hAnsi="Times New Roman" w:cs="Times New Roman"/>
                <w:b/>
                <w:noProof/>
              </w:rPr>
            </w:pPr>
            <w:r>
              <w:rPr>
                <w:rFonts w:ascii="Times New Roman" w:hAnsi="Times New Roman" w:cs="Times New Roman"/>
                <w:b/>
                <w:noProof/>
              </w:rPr>
              <w:t>Sub-options</w:t>
            </w:r>
          </w:p>
        </w:tc>
        <w:tc>
          <w:tcPr>
            <w:tcW w:w="37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line="240" w:lineRule="auto"/>
              <w:jc w:val="center"/>
              <w:rPr>
                <w:rFonts w:ascii="Times New Roman" w:eastAsia="Calibri" w:hAnsi="Times New Roman" w:cs="Times New Roman"/>
                <w:b/>
                <w:noProof/>
                <w:color w:val="000000"/>
                <w:sz w:val="20"/>
                <w:szCs w:val="20"/>
              </w:rPr>
            </w:pPr>
            <w:r>
              <w:rPr>
                <w:rFonts w:ascii="Times New Roman" w:eastAsia="Calibri" w:hAnsi="Times New Roman" w:cs="Times New Roman"/>
                <w:b/>
                <w:noProof/>
                <w:color w:val="000000"/>
                <w:sz w:val="20"/>
                <w:szCs w:val="20"/>
              </w:rPr>
              <w:t>Sub-option 1:</w:t>
            </w:r>
          </w:p>
        </w:tc>
        <w:tc>
          <w:tcPr>
            <w:tcW w:w="37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line="240" w:lineRule="auto"/>
              <w:jc w:val="center"/>
              <w:rPr>
                <w:rFonts w:ascii="Times New Roman" w:eastAsia="Calibri" w:hAnsi="Times New Roman" w:cs="Times New Roman"/>
                <w:b/>
                <w:noProof/>
                <w:color w:val="000000"/>
                <w:sz w:val="20"/>
                <w:szCs w:val="20"/>
              </w:rPr>
            </w:pPr>
            <w:r>
              <w:rPr>
                <w:rFonts w:ascii="Times New Roman" w:eastAsia="Calibri" w:hAnsi="Times New Roman" w:cs="Times New Roman"/>
                <w:b/>
                <w:noProof/>
                <w:color w:val="000000"/>
                <w:sz w:val="20"/>
                <w:szCs w:val="20"/>
              </w:rPr>
              <w:t>Sub-option 2:</w:t>
            </w:r>
          </w:p>
        </w:tc>
      </w:tr>
      <w:tr w:rsidR="00B32D69">
        <w:trPr>
          <w:trHeight w:val="680"/>
        </w:trPr>
        <w:tc>
          <w:tcPr>
            <w:tcW w:w="1716" w:type="dxa"/>
            <w:tcBorders>
              <w:top w:val="single" w:sz="4" w:space="0" w:color="auto"/>
              <w:left w:val="single" w:sz="4" w:space="0" w:color="auto"/>
              <w:bottom w:val="single" w:sz="4" w:space="0" w:color="auto"/>
              <w:right w:val="single" w:sz="4" w:space="0" w:color="auto"/>
            </w:tcBorders>
            <w:hideMark/>
          </w:tcPr>
          <w:p w:rsidR="00B32D69" w:rsidRDefault="00B32D69">
            <w:pPr>
              <w:spacing w:before="60" w:after="60" w:line="240" w:lineRule="auto"/>
              <w:rPr>
                <w:rFonts w:ascii="Times New Roman" w:hAnsi="Times New Roman" w:cs="Times New Roman"/>
                <w:i/>
                <w:noProof/>
                <w:sz w:val="20"/>
                <w:szCs w:val="20"/>
              </w:rPr>
            </w:pPr>
          </w:p>
        </w:tc>
        <w:tc>
          <w:tcPr>
            <w:tcW w:w="3732"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color w:val="000000"/>
                <w:sz w:val="20"/>
                <w:szCs w:val="20"/>
              </w:rPr>
            </w:pPr>
            <w:r>
              <w:rPr>
                <w:rFonts w:ascii="Times New Roman" w:eastAsia="Calibri" w:hAnsi="Times New Roman" w:cs="Times New Roman"/>
                <w:noProof/>
                <w:color w:val="000000"/>
                <w:sz w:val="20"/>
                <w:szCs w:val="20"/>
              </w:rPr>
              <w:t xml:space="preserve">A flexible framework, which allows for a more limited involvement of courts </w:t>
            </w:r>
          </w:p>
        </w:tc>
        <w:tc>
          <w:tcPr>
            <w:tcW w:w="3732"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color w:val="000000"/>
                <w:sz w:val="20"/>
                <w:szCs w:val="20"/>
              </w:rPr>
            </w:pPr>
            <w:r>
              <w:rPr>
                <w:rFonts w:ascii="Times New Roman" w:eastAsia="Calibri" w:hAnsi="Times New Roman" w:cs="Times New Roman"/>
                <w:noProof/>
                <w:color w:val="000000"/>
                <w:sz w:val="20"/>
                <w:szCs w:val="20"/>
              </w:rPr>
              <w:t>Full involvement of courts</w:t>
            </w:r>
          </w:p>
        </w:tc>
      </w:tr>
      <w:tr w:rsidR="00B32D69">
        <w:tc>
          <w:tcPr>
            <w:tcW w:w="171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i/>
                <w:noProof/>
                <w:sz w:val="20"/>
                <w:szCs w:val="20"/>
              </w:rPr>
            </w:pPr>
            <w:r>
              <w:rPr>
                <w:rFonts w:ascii="Times New Roman" w:eastAsia="Calibri" w:hAnsi="Times New Roman" w:cs="Times New Roman"/>
                <w:i/>
                <w:noProof/>
                <w:sz w:val="20"/>
                <w:szCs w:val="20"/>
              </w:rPr>
              <w:t xml:space="preserve">Reduced </w:t>
            </w:r>
            <w:r>
              <w:rPr>
                <w:rFonts w:ascii="Times New Roman" w:eastAsia="Calibri" w:hAnsi="Times New Roman" w:cs="Times New Roman"/>
                <w:i/>
                <w:noProof/>
                <w:sz w:val="20"/>
                <w:szCs w:val="20"/>
              </w:rPr>
              <w:t>costs of assessing risk by investors</w:t>
            </w:r>
          </w:p>
        </w:tc>
        <w:tc>
          <w:tcPr>
            <w:tcW w:w="3732"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Courts should be guarantors of the rights of the parties. Where their involvement is limited to steps where the rights of such parties are affected, this may reduce the elements on which creditors would need to perfor</w:t>
            </w:r>
            <w:r>
              <w:rPr>
                <w:rFonts w:ascii="Times New Roman" w:eastAsia="Calibri" w:hAnsi="Times New Roman" w:cs="Times New Roman"/>
                <w:noProof/>
                <w:sz w:val="20"/>
                <w:szCs w:val="20"/>
              </w:rPr>
              <w:t>m due diligence.</w:t>
            </w:r>
          </w:p>
        </w:tc>
        <w:tc>
          <w:tcPr>
            <w:tcW w:w="3732"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There will be more costs with determining the legal requirements for involving courts in such steps as convening creditors' committees and organising a vote among creditors. </w:t>
            </w:r>
          </w:p>
        </w:tc>
      </w:tr>
      <w:tr w:rsidR="00B32D69">
        <w:tc>
          <w:tcPr>
            <w:tcW w:w="171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i/>
                <w:noProof/>
                <w:sz w:val="20"/>
                <w:szCs w:val="20"/>
              </w:rPr>
            </w:pPr>
            <w:r>
              <w:rPr>
                <w:rFonts w:ascii="Times New Roman" w:eastAsia="Calibri" w:hAnsi="Times New Roman" w:cs="Times New Roman"/>
                <w:i/>
                <w:noProof/>
                <w:sz w:val="20"/>
                <w:szCs w:val="20"/>
              </w:rPr>
              <w:t>Reduced costs of restructuring of cross-border groups</w:t>
            </w:r>
          </w:p>
        </w:tc>
        <w:tc>
          <w:tcPr>
            <w:tcW w:w="3732"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Since</w:t>
            </w:r>
            <w:r>
              <w:rPr>
                <w:rFonts w:ascii="Times New Roman" w:eastAsia="Calibri" w:hAnsi="Times New Roman" w:cs="Times New Roman"/>
                <w:noProof/>
                <w:sz w:val="20"/>
                <w:szCs w:val="20"/>
              </w:rPr>
              <w:t xml:space="preserve"> in some Member States courts are involved fully while in other they are not, the costs of restructuring of cross-border groups can be made more complex, less predictable and therefore more costly. Ensuring that courts are involved only when rights of thir</w:t>
            </w:r>
            <w:r>
              <w:rPr>
                <w:rFonts w:ascii="Times New Roman" w:eastAsia="Calibri" w:hAnsi="Times New Roman" w:cs="Times New Roman"/>
                <w:noProof/>
                <w:sz w:val="20"/>
                <w:szCs w:val="20"/>
              </w:rPr>
              <w:t>d parties are effected will lead to a reduction of costs overall..</w:t>
            </w:r>
          </w:p>
        </w:tc>
        <w:tc>
          <w:tcPr>
            <w:tcW w:w="3732"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 xml:space="preserve">- </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While there will be more legal certainty in such cases, there will also be unnecessary court involvement across the Member States which is likely to push up the costs of restructuring on</w:t>
            </w:r>
            <w:r>
              <w:rPr>
                <w:rFonts w:ascii="Times New Roman" w:eastAsia="Calibri" w:hAnsi="Times New Roman" w:cs="Times New Roman"/>
                <w:noProof/>
                <w:sz w:val="20"/>
                <w:szCs w:val="20"/>
              </w:rPr>
              <w:t xml:space="preserve"> individual members of the group.</w:t>
            </w:r>
          </w:p>
          <w:p w:rsidR="00B32D69" w:rsidRDefault="00B32D69">
            <w:pPr>
              <w:spacing w:before="60" w:after="60" w:line="240" w:lineRule="auto"/>
              <w:rPr>
                <w:rFonts w:ascii="Times New Roman" w:eastAsia="Calibri" w:hAnsi="Times New Roman" w:cs="Times New Roman"/>
                <w:noProof/>
                <w:sz w:val="20"/>
                <w:szCs w:val="20"/>
              </w:rPr>
            </w:pPr>
          </w:p>
        </w:tc>
      </w:tr>
      <w:tr w:rsidR="00B32D69">
        <w:trPr>
          <w:trHeight w:val="2381"/>
        </w:trPr>
        <w:tc>
          <w:tcPr>
            <w:tcW w:w="171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i/>
                <w:noProof/>
                <w:color w:val="000000"/>
                <w:sz w:val="20"/>
                <w:szCs w:val="20"/>
              </w:rPr>
            </w:pPr>
            <w:r>
              <w:rPr>
                <w:rFonts w:ascii="Times New Roman" w:eastAsia="Calibri" w:hAnsi="Times New Roman" w:cs="Times New Roman"/>
                <w:i/>
                <w:noProof/>
                <w:color w:val="000000"/>
                <w:sz w:val="20"/>
                <w:szCs w:val="20"/>
              </w:rPr>
              <w:t>Effectiveness</w:t>
            </w:r>
          </w:p>
        </w:tc>
        <w:tc>
          <w:tcPr>
            <w:tcW w:w="3732"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Evidence from the </w:t>
            </w:r>
            <w:r>
              <w:rPr>
                <w:rFonts w:ascii="Times New Roman" w:eastAsia="Calibri" w:hAnsi="Times New Roman" w:cs="Times New Roman"/>
                <w:noProof/>
                <w:sz w:val="20"/>
                <w:szCs w:val="20"/>
              </w:rPr>
              <w:t xml:space="preserve">Member States </w:t>
            </w:r>
            <w:r>
              <w:rPr>
                <w:rFonts w:ascii="Times New Roman" w:eastAsia="Calibri" w:hAnsi="Times New Roman" w:cs="Times New Roman"/>
                <w:noProof/>
                <w:color w:val="000000"/>
                <w:sz w:val="20"/>
                <w:szCs w:val="20"/>
              </w:rPr>
              <w:t xml:space="preserve">shows that reducing the courts' involvement in the procedure results in significant cost savings for the debtor and creditors. Hybrid procedures are cheaper than fully </w:t>
            </w:r>
            <w:r>
              <w:rPr>
                <w:rFonts w:ascii="Times New Roman" w:eastAsia="Calibri" w:hAnsi="Times New Roman" w:cs="Times New Roman"/>
                <w:noProof/>
                <w:color w:val="000000"/>
                <w:sz w:val="20"/>
                <w:szCs w:val="20"/>
              </w:rPr>
              <w:t>formalised court proceedings.</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The time required to adopt a restructuring plan may also be significantly reduced.</w:t>
            </w:r>
          </w:p>
        </w:tc>
        <w:tc>
          <w:tcPr>
            <w:tcW w:w="3732"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Too formalised procedures may be an additional guarantee of legality especially in very complex restructurings, but in most restructurings fu</w:t>
            </w:r>
            <w:r>
              <w:rPr>
                <w:rFonts w:ascii="Times New Roman" w:eastAsia="Calibri" w:hAnsi="Times New Roman" w:cs="Times New Roman"/>
                <w:noProof/>
                <w:color w:val="000000"/>
                <w:sz w:val="20"/>
                <w:szCs w:val="20"/>
              </w:rPr>
              <w:t>ll court involvement may only add to the length of procedures.</w:t>
            </w:r>
          </w:p>
        </w:tc>
      </w:tr>
      <w:tr w:rsidR="00B32D69">
        <w:trPr>
          <w:trHeight w:val="1304"/>
        </w:trPr>
        <w:tc>
          <w:tcPr>
            <w:tcW w:w="171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i/>
                <w:noProof/>
                <w:color w:val="000000"/>
                <w:sz w:val="20"/>
                <w:szCs w:val="20"/>
              </w:rPr>
            </w:pPr>
            <w:r>
              <w:rPr>
                <w:rFonts w:ascii="Times New Roman" w:eastAsia="Calibri" w:hAnsi="Times New Roman" w:cs="Times New Roman"/>
                <w:i/>
                <w:noProof/>
                <w:color w:val="000000"/>
                <w:sz w:val="20"/>
                <w:szCs w:val="20"/>
              </w:rPr>
              <w:t>Rights of creditors</w:t>
            </w:r>
          </w:p>
        </w:tc>
        <w:tc>
          <w:tcPr>
            <w:tcW w:w="3732"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0</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Reducing court involvement to where it is necessary to protect the rights of creditors will not negatively affect creditors. </w:t>
            </w:r>
          </w:p>
        </w:tc>
        <w:tc>
          <w:tcPr>
            <w:tcW w:w="3732"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0</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If a court is always involved when a </w:t>
            </w:r>
            <w:r>
              <w:rPr>
                <w:rFonts w:ascii="Times New Roman" w:eastAsia="Calibri" w:hAnsi="Times New Roman" w:cs="Times New Roman"/>
                <w:noProof/>
                <w:color w:val="000000"/>
                <w:sz w:val="20"/>
                <w:szCs w:val="20"/>
              </w:rPr>
              <w:t>creditor's rights are affected, this option should not have a significant impact as compared with Sub-option 1.</w:t>
            </w:r>
          </w:p>
        </w:tc>
      </w:tr>
      <w:tr w:rsidR="00B32D69">
        <w:tc>
          <w:tcPr>
            <w:tcW w:w="1716"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i/>
                <w:noProof/>
                <w:sz w:val="20"/>
                <w:szCs w:val="20"/>
              </w:rPr>
            </w:pPr>
            <w:r>
              <w:rPr>
                <w:rFonts w:ascii="Times New Roman" w:eastAsia="Calibri" w:hAnsi="Times New Roman" w:cs="Times New Roman"/>
                <w:i/>
                <w:noProof/>
                <w:color w:val="000000"/>
                <w:sz w:val="20"/>
                <w:szCs w:val="20"/>
              </w:rPr>
              <w:t>Judicial authorities</w:t>
            </w:r>
          </w:p>
          <w:p w:rsidR="00B32D69" w:rsidRDefault="00B32D69">
            <w:pPr>
              <w:spacing w:before="60" w:after="60" w:line="240" w:lineRule="auto"/>
              <w:rPr>
                <w:rFonts w:ascii="Times New Roman" w:eastAsia="Calibri" w:hAnsi="Times New Roman" w:cs="Times New Roman"/>
                <w:i/>
                <w:noProof/>
                <w:color w:val="000000"/>
                <w:sz w:val="20"/>
                <w:szCs w:val="20"/>
              </w:rPr>
            </w:pPr>
          </w:p>
        </w:tc>
        <w:tc>
          <w:tcPr>
            <w:tcW w:w="3732"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 xml:space="preserve">Reduce the workload of courts in Member States where preventive procedures are highly formalised and even more so in </w:t>
            </w:r>
            <w:r>
              <w:rPr>
                <w:rFonts w:ascii="Times New Roman" w:eastAsia="Calibri" w:hAnsi="Times New Roman" w:cs="Times New Roman"/>
                <w:noProof/>
                <w:color w:val="000000"/>
                <w:sz w:val="20"/>
                <w:szCs w:val="20"/>
              </w:rPr>
              <w:t>Member States where full insolvency procedures are used to restructure or where the existing preventive procedures are not accessible to debtors.</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As more of these insolvencies will be channelled towards the preventive procedures, courts would become less b</w:t>
            </w:r>
            <w:r>
              <w:rPr>
                <w:rFonts w:ascii="Times New Roman" w:eastAsia="Calibri" w:hAnsi="Times New Roman" w:cs="Times New Roman"/>
                <w:noProof/>
                <w:color w:val="000000"/>
                <w:sz w:val="20"/>
                <w:szCs w:val="20"/>
              </w:rPr>
              <w:t xml:space="preserve">urdened </w:t>
            </w:r>
          </w:p>
        </w:tc>
        <w:tc>
          <w:tcPr>
            <w:tcW w:w="3732"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A full court involvement requires that more steps on the procedure should be organised or directly supervised by the court. Such an approach is likely to increase the workload of the courts.</w:t>
            </w:r>
          </w:p>
        </w:tc>
      </w:tr>
      <w:tr w:rsidR="00B32D69">
        <w:tc>
          <w:tcPr>
            <w:tcW w:w="1716"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i/>
                <w:noProof/>
                <w:sz w:val="20"/>
                <w:szCs w:val="20"/>
              </w:rPr>
            </w:pPr>
            <w:r>
              <w:rPr>
                <w:rFonts w:ascii="Times New Roman" w:eastAsia="Calibri" w:hAnsi="Times New Roman" w:cs="Times New Roman"/>
                <w:i/>
                <w:noProof/>
                <w:color w:val="000000"/>
                <w:sz w:val="20"/>
                <w:szCs w:val="20"/>
              </w:rPr>
              <w:t xml:space="preserve">Legal systems </w:t>
            </w:r>
          </w:p>
          <w:p w:rsidR="00B32D69" w:rsidRDefault="00B32D69">
            <w:pPr>
              <w:spacing w:before="60" w:after="60" w:line="240" w:lineRule="auto"/>
              <w:rPr>
                <w:rFonts w:ascii="Times New Roman" w:eastAsia="Calibri" w:hAnsi="Times New Roman" w:cs="Times New Roman"/>
                <w:noProof/>
                <w:color w:val="000000"/>
                <w:sz w:val="20"/>
                <w:szCs w:val="20"/>
              </w:rPr>
            </w:pPr>
          </w:p>
        </w:tc>
        <w:tc>
          <w:tcPr>
            <w:tcW w:w="3732"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sz w:val="20"/>
                <w:szCs w:val="20"/>
              </w:rPr>
              <w:t>Member States which now provide for</w:t>
            </w:r>
            <w:r>
              <w:rPr>
                <w:rFonts w:ascii="Times New Roman" w:eastAsia="Calibri" w:hAnsi="Times New Roman" w:cs="Times New Roman"/>
                <w:noProof/>
                <w:sz w:val="20"/>
                <w:szCs w:val="20"/>
              </w:rPr>
              <w:t xml:space="preserve"> a full involvement of courts would need to provide that certain steps could be taken out court</w:t>
            </w:r>
            <w:r>
              <w:rPr>
                <w:rFonts w:ascii="Times New Roman" w:eastAsia="Calibri" w:hAnsi="Times New Roman" w:cs="Times New Roman"/>
                <w:noProof/>
                <w:color w:val="000000"/>
                <w:sz w:val="20"/>
                <w:szCs w:val="20"/>
              </w:rPr>
              <w:t>.</w:t>
            </w:r>
          </w:p>
        </w:tc>
        <w:tc>
          <w:tcPr>
            <w:tcW w:w="3732"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Member States which now provide for a targeted involvement of courts would need to provide for more court involvement.</w:t>
            </w:r>
          </w:p>
        </w:tc>
      </w:tr>
      <w:tr w:rsidR="00B32D69">
        <w:tc>
          <w:tcPr>
            <w:tcW w:w="1716"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i/>
                <w:noProof/>
                <w:color w:val="000000"/>
                <w:sz w:val="20"/>
                <w:szCs w:val="20"/>
              </w:rPr>
            </w:pPr>
            <w:r>
              <w:rPr>
                <w:rFonts w:ascii="Times New Roman" w:eastAsia="Calibri" w:hAnsi="Times New Roman" w:cs="Times New Roman"/>
                <w:i/>
                <w:noProof/>
                <w:color w:val="000000"/>
                <w:sz w:val="20"/>
                <w:szCs w:val="20"/>
              </w:rPr>
              <w:t>Fundamental rights</w:t>
            </w:r>
          </w:p>
        </w:tc>
        <w:tc>
          <w:tcPr>
            <w:tcW w:w="3732"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0</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Court involvemen</w:t>
            </w:r>
            <w:r>
              <w:rPr>
                <w:rFonts w:ascii="Times New Roman" w:eastAsia="Calibri" w:hAnsi="Times New Roman" w:cs="Times New Roman"/>
                <w:noProof/>
                <w:sz w:val="20"/>
                <w:szCs w:val="20"/>
              </w:rPr>
              <w:t>t is necessary when third parties' rights are affected. Court oversight guarantees that there is a justified interference with the right to property.</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Equally, where third parties' rights are affected, they should have the right to an effective remedy and t</w:t>
            </w:r>
            <w:r>
              <w:rPr>
                <w:rFonts w:ascii="Times New Roman" w:eastAsia="Calibri" w:hAnsi="Times New Roman" w:cs="Times New Roman"/>
                <w:noProof/>
                <w:sz w:val="20"/>
                <w:szCs w:val="20"/>
              </w:rPr>
              <w:t xml:space="preserve">o a fair trial requires that creditors can challenge or appeal decisions on the confirmation of a restructuring plan. </w:t>
            </w:r>
          </w:p>
        </w:tc>
        <w:tc>
          <w:tcPr>
            <w:tcW w:w="3732"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0</w:t>
            </w:r>
          </w:p>
          <w:p w:rsidR="00B32D69" w:rsidRDefault="00FB661A">
            <w:pPr>
              <w:spacing w:before="60" w:after="60" w:line="240" w:lineRule="auto"/>
              <w:rPr>
                <w:rFonts w:ascii="Times New Roman" w:eastAsia="Calibri" w:hAnsi="Times New Roman" w:cs="Times New Roman"/>
                <w:noProof/>
                <w:color w:val="000000"/>
                <w:sz w:val="20"/>
                <w:szCs w:val="20"/>
              </w:rPr>
            </w:pPr>
            <w:r>
              <w:rPr>
                <w:rFonts w:ascii="Times New Roman" w:eastAsia="Calibri" w:hAnsi="Times New Roman" w:cs="Times New Roman"/>
                <w:noProof/>
                <w:color w:val="000000"/>
                <w:sz w:val="20"/>
                <w:szCs w:val="20"/>
              </w:rPr>
              <w:t>Where third parties rights are not affected, involving courts does not guarantee more protection of fundamental rights.</w:t>
            </w:r>
          </w:p>
        </w:tc>
      </w:tr>
    </w:tbl>
    <w:p w:rsidR="00B32D69" w:rsidRDefault="00FB661A">
      <w:pPr>
        <w:spacing w:before="240" w:after="24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i/>
          <w:noProof/>
          <w:sz w:val="24"/>
          <w:szCs w:val="24"/>
          <w:u w:val="single"/>
        </w:rPr>
        <w:t xml:space="preserve">Summary </w:t>
      </w:r>
      <w:r>
        <w:rPr>
          <w:rFonts w:ascii="Times New Roman" w:eastAsia="Calibri" w:hAnsi="Times New Roman" w:cs="Times New Roman"/>
          <w:i/>
          <w:noProof/>
          <w:sz w:val="24"/>
          <w:szCs w:val="24"/>
          <w:u w:val="single"/>
        </w:rPr>
        <w:t>assessment of the preferred sub-option</w:t>
      </w:r>
      <w:r>
        <w:rPr>
          <w:rFonts w:ascii="Times New Roman" w:eastAsia="Calibri" w:hAnsi="Times New Roman" w:cs="Times New Roman"/>
          <w:b/>
          <w:noProof/>
          <w:color w:val="000000"/>
          <w:sz w:val="24"/>
          <w:szCs w:val="24"/>
          <w:u w:val="single"/>
        </w:rPr>
        <w:t>:</w:t>
      </w:r>
      <w:r>
        <w:rPr>
          <w:rFonts w:ascii="Times New Roman" w:eastAsia="Calibri" w:hAnsi="Times New Roman" w:cs="Times New Roman"/>
          <w:b/>
          <w:noProof/>
          <w:color w:val="000000"/>
          <w:sz w:val="24"/>
          <w:szCs w:val="24"/>
        </w:rPr>
        <w:t xml:space="preserve"> </w:t>
      </w:r>
      <w:r>
        <w:rPr>
          <w:rFonts w:ascii="Times New Roman" w:eastAsia="Calibri" w:hAnsi="Times New Roman" w:cs="Times New Roman"/>
          <w:i/>
          <w:noProof/>
          <w:color w:val="000000"/>
          <w:sz w:val="24"/>
          <w:szCs w:val="24"/>
        </w:rPr>
        <w:t>Sub-option 1</w:t>
      </w:r>
      <w:r>
        <w:rPr>
          <w:rFonts w:ascii="Times New Roman" w:eastAsia="Calibri" w:hAnsi="Times New Roman" w:cs="Times New Roman"/>
          <w:noProof/>
          <w:color w:val="000000"/>
          <w:sz w:val="24"/>
          <w:szCs w:val="24"/>
        </w:rPr>
        <w:t xml:space="preserve"> is the preferred option since it balances both the need to reduce length and costs of procedures and at the same time to safeguard the procedural right of the parties. There is a risk that the involvement of courts could raise costs and discourage restruc</w:t>
      </w:r>
      <w:r>
        <w:rPr>
          <w:rFonts w:ascii="Times New Roman" w:eastAsia="Calibri" w:hAnsi="Times New Roman" w:cs="Times New Roman"/>
          <w:noProof/>
          <w:color w:val="000000"/>
          <w:sz w:val="24"/>
          <w:szCs w:val="24"/>
        </w:rPr>
        <w:t>turings. However, the need for a court to be involved whenever there is an impact on their parties' rights is an important safeguard against moral hazard when entering such procedures, on the side of both debtors and creditors, since the refusal to confirm</w:t>
      </w:r>
      <w:r>
        <w:rPr>
          <w:rFonts w:ascii="Times New Roman" w:eastAsia="Calibri" w:hAnsi="Times New Roman" w:cs="Times New Roman"/>
          <w:noProof/>
          <w:color w:val="000000"/>
          <w:sz w:val="24"/>
          <w:szCs w:val="24"/>
        </w:rPr>
        <w:t xml:space="preserve"> a restructuring plans adopted by creditors after months of negotiations would lead to potentially significant losses for all involved. The benefits for the internal market will be considerable: not only will more restructurings happen simply because of th</w:t>
      </w:r>
      <w:r>
        <w:rPr>
          <w:rFonts w:ascii="Times New Roman" w:eastAsia="Calibri" w:hAnsi="Times New Roman" w:cs="Times New Roman"/>
          <w:noProof/>
          <w:color w:val="000000"/>
          <w:sz w:val="24"/>
          <w:szCs w:val="24"/>
        </w:rPr>
        <w:t xml:space="preserve">e guarantee of legality which the involvement of a court pre-supposes; but also because court decision can circulate and be recognised across-borders under the Insolvency Regulation (such as a decision to grant a stay, or a decision to confirm a plan). It </w:t>
      </w:r>
      <w:r>
        <w:rPr>
          <w:rFonts w:ascii="Times New Roman" w:eastAsia="Calibri" w:hAnsi="Times New Roman" w:cs="Times New Roman"/>
          <w:noProof/>
          <w:color w:val="000000"/>
          <w:sz w:val="24"/>
          <w:szCs w:val="24"/>
        </w:rPr>
        <w:t xml:space="preserve">is also likely that 'in the shadow' of a strong legal framework able to cram-down on dissenting creditors, more out-of-court restructurings will take place to avoid a court procedure. There is also a risk that, to the extent court systems still need to be </w:t>
      </w:r>
      <w:r>
        <w:rPr>
          <w:rFonts w:ascii="Times New Roman" w:eastAsia="Calibri" w:hAnsi="Times New Roman" w:cs="Times New Roman"/>
          <w:noProof/>
          <w:color w:val="000000"/>
          <w:sz w:val="24"/>
          <w:szCs w:val="24"/>
        </w:rPr>
        <w:t>involved, lack of efficiency of courts in some Member States may be a deterrent. This risk could be managed by targeted provisions on the specialisation of courts and the use of modern communications technology. This sub-option is not likely to have negati</w:t>
      </w:r>
      <w:r>
        <w:rPr>
          <w:rFonts w:ascii="Times New Roman" w:eastAsia="Calibri" w:hAnsi="Times New Roman" w:cs="Times New Roman"/>
          <w:noProof/>
          <w:color w:val="000000"/>
          <w:sz w:val="24"/>
          <w:szCs w:val="24"/>
        </w:rPr>
        <w:t xml:space="preserve">ve social impacts. </w:t>
      </w:r>
      <w:r>
        <w:rPr>
          <w:rFonts w:ascii="Times New Roman" w:eastAsia="Calibri" w:hAnsi="Times New Roman" w:cs="Times New Roman"/>
          <w:b/>
          <w:noProof/>
          <w:color w:val="000000"/>
          <w:sz w:val="24"/>
          <w:szCs w:val="24"/>
        </w:rPr>
        <w:t>Fundamental rights</w:t>
      </w:r>
      <w:r>
        <w:rPr>
          <w:rFonts w:ascii="Times New Roman" w:eastAsia="Calibri" w:hAnsi="Times New Roman" w:cs="Times New Roman"/>
          <w:noProof/>
          <w:color w:val="000000"/>
          <w:sz w:val="24"/>
          <w:szCs w:val="24"/>
        </w:rPr>
        <w:t xml:space="preserve"> of right to property and right to an effective remedy and to a fair trial are guaranteed under this sub-option.</w:t>
      </w:r>
    </w:p>
    <w:p w:rsidR="00B32D69" w:rsidRDefault="00FB661A">
      <w:pPr>
        <w:spacing w:before="240" w:after="24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In the public consultation, many respondents said that the involvement of a court or other competent autho</w:t>
      </w:r>
      <w:r>
        <w:rPr>
          <w:rFonts w:ascii="Times New Roman" w:eastAsia="Calibri" w:hAnsi="Times New Roman" w:cs="Times New Roman"/>
          <w:noProof/>
          <w:color w:val="000000"/>
          <w:sz w:val="24"/>
          <w:szCs w:val="24"/>
        </w:rPr>
        <w:t xml:space="preserve">rity is necessary when a moratorium is granted or in case of a confirmation of a restructuring plan, while a smaller part of stakeholders were of the opinion that the involvement of a court is not an absolute requirement. </w:t>
      </w:r>
    </w:p>
    <w:p w:rsidR="00B32D69" w:rsidRDefault="00FB661A">
      <w:pPr>
        <w:spacing w:before="240" w:after="24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Particularly, in the public consu</w:t>
      </w:r>
      <w:r>
        <w:rPr>
          <w:rFonts w:ascii="Times New Roman" w:eastAsia="Calibri" w:hAnsi="Times New Roman" w:cs="Times New Roman"/>
          <w:noProof/>
          <w:color w:val="000000"/>
          <w:sz w:val="24"/>
          <w:szCs w:val="24"/>
        </w:rPr>
        <w:t>ltation and the dedicated meetings, business organisations and financial institutions welcomed a fast, cheaper and less court-driven procedure.</w:t>
      </w:r>
    </w:p>
    <w:p w:rsidR="00B32D69" w:rsidRDefault="00FB661A">
      <w:pPr>
        <w:spacing w:before="240" w:after="24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Trade Unions underlined that the aim of shortening the length of the proceedings cannot disregard the workers’ r</w:t>
      </w:r>
      <w:r>
        <w:rPr>
          <w:rFonts w:ascii="Times New Roman" w:eastAsia="Calibri" w:hAnsi="Times New Roman" w:cs="Times New Roman"/>
          <w:noProof/>
          <w:color w:val="000000"/>
          <w:sz w:val="24"/>
          <w:szCs w:val="24"/>
        </w:rPr>
        <w:t>ights to information and consultation.</w:t>
      </w:r>
    </w:p>
    <w:p w:rsidR="00B32D69" w:rsidRDefault="00FB661A">
      <w:pPr>
        <w:keepNext/>
        <w:spacing w:before="240" w:after="240" w:line="240" w:lineRule="auto"/>
        <w:jc w:val="both"/>
        <w:outlineLvl w:val="1"/>
        <w:rPr>
          <w:rFonts w:ascii="Times New Roman" w:eastAsia="Calibri" w:hAnsi="Times New Roman" w:cs="Times New Roman"/>
          <w:noProof/>
          <w:color w:val="000000"/>
          <w:sz w:val="24"/>
          <w:szCs w:val="24"/>
        </w:rPr>
      </w:pPr>
      <w:bookmarkStart w:id="54" w:name="_Toc466452727"/>
      <w:bookmarkStart w:id="55" w:name="_Toc466452980"/>
      <w:r>
        <w:rPr>
          <w:rFonts w:ascii="Times New Roman" w:eastAsia="Calibri" w:hAnsi="Times New Roman" w:cs="Times New Roman"/>
          <w:noProof/>
          <w:color w:val="000000"/>
          <w:sz w:val="24"/>
          <w:szCs w:val="24"/>
        </w:rPr>
        <w:t>During the dedicated meetings, the vast majority of the Member States (AT, BE, EE, FR, DE, EL, HU, IT, LT, MT, NL, PL, SK, SI) favoured the opening of some sort of formal procedure in which a court (or other competent</w:t>
      </w:r>
      <w:r>
        <w:rPr>
          <w:rFonts w:ascii="Times New Roman" w:eastAsia="Calibri" w:hAnsi="Times New Roman" w:cs="Times New Roman"/>
          <w:noProof/>
          <w:color w:val="000000"/>
          <w:sz w:val="24"/>
          <w:szCs w:val="24"/>
        </w:rPr>
        <w:t xml:space="preserve"> authority or body) is involved from the moment it becomes necessary to stay enforcement actions or obtain confirmation for the restructuring plan.</w:t>
      </w:r>
      <w:bookmarkEnd w:id="54"/>
      <w:bookmarkEnd w:id="55"/>
      <w:r>
        <w:rPr>
          <w:rFonts w:ascii="Times New Roman" w:eastAsia="Calibri" w:hAnsi="Times New Roman" w:cs="Times New Roman"/>
          <w:noProof/>
          <w:color w:val="000000"/>
          <w:sz w:val="24"/>
          <w:szCs w:val="24"/>
        </w:rPr>
        <w:t xml:space="preserve"> </w:t>
      </w:r>
      <w:bookmarkStart w:id="56" w:name="_Toc378078045"/>
      <w:bookmarkStart w:id="57" w:name="_Toc459390477"/>
    </w:p>
    <w:p w:rsidR="00B32D69" w:rsidRDefault="00FB661A">
      <w:pPr>
        <w:keepNext/>
        <w:spacing w:before="240" w:after="240" w:line="240" w:lineRule="auto"/>
        <w:jc w:val="both"/>
        <w:outlineLvl w:val="1"/>
        <w:rPr>
          <w:rFonts w:ascii="Times New Roman" w:eastAsia="Calibri" w:hAnsi="Times New Roman" w:cs="Times New Roman"/>
          <w:b/>
          <w:bCs/>
          <w:iCs/>
          <w:noProof/>
          <w:sz w:val="24"/>
          <w:szCs w:val="28"/>
        </w:rPr>
      </w:pPr>
      <w:bookmarkStart w:id="58" w:name="_Toc466452981"/>
      <w:r>
        <w:rPr>
          <w:rFonts w:ascii="Times New Roman" w:eastAsia="Calibri" w:hAnsi="Times New Roman" w:cs="Times New Roman"/>
          <w:b/>
          <w:bCs/>
          <w:iCs/>
          <w:noProof/>
          <w:sz w:val="24"/>
          <w:szCs w:val="28"/>
        </w:rPr>
        <w:t>5.7. Lowering and aligning discharge periods</w:t>
      </w:r>
      <w:bookmarkEnd w:id="56"/>
      <w:r>
        <w:rPr>
          <w:rFonts w:ascii="Times New Roman" w:eastAsia="Calibri" w:hAnsi="Times New Roman" w:cs="Times New Roman"/>
          <w:b/>
          <w:bCs/>
          <w:iCs/>
          <w:noProof/>
          <w:sz w:val="24"/>
          <w:szCs w:val="28"/>
        </w:rPr>
        <w:t xml:space="preserve"> for </w:t>
      </w:r>
      <w:bookmarkEnd w:id="57"/>
      <w:r>
        <w:rPr>
          <w:rFonts w:ascii="Times New Roman" w:eastAsia="Calibri" w:hAnsi="Times New Roman" w:cs="Times New Roman"/>
          <w:b/>
          <w:bCs/>
          <w:iCs/>
          <w:noProof/>
          <w:sz w:val="24"/>
          <w:szCs w:val="28"/>
        </w:rPr>
        <w:t>natural persons</w:t>
      </w:r>
      <w:bookmarkEnd w:id="58"/>
    </w:p>
    <w:p w:rsidR="00B32D69" w:rsidRDefault="00FB661A">
      <w:pPr>
        <w:keepNext/>
        <w:keepLines/>
        <w:spacing w:before="240" w:after="240" w:line="240" w:lineRule="auto"/>
        <w:outlineLvl w:val="2"/>
        <w:rPr>
          <w:rFonts w:ascii="Times New Roman" w:eastAsia="Calibri" w:hAnsi="Times New Roman" w:cs="Times New Roman"/>
          <w:b/>
          <w:bCs/>
          <w:noProof/>
          <w:color w:val="4F81BD" w:themeColor="accent1"/>
          <w:sz w:val="24"/>
          <w:szCs w:val="24"/>
        </w:rPr>
      </w:pPr>
      <w:bookmarkStart w:id="59" w:name="_Toc466452982"/>
      <w:r>
        <w:rPr>
          <w:rFonts w:ascii="Times New Roman" w:eastAsia="Calibri" w:hAnsi="Times New Roman" w:cs="Times New Roman"/>
          <w:b/>
          <w:bCs/>
          <w:noProof/>
          <w:sz w:val="24"/>
          <w:szCs w:val="24"/>
        </w:rPr>
        <w:t>5.7.1. Entrepreneurs</w:t>
      </w:r>
      <w:bookmarkEnd w:id="59"/>
    </w:p>
    <w:p w:rsidR="00B32D69" w:rsidRDefault="00FB661A">
      <w:pPr>
        <w:spacing w:before="240" w:after="24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t xml:space="preserve">5.7.1.1. Description </w:t>
      </w:r>
      <w:r>
        <w:rPr>
          <w:rFonts w:ascii="Times New Roman" w:eastAsia="Calibri" w:hAnsi="Times New Roman" w:cs="Times New Roman"/>
          <w:i/>
          <w:noProof/>
          <w:sz w:val="24"/>
          <w:szCs w:val="24"/>
        </w:rPr>
        <w:t>of sub-options</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u w:val="single"/>
        </w:rPr>
        <w:t>Sub-option 1</w:t>
      </w:r>
      <w:r>
        <w:rPr>
          <w:rFonts w:ascii="Times New Roman" w:eastAsia="Calibri" w:hAnsi="Times New Roman" w:cs="Times New Roman"/>
          <w:noProof/>
          <w:sz w:val="24"/>
          <w:szCs w:val="24"/>
          <w:u w:val="single"/>
        </w:rPr>
        <w:t>:</w:t>
      </w:r>
      <w:r>
        <w:rPr>
          <w:rFonts w:ascii="Times New Roman" w:eastAsia="Calibri" w:hAnsi="Times New Roman" w:cs="Times New Roman"/>
          <w:noProof/>
          <w:sz w:val="24"/>
          <w:szCs w:val="24"/>
        </w:rPr>
        <w:t xml:space="preserve"> Reducing the stigma culture and encouraging restarters rests on a distinction between honest and dishonest entrepreneurs and a reduction of the discharge period for the honest bankrupts. While the concept of dishonesty should i</w:t>
      </w:r>
      <w:r>
        <w:rPr>
          <w:rFonts w:ascii="Times New Roman" w:eastAsia="Calibri" w:hAnsi="Times New Roman" w:cs="Times New Roman"/>
          <w:noProof/>
          <w:sz w:val="24"/>
          <w:szCs w:val="24"/>
        </w:rPr>
        <w:t xml:space="preserve">n principle cover fraudulent conduct, </w:t>
      </w:r>
      <w:r>
        <w:rPr>
          <w:rFonts w:ascii="Times New Roman" w:eastAsia="Times New Roman" w:hAnsi="Times New Roman" w:cs="Times New Roman"/>
          <w:noProof/>
          <w:sz w:val="24"/>
          <w:szCs w:val="24"/>
        </w:rPr>
        <w:t xml:space="preserve">Member States </w:t>
      </w:r>
      <w:r>
        <w:rPr>
          <w:rFonts w:ascii="Times New Roman" w:eastAsia="Calibri" w:hAnsi="Times New Roman" w:cs="Times New Roman"/>
          <w:noProof/>
          <w:sz w:val="24"/>
          <w:szCs w:val="24"/>
        </w:rPr>
        <w:t>may also extent it to bad faith either before or after the opening of bankruptcy procedures. A discharge could be offered after 1 year to debtors who have no assets and no income (NINAs), e.g. after a liq</w:t>
      </w:r>
      <w:r>
        <w:rPr>
          <w:rFonts w:ascii="Times New Roman" w:eastAsia="Calibri" w:hAnsi="Times New Roman" w:cs="Times New Roman"/>
          <w:noProof/>
          <w:sz w:val="24"/>
          <w:szCs w:val="24"/>
        </w:rPr>
        <w:t>uidation of assets. One suggestion made in the Insolvency Conference on 12 July 2016 was that natural persons should be distinguished, for the purposes of insolvency/repayment plan procedures and discharge, not by their economic activity (entrepreneurs v c</w:t>
      </w:r>
      <w:r>
        <w:rPr>
          <w:rFonts w:ascii="Times New Roman" w:eastAsia="Calibri" w:hAnsi="Times New Roman" w:cs="Times New Roman"/>
          <w:noProof/>
          <w:sz w:val="24"/>
          <w:szCs w:val="24"/>
        </w:rPr>
        <w:t>onsumers), but by whether they are high net worth or low net worth debtors. Sub-option 1 and Sub-option 2 attempt to make that distinction.</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u w:val="single"/>
        </w:rPr>
        <w:t>Sub-option 2</w:t>
      </w:r>
      <w:r>
        <w:rPr>
          <w:rFonts w:ascii="Times New Roman" w:eastAsia="Calibri" w:hAnsi="Times New Roman" w:cs="Times New Roman"/>
          <w:noProof/>
          <w:sz w:val="24"/>
          <w:szCs w:val="24"/>
          <w:u w:val="single"/>
        </w:rPr>
        <w:t>:</w:t>
      </w:r>
      <w:r>
        <w:rPr>
          <w:rFonts w:ascii="Times New Roman" w:eastAsia="Calibri" w:hAnsi="Times New Roman" w:cs="Times New Roman"/>
          <w:noProof/>
          <w:sz w:val="24"/>
          <w:szCs w:val="24"/>
        </w:rPr>
        <w:t xml:space="preserve"> A maximum discharge period of 3 years would address all debtors, including those who still have income</w:t>
      </w:r>
      <w:r>
        <w:rPr>
          <w:rFonts w:ascii="Times New Roman" w:eastAsia="Calibri" w:hAnsi="Times New Roman" w:cs="Times New Roman"/>
          <w:noProof/>
          <w:sz w:val="24"/>
          <w:szCs w:val="24"/>
        </w:rPr>
        <w:t xml:space="preserve"> to repay creditors under a repayment plan. In fact, Sub-option 2 could be combined with Sub-option 1 for NINA</w:t>
      </w:r>
      <w:r>
        <w:rPr>
          <w:rFonts w:ascii="Times New Roman" w:eastAsia="Calibri" w:hAnsi="Times New Roman" w:cs="Times New Roman"/>
          <w:noProof/>
          <w:sz w:val="24"/>
          <w:szCs w:val="24"/>
          <w:vertAlign w:val="superscript"/>
        </w:rPr>
        <w:footnoteReference w:id="176"/>
      </w:r>
      <w:r>
        <w:rPr>
          <w:rFonts w:ascii="Times New Roman" w:eastAsia="Calibri" w:hAnsi="Times New Roman" w:cs="Times New Roman"/>
          <w:noProof/>
          <w:sz w:val="24"/>
          <w:szCs w:val="24"/>
        </w:rPr>
        <w:t>s.</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u w:val="single"/>
        </w:rPr>
        <w:t>Sub-option 3</w:t>
      </w:r>
      <w:r>
        <w:rPr>
          <w:rFonts w:ascii="Times New Roman" w:eastAsia="Calibri" w:hAnsi="Times New Roman" w:cs="Times New Roman"/>
          <w:noProof/>
          <w:sz w:val="24"/>
          <w:szCs w:val="24"/>
          <w:u w:val="single"/>
        </w:rPr>
        <w:t>:</w:t>
      </w:r>
      <w:r>
        <w:rPr>
          <w:rFonts w:ascii="Times New Roman" w:eastAsia="Calibri" w:hAnsi="Times New Roman" w:cs="Times New Roman"/>
          <w:noProof/>
          <w:sz w:val="24"/>
          <w:szCs w:val="24"/>
        </w:rPr>
        <w:t xml:space="preserve"> A second chance would not be effective if entrepreneurs would not be able to discharge both their professional and their persona</w:t>
      </w:r>
      <w:r>
        <w:rPr>
          <w:rFonts w:ascii="Times New Roman" w:eastAsia="Calibri" w:hAnsi="Times New Roman" w:cs="Times New Roman"/>
          <w:noProof/>
          <w:sz w:val="24"/>
          <w:szCs w:val="24"/>
        </w:rPr>
        <w:t>l debt together. This option proposes therefore a consolidation of proceedings in one procedure.</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rPr>
        <w:t>5.7.1.2. Assessment of impact of the sub-options and preferred sub-option</w:t>
      </w:r>
      <w:r>
        <w:rPr>
          <w:rFonts w:ascii="Times New Roman" w:eastAsia="Calibri" w:hAnsi="Times New Roman" w:cs="Times New Roman"/>
          <w:noProof/>
          <w:sz w:val="24"/>
          <w:szCs w:val="24"/>
        </w:rPr>
        <w:t xml:space="preserve"> </w:t>
      </w:r>
    </w:p>
    <w:p w:rsidR="00B32D69" w:rsidRDefault="00FB661A">
      <w:pPr>
        <w:spacing w:before="240"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Very small businesses (i.e. one person business or businesses with up to four worker</w:t>
      </w:r>
      <w:r>
        <w:rPr>
          <w:rFonts w:ascii="Times New Roman" w:eastAsia="Calibri" w:hAnsi="Times New Roman" w:cs="Times New Roman"/>
          <w:noProof/>
          <w:sz w:val="24"/>
          <w:szCs w:val="24"/>
        </w:rPr>
        <w:t>s) accounted for more than 95 % of new businesses in the different Member States in 2013 and 30 % of them did not survive their first 2 years</w:t>
      </w:r>
      <w:r>
        <w:rPr>
          <w:rFonts w:ascii="Times New Roman" w:eastAsia="Calibri" w:hAnsi="Times New Roman" w:cs="Times New Roman"/>
          <w:noProof/>
          <w:sz w:val="24"/>
          <w:szCs w:val="24"/>
          <w:vertAlign w:val="superscript"/>
        </w:rPr>
        <w:footnoteReference w:id="177"/>
      </w:r>
      <w:r>
        <w:rPr>
          <w:rFonts w:ascii="Times New Roman" w:eastAsia="Calibri" w:hAnsi="Times New Roman" w:cs="Times New Roman"/>
          <w:noProof/>
          <w:sz w:val="24"/>
          <w:szCs w:val="24"/>
        </w:rPr>
        <w:t xml:space="preserve">. It is important to allow entrepreneurs a quick re-entry into the productive economy.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458"/>
        <w:gridCol w:w="2446"/>
        <w:gridCol w:w="2418"/>
      </w:tblGrid>
      <w:tr w:rsidR="00B32D69">
        <w:trPr>
          <w:trHeight w:val="240"/>
        </w:trPr>
        <w:tc>
          <w:tcPr>
            <w:tcW w:w="1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line="240" w:lineRule="auto"/>
              <w:jc w:val="center"/>
              <w:rPr>
                <w:rFonts w:ascii="Times New Roman" w:hAnsi="Times New Roman" w:cs="Times New Roman"/>
                <w:b/>
                <w:noProof/>
              </w:rPr>
            </w:pPr>
            <w:r>
              <w:rPr>
                <w:rFonts w:ascii="Times New Roman" w:hAnsi="Times New Roman" w:cs="Times New Roman"/>
                <w:b/>
                <w:noProof/>
              </w:rPr>
              <w:t>Sub-option</w:t>
            </w:r>
          </w:p>
        </w:tc>
        <w:tc>
          <w:tcPr>
            <w:tcW w:w="24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line="240" w:lineRule="auto"/>
              <w:jc w:val="center"/>
              <w:rPr>
                <w:rFonts w:ascii="Times New Roman" w:eastAsia="Calibri" w:hAnsi="Times New Roman" w:cs="Times New Roman"/>
                <w:noProof/>
                <w:sz w:val="20"/>
                <w:szCs w:val="20"/>
              </w:rPr>
            </w:pPr>
            <w:r>
              <w:rPr>
                <w:rFonts w:ascii="Times New Roman" w:eastAsia="Calibri" w:hAnsi="Times New Roman" w:cs="Times New Roman"/>
                <w:b/>
                <w:noProof/>
                <w:sz w:val="20"/>
                <w:szCs w:val="20"/>
              </w:rPr>
              <w:t>Sub-option 1</w:t>
            </w:r>
          </w:p>
        </w:tc>
        <w:tc>
          <w:tcPr>
            <w:tcW w:w="24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line="240" w:lineRule="auto"/>
              <w:jc w:val="center"/>
              <w:rPr>
                <w:rFonts w:ascii="Times New Roman" w:eastAsia="Calibri" w:hAnsi="Times New Roman" w:cs="Times New Roman"/>
                <w:noProof/>
                <w:sz w:val="20"/>
                <w:szCs w:val="20"/>
              </w:rPr>
            </w:pPr>
            <w:r>
              <w:rPr>
                <w:rFonts w:ascii="Times New Roman" w:eastAsia="Calibri" w:hAnsi="Times New Roman" w:cs="Times New Roman"/>
                <w:b/>
                <w:noProof/>
                <w:sz w:val="20"/>
                <w:szCs w:val="20"/>
              </w:rPr>
              <w:t>Sub-option 2</w:t>
            </w:r>
          </w:p>
        </w:tc>
        <w:tc>
          <w:tcPr>
            <w:tcW w:w="2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line="240" w:lineRule="auto"/>
              <w:jc w:val="center"/>
              <w:rPr>
                <w:rFonts w:ascii="Times New Roman" w:eastAsia="Calibri" w:hAnsi="Times New Roman" w:cs="Times New Roman"/>
                <w:noProof/>
                <w:sz w:val="20"/>
                <w:szCs w:val="20"/>
              </w:rPr>
            </w:pPr>
            <w:r>
              <w:rPr>
                <w:rFonts w:ascii="Times New Roman" w:eastAsia="Calibri" w:hAnsi="Times New Roman" w:cs="Times New Roman"/>
                <w:b/>
                <w:noProof/>
                <w:sz w:val="20"/>
                <w:szCs w:val="20"/>
              </w:rPr>
              <w:t>Sub-option 3</w:t>
            </w:r>
          </w:p>
        </w:tc>
      </w:tr>
      <w:tr w:rsidR="00B32D69">
        <w:trPr>
          <w:trHeight w:val="2117"/>
        </w:trPr>
        <w:tc>
          <w:tcPr>
            <w:tcW w:w="18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hAnsi="Times New Roman" w:cs="Times New Roman"/>
                <w:i/>
                <w:noProof/>
                <w:sz w:val="20"/>
                <w:szCs w:val="20"/>
              </w:rPr>
            </w:pPr>
            <w:r>
              <w:rPr>
                <w:rFonts w:ascii="Times New Roman" w:hAnsi="Times New Roman" w:cs="Times New Roman"/>
                <w:i/>
                <w:noProof/>
                <w:sz w:val="20"/>
                <w:szCs w:val="20"/>
              </w:rPr>
              <w:t>Sub-option summary</w:t>
            </w:r>
          </w:p>
        </w:tc>
        <w:tc>
          <w:tcPr>
            <w:tcW w:w="24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Discharge of debts for entrepreneurs with no assets and no income and low levels of debt within 1 year from start of liquidation proceedings, with limited exceptions (e.g. fraud, bad faith, gross negligence).</w:t>
            </w:r>
          </w:p>
        </w:tc>
        <w:tc>
          <w:tcPr>
            <w:tcW w:w="244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D</w:t>
            </w:r>
            <w:r>
              <w:rPr>
                <w:rFonts w:ascii="Times New Roman" w:eastAsia="Calibri" w:hAnsi="Times New Roman" w:cs="Times New Roman"/>
                <w:noProof/>
                <w:sz w:val="20"/>
                <w:szCs w:val="20"/>
              </w:rPr>
              <w:t>ischarge of debts for entrepreneurs within 3 years from start of liquidation and start of implementation of the repayment plan, implemented, with limited exceptions (e.g. fraud, bad faith).</w:t>
            </w:r>
          </w:p>
        </w:tc>
        <w:tc>
          <w:tcPr>
            <w:tcW w:w="241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Sub-option 2 + possibility to consolidate all personal debts of th</w:t>
            </w:r>
            <w:r>
              <w:rPr>
                <w:rFonts w:ascii="Times New Roman" w:eastAsia="Calibri" w:hAnsi="Times New Roman" w:cs="Times New Roman"/>
                <w:noProof/>
                <w:sz w:val="20"/>
                <w:szCs w:val="20"/>
              </w:rPr>
              <w:t>e entrepreneur - be they business or non-business in nature - in one procedure.</w:t>
            </w:r>
          </w:p>
        </w:tc>
      </w:tr>
      <w:tr w:rsidR="00B32D69">
        <w:trPr>
          <w:trHeight w:val="215"/>
        </w:trPr>
        <w:tc>
          <w:tcPr>
            <w:tcW w:w="918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32D69" w:rsidRDefault="00FB661A">
            <w:pPr>
              <w:spacing w:before="60" w:after="60"/>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Impacts</w:t>
            </w:r>
          </w:p>
        </w:tc>
      </w:tr>
      <w:tr w:rsidR="00B32D69">
        <w:tc>
          <w:tcPr>
            <w:tcW w:w="18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i/>
                <w:noProof/>
                <w:sz w:val="20"/>
                <w:szCs w:val="20"/>
              </w:rPr>
            </w:pPr>
            <w:r>
              <w:rPr>
                <w:rFonts w:ascii="Times New Roman" w:eastAsia="Calibri" w:hAnsi="Times New Roman" w:cs="Times New Roman"/>
                <w:i/>
                <w:noProof/>
                <w:sz w:val="20"/>
                <w:szCs w:val="20"/>
              </w:rPr>
              <w:t>Costs of relocation: cross-border impact on creditors</w:t>
            </w:r>
          </w:p>
        </w:tc>
        <w:tc>
          <w:tcPr>
            <w:tcW w:w="24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Incentives for relocation for the purposes of taking advantage of more favourable discharge periods would be </w:t>
            </w:r>
            <w:r>
              <w:rPr>
                <w:rFonts w:ascii="Times New Roman" w:eastAsia="Calibri" w:hAnsi="Times New Roman" w:cs="Times New Roman"/>
                <w:noProof/>
                <w:sz w:val="20"/>
                <w:szCs w:val="20"/>
              </w:rPr>
              <w:t xml:space="preserve">reduced, and therefore the additional costs such relocations would entail for creditors (potential ex ante costs assessing the risk of relocation of the debtor to the most friendly jurisdiction in the EU; costs of enforcing or trying to enforce in another </w:t>
            </w:r>
            <w:r>
              <w:rPr>
                <w:rFonts w:ascii="Times New Roman" w:eastAsia="Calibri" w:hAnsi="Times New Roman" w:cs="Times New Roman"/>
                <w:noProof/>
                <w:sz w:val="20"/>
                <w:szCs w:val="20"/>
              </w:rPr>
              <w:t>MS; costs resulting from the need to write off debts following a discharge decision in another MS), will be reduced. This sub-option will have however a limited impact: NINAs are also the less likely to be able to relocate given the financial constraints.</w:t>
            </w:r>
          </w:p>
        </w:tc>
        <w:tc>
          <w:tcPr>
            <w:tcW w:w="244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Because this sub-option will capture more over-indebted entrepreneurs, its impacts will be necessarily more significant. Reducing the risk of relocation of entrepreneurs with higher amounts of debt will also lead to more significant savings for creditor</w:t>
            </w:r>
            <w:r>
              <w:rPr>
                <w:rFonts w:ascii="Times New Roman" w:eastAsia="Calibri" w:hAnsi="Times New Roman" w:cs="Times New Roman"/>
                <w:noProof/>
                <w:sz w:val="20"/>
                <w:szCs w:val="20"/>
              </w:rPr>
              <w:t>s of these entrepreneurs (as otherwise they may have higher amounts to write off as a results of discharge in another MS).</w:t>
            </w:r>
          </w:p>
        </w:tc>
        <w:tc>
          <w:tcPr>
            <w:tcW w:w="241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There may be significant additional cost savings where the same creditors will have professional as well as personal claims again</w:t>
            </w:r>
            <w:r>
              <w:rPr>
                <w:rFonts w:ascii="Times New Roman" w:eastAsia="Calibri" w:hAnsi="Times New Roman" w:cs="Times New Roman"/>
                <w:noProof/>
                <w:sz w:val="20"/>
                <w:szCs w:val="20"/>
              </w:rPr>
              <w:t>st the same debtor.</w:t>
            </w:r>
          </w:p>
        </w:tc>
      </w:tr>
      <w:tr w:rsidR="00B32D69">
        <w:tc>
          <w:tcPr>
            <w:tcW w:w="1858" w:type="dxa"/>
            <w:tcBorders>
              <w:top w:val="single" w:sz="4" w:space="0" w:color="auto"/>
              <w:left w:val="single" w:sz="4" w:space="0" w:color="auto"/>
              <w:bottom w:val="single" w:sz="4" w:space="0" w:color="auto"/>
              <w:right w:val="single" w:sz="4" w:space="0" w:color="auto"/>
            </w:tcBorders>
          </w:tcPr>
          <w:p w:rsidR="00B32D69" w:rsidRDefault="00FB661A">
            <w:pPr>
              <w:spacing w:before="60" w:after="60"/>
              <w:rPr>
                <w:rFonts w:ascii="Times New Roman" w:eastAsia="Calibri" w:hAnsi="Times New Roman" w:cs="Times New Roman"/>
                <w:i/>
                <w:noProof/>
                <w:sz w:val="20"/>
                <w:szCs w:val="20"/>
              </w:rPr>
            </w:pPr>
            <w:r>
              <w:rPr>
                <w:rFonts w:ascii="Times New Roman" w:eastAsia="Calibri" w:hAnsi="Times New Roman" w:cs="Times New Roman"/>
                <w:i/>
                <w:noProof/>
                <w:sz w:val="20"/>
                <w:szCs w:val="20"/>
              </w:rPr>
              <w:t>Cost of relocation: cross-border impact on entrepreneurs</w:t>
            </w:r>
          </w:p>
        </w:tc>
        <w:tc>
          <w:tcPr>
            <w:tcW w:w="2458"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Some NINAs who might have otherwise relocated will be able to have cost savings (such as travel costs to another MS, finding a job in less than 3 months, living in that MS for </w:t>
            </w:r>
            <w:r>
              <w:rPr>
                <w:rFonts w:ascii="Times New Roman" w:eastAsia="Calibri" w:hAnsi="Times New Roman" w:cs="Times New Roman"/>
                <w:noProof/>
                <w:sz w:val="20"/>
                <w:szCs w:val="20"/>
              </w:rPr>
              <w:t>at least 6 months or more in order to establish COMI change).</w:t>
            </w:r>
          </w:p>
        </w:tc>
        <w:tc>
          <w:tcPr>
            <w:tcW w:w="2446"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Significantly more entrepreneurs will be able to avoid relocation, hence significantly more savings from reducing the need for relocation. </w:t>
            </w:r>
          </w:p>
        </w:tc>
        <w:tc>
          <w:tcPr>
            <w:tcW w:w="2418"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Consolidating procedures will lead to a more </w:t>
            </w:r>
            <w:r>
              <w:rPr>
                <w:rFonts w:ascii="Times New Roman" w:eastAsia="Calibri" w:hAnsi="Times New Roman" w:cs="Times New Roman"/>
                <w:noProof/>
                <w:sz w:val="20"/>
                <w:szCs w:val="20"/>
              </w:rPr>
              <w:t>effective, quicker second chance, hence the additional cost savings for entrepreneurs.</w:t>
            </w:r>
          </w:p>
        </w:tc>
      </w:tr>
      <w:tr w:rsidR="00B32D69">
        <w:tc>
          <w:tcPr>
            <w:tcW w:w="18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i/>
                <w:noProof/>
                <w:sz w:val="20"/>
                <w:szCs w:val="20"/>
              </w:rPr>
            </w:pPr>
            <w:r>
              <w:rPr>
                <w:rFonts w:ascii="Times New Roman" w:eastAsia="Calibri" w:hAnsi="Times New Roman" w:cs="Times New Roman"/>
                <w:i/>
                <w:noProof/>
                <w:sz w:val="20"/>
                <w:szCs w:val="20"/>
              </w:rPr>
              <w:t>Entrepreneurship</w:t>
            </w:r>
          </w:p>
        </w:tc>
        <w:tc>
          <w:tcPr>
            <w:tcW w:w="24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A short discharge period would have positive effects on the level of entrepreneurship, as the possibilities for a second and more successful start increase. </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Exceptions allow Member States</w:t>
            </w:r>
            <w:r>
              <w:rPr>
                <w:rFonts w:ascii="Times New Roman" w:eastAsia="Calibri" w:hAnsi="Times New Roman" w:cs="Times New Roman"/>
                <w:noProof/>
              </w:rPr>
              <w:t xml:space="preserve"> </w:t>
            </w:r>
            <w:r>
              <w:rPr>
                <w:rFonts w:ascii="Times New Roman" w:eastAsia="Calibri" w:hAnsi="Times New Roman" w:cs="Times New Roman"/>
                <w:noProof/>
                <w:sz w:val="20"/>
                <w:szCs w:val="20"/>
              </w:rPr>
              <w:t>to filter out dishonest or fraudulent entrepreneurs.</w:t>
            </w:r>
          </w:p>
        </w:tc>
        <w:tc>
          <w:tcPr>
            <w:tcW w:w="244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i/>
                <w:noProof/>
                <w:sz w:val="20"/>
                <w:szCs w:val="20"/>
              </w:rPr>
            </w:pPr>
            <w:r>
              <w:rPr>
                <w:rFonts w:ascii="Times New Roman" w:eastAsia="Calibri" w:hAnsi="Times New Roman" w:cs="Times New Roman"/>
                <w:noProof/>
                <w:sz w:val="20"/>
                <w:szCs w:val="20"/>
              </w:rPr>
              <w:t>A medium le</w:t>
            </w:r>
            <w:r>
              <w:rPr>
                <w:rFonts w:ascii="Times New Roman" w:eastAsia="Calibri" w:hAnsi="Times New Roman" w:cs="Times New Roman"/>
                <w:noProof/>
                <w:sz w:val="20"/>
                <w:szCs w:val="20"/>
              </w:rPr>
              <w:t>ngth discharge period would have positive effects on the level of entrepreneurship, albeit less than Sub-option 1. If discharge periods will be reduced to no more than 3 years in all Member States, the number of newly created SMEs would be 5.9% higher than</w:t>
            </w:r>
            <w:r>
              <w:rPr>
                <w:rFonts w:ascii="Times New Roman" w:eastAsia="Calibri" w:hAnsi="Times New Roman" w:cs="Times New Roman"/>
                <w:noProof/>
                <w:sz w:val="20"/>
                <w:szCs w:val="20"/>
              </w:rPr>
              <w:t xml:space="preserve"> today</w:t>
            </w:r>
            <w:r>
              <w:rPr>
                <w:rFonts w:ascii="Times New Roman" w:hAnsi="Times New Roman" w:cs="Times New Roman"/>
                <w:noProof/>
                <w:sz w:val="20"/>
                <w:szCs w:val="20"/>
                <w:vertAlign w:val="superscript"/>
              </w:rPr>
              <w:footnoteReference w:id="178"/>
            </w:r>
            <w:r>
              <w:rPr>
                <w:rFonts w:ascii="Times New Roman" w:eastAsia="Calibri" w:hAnsi="Times New Roman" w:cs="Times New Roman"/>
                <w:noProof/>
                <w:sz w:val="20"/>
                <w:szCs w:val="20"/>
              </w:rPr>
              <w:t>.</w:t>
            </w:r>
          </w:p>
        </w:tc>
        <w:tc>
          <w:tcPr>
            <w:tcW w:w="241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This sub-option will increase even more the positive effects on the number of second starters and the speed with which they return to activity. </w:t>
            </w:r>
          </w:p>
        </w:tc>
      </w:tr>
      <w:tr w:rsidR="00B32D69">
        <w:tc>
          <w:tcPr>
            <w:tcW w:w="18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i/>
                <w:noProof/>
                <w:sz w:val="20"/>
                <w:szCs w:val="20"/>
              </w:rPr>
            </w:pPr>
            <w:r>
              <w:rPr>
                <w:rFonts w:ascii="Times New Roman" w:eastAsia="Calibri" w:hAnsi="Times New Roman" w:cs="Times New Roman"/>
                <w:i/>
                <w:noProof/>
                <w:sz w:val="20"/>
                <w:szCs w:val="20"/>
              </w:rPr>
              <w:t>Jobs</w:t>
            </w:r>
          </w:p>
        </w:tc>
        <w:tc>
          <w:tcPr>
            <w:tcW w:w="24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The option would have a positive impact on re-starting business by previously defaulting </w:t>
            </w:r>
            <w:r>
              <w:rPr>
                <w:rFonts w:ascii="Times New Roman" w:eastAsia="Calibri" w:hAnsi="Times New Roman" w:cs="Times New Roman"/>
                <w:noProof/>
                <w:sz w:val="20"/>
                <w:szCs w:val="20"/>
              </w:rPr>
              <w:t>entrepreneurs. More of them (and more new entrepreneurs) will re-start businesses and create new jobs. Some increase of jobs, but substantially lower than 3 million assessed for option 2. However, it may happen that some proportion of defaulting entreprene</w:t>
            </w:r>
            <w:r>
              <w:rPr>
                <w:rFonts w:ascii="Times New Roman" w:eastAsia="Calibri" w:hAnsi="Times New Roman" w:cs="Times New Roman"/>
                <w:noProof/>
                <w:sz w:val="20"/>
                <w:szCs w:val="20"/>
              </w:rPr>
              <w:t>urs (without any assets) will not restart business.</w:t>
            </w:r>
          </w:p>
        </w:tc>
        <w:tc>
          <w:tcPr>
            <w:tcW w:w="244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autoSpaceDE w:val="0"/>
              <w:autoSpaceDN w:val="0"/>
              <w:adjustRightInd w:val="0"/>
              <w:spacing w:before="60" w:after="60" w:line="240" w:lineRule="auto"/>
              <w:ind w:left="60"/>
              <w:jc w:val="both"/>
              <w:rPr>
                <w:rFonts w:ascii="EC Square Sans Pro" w:eastAsia="Times New Roman" w:hAnsi="EC Square Sans Pro" w:cs="Arial"/>
                <w:noProof/>
                <w:sz w:val="20"/>
                <w:szCs w:val="20"/>
              </w:rPr>
            </w:pPr>
            <w:r>
              <w:rPr>
                <w:rFonts w:ascii="Times New Roman" w:eastAsia="Calibri" w:hAnsi="Times New Roman" w:cs="Times New Roman"/>
                <w:noProof/>
                <w:sz w:val="20"/>
                <w:szCs w:val="20"/>
              </w:rPr>
              <w:t>Number of jobs in the SME sector could be 3 million higher than it is at present</w:t>
            </w:r>
            <w:r>
              <w:rPr>
                <w:rFonts w:ascii="Times New Roman" w:eastAsia="Calibri" w:hAnsi="Times New Roman" w:cs="Times New Roman"/>
                <w:noProof/>
                <w:sz w:val="20"/>
                <w:szCs w:val="20"/>
                <w:vertAlign w:val="superscript"/>
              </w:rPr>
              <w:footnoteReference w:id="179"/>
            </w:r>
            <w:r>
              <w:rPr>
                <w:rFonts w:ascii="Times New Roman" w:eastAsia="Calibri" w:hAnsi="Times New Roman" w:cs="Times New Roman"/>
                <w:noProof/>
                <w:sz w:val="20"/>
                <w:szCs w:val="20"/>
              </w:rPr>
              <w:t>.</w:t>
            </w:r>
          </w:p>
        </w:tc>
        <w:tc>
          <w:tcPr>
            <w:tcW w:w="241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As compared to Sub-option 2, entrepreneurs are likely to benefit further from being able to resolve all their </w:t>
            </w:r>
            <w:r>
              <w:rPr>
                <w:rFonts w:ascii="Times New Roman" w:eastAsia="Calibri" w:hAnsi="Times New Roman" w:cs="Times New Roman"/>
                <w:noProof/>
                <w:sz w:val="20"/>
                <w:szCs w:val="20"/>
              </w:rPr>
              <w:t>debts in one procedure and thus to be more willing to restart business.</w:t>
            </w:r>
          </w:p>
        </w:tc>
      </w:tr>
      <w:tr w:rsidR="00B32D69">
        <w:tc>
          <w:tcPr>
            <w:tcW w:w="18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i/>
                <w:noProof/>
                <w:sz w:val="20"/>
                <w:szCs w:val="20"/>
              </w:rPr>
            </w:pPr>
            <w:r>
              <w:rPr>
                <w:rFonts w:ascii="Times New Roman" w:eastAsia="Calibri" w:hAnsi="Times New Roman" w:cs="Times New Roman"/>
                <w:i/>
                <w:noProof/>
                <w:sz w:val="20"/>
                <w:szCs w:val="20"/>
              </w:rPr>
              <w:t>Impact on GDP</w:t>
            </w:r>
          </w:p>
        </w:tc>
        <w:tc>
          <w:tcPr>
            <w:tcW w:w="24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As the proportion of defaulting entrepreneurs without assets would not be substantial, some limited boost of GDP possible. Effect rather due to more encouragement of </w:t>
            </w:r>
            <w:r>
              <w:rPr>
                <w:rFonts w:ascii="Times New Roman" w:eastAsia="Calibri" w:hAnsi="Times New Roman" w:cs="Times New Roman"/>
                <w:noProof/>
                <w:sz w:val="20"/>
                <w:szCs w:val="20"/>
              </w:rPr>
              <w:t>entrepreneurship.</w:t>
            </w:r>
          </w:p>
        </w:tc>
        <w:tc>
          <w:tcPr>
            <w:tcW w:w="244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A GDP boost by between 0.2% and 2.1% in the long run</w:t>
            </w:r>
            <w:r>
              <w:rPr>
                <w:rFonts w:eastAsia="Calibri" w:cs="Times New Roman"/>
                <w:noProof/>
                <w:sz w:val="20"/>
                <w:szCs w:val="20"/>
                <w:vertAlign w:val="superscript"/>
              </w:rPr>
              <w:footnoteReference w:id="180"/>
            </w:r>
            <w:r>
              <w:rPr>
                <w:rFonts w:ascii="Times New Roman" w:eastAsia="Calibri" w:hAnsi="Times New Roman" w:cs="Times New Roman"/>
                <w:noProof/>
                <w:sz w:val="20"/>
                <w:szCs w:val="20"/>
              </w:rPr>
              <w:t>.</w:t>
            </w:r>
          </w:p>
        </w:tc>
        <w:tc>
          <w:tcPr>
            <w:tcW w:w="241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At least the same as Sub-option 2, or higher due to bigger number of second starters.</w:t>
            </w:r>
          </w:p>
        </w:tc>
      </w:tr>
      <w:tr w:rsidR="00B32D69">
        <w:tc>
          <w:tcPr>
            <w:tcW w:w="18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i/>
                <w:noProof/>
                <w:sz w:val="20"/>
                <w:szCs w:val="20"/>
              </w:rPr>
            </w:pPr>
            <w:r>
              <w:rPr>
                <w:rFonts w:ascii="Times New Roman" w:eastAsia="Calibri" w:hAnsi="Times New Roman" w:cs="Times New Roman"/>
                <w:i/>
                <w:noProof/>
                <w:sz w:val="20"/>
                <w:szCs w:val="20"/>
              </w:rPr>
              <w:t>Availability and costs of credit</w:t>
            </w:r>
          </w:p>
        </w:tc>
        <w:tc>
          <w:tcPr>
            <w:tcW w:w="24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A short discharge period may have negative impact on av</w:t>
            </w:r>
            <w:r>
              <w:rPr>
                <w:rFonts w:ascii="Times New Roman" w:eastAsia="Calibri" w:hAnsi="Times New Roman" w:cs="Times New Roman"/>
                <w:noProof/>
                <w:sz w:val="20"/>
                <w:szCs w:val="20"/>
              </w:rPr>
              <w:t xml:space="preserve">ailability and costs of credit, as the creditors may fear that they are likely to have more claims unpaid due to the discharge. </w:t>
            </w:r>
          </w:p>
        </w:tc>
        <w:tc>
          <w:tcPr>
            <w:tcW w:w="244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However, risks are usually calculated on the basis of rates of default, not rates of discharge. Compared to sub-option 1, the</w:t>
            </w:r>
            <w:r>
              <w:rPr>
                <w:rFonts w:ascii="Times New Roman" w:eastAsia="Calibri" w:hAnsi="Times New Roman" w:cs="Times New Roman"/>
                <w:noProof/>
                <w:sz w:val="20"/>
                <w:szCs w:val="20"/>
              </w:rPr>
              <w:t xml:space="preserve"> negative effects on availability and costs of credit should be limited. There is no evidence of positive correlation between interest rates and length of discharge periods in Member States. </w:t>
            </w:r>
          </w:p>
        </w:tc>
        <w:tc>
          <w:tcPr>
            <w:tcW w:w="2418"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Same as Sub-option 2.</w:t>
            </w:r>
          </w:p>
          <w:p w:rsidR="00B32D69" w:rsidRDefault="00B32D69">
            <w:pPr>
              <w:spacing w:before="60" w:after="60" w:line="240" w:lineRule="auto"/>
              <w:rPr>
                <w:rFonts w:ascii="Times New Roman" w:eastAsia="Calibri" w:hAnsi="Times New Roman" w:cs="Times New Roman"/>
                <w:noProof/>
                <w:sz w:val="20"/>
                <w:szCs w:val="20"/>
              </w:rPr>
            </w:pPr>
          </w:p>
        </w:tc>
      </w:tr>
      <w:tr w:rsidR="00B32D69">
        <w:tc>
          <w:tcPr>
            <w:tcW w:w="18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i/>
                <w:noProof/>
                <w:sz w:val="20"/>
                <w:szCs w:val="20"/>
              </w:rPr>
            </w:pPr>
            <w:r>
              <w:rPr>
                <w:rFonts w:ascii="Times New Roman" w:eastAsia="Calibri" w:hAnsi="Times New Roman" w:cs="Times New Roman"/>
                <w:i/>
                <w:noProof/>
                <w:sz w:val="20"/>
                <w:szCs w:val="20"/>
              </w:rPr>
              <w:t>Legal systems</w:t>
            </w:r>
          </w:p>
        </w:tc>
        <w:tc>
          <w:tcPr>
            <w:tcW w:w="24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i/>
                <w:noProof/>
                <w:sz w:val="20"/>
                <w:szCs w:val="20"/>
              </w:rPr>
            </w:pPr>
            <w:r>
              <w:rPr>
                <w:rFonts w:ascii="Times New Roman" w:eastAsia="Calibri" w:hAnsi="Times New Roman" w:cs="Times New Roman"/>
                <w:noProof/>
                <w:sz w:val="20"/>
                <w:szCs w:val="20"/>
              </w:rPr>
              <w:t xml:space="preserve">Almost all Member States (except IE and UK) would have to change their laws to enable such a short discharge period.  </w:t>
            </w:r>
            <w:r>
              <w:rPr>
                <w:rFonts w:ascii="Times New Roman" w:eastAsia="Calibri" w:hAnsi="Times New Roman" w:cs="Times New Roman"/>
                <w:i/>
                <w:noProof/>
                <w:sz w:val="20"/>
                <w:szCs w:val="20"/>
              </w:rPr>
              <w:t xml:space="preserve"> </w:t>
            </w:r>
          </w:p>
        </w:tc>
        <w:tc>
          <w:tcPr>
            <w:tcW w:w="244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Many Member States (except e.g. FI, SE) would have to provide for shorter discharge periods, while some Member States</w:t>
            </w:r>
            <w:r>
              <w:rPr>
                <w:rFonts w:ascii="Times New Roman" w:eastAsia="Calibri" w:hAnsi="Times New Roman" w:cs="Times New Roman"/>
                <w:noProof/>
              </w:rPr>
              <w:t xml:space="preserve"> </w:t>
            </w:r>
            <w:r>
              <w:rPr>
                <w:rFonts w:ascii="Times New Roman" w:eastAsia="Calibri" w:hAnsi="Times New Roman" w:cs="Times New Roman"/>
                <w:noProof/>
                <w:sz w:val="20"/>
                <w:szCs w:val="20"/>
              </w:rPr>
              <w:t>may only have t</w:t>
            </w:r>
            <w:r>
              <w:rPr>
                <w:rFonts w:ascii="Times New Roman" w:eastAsia="Calibri" w:hAnsi="Times New Roman" w:cs="Times New Roman"/>
                <w:noProof/>
                <w:sz w:val="20"/>
                <w:szCs w:val="20"/>
              </w:rPr>
              <w:t xml:space="preserve">o reconsider the conditions under which discharge is granted (e.g. FR, DE, SK, CY). </w:t>
            </w:r>
          </w:p>
        </w:tc>
        <w:tc>
          <w:tcPr>
            <w:tcW w:w="241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Many Member States have such a possibility in their law (BE, FR, FI, DE, UK), others would have to adapt. </w:t>
            </w:r>
          </w:p>
        </w:tc>
      </w:tr>
      <w:tr w:rsidR="00B32D69">
        <w:tc>
          <w:tcPr>
            <w:tcW w:w="18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i/>
                <w:noProof/>
                <w:sz w:val="20"/>
                <w:szCs w:val="20"/>
              </w:rPr>
            </w:pPr>
            <w:r>
              <w:rPr>
                <w:rFonts w:ascii="Times New Roman" w:eastAsia="Calibri" w:hAnsi="Times New Roman" w:cs="Times New Roman"/>
                <w:i/>
                <w:noProof/>
                <w:sz w:val="20"/>
                <w:szCs w:val="20"/>
              </w:rPr>
              <w:t>Fundamental rights</w:t>
            </w:r>
          </w:p>
        </w:tc>
        <w:tc>
          <w:tcPr>
            <w:tcW w:w="24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0</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Given that debtors benefiting from such </w:t>
            </w:r>
            <w:r>
              <w:rPr>
                <w:rFonts w:ascii="Times New Roman" w:eastAsia="Calibri" w:hAnsi="Times New Roman" w:cs="Times New Roman"/>
                <w:noProof/>
                <w:sz w:val="20"/>
                <w:szCs w:val="20"/>
              </w:rPr>
              <w:t>short periods of discharge have low amount of debts, creditors are not likely to suffer significant detriment. Creditors' rights have to be balanced against the right of debtors to human dignity and to engage in work, which the absence of discharge renders</w:t>
            </w:r>
            <w:r>
              <w:rPr>
                <w:rFonts w:ascii="Times New Roman" w:eastAsia="Calibri" w:hAnsi="Times New Roman" w:cs="Times New Roman"/>
                <w:noProof/>
                <w:sz w:val="20"/>
                <w:szCs w:val="20"/>
              </w:rPr>
              <w:t xml:space="preserve"> very difficult.</w:t>
            </w:r>
          </w:p>
        </w:tc>
        <w:tc>
          <w:tcPr>
            <w:tcW w:w="2446"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0</w:t>
            </w:r>
          </w:p>
          <w:p w:rsidR="00B32D69" w:rsidRDefault="00FB661A">
            <w:pPr>
              <w:spacing w:before="60" w:after="60" w:line="240" w:lineRule="auto"/>
              <w:rPr>
                <w:rFonts w:ascii="Times New Roman" w:eastAsia="Calibri" w:hAnsi="Times New Roman" w:cs="Times New Roman"/>
                <w:i/>
                <w:noProof/>
                <w:sz w:val="20"/>
                <w:szCs w:val="20"/>
              </w:rPr>
            </w:pPr>
            <w:r>
              <w:rPr>
                <w:rFonts w:ascii="Times New Roman" w:eastAsia="Calibri" w:hAnsi="Times New Roman" w:cs="Times New Roman"/>
                <w:noProof/>
                <w:sz w:val="20"/>
                <w:szCs w:val="20"/>
              </w:rPr>
              <w:t>Compared to Sub-option 1, the change would strike less controversially the balance between the creditors' right to property and the debtor's right to human dignity and to engage in work.</w:t>
            </w:r>
          </w:p>
        </w:tc>
        <w:tc>
          <w:tcPr>
            <w:tcW w:w="241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0</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Same as Sub-option 2 </w:t>
            </w:r>
          </w:p>
        </w:tc>
      </w:tr>
    </w:tbl>
    <w:p w:rsidR="00B32D69" w:rsidRDefault="00FB661A">
      <w:pPr>
        <w:spacing w:before="240" w:after="240" w:line="240" w:lineRule="auto"/>
        <w:jc w:val="both"/>
        <w:rPr>
          <w:rFonts w:ascii="Times New Roman" w:hAnsi="Times New Roman"/>
          <w:noProof/>
          <w:sz w:val="24"/>
          <w:szCs w:val="24"/>
          <w:lang w:val="en-US"/>
        </w:rPr>
      </w:pPr>
      <w:r>
        <w:rPr>
          <w:rFonts w:ascii="Times New Roman" w:eastAsia="Calibri" w:hAnsi="Times New Roman" w:cs="Times New Roman"/>
          <w:i/>
          <w:noProof/>
          <w:sz w:val="24"/>
          <w:szCs w:val="24"/>
          <w:u w:val="single"/>
        </w:rPr>
        <w:t>Summary assessment of the</w:t>
      </w:r>
      <w:r>
        <w:rPr>
          <w:rFonts w:ascii="Times New Roman" w:eastAsia="Calibri" w:hAnsi="Times New Roman" w:cs="Times New Roman"/>
          <w:i/>
          <w:noProof/>
          <w:sz w:val="24"/>
          <w:szCs w:val="24"/>
          <w:u w:val="single"/>
        </w:rPr>
        <w:t xml:space="preserve"> preferred sub-option</w:t>
      </w:r>
      <w:r>
        <w:rPr>
          <w:rFonts w:ascii="Times New Roman" w:eastAsia="Calibri" w:hAnsi="Times New Roman" w:cs="Times New Roman"/>
          <w:i/>
          <w:noProof/>
          <w:color w:val="000000"/>
          <w:sz w:val="24"/>
          <w:szCs w:val="24"/>
          <w:u w:val="single"/>
        </w:rPr>
        <w:t>:</w:t>
      </w:r>
      <w:r>
        <w:rPr>
          <w:rFonts w:ascii="Times New Roman" w:eastAsia="Calibri" w:hAnsi="Times New Roman" w:cs="Times New Roman"/>
          <w:b/>
          <w:noProof/>
          <w:color w:val="000000"/>
          <w:sz w:val="24"/>
          <w:szCs w:val="24"/>
        </w:rPr>
        <w:t xml:space="preserve"> </w:t>
      </w:r>
      <w:r>
        <w:rPr>
          <w:rFonts w:ascii="Times New Roman" w:eastAsia="Calibri" w:hAnsi="Times New Roman" w:cs="Times New Roman"/>
          <w:i/>
          <w:noProof/>
          <w:color w:val="000000"/>
          <w:sz w:val="24"/>
          <w:szCs w:val="24"/>
        </w:rPr>
        <w:t>Sub-option 3</w:t>
      </w:r>
      <w:r>
        <w:rPr>
          <w:rFonts w:ascii="Times New Roman" w:eastAsia="Calibri" w:hAnsi="Times New Roman" w:cs="Times New Roman"/>
          <w:noProof/>
          <w:color w:val="000000"/>
          <w:sz w:val="24"/>
          <w:szCs w:val="24"/>
        </w:rPr>
        <w:t xml:space="preserve"> is the preferable sub-option as it provides for a fair balance between the rights of the creditor and the rights of the debtor, while having a most positive impact on the levels of entrepreneurship. In terms of </w:t>
      </w:r>
      <w:r>
        <w:rPr>
          <w:rFonts w:ascii="Times New Roman" w:eastAsia="Calibri" w:hAnsi="Times New Roman" w:cs="Times New Roman"/>
          <w:b/>
          <w:noProof/>
          <w:color w:val="000000"/>
          <w:sz w:val="24"/>
          <w:szCs w:val="24"/>
        </w:rPr>
        <w:t>fundament</w:t>
      </w:r>
      <w:r>
        <w:rPr>
          <w:rFonts w:ascii="Times New Roman" w:eastAsia="Calibri" w:hAnsi="Times New Roman" w:cs="Times New Roman"/>
          <w:b/>
          <w:noProof/>
          <w:color w:val="000000"/>
          <w:sz w:val="24"/>
          <w:szCs w:val="24"/>
        </w:rPr>
        <w:t>al rights</w:t>
      </w:r>
      <w:r>
        <w:rPr>
          <w:rFonts w:ascii="Times New Roman" w:eastAsia="Calibri" w:hAnsi="Times New Roman" w:cs="Times New Roman"/>
          <w:noProof/>
          <w:color w:val="000000"/>
          <w:sz w:val="24"/>
          <w:szCs w:val="24"/>
        </w:rPr>
        <w:t>, this sub-option will have positive impacts in terms of right to human dignity and right to engage in work, which do not appear to be outweighed by the potential harmful impact on creditors' property rights, in particular when taking into conside</w:t>
      </w:r>
      <w:r>
        <w:rPr>
          <w:rFonts w:ascii="Times New Roman" w:eastAsia="Calibri" w:hAnsi="Times New Roman" w:cs="Times New Roman"/>
          <w:noProof/>
          <w:color w:val="000000"/>
          <w:sz w:val="24"/>
          <w:szCs w:val="24"/>
        </w:rPr>
        <w:t xml:space="preserve">ration that in practice recovery rates are very low during these periods and creditors' rights are therefore not effectively protected. A short discharge period is a concern from a moral hazard point of view. </w:t>
      </w:r>
      <w:r>
        <w:rPr>
          <w:rFonts w:ascii="Times New Roman" w:hAnsi="Times New Roman"/>
          <w:noProof/>
          <w:sz w:val="24"/>
          <w:szCs w:val="24"/>
          <w:lang w:val="en-US"/>
        </w:rPr>
        <w:t>Reducing the discharge period is often feared t</w:t>
      </w:r>
      <w:r>
        <w:rPr>
          <w:rFonts w:ascii="Times New Roman" w:hAnsi="Times New Roman"/>
          <w:noProof/>
          <w:sz w:val="24"/>
          <w:szCs w:val="24"/>
          <w:lang w:val="en-US"/>
        </w:rPr>
        <w:t>o incentivize debtors to take on debts with no intention of repaying them. Such a fear is not supported by evidence. Research</w:t>
      </w:r>
      <w:r>
        <w:rPr>
          <w:rStyle w:val="FootnoteReference"/>
          <w:rFonts w:ascii="Times New Roman" w:hAnsi="Times New Roman"/>
          <w:noProof/>
          <w:sz w:val="24"/>
          <w:szCs w:val="24"/>
          <w:lang w:val="en-US"/>
        </w:rPr>
        <w:footnoteReference w:id="181"/>
      </w:r>
      <w:r>
        <w:rPr>
          <w:rFonts w:ascii="Times New Roman" w:hAnsi="Times New Roman"/>
          <w:noProof/>
          <w:sz w:val="24"/>
          <w:szCs w:val="24"/>
          <w:lang w:val="en-US"/>
        </w:rPr>
        <w:t xml:space="preserve"> shows that the key reason of over-indebtedness of sole entrepreneurs, which represent important part of SMEs, resides in the lower resistance of SMEs to external economic shocks due to their lower ability to mobilise reserves for the period of economic do</w:t>
      </w:r>
      <w:r>
        <w:rPr>
          <w:rFonts w:ascii="Times New Roman" w:hAnsi="Times New Roman"/>
          <w:noProof/>
          <w:sz w:val="24"/>
          <w:szCs w:val="24"/>
          <w:lang w:val="en-US"/>
        </w:rPr>
        <w:t>wnturns. Negligence or intention to repay the contracted business loans is a reason for default of their obligations only in a very low number of situations. There is a potential downside risk that discharge alone could not give entrepreneurs effective acc</w:t>
      </w:r>
      <w:r>
        <w:rPr>
          <w:rFonts w:ascii="Times New Roman" w:hAnsi="Times New Roman"/>
          <w:noProof/>
          <w:sz w:val="24"/>
          <w:szCs w:val="24"/>
          <w:lang w:val="en-US"/>
        </w:rPr>
        <w:t>ess to second chance. Other flanking measures could therefore be necessary, for example limiting the duration of disqualification order which are issued for honest entrepreneurs simply because they were involved in a bankruptcy procedure.</w:t>
      </w:r>
    </w:p>
    <w:p w:rsidR="00B32D69" w:rsidRDefault="00FB661A">
      <w:pPr>
        <w:spacing w:before="240" w:after="0" w:line="240" w:lineRule="auto"/>
        <w:jc w:val="both"/>
        <w:rPr>
          <w:rFonts w:ascii="Times New Roman" w:eastAsia="Calibri" w:hAnsi="Times New Roman" w:cs="Times New Roman"/>
          <w:noProof/>
          <w:color w:val="000000"/>
          <w:sz w:val="24"/>
          <w:szCs w:val="24"/>
        </w:rPr>
      </w:pPr>
      <w:r>
        <w:rPr>
          <w:rFonts w:ascii="Times New Roman" w:hAnsi="Times New Roman"/>
          <w:noProof/>
          <w:sz w:val="24"/>
          <w:szCs w:val="24"/>
          <w:lang w:val="en-US"/>
        </w:rPr>
        <w:t>In recent decades</w:t>
      </w:r>
      <w:r>
        <w:rPr>
          <w:rFonts w:ascii="Times New Roman" w:hAnsi="Times New Roman"/>
          <w:noProof/>
          <w:sz w:val="24"/>
          <w:szCs w:val="24"/>
          <w:lang w:val="en-US"/>
        </w:rPr>
        <w:t xml:space="preserve"> a number of Member States reduced the time limit of discharge period and there is no information that in any of those Member State the amount of unpaid loans would have increased due to an increased moral hazard risk. At the same time, Member States with </w:t>
      </w:r>
      <w:r>
        <w:rPr>
          <w:rFonts w:ascii="Times New Roman" w:hAnsi="Times New Roman"/>
          <w:noProof/>
          <w:sz w:val="24"/>
          <w:szCs w:val="24"/>
          <w:lang w:val="en-US"/>
        </w:rPr>
        <w:t>very short discharge periods (for example 1 year in the UK) do not report higher levels of unpaid loans or higher costs for obtaining credit due to the moral hazard than Member States with long discharge period (for instance Greece with 10 years).</w:t>
      </w:r>
    </w:p>
    <w:p w:rsidR="00B32D69" w:rsidRDefault="00FB661A">
      <w:pPr>
        <w:spacing w:before="240"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color w:val="000000"/>
          <w:sz w:val="24"/>
          <w:szCs w:val="24"/>
        </w:rPr>
        <w:t>In gener</w:t>
      </w:r>
      <w:r>
        <w:rPr>
          <w:rFonts w:ascii="Times New Roman" w:eastAsia="Calibri" w:hAnsi="Times New Roman" w:cs="Times New Roman"/>
          <w:noProof/>
          <w:color w:val="000000"/>
          <w:sz w:val="24"/>
          <w:szCs w:val="24"/>
        </w:rPr>
        <w:t xml:space="preserve">al, </w:t>
      </w:r>
      <w:r>
        <w:rPr>
          <w:rFonts w:ascii="Times New Roman" w:eastAsia="Calibri" w:hAnsi="Times New Roman" w:cs="Times New Roman"/>
          <w:noProof/>
          <w:sz w:val="24"/>
          <w:szCs w:val="24"/>
        </w:rPr>
        <w:t xml:space="preserve">in the performed public consultation, the majority of the respondents were in favour of full discharge of debt for entrepreneurs who are 'honest'. Respondents also said that such a measure should be complemented by disincentives for dishonest conduct. </w:t>
      </w:r>
      <w:r>
        <w:rPr>
          <w:rFonts w:ascii="Times New Roman" w:eastAsia="Calibri" w:hAnsi="Times New Roman" w:cs="Times New Roman"/>
          <w:noProof/>
          <w:sz w:val="24"/>
          <w:szCs w:val="24"/>
        </w:rPr>
        <w:t>The majority was also of the opinion that the test of honesty should be harmonised at EU level, with many indicating that a presumption of honesty should be put in place. The views were more diverse when it came to the length of the discharge (many of them</w:t>
      </w:r>
      <w:r>
        <w:rPr>
          <w:rFonts w:ascii="Times New Roman" w:eastAsia="Calibri" w:hAnsi="Times New Roman" w:cs="Times New Roman"/>
          <w:noProof/>
          <w:sz w:val="24"/>
          <w:szCs w:val="24"/>
        </w:rPr>
        <w:t xml:space="preserve"> agreed to less than 3 years and a smaller part of stakeholders was in favour of 5 years) and whether discharge should be conditional upon repayment of a certain amount of debt</w:t>
      </w:r>
    </w:p>
    <w:p w:rsidR="00B32D69" w:rsidRDefault="00FB661A">
      <w:pPr>
        <w:spacing w:before="240"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More specifically, stakeholders in the business sector as well as professional associations strongly supported the objective of offering honest bankrupt entrepreneurs a second chance reducing the stigma of insolvency and allowing them to return to economic</w:t>
      </w:r>
      <w:r>
        <w:rPr>
          <w:rFonts w:ascii="Times New Roman" w:eastAsia="Calibri" w:hAnsi="Times New Roman" w:cs="Times New Roman"/>
          <w:noProof/>
          <w:sz w:val="24"/>
          <w:szCs w:val="24"/>
          <w:lang w:val="en-US"/>
        </w:rPr>
        <w:t xml:space="preserve"> life in a reasonable timeframe. They were in favor of a 3-year discharge period, but underlined that consideration should be given to clarifying certain criteria for 'honesty', so that there is appropriate legal certainty about the cases when a facilitate</w:t>
      </w:r>
      <w:r>
        <w:rPr>
          <w:rFonts w:ascii="Times New Roman" w:eastAsia="Calibri" w:hAnsi="Times New Roman" w:cs="Times New Roman"/>
          <w:noProof/>
          <w:sz w:val="24"/>
          <w:szCs w:val="24"/>
          <w:lang w:val="en-US"/>
        </w:rPr>
        <w:t>d discharge should be allowed. Additionally, during the stakeholder meetings, business organisations as well as legal professionals and accountants voiced that, where the entrepreneur has personal debts, both generated by his/her business activity and by h</w:t>
      </w:r>
      <w:r>
        <w:rPr>
          <w:rFonts w:ascii="Times New Roman" w:eastAsia="Calibri" w:hAnsi="Times New Roman" w:cs="Times New Roman"/>
          <w:noProof/>
          <w:sz w:val="24"/>
          <w:szCs w:val="24"/>
          <w:lang w:val="en-US"/>
        </w:rPr>
        <w:t xml:space="preserve">is/her non-business activity, the proceedings should be consolidated for the purposes of the discharge. </w:t>
      </w:r>
    </w:p>
    <w:p w:rsidR="00B32D69" w:rsidRDefault="00FB661A">
      <w:pPr>
        <w:spacing w:before="240"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The banking sector was of the view that honest bankrupt entrepreneurs should be discharged from debts after a relatively short period of time (3 years)</w:t>
      </w:r>
      <w:r>
        <w:rPr>
          <w:rFonts w:ascii="Times New Roman" w:eastAsia="Calibri" w:hAnsi="Times New Roman" w:cs="Times New Roman"/>
          <w:noProof/>
          <w:sz w:val="24"/>
          <w:szCs w:val="24"/>
          <w:lang w:val="en-US"/>
        </w:rPr>
        <w:t xml:space="preserve"> only if a certain amount of the debt is repaid (threshold should not necessarily be statutory, but may also be determined by the courts on a case-by-case basis). Access to such discharge should be possible only when restructuring measures have failed or a</w:t>
      </w:r>
      <w:r>
        <w:rPr>
          <w:rFonts w:ascii="Times New Roman" w:eastAsia="Calibri" w:hAnsi="Times New Roman" w:cs="Times New Roman"/>
          <w:noProof/>
          <w:sz w:val="24"/>
          <w:szCs w:val="24"/>
          <w:lang w:val="en-US"/>
        </w:rPr>
        <w:t>re impossible. Financial institutions also advocated that a ‘second’ full discharge should only be available after a longer period of time in order to exclude incentives for bad practices (and avoid moral hazard). Additionally, they were not in favour of c</w:t>
      </w:r>
      <w:r>
        <w:rPr>
          <w:rFonts w:ascii="Times New Roman" w:eastAsia="Calibri" w:hAnsi="Times New Roman" w:cs="Times New Roman"/>
          <w:noProof/>
          <w:sz w:val="24"/>
          <w:szCs w:val="24"/>
          <w:lang w:val="en-US"/>
        </w:rPr>
        <w:t>onsolidation of economic and private debts.</w:t>
      </w:r>
    </w:p>
    <w:p w:rsidR="00B32D69" w:rsidRDefault="00FB661A">
      <w:pPr>
        <w:spacing w:before="240"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Trade Unions supported the objective of second chance, but they warned from too generous rules which can facilitate the so-called “phoenix syndrome</w:t>
      </w:r>
      <w:r>
        <w:rPr>
          <w:rStyle w:val="FootnoteReference"/>
          <w:rFonts w:ascii="Times New Roman" w:eastAsia="Calibri" w:hAnsi="Times New Roman"/>
          <w:noProof/>
          <w:sz w:val="24"/>
          <w:szCs w:val="24"/>
          <w:lang w:val="en-US"/>
        </w:rPr>
        <w:footnoteReference w:id="182"/>
      </w:r>
      <w:r>
        <w:rPr>
          <w:rFonts w:ascii="Times New Roman" w:eastAsia="Calibri" w:hAnsi="Times New Roman" w:cs="Times New Roman"/>
          <w:noProof/>
          <w:sz w:val="24"/>
          <w:szCs w:val="24"/>
          <w:lang w:val="en-US"/>
        </w:rPr>
        <w:t>”.</w:t>
      </w:r>
    </w:p>
    <w:p w:rsidR="00B32D69" w:rsidRDefault="00FB661A">
      <w:pPr>
        <w:spacing w:before="240"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Although all Member States supported, in principle, the idea </w:t>
      </w:r>
      <w:r>
        <w:rPr>
          <w:rFonts w:ascii="Times New Roman" w:eastAsia="Calibri" w:hAnsi="Times New Roman" w:cs="Times New Roman"/>
          <w:noProof/>
          <w:sz w:val="24"/>
          <w:szCs w:val="24"/>
          <w:lang w:val="en-US"/>
        </w:rPr>
        <w:t>of a second chance for entrepreneurs, providing for a reduced discharge period, various views were expressed with regard to the conditions and exemptions. During the informal governmental expert group meetings, some Member States (BE, FR, FI) were in favou</w:t>
      </w:r>
      <w:r>
        <w:rPr>
          <w:rFonts w:ascii="Times New Roman" w:eastAsia="Calibri" w:hAnsi="Times New Roman" w:cs="Times New Roman"/>
          <w:noProof/>
          <w:sz w:val="24"/>
          <w:szCs w:val="24"/>
          <w:lang w:val="en-US"/>
        </w:rPr>
        <w:t>r of introducing a presumption of honesty, while others (PL, NL) spoke against. In addition, views were diverging with regard to the issue of introducing a limited time-period within which a discharged entrepreneur would be banned from another discharge pr</w:t>
      </w:r>
      <w:r>
        <w:rPr>
          <w:rFonts w:ascii="Times New Roman" w:eastAsia="Calibri" w:hAnsi="Times New Roman" w:cs="Times New Roman"/>
          <w:noProof/>
          <w:sz w:val="24"/>
          <w:szCs w:val="24"/>
          <w:lang w:val="en-US"/>
        </w:rPr>
        <w:t>ocedure. Some Member States (DE) pointed out that a full discharge of debt should be possible only after the repayment of a predefined portion of the debt. Finally, many Member States were in favour of consolidation of economic and private debts (BE, FI, F</w:t>
      </w:r>
      <w:r>
        <w:rPr>
          <w:rFonts w:ascii="Times New Roman" w:eastAsia="Calibri" w:hAnsi="Times New Roman" w:cs="Times New Roman"/>
          <w:noProof/>
          <w:sz w:val="24"/>
          <w:szCs w:val="24"/>
          <w:lang w:val="en-US"/>
        </w:rPr>
        <w:t>R, NL, ES).</w:t>
      </w:r>
    </w:p>
    <w:p w:rsidR="00B32D69" w:rsidRDefault="00FB661A">
      <w:pPr>
        <w:spacing w:before="240"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Consumer organisations strongly supported a three-year discharge period, not only for entrepreneurs but for all honest bankrupt individual debtors. </w:t>
      </w:r>
    </w:p>
    <w:p w:rsidR="00B32D69" w:rsidRDefault="00FB661A">
      <w:pPr>
        <w:keepNext/>
        <w:keepLines/>
        <w:spacing w:before="240" w:after="240" w:line="240" w:lineRule="auto"/>
        <w:outlineLvl w:val="2"/>
        <w:rPr>
          <w:rFonts w:ascii="Times New Roman" w:eastAsia="Calibri" w:hAnsi="Times New Roman" w:cs="Times New Roman"/>
          <w:b/>
          <w:bCs/>
          <w:noProof/>
          <w:color w:val="4F81BD" w:themeColor="accent1"/>
          <w:sz w:val="24"/>
          <w:szCs w:val="24"/>
        </w:rPr>
      </w:pPr>
      <w:bookmarkStart w:id="60" w:name="_Toc459390478"/>
      <w:bookmarkStart w:id="61" w:name="_Toc466452983"/>
      <w:r>
        <w:rPr>
          <w:rFonts w:ascii="Times New Roman" w:eastAsia="Calibri" w:hAnsi="Times New Roman" w:cs="Times New Roman"/>
          <w:b/>
          <w:bCs/>
          <w:noProof/>
          <w:sz w:val="24"/>
          <w:szCs w:val="24"/>
        </w:rPr>
        <w:t>5.7.2. Consumers</w:t>
      </w:r>
      <w:bookmarkEnd w:id="60"/>
      <w:bookmarkEnd w:id="61"/>
    </w:p>
    <w:p w:rsidR="00B32D69" w:rsidRDefault="00FB661A">
      <w:pPr>
        <w:spacing w:before="120" w:after="24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t>5.7.2.1. Description of sub-options</w:t>
      </w:r>
    </w:p>
    <w:p w:rsidR="00B32D69" w:rsidRDefault="00FB661A">
      <w:pPr>
        <w:autoSpaceDE w:val="0"/>
        <w:autoSpaceDN w:val="0"/>
        <w:adjustRightInd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u w:val="single"/>
        </w:rPr>
        <w:t>Sub-option</w:t>
      </w:r>
      <w:r>
        <w:rPr>
          <w:rFonts w:ascii="Times New Roman" w:eastAsia="Calibri" w:hAnsi="Times New Roman" w:cs="Times New Roman"/>
          <w:noProof/>
          <w:sz w:val="24"/>
          <w:szCs w:val="24"/>
          <w:u w:val="single"/>
        </w:rPr>
        <w:t xml:space="preserve"> </w:t>
      </w:r>
      <w:r>
        <w:rPr>
          <w:rFonts w:ascii="Times New Roman" w:eastAsia="Calibri" w:hAnsi="Times New Roman" w:cs="Times New Roman"/>
          <w:i/>
          <w:noProof/>
          <w:sz w:val="24"/>
          <w:szCs w:val="24"/>
          <w:u w:val="single"/>
        </w:rPr>
        <w:t>1:</w:t>
      </w:r>
      <w:r>
        <w:rPr>
          <w:rFonts w:ascii="Times New Roman" w:eastAsia="Calibri" w:hAnsi="Times New Roman" w:cs="Times New Roman"/>
          <w:noProof/>
          <w:sz w:val="24"/>
          <w:szCs w:val="24"/>
        </w:rPr>
        <w:t xml:space="preserve"> The regulation of personal insolvency has an influence on how individuals deal with risks in their economic activity, and determines whether individuals suffering from an excessive debt burden can return to a productive economic life. 'Discharge is the es</w:t>
      </w:r>
      <w:r>
        <w:rPr>
          <w:rFonts w:ascii="Times New Roman" w:eastAsia="Calibri" w:hAnsi="Times New Roman" w:cs="Times New Roman"/>
          <w:noProof/>
          <w:sz w:val="24"/>
          <w:szCs w:val="24"/>
        </w:rPr>
        <w:t>sential feature and one of the most salient characteristics of modern systems for the regulation of the insolvency of natural persons. One of the principal purposes of an insolvency system for natural persons is to re-establish the debtor’s economic capabi</w:t>
      </w:r>
      <w:r>
        <w:rPr>
          <w:rFonts w:ascii="Times New Roman" w:eastAsia="Calibri" w:hAnsi="Times New Roman" w:cs="Times New Roman"/>
          <w:noProof/>
          <w:sz w:val="24"/>
          <w:szCs w:val="24"/>
        </w:rPr>
        <w:t>lity, in other words, economic rehabilitation,</w:t>
      </w:r>
      <w:r>
        <w:rPr>
          <w:rFonts w:ascii="Times New Roman" w:eastAsia="Calibri" w:hAnsi="Times New Roman" w:cs="Times New Roman"/>
          <w:noProof/>
          <w:sz w:val="24"/>
          <w:szCs w:val="24"/>
          <w:vertAlign w:val="superscript"/>
        </w:rPr>
        <w:t>48</w:t>
      </w:r>
      <w:r>
        <w:rPr>
          <w:rFonts w:ascii="Times New Roman" w:eastAsia="Calibri" w:hAnsi="Times New Roman" w:cs="Times New Roman"/>
          <w:noProof/>
          <w:sz w:val="24"/>
          <w:szCs w:val="24"/>
        </w:rPr>
        <w:t xml:space="preserve"> and discharge is the most effective way in which the debtor can resume productive activity for society. It is also the most effective incentive for the use of a personal insolvency regime.'</w:t>
      </w:r>
      <w:r>
        <w:rPr>
          <w:rFonts w:ascii="Times New Roman" w:eastAsia="Calibri" w:hAnsi="Times New Roman"/>
          <w:noProof/>
          <w:sz w:val="24"/>
          <w:szCs w:val="24"/>
          <w:vertAlign w:val="superscript"/>
        </w:rPr>
        <w:footnoteReference w:id="183"/>
      </w:r>
    </w:p>
    <w:p w:rsidR="00B32D69" w:rsidRDefault="00FB661A">
      <w:pPr>
        <w:spacing w:before="12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u w:val="single"/>
        </w:rPr>
        <w:t>Sub-option 2</w:t>
      </w:r>
      <w:r>
        <w:rPr>
          <w:rFonts w:ascii="Times New Roman" w:eastAsia="Calibri" w:hAnsi="Times New Roman" w:cs="Times New Roman"/>
          <w:noProof/>
          <w:sz w:val="24"/>
          <w:szCs w:val="24"/>
          <w:u w:val="single"/>
        </w:rPr>
        <w:t>:</w:t>
      </w:r>
      <w:r>
        <w:rPr>
          <w:rFonts w:ascii="Times New Roman" w:eastAsia="Calibri" w:hAnsi="Times New Roman" w:cs="Times New Roman"/>
          <w:noProof/>
          <w:sz w:val="24"/>
          <w:szCs w:val="24"/>
        </w:rPr>
        <w:t xml:space="preserve"> As</w:t>
      </w:r>
      <w:r>
        <w:rPr>
          <w:rFonts w:ascii="Times New Roman" w:eastAsia="Calibri" w:hAnsi="Times New Roman" w:cs="Times New Roman"/>
          <w:noProof/>
          <w:sz w:val="24"/>
          <w:szCs w:val="24"/>
        </w:rPr>
        <w:t xml:space="preserve"> a matter of principle, there is no need to distinguish in term of discharge periods between entrepreneurs and consumers. First, the same arguments linked to re-integration in to the economic life play out for both. Second, in many cases it will be difficu</w:t>
      </w:r>
      <w:r>
        <w:rPr>
          <w:rFonts w:ascii="Times New Roman" w:eastAsia="Calibri" w:hAnsi="Times New Roman" w:cs="Times New Roman"/>
          <w:noProof/>
          <w:sz w:val="24"/>
          <w:szCs w:val="24"/>
        </w:rPr>
        <w:t>lt to draw the line between the personal debts incurred as a result of the business activity of the debtor and those incurred for other reasons. In such cases, different discharge periods may make procedures more cumbersome and costly, with even more losse</w:t>
      </w:r>
      <w:r>
        <w:rPr>
          <w:rFonts w:ascii="Times New Roman" w:eastAsia="Calibri" w:hAnsi="Times New Roman" w:cs="Times New Roman"/>
          <w:noProof/>
          <w:sz w:val="24"/>
          <w:szCs w:val="24"/>
        </w:rPr>
        <w:t xml:space="preserve">s to creditors and more hardship to debtors. For these reasons, the same sub-options should be kept for both entrepreneurs and consumers. </w:t>
      </w:r>
      <w:r>
        <w:rPr>
          <w:rFonts w:ascii="Times New Roman" w:eastAsia="Calibri" w:hAnsi="Times New Roman" w:cs="Times New Roman"/>
          <w:i/>
          <w:noProof/>
          <w:sz w:val="24"/>
          <w:szCs w:val="24"/>
        </w:rPr>
        <w:t>Sub-option</w:t>
      </w:r>
      <w:r>
        <w:rPr>
          <w:rFonts w:ascii="Times New Roman" w:eastAsia="Calibri" w:hAnsi="Times New Roman" w:cs="Times New Roman"/>
          <w:noProof/>
          <w:sz w:val="24"/>
          <w:szCs w:val="24"/>
        </w:rPr>
        <w:t xml:space="preserve"> </w:t>
      </w:r>
      <w:r>
        <w:rPr>
          <w:rFonts w:ascii="Times New Roman" w:eastAsia="Calibri" w:hAnsi="Times New Roman" w:cs="Times New Roman"/>
          <w:i/>
          <w:noProof/>
          <w:sz w:val="24"/>
          <w:szCs w:val="24"/>
        </w:rPr>
        <w:t>1</w:t>
      </w:r>
      <w:r>
        <w:rPr>
          <w:rFonts w:ascii="Times New Roman" w:eastAsia="Calibri" w:hAnsi="Times New Roman" w:cs="Times New Roman"/>
          <w:noProof/>
          <w:sz w:val="24"/>
          <w:szCs w:val="24"/>
        </w:rPr>
        <w:t xml:space="preserve"> and </w:t>
      </w:r>
      <w:r>
        <w:rPr>
          <w:rFonts w:ascii="Times New Roman" w:eastAsia="Calibri" w:hAnsi="Times New Roman" w:cs="Times New Roman"/>
          <w:i/>
          <w:noProof/>
          <w:sz w:val="24"/>
          <w:szCs w:val="24"/>
        </w:rPr>
        <w:t>Sub-option 2</w:t>
      </w:r>
      <w:r>
        <w:rPr>
          <w:rFonts w:ascii="Times New Roman" w:eastAsia="Calibri" w:hAnsi="Times New Roman" w:cs="Times New Roman"/>
          <w:noProof/>
          <w:sz w:val="24"/>
          <w:szCs w:val="24"/>
        </w:rPr>
        <w:t xml:space="preserve"> are therefore similar to </w:t>
      </w:r>
      <w:r>
        <w:rPr>
          <w:rFonts w:ascii="Times New Roman" w:eastAsia="Calibri" w:hAnsi="Times New Roman" w:cs="Times New Roman"/>
          <w:i/>
          <w:noProof/>
          <w:sz w:val="24"/>
          <w:szCs w:val="24"/>
        </w:rPr>
        <w:t>Sub-option 1</w:t>
      </w:r>
      <w:r>
        <w:rPr>
          <w:rFonts w:ascii="Times New Roman" w:eastAsia="Calibri" w:hAnsi="Times New Roman" w:cs="Times New Roman"/>
          <w:noProof/>
          <w:sz w:val="24"/>
          <w:szCs w:val="24"/>
        </w:rPr>
        <w:t xml:space="preserve"> and </w:t>
      </w:r>
      <w:r>
        <w:rPr>
          <w:rFonts w:ascii="Times New Roman" w:eastAsia="Calibri" w:hAnsi="Times New Roman" w:cs="Times New Roman"/>
          <w:i/>
          <w:noProof/>
          <w:sz w:val="24"/>
          <w:szCs w:val="24"/>
        </w:rPr>
        <w:t>Sub-option 2</w:t>
      </w:r>
      <w:r>
        <w:rPr>
          <w:rFonts w:ascii="Times New Roman" w:eastAsia="Calibri" w:hAnsi="Times New Roman" w:cs="Times New Roman"/>
          <w:noProof/>
          <w:sz w:val="24"/>
          <w:szCs w:val="24"/>
        </w:rPr>
        <w:t xml:space="preserve"> under the section on discharge fo</w:t>
      </w:r>
      <w:r>
        <w:rPr>
          <w:rFonts w:ascii="Times New Roman" w:eastAsia="Calibri" w:hAnsi="Times New Roman" w:cs="Times New Roman"/>
          <w:noProof/>
          <w:sz w:val="24"/>
          <w:szCs w:val="24"/>
        </w:rPr>
        <w:t>r entrepreneurs.</w:t>
      </w:r>
    </w:p>
    <w:p w:rsidR="00B32D69" w:rsidRDefault="00FB661A">
      <w:pPr>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t>5.7.2.2. Assessment of impact of the sub-options and preferred sub-option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3643"/>
        <w:gridCol w:w="3679"/>
      </w:tblGrid>
      <w:tr w:rsidR="00B32D69">
        <w:trPr>
          <w:trHeight w:val="204"/>
        </w:trPr>
        <w:tc>
          <w:tcPr>
            <w:tcW w:w="1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line="240" w:lineRule="auto"/>
              <w:jc w:val="center"/>
              <w:rPr>
                <w:rFonts w:ascii="Times New Roman" w:hAnsi="Times New Roman" w:cs="Times New Roman"/>
                <w:b/>
                <w:noProof/>
                <w:sz w:val="20"/>
                <w:szCs w:val="20"/>
              </w:rPr>
            </w:pPr>
            <w:r>
              <w:rPr>
                <w:rFonts w:ascii="Times New Roman" w:hAnsi="Times New Roman" w:cs="Times New Roman"/>
                <w:b/>
                <w:noProof/>
                <w:sz w:val="20"/>
                <w:szCs w:val="20"/>
              </w:rPr>
              <w:t>Sub-options</w:t>
            </w:r>
          </w:p>
        </w:tc>
        <w:tc>
          <w:tcPr>
            <w:tcW w:w="36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line="240" w:lineRule="auto"/>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Sub-option 1</w:t>
            </w:r>
          </w:p>
        </w:tc>
        <w:tc>
          <w:tcPr>
            <w:tcW w:w="36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line="240" w:lineRule="auto"/>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Sub-option 2</w:t>
            </w:r>
          </w:p>
        </w:tc>
      </w:tr>
      <w:tr w:rsidR="00B32D69">
        <w:trPr>
          <w:trHeight w:val="1392"/>
        </w:trPr>
        <w:tc>
          <w:tcPr>
            <w:tcW w:w="18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hAnsi="Times New Roman" w:cs="Times New Roman"/>
                <w:i/>
                <w:noProof/>
                <w:sz w:val="20"/>
                <w:szCs w:val="20"/>
              </w:rPr>
            </w:pPr>
            <w:r>
              <w:rPr>
                <w:rFonts w:ascii="Times New Roman" w:hAnsi="Times New Roman" w:cs="Times New Roman"/>
                <w:i/>
                <w:noProof/>
                <w:sz w:val="20"/>
                <w:szCs w:val="20"/>
              </w:rPr>
              <w:t xml:space="preserve">Sub-option summary </w:t>
            </w:r>
          </w:p>
        </w:tc>
        <w:tc>
          <w:tcPr>
            <w:tcW w:w="364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Discharge of debts for consumers could take place within 1 year from start of liquidation proceedings, </w:t>
            </w:r>
            <w:r>
              <w:rPr>
                <w:rFonts w:ascii="Times New Roman" w:eastAsia="Calibri" w:hAnsi="Times New Roman" w:cs="Times New Roman"/>
                <w:noProof/>
                <w:sz w:val="20"/>
                <w:szCs w:val="20"/>
              </w:rPr>
              <w:t>with limited exceptions (e.g. fraud or bad faith).</w:t>
            </w:r>
          </w:p>
        </w:tc>
        <w:tc>
          <w:tcPr>
            <w:tcW w:w="3679"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Possible discharge of debts for consumers could take place within 3 years from the start of liquidation proceedings or the moment when the repayment plan starts being implemented, with certain exceptions (</w:t>
            </w:r>
            <w:r>
              <w:rPr>
                <w:rFonts w:ascii="Times New Roman" w:eastAsia="Calibri" w:hAnsi="Times New Roman" w:cs="Times New Roman"/>
                <w:noProof/>
                <w:sz w:val="20"/>
                <w:szCs w:val="20"/>
              </w:rPr>
              <w:t>e.g. fraud or bad faith).</w:t>
            </w:r>
          </w:p>
        </w:tc>
      </w:tr>
      <w:tr w:rsidR="00B32D69">
        <w:trPr>
          <w:trHeight w:val="166"/>
        </w:trPr>
        <w:tc>
          <w:tcPr>
            <w:tcW w:w="918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32D69" w:rsidRDefault="00FB661A">
            <w:pPr>
              <w:spacing w:before="60" w:after="60" w:line="240" w:lineRule="auto"/>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Impacts</w:t>
            </w:r>
          </w:p>
        </w:tc>
      </w:tr>
      <w:tr w:rsidR="00B32D69">
        <w:tc>
          <w:tcPr>
            <w:tcW w:w="18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i/>
                <w:noProof/>
                <w:sz w:val="20"/>
                <w:szCs w:val="20"/>
              </w:rPr>
            </w:pPr>
            <w:r>
              <w:rPr>
                <w:rFonts w:ascii="Times New Roman" w:eastAsia="Calibri" w:hAnsi="Times New Roman" w:cs="Times New Roman"/>
                <w:i/>
                <w:noProof/>
                <w:sz w:val="20"/>
                <w:szCs w:val="20"/>
              </w:rPr>
              <w:t>Effectiveness</w:t>
            </w:r>
          </w:p>
        </w:tc>
        <w:tc>
          <w:tcPr>
            <w:tcW w:w="3643" w:type="dxa"/>
            <w:tcBorders>
              <w:top w:val="single" w:sz="4" w:space="0" w:color="auto"/>
              <w:left w:val="single" w:sz="4" w:space="0" w:color="auto"/>
              <w:bottom w:val="single" w:sz="4" w:space="0" w:color="auto"/>
              <w:right w:val="single" w:sz="4" w:space="0" w:color="auto"/>
            </w:tcBorders>
          </w:tcPr>
          <w:p w:rsidR="00B32D69" w:rsidRDefault="00FB661A">
            <w:pPr>
              <w:spacing w:before="60" w:after="60"/>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This option would help in cases of no-assets-no-income debtors with debts of a relatively small value (e.g. under 10,000 euro). It would address an important segment in the society, i.e. those who cannot </w:t>
            </w:r>
            <w:r>
              <w:rPr>
                <w:rFonts w:ascii="Times New Roman" w:eastAsia="Calibri" w:hAnsi="Times New Roman" w:cs="Times New Roman"/>
                <w:noProof/>
                <w:sz w:val="20"/>
                <w:szCs w:val="20"/>
              </w:rPr>
              <w:t>enter a repayment plan because they do not have any income.</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A 1 year discharge period would not be appropriate for debtors who still have the possibility to repay their creditors or for those who have large amounts of debt. </w:t>
            </w:r>
          </w:p>
          <w:p w:rsidR="00B32D69" w:rsidRDefault="00B32D69">
            <w:pPr>
              <w:spacing w:before="60" w:after="60"/>
              <w:rPr>
                <w:rFonts w:ascii="Times New Roman" w:eastAsia="Calibri" w:hAnsi="Times New Roman" w:cs="Times New Roman"/>
                <w:noProof/>
                <w:sz w:val="20"/>
                <w:szCs w:val="20"/>
              </w:rPr>
            </w:pPr>
          </w:p>
        </w:tc>
        <w:tc>
          <w:tcPr>
            <w:tcW w:w="3679"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A medium length maximum dis</w:t>
            </w:r>
            <w:r>
              <w:rPr>
                <w:rFonts w:ascii="Times New Roman" w:eastAsia="Calibri" w:hAnsi="Times New Roman" w:cs="Times New Roman"/>
                <w:noProof/>
                <w:sz w:val="20"/>
                <w:szCs w:val="20"/>
              </w:rPr>
              <w:t>charge period for all over indebted debtors, i.e. NINAs</w:t>
            </w:r>
            <w:r>
              <w:rPr>
                <w:rFonts w:ascii="Times New Roman" w:eastAsia="Calibri" w:hAnsi="Times New Roman" w:cs="Times New Roman"/>
                <w:noProof/>
                <w:sz w:val="20"/>
                <w:szCs w:val="20"/>
                <w:vertAlign w:val="superscript"/>
              </w:rPr>
              <w:footnoteReference w:id="184"/>
            </w:r>
            <w:r>
              <w:rPr>
                <w:rFonts w:ascii="Times New Roman" w:eastAsia="Calibri" w:hAnsi="Times New Roman" w:cs="Times New Roman"/>
                <w:noProof/>
                <w:sz w:val="20"/>
                <w:szCs w:val="20"/>
              </w:rPr>
              <w:t xml:space="preserve"> but also those still able to make repayments to creditors and those having large amounts of debt, would have positive effects overall on affording debtors a reasonable second chance with much less  risk of moral hazard than in option 1. A 3 years repaymen</w:t>
            </w:r>
            <w:r>
              <w:rPr>
                <w:rFonts w:ascii="Times New Roman" w:eastAsia="Calibri" w:hAnsi="Times New Roman" w:cs="Times New Roman"/>
                <w:noProof/>
                <w:sz w:val="20"/>
                <w:szCs w:val="20"/>
              </w:rPr>
              <w:t>t period is, according to evidence</w:t>
            </w:r>
            <w:r>
              <w:rPr>
                <w:rFonts w:eastAsia="Calibri" w:cs="Times New Roman"/>
                <w:noProof/>
                <w:sz w:val="20"/>
                <w:szCs w:val="20"/>
                <w:vertAlign w:val="superscript"/>
              </w:rPr>
              <w:footnoteReference w:id="185"/>
            </w:r>
            <w:r>
              <w:rPr>
                <w:rFonts w:ascii="Times New Roman" w:eastAsia="Calibri" w:hAnsi="Times New Roman" w:cs="Times New Roman"/>
                <w:noProof/>
                <w:sz w:val="20"/>
                <w:szCs w:val="20"/>
              </w:rPr>
              <w:t>, an optimal period which encourages repayment to creditors. Longer discharge period may also make too big sacrifices in the terms of private life of the debtors. While NINAs would arguably be better off with a shorter di</w:t>
            </w:r>
            <w:r>
              <w:rPr>
                <w:rFonts w:ascii="Times New Roman" w:eastAsia="Calibri" w:hAnsi="Times New Roman" w:cs="Times New Roman"/>
                <w:noProof/>
                <w:sz w:val="20"/>
                <w:szCs w:val="20"/>
              </w:rPr>
              <w:t xml:space="preserve">scharge period, the lack of experience in the Member States with such short discharge periods may create a rather negative perception of second chance provisions. </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lang w:eastAsia="en-GB"/>
              </w:rPr>
              <w:t>According to the World Bank, experience with voluntary workout arrangements indicated that e</w:t>
            </w:r>
            <w:r>
              <w:rPr>
                <w:rFonts w:ascii="Times New Roman" w:eastAsia="Calibri" w:hAnsi="Times New Roman" w:cs="Times New Roman"/>
                <w:noProof/>
                <w:sz w:val="20"/>
                <w:szCs w:val="20"/>
                <w:lang w:eastAsia="en-GB"/>
              </w:rPr>
              <w:t>xpecting debtors to live longer than three years at a subsistence level would be “from a social point of view not responsible.” Practice in many countries has indicated that plans longer than three years produce more failure than success. In one large syst</w:t>
            </w:r>
            <w:r>
              <w:rPr>
                <w:rFonts w:ascii="Times New Roman" w:eastAsia="Calibri" w:hAnsi="Times New Roman" w:cs="Times New Roman"/>
                <w:noProof/>
                <w:sz w:val="20"/>
                <w:szCs w:val="20"/>
                <w:lang w:eastAsia="en-GB"/>
              </w:rPr>
              <w:t>em, for example, a consistent two-thirds of all payment plans fail before they reach the end of their five-year term.</w:t>
            </w:r>
            <w:r>
              <w:rPr>
                <w:rFonts w:ascii="Times New Roman" w:eastAsia="Calibri" w:hAnsi="Times New Roman" w:cs="Times New Roman"/>
                <w:noProof/>
                <w:sz w:val="20"/>
                <w:szCs w:val="20"/>
                <w:vertAlign w:val="superscript"/>
                <w:lang w:eastAsia="en-GB"/>
              </w:rPr>
              <w:footnoteReference w:id="186"/>
            </w:r>
          </w:p>
        </w:tc>
      </w:tr>
      <w:tr w:rsidR="00B32D69">
        <w:tc>
          <w:tcPr>
            <w:tcW w:w="18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i/>
                <w:noProof/>
                <w:sz w:val="20"/>
                <w:szCs w:val="20"/>
              </w:rPr>
            </w:pPr>
            <w:r>
              <w:rPr>
                <w:rFonts w:ascii="Times New Roman" w:eastAsia="Calibri" w:hAnsi="Times New Roman" w:cs="Times New Roman"/>
                <w:i/>
                <w:noProof/>
                <w:sz w:val="20"/>
                <w:szCs w:val="20"/>
              </w:rPr>
              <w:t>Bankruptcy tourism(relocation)</w:t>
            </w:r>
          </w:p>
        </w:tc>
        <w:tc>
          <w:tcPr>
            <w:tcW w:w="364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Incentives for relocation for the purposes of taking advantage of more favourable discharge periods </w:t>
            </w:r>
            <w:r>
              <w:rPr>
                <w:rFonts w:ascii="Times New Roman" w:eastAsia="Calibri" w:hAnsi="Times New Roman" w:cs="Times New Roman"/>
                <w:noProof/>
                <w:sz w:val="20"/>
                <w:szCs w:val="20"/>
              </w:rPr>
              <w:t>would be reduced for those debtors who have smaller amounts of debt and no income..</w:t>
            </w:r>
          </w:p>
        </w:tc>
        <w:tc>
          <w:tcPr>
            <w:tcW w:w="3679"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Incentives for relocation for the purposes of taking advantage of more favourable discharge periods would be greatly reduced for all honest debtors. </w:t>
            </w:r>
          </w:p>
        </w:tc>
      </w:tr>
      <w:tr w:rsidR="00B32D69">
        <w:tc>
          <w:tcPr>
            <w:tcW w:w="18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i/>
                <w:noProof/>
                <w:sz w:val="20"/>
                <w:szCs w:val="20"/>
              </w:rPr>
            </w:pPr>
            <w:r>
              <w:rPr>
                <w:rFonts w:ascii="Times New Roman" w:eastAsia="Calibri" w:hAnsi="Times New Roman" w:cs="Times New Roman"/>
                <w:bCs/>
                <w:i/>
                <w:noProof/>
                <w:sz w:val="20"/>
                <w:szCs w:val="20"/>
                <w:lang w:val="en-US"/>
              </w:rPr>
              <w:t>Legal certainty fo</w:t>
            </w:r>
            <w:r>
              <w:rPr>
                <w:rFonts w:ascii="Times New Roman" w:eastAsia="Calibri" w:hAnsi="Times New Roman" w:cs="Times New Roman"/>
                <w:bCs/>
                <w:i/>
                <w:noProof/>
                <w:sz w:val="20"/>
                <w:szCs w:val="20"/>
                <w:lang w:val="en-US"/>
              </w:rPr>
              <w:t>r creditors</w:t>
            </w:r>
          </w:p>
        </w:tc>
        <w:tc>
          <w:tcPr>
            <w:tcW w:w="364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lang w:val="en-US"/>
              </w:rPr>
            </w:pPr>
            <w:r>
              <w:rPr>
                <w:rFonts w:ascii="Times New Roman" w:eastAsia="Calibri" w:hAnsi="Times New Roman" w:cs="Times New Roman"/>
                <w:noProof/>
                <w:sz w:val="20"/>
                <w:szCs w:val="20"/>
                <w:lang w:val="en-US"/>
              </w:rPr>
              <w:t>+</w:t>
            </w:r>
          </w:p>
          <w:p w:rsidR="00B32D69" w:rsidRDefault="00FB661A">
            <w:pPr>
              <w:spacing w:before="60" w:after="60" w:line="240" w:lineRule="auto"/>
              <w:rPr>
                <w:rFonts w:ascii="Times New Roman" w:eastAsia="Calibri" w:hAnsi="Times New Roman" w:cs="Times New Roman"/>
                <w:noProof/>
                <w:sz w:val="20"/>
                <w:szCs w:val="20"/>
                <w:lang w:val="en-US"/>
              </w:rPr>
            </w:pPr>
            <w:r>
              <w:rPr>
                <w:rFonts w:ascii="Times New Roman" w:eastAsia="Calibri" w:hAnsi="Times New Roman" w:cs="Times New Roman"/>
                <w:noProof/>
                <w:sz w:val="20"/>
                <w:szCs w:val="20"/>
                <w:lang w:val="en-US"/>
              </w:rPr>
              <w:t>Certainty for creditors (assessment of risk-given-default) would be greatly improved, in particular with respect to the least creditworthy borrowers.</w:t>
            </w:r>
          </w:p>
        </w:tc>
        <w:tc>
          <w:tcPr>
            <w:tcW w:w="3679"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noProof/>
                <w:sz w:val="20"/>
                <w:szCs w:val="20"/>
                <w:lang w:val="en-US"/>
              </w:rPr>
            </w:pPr>
            <w:r>
              <w:rPr>
                <w:rFonts w:ascii="Times New Roman" w:eastAsia="Calibri" w:hAnsi="Times New Roman" w:cs="Times New Roman"/>
                <w:noProof/>
                <w:sz w:val="20"/>
                <w:szCs w:val="20"/>
                <w:lang w:val="en-US"/>
              </w:rPr>
              <w:t>++</w:t>
            </w:r>
          </w:p>
          <w:p w:rsidR="00B32D69" w:rsidRDefault="00FB661A">
            <w:pPr>
              <w:spacing w:before="60" w:after="60"/>
              <w:rPr>
                <w:rFonts w:ascii="Times New Roman" w:eastAsia="Calibri" w:hAnsi="Times New Roman" w:cs="Times New Roman"/>
                <w:noProof/>
                <w:sz w:val="20"/>
                <w:szCs w:val="20"/>
              </w:rPr>
            </w:pPr>
            <w:r>
              <w:rPr>
                <w:rFonts w:ascii="Times New Roman" w:eastAsia="Calibri" w:hAnsi="Times New Roman" w:cs="Times New Roman"/>
                <w:noProof/>
                <w:sz w:val="20"/>
                <w:szCs w:val="20"/>
                <w:lang w:val="en-US"/>
              </w:rPr>
              <w:t xml:space="preserve">Certainty for creditors (in respect of risk-given-default) would be greatly improved for </w:t>
            </w:r>
            <w:r>
              <w:rPr>
                <w:rFonts w:ascii="Times New Roman" w:eastAsia="Calibri" w:hAnsi="Times New Roman" w:cs="Times New Roman"/>
                <w:noProof/>
                <w:sz w:val="20"/>
                <w:szCs w:val="20"/>
                <w:lang w:val="en-US"/>
              </w:rPr>
              <w:t>all categories of borrowers.</w:t>
            </w:r>
          </w:p>
        </w:tc>
      </w:tr>
      <w:tr w:rsidR="00B32D69">
        <w:tc>
          <w:tcPr>
            <w:tcW w:w="18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i/>
                <w:noProof/>
                <w:sz w:val="20"/>
                <w:szCs w:val="20"/>
              </w:rPr>
            </w:pPr>
            <w:r>
              <w:rPr>
                <w:rFonts w:ascii="Times New Roman" w:eastAsia="Calibri" w:hAnsi="Times New Roman" w:cs="Times New Roman"/>
                <w:i/>
                <w:noProof/>
                <w:sz w:val="20"/>
                <w:szCs w:val="20"/>
              </w:rPr>
              <w:t>Availability and cost of credit</w:t>
            </w:r>
          </w:p>
        </w:tc>
        <w:tc>
          <w:tcPr>
            <w:tcW w:w="364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A too short discharge period may have negative impact on availability and costs of credit, as lenders may fear they are likely to have more claims unpaid due to the moral hazard which a short </w:t>
            </w:r>
            <w:r>
              <w:rPr>
                <w:rFonts w:ascii="Times New Roman" w:eastAsia="Calibri" w:hAnsi="Times New Roman" w:cs="Times New Roman"/>
                <w:noProof/>
                <w:sz w:val="20"/>
                <w:szCs w:val="20"/>
              </w:rPr>
              <w:t>discharge period would generate. In practice, such a risk is mitigated by the fact that only debtors with small amounts of debt would be addressed.</w:t>
            </w:r>
          </w:p>
        </w:tc>
        <w:tc>
          <w:tcPr>
            <w:tcW w:w="3679"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noProof/>
                <w:sz w:val="20"/>
                <w:szCs w:val="20"/>
                <w:lang w:val="en-US"/>
              </w:rPr>
            </w:pPr>
            <w:r>
              <w:rPr>
                <w:rFonts w:ascii="Times New Roman" w:eastAsia="Calibri" w:hAnsi="Times New Roman" w:cs="Times New Roman"/>
                <w:noProof/>
                <w:sz w:val="20"/>
                <w:szCs w:val="20"/>
                <w:lang w:val="en-US"/>
              </w:rPr>
              <w:t>++</w:t>
            </w:r>
          </w:p>
          <w:p w:rsidR="00B32D69" w:rsidRDefault="00FB661A">
            <w:pPr>
              <w:spacing w:before="60" w:after="60"/>
              <w:rPr>
                <w:rFonts w:ascii="Times New Roman" w:eastAsia="Calibri" w:hAnsi="Times New Roman" w:cs="Times New Roman"/>
                <w:noProof/>
                <w:sz w:val="20"/>
                <w:szCs w:val="20"/>
              </w:rPr>
            </w:pPr>
            <w:r>
              <w:rPr>
                <w:rFonts w:ascii="Times New Roman" w:eastAsia="Calibri" w:hAnsi="Times New Roman" w:cs="Times New Roman"/>
                <w:noProof/>
                <w:sz w:val="20"/>
                <w:szCs w:val="20"/>
                <w:lang w:val="en-US"/>
              </w:rPr>
              <w:t>Compared to sub-option 1, the negative effects on availability and costs of credit are limited, as in pra</w:t>
            </w:r>
            <w:r>
              <w:rPr>
                <w:rFonts w:ascii="Times New Roman" w:eastAsia="Calibri" w:hAnsi="Times New Roman" w:cs="Times New Roman"/>
                <w:noProof/>
                <w:sz w:val="20"/>
                <w:szCs w:val="20"/>
                <w:lang w:val="en-US"/>
              </w:rPr>
              <w:t>ctice lenders calculate the cost of credit based on the rate of default and rather recovery rates that the length of discharge.  Furthermore, more legal certainty in this area would help lenders foresee better the risk-given-default.</w:t>
            </w:r>
          </w:p>
        </w:tc>
      </w:tr>
      <w:tr w:rsidR="00B32D69">
        <w:tc>
          <w:tcPr>
            <w:tcW w:w="18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i/>
                <w:noProof/>
                <w:sz w:val="20"/>
                <w:szCs w:val="20"/>
              </w:rPr>
            </w:pPr>
            <w:r>
              <w:rPr>
                <w:rFonts w:ascii="Times New Roman" w:eastAsia="Calibri" w:hAnsi="Times New Roman" w:cs="Times New Roman"/>
                <w:i/>
                <w:noProof/>
                <w:sz w:val="20"/>
                <w:szCs w:val="20"/>
              </w:rPr>
              <w:t>Promotion of responsi</w:t>
            </w:r>
            <w:r>
              <w:rPr>
                <w:rFonts w:ascii="Times New Roman" w:eastAsia="Calibri" w:hAnsi="Times New Roman" w:cs="Times New Roman"/>
                <w:i/>
                <w:noProof/>
                <w:sz w:val="20"/>
                <w:szCs w:val="20"/>
              </w:rPr>
              <w:t>ble lending</w:t>
            </w:r>
          </w:p>
        </w:tc>
        <w:tc>
          <w:tcPr>
            <w:tcW w:w="364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lang w:val="en-US"/>
              </w:rPr>
            </w:pPr>
            <w:r>
              <w:rPr>
                <w:rFonts w:ascii="Times New Roman" w:eastAsia="Calibri" w:hAnsi="Times New Roman" w:cs="Times New Roman"/>
                <w:noProof/>
                <w:sz w:val="20"/>
                <w:szCs w:val="20"/>
                <w:lang w:val="en-US"/>
              </w:rPr>
              <w:t>+</w:t>
            </w:r>
          </w:p>
          <w:p w:rsidR="00B32D69" w:rsidRDefault="00FB661A">
            <w:pPr>
              <w:spacing w:before="60" w:after="60" w:line="240" w:lineRule="auto"/>
              <w:rPr>
                <w:rFonts w:ascii="Times New Roman" w:eastAsia="Calibri" w:hAnsi="Times New Roman" w:cs="Times New Roman"/>
                <w:noProof/>
                <w:sz w:val="20"/>
                <w:szCs w:val="20"/>
                <w:lang w:val="en-US"/>
              </w:rPr>
            </w:pPr>
            <w:r>
              <w:rPr>
                <w:rFonts w:ascii="Times New Roman" w:eastAsia="Calibri" w:hAnsi="Times New Roman" w:cs="Times New Roman"/>
                <w:noProof/>
                <w:sz w:val="20"/>
                <w:szCs w:val="20"/>
                <w:lang w:val="en-US"/>
              </w:rPr>
              <w:t>Creditors would limit irresponsible lending as they would be discouraged to offer credit to not creditworthy consumers.</w:t>
            </w:r>
          </w:p>
        </w:tc>
        <w:tc>
          <w:tcPr>
            <w:tcW w:w="3679"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noProof/>
                <w:sz w:val="20"/>
                <w:szCs w:val="20"/>
                <w:lang w:val="en-US"/>
              </w:rPr>
            </w:pPr>
            <w:r>
              <w:rPr>
                <w:rFonts w:ascii="Times New Roman" w:eastAsia="Calibri" w:hAnsi="Times New Roman" w:cs="Times New Roman"/>
                <w:noProof/>
                <w:sz w:val="20"/>
                <w:szCs w:val="20"/>
                <w:lang w:val="en-US"/>
              </w:rPr>
              <w:t>++</w:t>
            </w:r>
          </w:p>
          <w:p w:rsidR="00B32D69" w:rsidRDefault="00FB661A">
            <w:pPr>
              <w:spacing w:before="60" w:after="60"/>
              <w:rPr>
                <w:rFonts w:ascii="Times New Roman" w:eastAsia="Calibri" w:hAnsi="Times New Roman" w:cs="Times New Roman"/>
                <w:noProof/>
                <w:sz w:val="20"/>
                <w:szCs w:val="20"/>
              </w:rPr>
            </w:pPr>
            <w:r>
              <w:rPr>
                <w:rFonts w:ascii="Times New Roman" w:eastAsia="Calibri" w:hAnsi="Times New Roman" w:cs="Times New Roman"/>
                <w:noProof/>
                <w:sz w:val="20"/>
                <w:szCs w:val="20"/>
                <w:lang w:val="en-US"/>
              </w:rPr>
              <w:t>This option would limit tendency to irresponsible lending (application of too low creditworthiness standards) by credit</w:t>
            </w:r>
            <w:r>
              <w:rPr>
                <w:rFonts w:ascii="Times New Roman" w:eastAsia="Calibri" w:hAnsi="Times New Roman" w:cs="Times New Roman"/>
                <w:noProof/>
                <w:sz w:val="20"/>
                <w:szCs w:val="20"/>
                <w:lang w:val="en-US"/>
              </w:rPr>
              <w:t>ors to all categories of borrowers.</w:t>
            </w:r>
          </w:p>
        </w:tc>
      </w:tr>
      <w:tr w:rsidR="00B32D69">
        <w:tc>
          <w:tcPr>
            <w:tcW w:w="18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i/>
                <w:noProof/>
                <w:sz w:val="20"/>
                <w:szCs w:val="20"/>
              </w:rPr>
            </w:pPr>
            <w:r>
              <w:rPr>
                <w:rFonts w:ascii="Times New Roman" w:eastAsia="Calibri" w:hAnsi="Times New Roman" w:cs="Times New Roman"/>
                <w:i/>
                <w:noProof/>
                <w:sz w:val="20"/>
                <w:szCs w:val="20"/>
              </w:rPr>
              <w:t>Impact on legal systems</w:t>
            </w:r>
          </w:p>
        </w:tc>
        <w:tc>
          <w:tcPr>
            <w:tcW w:w="364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rPr>
                <w:rFonts w:ascii="Times New Roman" w:eastAsia="Calibri" w:hAnsi="Times New Roman" w:cs="Times New Roman"/>
                <w:i/>
                <w:noProof/>
                <w:sz w:val="20"/>
                <w:szCs w:val="20"/>
              </w:rPr>
            </w:pPr>
            <w:r>
              <w:rPr>
                <w:rFonts w:ascii="Times New Roman" w:eastAsia="Calibri" w:hAnsi="Times New Roman" w:cs="Times New Roman"/>
                <w:noProof/>
                <w:sz w:val="20"/>
                <w:szCs w:val="20"/>
              </w:rPr>
              <w:t xml:space="preserve">Many Member States (except UK) would have to change their laws to adjust to the new discharge period.  </w:t>
            </w:r>
            <w:r>
              <w:rPr>
                <w:rFonts w:ascii="Times New Roman" w:eastAsia="Calibri" w:hAnsi="Times New Roman" w:cs="Times New Roman"/>
                <w:i/>
                <w:noProof/>
                <w:sz w:val="20"/>
                <w:szCs w:val="20"/>
              </w:rPr>
              <w:t xml:space="preserve"> </w:t>
            </w:r>
          </w:p>
        </w:tc>
        <w:tc>
          <w:tcPr>
            <w:tcW w:w="3679"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Many Member States (except e.g. FI, SE) would have to provide for shorter discharge </w:t>
            </w:r>
            <w:r>
              <w:rPr>
                <w:rFonts w:ascii="Times New Roman" w:eastAsia="Calibri" w:hAnsi="Times New Roman" w:cs="Times New Roman"/>
                <w:noProof/>
                <w:sz w:val="20"/>
                <w:szCs w:val="20"/>
              </w:rPr>
              <w:t>periods, while some Member States may only have to reconsider the conditions under which discharge is granted (e.g. FR, DE, SK, CY). Compared to sub-option 1, the legal system of Member States is less affected.</w:t>
            </w:r>
          </w:p>
        </w:tc>
      </w:tr>
      <w:tr w:rsidR="00B32D69">
        <w:tc>
          <w:tcPr>
            <w:tcW w:w="18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i/>
                <w:noProof/>
                <w:sz w:val="20"/>
                <w:szCs w:val="20"/>
              </w:rPr>
            </w:pPr>
            <w:r>
              <w:rPr>
                <w:rFonts w:ascii="Times New Roman" w:eastAsia="Calibri" w:hAnsi="Times New Roman" w:cs="Times New Roman"/>
                <w:i/>
                <w:noProof/>
                <w:sz w:val="20"/>
                <w:szCs w:val="20"/>
              </w:rPr>
              <w:t>Facilitate return of debtors to consumption</w:t>
            </w:r>
          </w:p>
        </w:tc>
        <w:tc>
          <w:tcPr>
            <w:tcW w:w="364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noProof/>
                <w:sz w:val="20"/>
                <w:szCs w:val="20"/>
                <w:lang w:val="en-US"/>
              </w:rPr>
            </w:pPr>
            <w:r>
              <w:rPr>
                <w:rFonts w:ascii="Times New Roman" w:eastAsia="Calibri" w:hAnsi="Times New Roman" w:cs="Times New Roman"/>
                <w:noProof/>
                <w:sz w:val="20"/>
                <w:szCs w:val="20"/>
                <w:lang w:val="en-US"/>
              </w:rPr>
              <w:t>+</w:t>
            </w:r>
          </w:p>
          <w:p w:rsidR="00B32D69" w:rsidRDefault="00FB661A">
            <w:pPr>
              <w:spacing w:before="60" w:after="60"/>
              <w:rPr>
                <w:rFonts w:ascii="Times New Roman" w:eastAsia="Calibri" w:hAnsi="Times New Roman" w:cs="Times New Roman"/>
                <w:noProof/>
                <w:sz w:val="20"/>
                <w:szCs w:val="20"/>
              </w:rPr>
            </w:pPr>
            <w:r>
              <w:rPr>
                <w:rFonts w:ascii="Times New Roman" w:eastAsia="Calibri" w:hAnsi="Times New Roman" w:cs="Times New Roman"/>
                <w:noProof/>
                <w:sz w:val="20"/>
                <w:szCs w:val="20"/>
                <w:lang w:val="en-US"/>
              </w:rPr>
              <w:t>This option will address the poorest borrowers. The Impact on consumption and growth will be positive, but limited due to their limited income. The impact on social security expenditures will be positive (less help needed if people able to get back to wo</w:t>
            </w:r>
            <w:r>
              <w:rPr>
                <w:rFonts w:ascii="Times New Roman" w:eastAsia="Calibri" w:hAnsi="Times New Roman" w:cs="Times New Roman"/>
                <w:noProof/>
                <w:sz w:val="20"/>
                <w:szCs w:val="20"/>
                <w:lang w:val="en-US"/>
              </w:rPr>
              <w:t>rk).</w:t>
            </w:r>
          </w:p>
        </w:tc>
        <w:tc>
          <w:tcPr>
            <w:tcW w:w="3679"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noProof/>
                <w:sz w:val="20"/>
                <w:szCs w:val="20"/>
                <w:lang w:val="en-US"/>
              </w:rPr>
            </w:pPr>
            <w:r>
              <w:rPr>
                <w:rFonts w:ascii="Times New Roman" w:eastAsia="Calibri" w:hAnsi="Times New Roman" w:cs="Times New Roman"/>
                <w:noProof/>
                <w:sz w:val="20"/>
                <w:szCs w:val="20"/>
                <w:lang w:val="en-US"/>
              </w:rPr>
              <w:t>+</w:t>
            </w:r>
          </w:p>
          <w:p w:rsidR="00B32D69" w:rsidRDefault="00FB661A">
            <w:pPr>
              <w:spacing w:before="60" w:after="60"/>
              <w:rPr>
                <w:rFonts w:ascii="Times New Roman" w:eastAsia="Calibri" w:hAnsi="Times New Roman" w:cs="Times New Roman"/>
                <w:noProof/>
                <w:sz w:val="20"/>
                <w:szCs w:val="20"/>
              </w:rPr>
            </w:pPr>
            <w:r>
              <w:rPr>
                <w:rFonts w:ascii="Times New Roman" w:eastAsia="Calibri" w:hAnsi="Times New Roman" w:cs="Times New Roman"/>
                <w:noProof/>
                <w:sz w:val="20"/>
                <w:szCs w:val="20"/>
                <w:lang w:val="en-US"/>
              </w:rPr>
              <w:t xml:space="preserve">The positive impact of this option on consumption and growth may be substantial, as borrowers freed from debt will come back to higher consumption levels. Some limited impact on expenditures on social help (less help needed if over-indebted back to </w:t>
            </w:r>
            <w:r>
              <w:rPr>
                <w:rFonts w:ascii="Times New Roman" w:eastAsia="Calibri" w:hAnsi="Times New Roman" w:cs="Times New Roman"/>
                <w:noProof/>
                <w:sz w:val="20"/>
                <w:szCs w:val="20"/>
                <w:lang w:val="en-US"/>
              </w:rPr>
              <w:t>work and normal life).</w:t>
            </w:r>
          </w:p>
        </w:tc>
      </w:tr>
      <w:tr w:rsidR="00B32D69">
        <w:tc>
          <w:tcPr>
            <w:tcW w:w="18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i/>
                <w:noProof/>
                <w:sz w:val="20"/>
                <w:szCs w:val="20"/>
              </w:rPr>
            </w:pPr>
            <w:r>
              <w:rPr>
                <w:rFonts w:ascii="Times New Roman" w:eastAsia="Calibri" w:hAnsi="Times New Roman" w:cs="Times New Roman"/>
                <w:i/>
                <w:noProof/>
                <w:sz w:val="20"/>
                <w:szCs w:val="20"/>
              </w:rPr>
              <w:t>Create a favourable entrepreneurship climate</w:t>
            </w:r>
          </w:p>
        </w:tc>
        <w:tc>
          <w:tcPr>
            <w:tcW w:w="364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noProof/>
                <w:sz w:val="20"/>
                <w:szCs w:val="20"/>
                <w:lang w:val="en-US"/>
              </w:rPr>
            </w:pPr>
            <w:r>
              <w:rPr>
                <w:rFonts w:ascii="Times New Roman" w:eastAsia="Calibri" w:hAnsi="Times New Roman" w:cs="Times New Roman"/>
                <w:noProof/>
                <w:sz w:val="20"/>
                <w:szCs w:val="20"/>
                <w:lang w:val="en-US"/>
              </w:rPr>
              <w:t>+</w:t>
            </w:r>
          </w:p>
          <w:p w:rsidR="00B32D69" w:rsidRDefault="00FB661A">
            <w:pPr>
              <w:spacing w:before="60" w:after="60" w:line="240" w:lineRule="auto"/>
              <w:rPr>
                <w:rFonts w:ascii="Times New Roman" w:eastAsia="Calibri" w:hAnsi="Times New Roman" w:cs="Times New Roman"/>
                <w:noProof/>
                <w:sz w:val="20"/>
                <w:szCs w:val="20"/>
                <w:lang w:val="en-US"/>
              </w:rPr>
            </w:pPr>
            <w:r>
              <w:rPr>
                <w:rFonts w:ascii="Times New Roman" w:eastAsia="Calibri" w:hAnsi="Times New Roman" w:cs="Times New Roman"/>
                <w:noProof/>
                <w:sz w:val="20"/>
                <w:szCs w:val="20"/>
                <w:lang w:val="en-US"/>
              </w:rPr>
              <w:t>Limited positive impact, as the beneficiaries of this option can hardly become entrepreneurs.</w:t>
            </w:r>
          </w:p>
        </w:tc>
        <w:tc>
          <w:tcPr>
            <w:tcW w:w="3679"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noProof/>
                <w:sz w:val="20"/>
                <w:szCs w:val="20"/>
                <w:lang w:val="en-US"/>
              </w:rPr>
            </w:pPr>
            <w:r>
              <w:rPr>
                <w:rFonts w:ascii="Times New Roman" w:eastAsia="Calibri" w:hAnsi="Times New Roman" w:cs="Times New Roman"/>
                <w:noProof/>
                <w:sz w:val="20"/>
                <w:szCs w:val="20"/>
                <w:lang w:val="en-US"/>
              </w:rPr>
              <w:t>++</w:t>
            </w:r>
          </w:p>
          <w:p w:rsidR="00B32D69" w:rsidRDefault="00FB661A">
            <w:pPr>
              <w:spacing w:before="60" w:after="60"/>
              <w:rPr>
                <w:rFonts w:ascii="Times New Roman" w:eastAsia="Calibri" w:hAnsi="Times New Roman" w:cs="Times New Roman"/>
                <w:noProof/>
                <w:sz w:val="20"/>
                <w:szCs w:val="20"/>
              </w:rPr>
            </w:pPr>
            <w:r>
              <w:rPr>
                <w:rFonts w:ascii="Times New Roman" w:eastAsia="Calibri" w:hAnsi="Times New Roman" w:cs="Times New Roman"/>
                <w:noProof/>
                <w:sz w:val="20"/>
                <w:szCs w:val="20"/>
                <w:lang w:val="en-US"/>
              </w:rPr>
              <w:t xml:space="preserve">Potential positive effect, as previously over-indebted could start a business (or </w:t>
            </w:r>
            <w:r>
              <w:rPr>
                <w:rFonts w:ascii="Times New Roman" w:eastAsia="Calibri" w:hAnsi="Times New Roman" w:cs="Times New Roman"/>
                <w:noProof/>
                <w:sz w:val="20"/>
                <w:szCs w:val="20"/>
                <w:lang w:val="en-US"/>
              </w:rPr>
              <w:t>re-start, if their debts were partly due to previous professional activity) .</w:t>
            </w:r>
          </w:p>
        </w:tc>
      </w:tr>
      <w:tr w:rsidR="00B32D69">
        <w:tc>
          <w:tcPr>
            <w:tcW w:w="1858"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i/>
                <w:noProof/>
                <w:sz w:val="20"/>
                <w:szCs w:val="20"/>
              </w:rPr>
            </w:pPr>
            <w:r>
              <w:rPr>
                <w:rFonts w:ascii="Times New Roman" w:eastAsia="Calibri" w:hAnsi="Times New Roman" w:cs="Times New Roman"/>
                <w:i/>
                <w:noProof/>
                <w:sz w:val="20"/>
                <w:szCs w:val="20"/>
              </w:rPr>
              <w:t>Fundamental rights</w:t>
            </w:r>
          </w:p>
        </w:tc>
        <w:tc>
          <w:tcPr>
            <w:tcW w:w="3643"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rPr>
                <w:rFonts w:ascii="Times New Roman" w:eastAsia="Calibri" w:hAnsi="Times New Roman" w:cs="Times New Roman"/>
                <w:noProof/>
                <w:sz w:val="20"/>
                <w:szCs w:val="20"/>
              </w:rPr>
            </w:pPr>
            <w:r>
              <w:rPr>
                <w:rFonts w:ascii="Times New Roman" w:eastAsia="Calibri" w:hAnsi="Times New Roman" w:cs="Times New Roman"/>
                <w:noProof/>
                <w:sz w:val="20"/>
                <w:szCs w:val="20"/>
              </w:rPr>
              <w:t>The change may be somewhat detrimental in the short term to the creditors' right of property in some Member States, although the impact on creditor is likel</w:t>
            </w:r>
            <w:r>
              <w:rPr>
                <w:rFonts w:ascii="Times New Roman" w:eastAsia="Calibri" w:hAnsi="Times New Roman" w:cs="Times New Roman"/>
                <w:noProof/>
                <w:sz w:val="20"/>
                <w:szCs w:val="20"/>
              </w:rPr>
              <w:t xml:space="preserve">y to be minimal given that this sub-options concerns consumers with no income and no assets. Debtors, on the other hand, would benefit from less interference with their private life, as creditors can enforce claims for a shorter period of time. </w:t>
            </w:r>
            <w:r>
              <w:rPr>
                <w:rFonts w:ascii="Times New Roman" w:eastAsia="Calibri" w:hAnsi="Times New Roman" w:cs="Times New Roman"/>
                <w:noProof/>
                <w:sz w:val="20"/>
                <w:szCs w:val="20"/>
                <w:lang w:val="en-US"/>
              </w:rPr>
              <w:t>Positive im</w:t>
            </w:r>
            <w:r>
              <w:rPr>
                <w:rFonts w:ascii="Times New Roman" w:eastAsia="Calibri" w:hAnsi="Times New Roman" w:cs="Times New Roman"/>
                <w:noProof/>
                <w:sz w:val="20"/>
                <w:szCs w:val="20"/>
                <w:lang w:val="en-US"/>
              </w:rPr>
              <w:t>pact on the right to decent life, in particular if over-indebtedness is due to external reasons.</w:t>
            </w:r>
          </w:p>
        </w:tc>
        <w:tc>
          <w:tcPr>
            <w:tcW w:w="3679"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rPr>
                <w:rFonts w:ascii="Times New Roman" w:eastAsia="Calibri" w:hAnsi="Times New Roman" w:cs="Times New Roman"/>
                <w:noProof/>
                <w:sz w:val="20"/>
                <w:szCs w:val="20"/>
                <w:lang w:val="en-US"/>
              </w:rPr>
            </w:pPr>
            <w:r>
              <w:rPr>
                <w:rFonts w:ascii="Times New Roman" w:eastAsia="Calibri" w:hAnsi="Times New Roman" w:cs="Times New Roman"/>
                <w:noProof/>
                <w:sz w:val="20"/>
                <w:szCs w:val="20"/>
                <w:lang w:val="en-US"/>
              </w:rPr>
              <w:t>++</w:t>
            </w:r>
          </w:p>
          <w:p w:rsidR="00B32D69" w:rsidRDefault="00FB661A">
            <w:pPr>
              <w:spacing w:before="60" w:after="60"/>
              <w:rPr>
                <w:rFonts w:ascii="Times New Roman" w:eastAsia="Calibri" w:hAnsi="Times New Roman" w:cs="Times New Roman"/>
                <w:noProof/>
                <w:sz w:val="20"/>
                <w:szCs w:val="20"/>
                <w:lang w:val="en-US"/>
              </w:rPr>
            </w:pPr>
            <w:r>
              <w:rPr>
                <w:rFonts w:ascii="Times New Roman" w:eastAsia="Calibri" w:hAnsi="Times New Roman" w:cs="Times New Roman"/>
                <w:noProof/>
                <w:sz w:val="20"/>
                <w:szCs w:val="20"/>
                <w:lang w:val="en-US"/>
              </w:rPr>
              <w:t>Compared to sub-option 1, the change would strike a better balance between the creditors' right of property, due to the limited discharge period, and the in</w:t>
            </w:r>
            <w:r>
              <w:rPr>
                <w:rFonts w:ascii="Times New Roman" w:eastAsia="Calibri" w:hAnsi="Times New Roman" w:cs="Times New Roman"/>
                <w:noProof/>
                <w:sz w:val="20"/>
                <w:szCs w:val="20"/>
                <w:lang w:val="en-US"/>
              </w:rPr>
              <w:t>terference with the debtor's private life following a limited discharge period.</w:t>
            </w:r>
          </w:p>
          <w:p w:rsidR="00B32D69" w:rsidRDefault="00FB661A">
            <w:pPr>
              <w:spacing w:before="60" w:after="60" w:line="240" w:lineRule="auto"/>
              <w:rPr>
                <w:rFonts w:ascii="Times New Roman" w:eastAsia="Calibri" w:hAnsi="Times New Roman" w:cs="Times New Roman"/>
                <w:i/>
                <w:noProof/>
                <w:sz w:val="20"/>
                <w:szCs w:val="20"/>
              </w:rPr>
            </w:pPr>
            <w:r>
              <w:rPr>
                <w:rFonts w:ascii="Times New Roman" w:eastAsia="Calibri" w:hAnsi="Times New Roman" w:cs="Times New Roman"/>
                <w:noProof/>
                <w:sz w:val="20"/>
                <w:szCs w:val="20"/>
                <w:lang w:val="en-US"/>
              </w:rPr>
              <w:t>Positive impact on the right to decent life, in particular if over-indebtedness due to external reasons.</w:t>
            </w:r>
            <w:r>
              <w:rPr>
                <w:rFonts w:ascii="Times New Roman" w:eastAsia="Calibri" w:hAnsi="Times New Roman" w:cs="Times New Roman"/>
                <w:noProof/>
                <w:sz w:val="20"/>
                <w:szCs w:val="20"/>
                <w:lang w:val="en-US" w:eastAsia="en-GB"/>
              </w:rPr>
              <w:t xml:space="preserve"> </w:t>
            </w:r>
          </w:p>
        </w:tc>
      </w:tr>
    </w:tbl>
    <w:p w:rsidR="00B32D69" w:rsidRDefault="00FB661A">
      <w:pPr>
        <w:spacing w:before="240" w:after="240" w:line="240" w:lineRule="auto"/>
        <w:jc w:val="both"/>
        <w:rPr>
          <w:rFonts w:ascii="Times New Roman" w:hAnsi="Times New Roman"/>
          <w:noProof/>
          <w:sz w:val="24"/>
          <w:szCs w:val="24"/>
          <w:lang w:val="en-US"/>
        </w:rPr>
      </w:pPr>
      <w:r>
        <w:rPr>
          <w:rFonts w:ascii="Times New Roman" w:eastAsia="Calibri" w:hAnsi="Times New Roman" w:cs="Times New Roman"/>
          <w:i/>
          <w:noProof/>
          <w:sz w:val="24"/>
          <w:szCs w:val="24"/>
          <w:u w:val="single"/>
        </w:rPr>
        <w:t>Summary assessment of the preferred sub-option:</w:t>
      </w:r>
      <w:r>
        <w:rPr>
          <w:rFonts w:ascii="Times New Roman" w:eastAsia="Calibri" w:hAnsi="Times New Roman" w:cs="Times New Roman"/>
          <w:noProof/>
          <w:sz w:val="24"/>
          <w:szCs w:val="24"/>
        </w:rPr>
        <w:t xml:space="preserve"> </w:t>
      </w:r>
      <w:r>
        <w:rPr>
          <w:rFonts w:ascii="Times New Roman" w:eastAsia="Calibri" w:hAnsi="Times New Roman" w:cs="Times New Roman"/>
          <w:i/>
          <w:noProof/>
          <w:sz w:val="24"/>
          <w:szCs w:val="24"/>
        </w:rPr>
        <w:t>Sub-option 2</w:t>
      </w:r>
      <w:r>
        <w:rPr>
          <w:rFonts w:ascii="Times New Roman" w:eastAsia="Calibri" w:hAnsi="Times New Roman" w:cs="Times New Roman"/>
          <w:noProof/>
          <w:sz w:val="24"/>
          <w:szCs w:val="24"/>
        </w:rPr>
        <w:t xml:space="preserve"> is the preferred sub-option because overall it would have an impact on a larger group of citizens, provide a better balancing of the need to afford debtors a second chance while at the same time encouraging repayment of debts and therefore creating a bett</w:t>
      </w:r>
      <w:r>
        <w:rPr>
          <w:rFonts w:ascii="Times New Roman" w:eastAsia="Calibri" w:hAnsi="Times New Roman" w:cs="Times New Roman"/>
          <w:noProof/>
          <w:sz w:val="24"/>
          <w:szCs w:val="24"/>
        </w:rPr>
        <w:t>er perception of second chance provisions. It would also be less sensitive with Member States which currently have longer discharge periods. The risk of moral hazard is reduced, as a</w:t>
      </w:r>
      <w:r>
        <w:rPr>
          <w:rFonts w:ascii="Times New Roman" w:hAnsi="Times New Roman"/>
          <w:noProof/>
          <w:sz w:val="24"/>
          <w:szCs w:val="24"/>
          <w:lang w:val="en-US"/>
        </w:rPr>
        <w:t xml:space="preserve"> Study on consumer over-indebtedness</w:t>
      </w:r>
      <w:r>
        <w:rPr>
          <w:rStyle w:val="FootnoteReference"/>
          <w:rFonts w:ascii="Times New Roman" w:hAnsi="Times New Roman"/>
          <w:noProof/>
          <w:sz w:val="24"/>
          <w:szCs w:val="24"/>
          <w:lang w:val="en-US"/>
        </w:rPr>
        <w:footnoteReference w:id="187"/>
      </w:r>
      <w:r>
        <w:rPr>
          <w:rFonts w:ascii="Times New Roman" w:hAnsi="Times New Roman"/>
          <w:noProof/>
          <w:sz w:val="24"/>
          <w:szCs w:val="24"/>
          <w:lang w:val="en-US"/>
        </w:rPr>
        <w:t xml:space="preserve"> confirms that the reasons of consume</w:t>
      </w:r>
      <w:r>
        <w:rPr>
          <w:rFonts w:ascii="Times New Roman" w:hAnsi="Times New Roman"/>
          <w:noProof/>
          <w:sz w:val="24"/>
          <w:szCs w:val="24"/>
          <w:lang w:val="en-US"/>
        </w:rPr>
        <w:t>r over-indebtedness are mostly external and objective (loss of employment, divorce, disease). </w:t>
      </w:r>
    </w:p>
    <w:p w:rsidR="00B32D69" w:rsidRDefault="00FB661A">
      <w:pPr>
        <w:spacing w:before="60" w:after="60" w:line="240" w:lineRule="auto"/>
        <w:jc w:val="both"/>
        <w:rPr>
          <w:rFonts w:ascii="Times New Roman" w:hAnsi="Times New Roman"/>
          <w:noProof/>
          <w:sz w:val="24"/>
          <w:szCs w:val="24"/>
          <w:lang w:val="en-US"/>
        </w:rPr>
      </w:pPr>
      <w:r>
        <w:rPr>
          <w:rFonts w:ascii="Times New Roman" w:hAnsi="Times New Roman"/>
          <w:noProof/>
          <w:sz w:val="24"/>
          <w:szCs w:val="24"/>
          <w:lang w:val="en-US"/>
        </w:rPr>
        <w:t xml:space="preserve">In terms of impacts on </w:t>
      </w:r>
      <w:r>
        <w:rPr>
          <w:rFonts w:ascii="Times New Roman" w:hAnsi="Times New Roman"/>
          <w:b/>
          <w:noProof/>
          <w:sz w:val="24"/>
          <w:szCs w:val="24"/>
          <w:lang w:val="en-US"/>
        </w:rPr>
        <w:t>fundamental rights</w:t>
      </w:r>
      <w:r>
        <w:rPr>
          <w:rFonts w:ascii="Times New Roman" w:hAnsi="Times New Roman"/>
          <w:noProof/>
          <w:sz w:val="24"/>
          <w:szCs w:val="24"/>
          <w:lang w:val="en-US"/>
        </w:rPr>
        <w:t xml:space="preserve">, this options strikes the right balance between the creditors' right of property, due to the limited discharge period, </w:t>
      </w:r>
      <w:r>
        <w:rPr>
          <w:rFonts w:ascii="Times New Roman" w:hAnsi="Times New Roman"/>
          <w:noProof/>
          <w:sz w:val="24"/>
          <w:szCs w:val="24"/>
          <w:lang w:val="en-US"/>
        </w:rPr>
        <w:t xml:space="preserve">and the interference with the debtor's private life following a limited discharge period. Positive impact on the right to decent life is expected, in particular if over-indebtedness is due to external reasons. </w:t>
      </w:r>
      <w:r>
        <w:rPr>
          <w:rFonts w:ascii="Times New Roman" w:hAnsi="Times New Roman"/>
          <w:b/>
          <w:noProof/>
          <w:sz w:val="24"/>
          <w:szCs w:val="24"/>
          <w:lang w:val="en-US"/>
        </w:rPr>
        <w:t>Social impacts</w:t>
      </w:r>
      <w:r>
        <w:rPr>
          <w:rFonts w:ascii="Times New Roman" w:hAnsi="Times New Roman"/>
          <w:noProof/>
          <w:sz w:val="24"/>
          <w:szCs w:val="24"/>
          <w:lang w:val="en-US"/>
        </w:rPr>
        <w:t xml:space="preserve"> will be positive, as more debto</w:t>
      </w:r>
      <w:r>
        <w:rPr>
          <w:rFonts w:ascii="Times New Roman" w:hAnsi="Times New Roman"/>
          <w:noProof/>
          <w:sz w:val="24"/>
          <w:szCs w:val="24"/>
          <w:lang w:val="en-US"/>
        </w:rPr>
        <w:t>rs will be able to have a second start, escape debt traps and possibly avoid going on the black market to find for sources of income.</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the 2016 public consultation, most of the respondents agreed that consumers should be given the chance to restructure t</w:t>
      </w:r>
      <w:r>
        <w:rPr>
          <w:rFonts w:ascii="Times New Roman" w:eastAsia="Calibri" w:hAnsi="Times New Roman" w:cs="Times New Roman"/>
          <w:noProof/>
          <w:sz w:val="24"/>
          <w:szCs w:val="24"/>
        </w:rPr>
        <w:t>heir debt, supporting also that a full discharge of debts, possibly subject to certain conditions, should be offered to consumers provided that they are 'honest' debtors. They particularly mentioned that this needs to be complemented by disincentives for d</w:t>
      </w:r>
      <w:r>
        <w:rPr>
          <w:rFonts w:ascii="Times New Roman" w:eastAsia="Calibri" w:hAnsi="Times New Roman" w:cs="Times New Roman"/>
          <w:noProof/>
          <w:sz w:val="24"/>
          <w:szCs w:val="24"/>
        </w:rPr>
        <w:t>ishonest conduct. The majority also replied that over-indebted consumers should have access to free or low cost advice.</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Whilst there is support for some harmonisation of rules on discharge of debt for consumers among business stakeholders, some (e.g. </w:t>
      </w:r>
      <w:r>
        <w:rPr>
          <w:rFonts w:ascii="Times New Roman" w:eastAsia="Calibri" w:hAnsi="Times New Roman" w:cs="Times New Roman"/>
          <w:noProof/>
          <w:sz w:val="24"/>
          <w:szCs w:val="24"/>
        </w:rPr>
        <w:t>Bundesverband der Deutschen Industrie e.V) highlight that a too short period for discharge can be an incentive for misuse.  Some business stakeholders</w:t>
      </w:r>
      <w:r>
        <w:rPr>
          <w:rFonts w:ascii="Times New Roman" w:eastAsia="Calibri" w:hAnsi="Times New Roman"/>
          <w:noProof/>
          <w:sz w:val="24"/>
          <w:szCs w:val="24"/>
          <w:vertAlign w:val="superscript"/>
        </w:rPr>
        <w:footnoteReference w:id="188"/>
      </w:r>
      <w:r>
        <w:rPr>
          <w:rFonts w:ascii="Times New Roman" w:eastAsia="Calibri" w:hAnsi="Times New Roman" w:cs="Times New Roman"/>
          <w:noProof/>
          <w:sz w:val="24"/>
          <w:szCs w:val="24"/>
        </w:rPr>
        <w:t xml:space="preserve"> are also of the opinion that consumer insolvency and discharge should be dealt with separately and shoul</w:t>
      </w:r>
      <w:r>
        <w:rPr>
          <w:rFonts w:ascii="Times New Roman" w:eastAsia="Calibri" w:hAnsi="Times New Roman" w:cs="Times New Roman"/>
          <w:noProof/>
          <w:sz w:val="24"/>
          <w:szCs w:val="24"/>
        </w:rPr>
        <w:t>d not form part of the effort to create an efficient insolvency framework for businesses. Additionally, financial institutions are strongly opposed of including rules on consumer insolvency.</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Family and consumer protection stakeholders on the contrary stron</w:t>
      </w:r>
      <w:r>
        <w:rPr>
          <w:rFonts w:ascii="Times New Roman" w:eastAsia="Calibri" w:hAnsi="Times New Roman" w:cs="Times New Roman"/>
          <w:noProof/>
          <w:sz w:val="24"/>
          <w:szCs w:val="24"/>
        </w:rPr>
        <w:t>gly endorse minimum standards on consumer insolvency and discharge and stress that there are no convincing arguments for differentiating between entrepreneurs and consumers with regard to the applicable conditions.</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Given the insufficiently developed body o</w:t>
      </w:r>
      <w:r>
        <w:rPr>
          <w:rFonts w:ascii="Times New Roman" w:eastAsia="Calibri" w:hAnsi="Times New Roman" w:cs="Times New Roman"/>
          <w:noProof/>
          <w:sz w:val="24"/>
          <w:szCs w:val="24"/>
        </w:rPr>
        <w:t>f evidence of the positive impacts of discharge periods for consumers on the internal market as well as the differences in rationale between this initiative focused on the improved functioning of the capital market union and the freedom of establishment fo</w:t>
      </w:r>
      <w:r>
        <w:rPr>
          <w:rFonts w:ascii="Times New Roman" w:eastAsia="Calibri" w:hAnsi="Times New Roman" w:cs="Times New Roman"/>
          <w:noProof/>
          <w:sz w:val="24"/>
          <w:szCs w:val="24"/>
        </w:rPr>
        <w:t xml:space="preserve">r self-employed persons, the principle in </w:t>
      </w:r>
      <w:r>
        <w:rPr>
          <w:rFonts w:ascii="Times New Roman" w:eastAsia="Calibri" w:hAnsi="Times New Roman" w:cs="Times New Roman"/>
          <w:i/>
          <w:noProof/>
          <w:sz w:val="24"/>
          <w:szCs w:val="24"/>
        </w:rPr>
        <w:t>Sub-option 2</w:t>
      </w:r>
      <w:r>
        <w:rPr>
          <w:rFonts w:ascii="Times New Roman" w:eastAsia="Calibri" w:hAnsi="Times New Roman" w:cs="Times New Roman"/>
          <w:noProof/>
          <w:sz w:val="24"/>
          <w:szCs w:val="24"/>
        </w:rPr>
        <w:t xml:space="preserve"> above should be set as a possibility in a soft law instrument rather than in binding legislation, as already set out above</w:t>
      </w:r>
      <w:r>
        <w:rPr>
          <w:rStyle w:val="FootnoteReference"/>
          <w:rFonts w:ascii="Times New Roman" w:eastAsia="Calibri" w:hAnsi="Times New Roman"/>
          <w:noProof/>
          <w:sz w:val="24"/>
          <w:szCs w:val="24"/>
        </w:rPr>
        <w:footnoteReference w:id="189"/>
      </w:r>
      <w:r>
        <w:rPr>
          <w:rFonts w:ascii="Times New Roman" w:eastAsia="Calibri" w:hAnsi="Times New Roman" w:cs="Times New Roman"/>
          <w:noProof/>
          <w:sz w:val="24"/>
          <w:szCs w:val="24"/>
        </w:rPr>
        <w:t>. However, this possibility would need to be considered in light of the ongoin</w:t>
      </w:r>
      <w:r>
        <w:rPr>
          <w:rFonts w:ascii="Times New Roman" w:eastAsia="Calibri" w:hAnsi="Times New Roman" w:cs="Times New Roman"/>
          <w:noProof/>
          <w:sz w:val="24"/>
          <w:szCs w:val="24"/>
        </w:rPr>
        <w:t>g developments in Member States as regards national reforms of consumer insolvency laws and existing frameworks for addressing the problem at this stage, as described under Problem 3. It is true that soft law already exists in that respect in the form of t</w:t>
      </w:r>
      <w:r>
        <w:rPr>
          <w:rFonts w:ascii="Times New Roman" w:eastAsia="Calibri" w:hAnsi="Times New Roman" w:cs="Times New Roman"/>
          <w:noProof/>
          <w:sz w:val="24"/>
          <w:szCs w:val="24"/>
        </w:rPr>
        <w:t>he 2014 Recommendation. However, it needs to be taken into account that Member States would be obliged to regulate a discharge period for entrepreneurs in line with the minimum requirements of a Directive. In those circumstances even non-binding provisions</w:t>
      </w:r>
      <w:r>
        <w:rPr>
          <w:rFonts w:ascii="Times New Roman" w:eastAsia="Calibri" w:hAnsi="Times New Roman" w:cs="Times New Roman"/>
          <w:noProof/>
          <w:sz w:val="24"/>
          <w:szCs w:val="24"/>
        </w:rPr>
        <w:t xml:space="preserve"> on the extension of that regulation to consumers could have tangible impact on the ground over and above the 2014 Recommendation, particularly in view of the fact that many Member States have common rules for entrepreneurs and consumers and that in practi</w:t>
      </w:r>
      <w:r>
        <w:rPr>
          <w:rFonts w:ascii="Times New Roman" w:eastAsia="Calibri" w:hAnsi="Times New Roman" w:cs="Times New Roman"/>
          <w:noProof/>
          <w:sz w:val="24"/>
          <w:szCs w:val="24"/>
        </w:rPr>
        <w:t>ce very often the consumer and business debts of an entrepreneur can hardly be distinguished.</w:t>
      </w:r>
    </w:p>
    <w:p w:rsidR="00B32D69" w:rsidRDefault="00FB661A">
      <w:pPr>
        <w:keepNext/>
        <w:keepLines/>
        <w:spacing w:before="240" w:after="240" w:line="240" w:lineRule="auto"/>
        <w:outlineLvl w:val="2"/>
        <w:rPr>
          <w:rFonts w:ascii="Times New Roman" w:eastAsia="Calibri" w:hAnsi="Times New Roman" w:cs="Times New Roman"/>
          <w:b/>
          <w:bCs/>
          <w:noProof/>
          <w:color w:val="4F81BD" w:themeColor="accent1"/>
          <w:sz w:val="24"/>
          <w:szCs w:val="24"/>
        </w:rPr>
      </w:pPr>
      <w:bookmarkStart w:id="62" w:name="_Toc466452984"/>
      <w:r>
        <w:rPr>
          <w:rFonts w:ascii="Times New Roman" w:eastAsia="Calibri" w:hAnsi="Times New Roman" w:cs="Times New Roman"/>
          <w:b/>
          <w:bCs/>
          <w:noProof/>
          <w:sz w:val="24"/>
          <w:szCs w:val="24"/>
        </w:rPr>
        <w:t>5.8. Measures to increase the effectiveness of restructuring, insolvency and second chance procedures</w:t>
      </w:r>
      <w:bookmarkEnd w:id="62"/>
    </w:p>
    <w:p w:rsidR="00B32D69" w:rsidRDefault="00FB661A">
      <w:pPr>
        <w:spacing w:before="120" w:after="24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t>5.8. Description of sub-options</w:t>
      </w:r>
    </w:p>
    <w:p w:rsidR="00B32D69" w:rsidRDefault="00FB661A">
      <w:pPr>
        <w:autoSpaceDE w:val="0"/>
        <w:autoSpaceDN w:val="0"/>
        <w:adjustRightInd w:val="0"/>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u w:val="single"/>
        </w:rPr>
        <w:t>Sub-option</w:t>
      </w:r>
      <w:r>
        <w:rPr>
          <w:rFonts w:ascii="Times New Roman" w:eastAsia="Calibri" w:hAnsi="Times New Roman" w:cs="Times New Roman"/>
          <w:noProof/>
          <w:sz w:val="24"/>
          <w:szCs w:val="24"/>
          <w:u w:val="single"/>
        </w:rPr>
        <w:t xml:space="preserve"> </w:t>
      </w:r>
      <w:r>
        <w:rPr>
          <w:rFonts w:ascii="Times New Roman" w:eastAsia="Calibri" w:hAnsi="Times New Roman" w:cs="Times New Roman"/>
          <w:i/>
          <w:noProof/>
          <w:sz w:val="24"/>
          <w:szCs w:val="24"/>
          <w:u w:val="single"/>
        </w:rPr>
        <w:t>1:</w:t>
      </w:r>
      <w:r>
        <w:rPr>
          <w:rFonts w:ascii="Times New Roman" w:eastAsia="Calibri" w:hAnsi="Times New Roman" w:cs="Times New Roman"/>
          <w:noProof/>
          <w:sz w:val="24"/>
          <w:szCs w:val="24"/>
        </w:rPr>
        <w:t xml:space="preserve"> courts or judges dealing with restructuring, insolvency and second chance procedures will need to be appropriately trained and specialised; practitioners in these fields will need to be professional, abide t ethical standards, be monitored and have a disc</w:t>
      </w:r>
      <w:r>
        <w:rPr>
          <w:rFonts w:ascii="Times New Roman" w:eastAsia="Calibri" w:hAnsi="Times New Roman" w:cs="Times New Roman"/>
          <w:noProof/>
          <w:sz w:val="24"/>
          <w:szCs w:val="24"/>
        </w:rPr>
        <w:t>iplinary system, and be remunerated in a manner which encourages them to achieve sustainable outcomes in the short time period possible. Increasing the performance of courts and practitioners will also contribute to making the system less vulnerable to mor</w:t>
      </w:r>
      <w:r>
        <w:rPr>
          <w:rFonts w:ascii="Times New Roman" w:eastAsia="Calibri" w:hAnsi="Times New Roman" w:cs="Times New Roman"/>
          <w:noProof/>
          <w:sz w:val="24"/>
          <w:szCs w:val="24"/>
        </w:rPr>
        <w:t>al hazard: when people know the system works well and is transparent, there is less room for moral hazard.</w:t>
      </w:r>
    </w:p>
    <w:p w:rsidR="00B32D69" w:rsidRDefault="00FB661A">
      <w:pPr>
        <w:spacing w:before="120" w:after="240" w:line="240" w:lineRule="auto"/>
        <w:jc w:val="both"/>
        <w:rPr>
          <w:rFonts w:ascii="Times New Roman" w:eastAsia="Calibri" w:hAnsi="Times New Roman" w:cs="Times New Roman"/>
          <w:b/>
          <w:noProof/>
          <w:sz w:val="20"/>
          <w:szCs w:val="20"/>
        </w:rPr>
      </w:pPr>
      <w:r>
        <w:rPr>
          <w:rFonts w:ascii="Times New Roman" w:eastAsia="Calibri" w:hAnsi="Times New Roman" w:cs="Times New Roman"/>
          <w:i/>
          <w:noProof/>
          <w:sz w:val="24"/>
          <w:szCs w:val="24"/>
          <w:u w:val="single"/>
        </w:rPr>
        <w:t>Sub-option 2</w:t>
      </w:r>
      <w:r>
        <w:rPr>
          <w:rFonts w:ascii="Times New Roman" w:eastAsia="Calibri" w:hAnsi="Times New Roman" w:cs="Times New Roman"/>
          <w:noProof/>
          <w:sz w:val="24"/>
          <w:szCs w:val="24"/>
          <w:u w:val="single"/>
        </w:rPr>
        <w:t>:</w:t>
      </w:r>
      <w:r>
        <w:rPr>
          <w:rFonts w:ascii="Times New Roman" w:eastAsia="Calibri" w:hAnsi="Times New Roman" w:cs="Times New Roman"/>
          <w:noProof/>
          <w:sz w:val="24"/>
          <w:szCs w:val="24"/>
        </w:rPr>
        <w:t xml:space="preserve"> the introduction of electronic means of communication for procedural steps such as filing of claims, notifications to creditors, voting</w:t>
      </w:r>
      <w:r>
        <w:rPr>
          <w:rFonts w:ascii="Times New Roman" w:eastAsia="Calibri" w:hAnsi="Times New Roman" w:cs="Times New Roman"/>
          <w:noProof/>
          <w:sz w:val="24"/>
          <w:szCs w:val="24"/>
        </w:rPr>
        <w:t xml:space="preserve"> of restructuring plans, lodging challenges and appeals will reduce the length of restructuring, insolvency and second chance procedures, increase the participation of creditors, especially cross-border creditors with small amounts of debt which would othe</w:t>
      </w:r>
      <w:r>
        <w:rPr>
          <w:rFonts w:ascii="Times New Roman" w:eastAsia="Calibri" w:hAnsi="Times New Roman" w:cs="Times New Roman"/>
          <w:noProof/>
          <w:sz w:val="24"/>
          <w:szCs w:val="24"/>
        </w:rPr>
        <w:t>rwise not consider it worthy to travel to another Member State in order to vote on a restructuring plans or to file an appeal; and the data collection exercise under Sub-option 3 below.</w:t>
      </w:r>
    </w:p>
    <w:p w:rsidR="00B32D69" w:rsidRDefault="00FB661A">
      <w:pPr>
        <w:spacing w:before="120" w:after="240" w:line="240" w:lineRule="auto"/>
        <w:jc w:val="both"/>
        <w:rPr>
          <w:rFonts w:ascii="Times New Roman" w:eastAsia="Calibri" w:hAnsi="Times New Roman" w:cs="Times New Roman"/>
          <w:i/>
          <w:noProof/>
          <w:sz w:val="24"/>
          <w:szCs w:val="24"/>
        </w:rPr>
      </w:pPr>
      <w:r>
        <w:rPr>
          <w:rFonts w:ascii="Times New Roman" w:eastAsia="Calibri" w:hAnsi="Times New Roman" w:cs="Times New Roman"/>
          <w:b/>
          <w:i/>
          <w:noProof/>
          <w:sz w:val="20"/>
          <w:szCs w:val="20"/>
        </w:rPr>
        <w:t>S</w:t>
      </w:r>
      <w:r>
        <w:rPr>
          <w:rFonts w:ascii="Times New Roman" w:eastAsia="Calibri" w:hAnsi="Times New Roman" w:cs="Times New Roman"/>
          <w:i/>
          <w:noProof/>
          <w:sz w:val="24"/>
          <w:szCs w:val="24"/>
        </w:rPr>
        <w:t xml:space="preserve">ub-option 3: </w:t>
      </w:r>
      <w:r>
        <w:rPr>
          <w:rFonts w:ascii="Times New Roman" w:eastAsia="Calibri" w:hAnsi="Times New Roman" w:cs="Times New Roman"/>
          <w:noProof/>
          <w:sz w:val="24"/>
          <w:szCs w:val="24"/>
        </w:rPr>
        <w:t>This sub-option will add an element of monitoring of res</w:t>
      </w:r>
      <w:r>
        <w:rPr>
          <w:rFonts w:ascii="Times New Roman" w:eastAsia="Calibri" w:hAnsi="Times New Roman" w:cs="Times New Roman"/>
          <w:noProof/>
          <w:sz w:val="24"/>
          <w:szCs w:val="24"/>
        </w:rPr>
        <w:t>tructuring, insolvency and second chance procedures. Member States will be asked to collect data on the number of filings, the outcomes of procedures, and the sustainability of restructuring and second chance outcomes (by collecting data on re-applications</w:t>
      </w:r>
      <w:r>
        <w:rPr>
          <w:rFonts w:ascii="Times New Roman" w:eastAsia="Calibri" w:hAnsi="Times New Roman" w:cs="Times New Roman"/>
          <w:noProof/>
          <w:sz w:val="24"/>
          <w:szCs w:val="24"/>
        </w:rPr>
        <w:t xml:space="preserve"> of debtors who already went one through such procedures). Such data shall be collected on the basis of a standard data collection form and will be communicated to the Commission.</w:t>
      </w:r>
    </w:p>
    <w:p w:rsidR="00B32D69" w:rsidRDefault="00FB661A">
      <w:pPr>
        <w:spacing w:before="240" w:after="24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t>5.8. Assessment of impact of the sub-options and preferred sub-option</w:t>
      </w:r>
    </w:p>
    <w:tbl>
      <w:tblPr>
        <w:tblW w:w="90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1"/>
        <w:gridCol w:w="2326"/>
        <w:gridCol w:w="2326"/>
        <w:gridCol w:w="2325"/>
      </w:tblGrid>
      <w:tr w:rsidR="00B32D69">
        <w:trPr>
          <w:trHeight w:val="1814"/>
        </w:trPr>
        <w:tc>
          <w:tcPr>
            <w:tcW w:w="2038"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hAnsi="Times New Roman" w:cs="Times New Roman"/>
                <w:b/>
                <w:noProof/>
                <w:sz w:val="20"/>
                <w:szCs w:val="20"/>
              </w:rPr>
            </w:pPr>
            <w:r>
              <w:rPr>
                <w:rFonts w:ascii="Times New Roman" w:hAnsi="Times New Roman" w:cs="Times New Roman"/>
                <w:b/>
                <w:noProof/>
                <w:sz w:val="20"/>
                <w:szCs w:val="20"/>
              </w:rPr>
              <w:t>5.8. I</w:t>
            </w:r>
            <w:r>
              <w:rPr>
                <w:rFonts w:ascii="Times New Roman" w:hAnsi="Times New Roman" w:cs="Times New Roman"/>
                <w:b/>
                <w:noProof/>
                <w:sz w:val="20"/>
                <w:szCs w:val="20"/>
              </w:rPr>
              <w:t>ncrease the effectiveness of procedures</w:t>
            </w:r>
          </w:p>
        </w:tc>
        <w:tc>
          <w:tcPr>
            <w:tcW w:w="2333"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Sub-option 1:</w:t>
            </w:r>
            <w:r>
              <w:rPr>
                <w:rFonts w:ascii="Times New Roman" w:eastAsia="Calibri" w:hAnsi="Times New Roman" w:cs="Times New Roman"/>
                <w:noProof/>
                <w:sz w:val="20"/>
                <w:szCs w:val="20"/>
              </w:rPr>
              <w:t xml:space="preserve"> specialisation of courts or judges, training and professional standards for practitioners in the area of restructuring, insolvency and second chance</w:t>
            </w:r>
          </w:p>
        </w:tc>
        <w:tc>
          <w:tcPr>
            <w:tcW w:w="2333"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Sub-option 2</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S/o 1 + digitisation of court procedures</w:t>
            </w:r>
          </w:p>
        </w:tc>
        <w:tc>
          <w:tcPr>
            <w:tcW w:w="2334"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 xml:space="preserve">Sub-option 3: </w:t>
            </w:r>
            <w:r>
              <w:rPr>
                <w:rFonts w:ascii="Times New Roman" w:eastAsia="Calibri" w:hAnsi="Times New Roman" w:cs="Times New Roman"/>
                <w:noProof/>
                <w:sz w:val="20"/>
                <w:szCs w:val="20"/>
              </w:rPr>
              <w:t>S/o 2 + monitoring and data collection on number and outcome of procedures</w:t>
            </w:r>
          </w:p>
        </w:tc>
      </w:tr>
      <w:tr w:rsidR="00B32D69">
        <w:trPr>
          <w:trHeight w:val="510"/>
        </w:trPr>
        <w:tc>
          <w:tcPr>
            <w:tcW w:w="2038"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hAnsi="Times New Roman" w:cs="Times New Roman"/>
                <w:i/>
                <w:noProof/>
                <w:sz w:val="20"/>
                <w:szCs w:val="20"/>
              </w:rPr>
            </w:pPr>
            <w:r>
              <w:rPr>
                <w:rFonts w:ascii="Times New Roman" w:hAnsi="Times New Roman" w:cs="Times New Roman"/>
                <w:i/>
                <w:noProof/>
                <w:sz w:val="20"/>
                <w:szCs w:val="20"/>
              </w:rPr>
              <w:t>Reduce costs of assessing risks by investors</w:t>
            </w:r>
          </w:p>
        </w:tc>
        <w:tc>
          <w:tcPr>
            <w:tcW w:w="2333"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Investors' confidence in the courts and judges as well as in the practitioners assisting the courts where their debtor</w:t>
            </w:r>
            <w:r>
              <w:rPr>
                <w:rFonts w:ascii="Times New Roman" w:eastAsia="Calibri" w:hAnsi="Times New Roman" w:cs="Times New Roman"/>
                <w:noProof/>
                <w:sz w:val="20"/>
                <w:szCs w:val="20"/>
              </w:rPr>
              <w:t xml:space="preserve"> has its COMI is crucial to their decision to invest (AFME).</w:t>
            </w:r>
          </w:p>
        </w:tc>
        <w:tc>
          <w:tcPr>
            <w:tcW w:w="2333"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Increasing the creditors' possibility to participate in restructuring, restructuring and second chance procedures reduces the risks for creditors, in particular small, cross-border investors w</w:t>
            </w:r>
            <w:r>
              <w:rPr>
                <w:rFonts w:ascii="Times New Roman" w:eastAsia="Calibri" w:hAnsi="Times New Roman" w:cs="Times New Roman"/>
                <w:noProof/>
                <w:sz w:val="20"/>
                <w:szCs w:val="20"/>
              </w:rPr>
              <w:t>ho would be otherwise unable to participate in person or by representation and thus influence the process or defend their interests</w:t>
            </w:r>
            <w:r>
              <w:rPr>
                <w:rStyle w:val="FootnoteReference"/>
                <w:rFonts w:ascii="Times New Roman" w:eastAsia="Calibri" w:hAnsi="Times New Roman"/>
                <w:noProof/>
                <w:sz w:val="20"/>
                <w:szCs w:val="20"/>
              </w:rPr>
              <w:footnoteReference w:id="190"/>
            </w:r>
            <w:r>
              <w:rPr>
                <w:rFonts w:ascii="Times New Roman" w:eastAsia="Calibri" w:hAnsi="Times New Roman" w:cs="Times New Roman"/>
                <w:noProof/>
                <w:sz w:val="20"/>
                <w:szCs w:val="20"/>
              </w:rPr>
              <w:t>.</w:t>
            </w:r>
          </w:p>
        </w:tc>
        <w:tc>
          <w:tcPr>
            <w:tcW w:w="2334"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Publicly available data on the length of the different types of procedures, the likely outcomes of such procedures etc</w:t>
            </w:r>
            <w:r>
              <w:rPr>
                <w:rFonts w:ascii="Times New Roman" w:eastAsia="Calibri" w:hAnsi="Times New Roman" w:cs="Times New Roman"/>
                <w:noProof/>
                <w:sz w:val="20"/>
                <w:szCs w:val="20"/>
              </w:rPr>
              <w:t>. provides better information for investors, much as the WB Ease of doing business Index does currently. The advantage of such monitoring at EU level has the advantage that it will provide concrete data rather than expert estimates.</w:t>
            </w:r>
          </w:p>
        </w:tc>
      </w:tr>
      <w:tr w:rsidR="00B32D69">
        <w:trPr>
          <w:trHeight w:val="510"/>
        </w:trPr>
        <w:tc>
          <w:tcPr>
            <w:tcW w:w="2038"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hAnsi="Times New Roman" w:cs="Times New Roman"/>
                <w:i/>
                <w:noProof/>
                <w:sz w:val="20"/>
                <w:szCs w:val="20"/>
              </w:rPr>
            </w:pPr>
            <w:r>
              <w:rPr>
                <w:rFonts w:ascii="Times New Roman" w:hAnsi="Times New Roman" w:cs="Times New Roman"/>
                <w:i/>
                <w:noProof/>
                <w:sz w:val="20"/>
                <w:szCs w:val="20"/>
              </w:rPr>
              <w:t xml:space="preserve">Reduce costs of </w:t>
            </w:r>
            <w:r>
              <w:rPr>
                <w:rFonts w:ascii="Times New Roman" w:hAnsi="Times New Roman" w:cs="Times New Roman"/>
                <w:i/>
                <w:noProof/>
                <w:sz w:val="20"/>
                <w:szCs w:val="20"/>
              </w:rPr>
              <w:t>restructuring of cross-border groups</w:t>
            </w:r>
          </w:p>
        </w:tc>
        <w:tc>
          <w:tcPr>
            <w:tcW w:w="2333"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Costs will be reduced as the courts' capacity to respond quicker and with more authority to urgent requests, as so often in restructuring and insolvency cases, would be enhanced in all jurisdictions where a group has </w:t>
            </w:r>
            <w:r>
              <w:rPr>
                <w:rFonts w:ascii="Times New Roman" w:eastAsia="Calibri" w:hAnsi="Times New Roman" w:cs="Times New Roman"/>
                <w:noProof/>
                <w:sz w:val="20"/>
                <w:szCs w:val="20"/>
              </w:rPr>
              <w:t>subsidiaries. This effect will be compounded if the practitioners assisting courts and the parties are also enjoying a high level of professionalism in all Member States.</w:t>
            </w:r>
          </w:p>
        </w:tc>
        <w:tc>
          <w:tcPr>
            <w:tcW w:w="2333"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Communication in cross-border cases between the parties (debtors, creditors, share</w:t>
            </w:r>
            <w:r>
              <w:rPr>
                <w:rFonts w:ascii="Times New Roman" w:eastAsia="Calibri" w:hAnsi="Times New Roman" w:cs="Times New Roman"/>
                <w:noProof/>
                <w:sz w:val="20"/>
                <w:szCs w:val="20"/>
              </w:rPr>
              <w:t>holders etc.), between parties and practitioners appointed by a court and between courts would be greatly facilitated and made speedier if procedures were digitised.</w:t>
            </w:r>
          </w:p>
        </w:tc>
        <w:tc>
          <w:tcPr>
            <w:tcW w:w="2334"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No significant additional direct impact as compared to Sub-option 2. Indirectly, data o</w:t>
            </w:r>
            <w:r>
              <w:rPr>
                <w:rFonts w:ascii="Times New Roman" w:eastAsia="Calibri" w:hAnsi="Times New Roman" w:cs="Times New Roman"/>
                <w:noProof/>
                <w:sz w:val="20"/>
                <w:szCs w:val="20"/>
              </w:rPr>
              <w:t>n the effectiveness parameters in each Member State may help those restructuring groups of companies to take preventive action. If for example a legal system is known to produce delays, the group may decide or a targeted COMI shift of a certain subsidiary.</w:t>
            </w:r>
          </w:p>
        </w:tc>
      </w:tr>
      <w:tr w:rsidR="00B32D69">
        <w:trPr>
          <w:trHeight w:val="510"/>
        </w:trPr>
        <w:tc>
          <w:tcPr>
            <w:tcW w:w="2038"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hAnsi="Times New Roman" w:cs="Times New Roman"/>
                <w:i/>
                <w:noProof/>
                <w:sz w:val="20"/>
                <w:szCs w:val="20"/>
              </w:rPr>
            </w:pPr>
            <w:r>
              <w:rPr>
                <w:rFonts w:ascii="Times New Roman" w:hAnsi="Times New Roman" w:cs="Times New Roman"/>
                <w:i/>
                <w:noProof/>
                <w:sz w:val="20"/>
                <w:szCs w:val="20"/>
              </w:rPr>
              <w:t>Effectiveness</w:t>
            </w:r>
          </w:p>
        </w:tc>
        <w:tc>
          <w:tcPr>
            <w:tcW w:w="2333"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 xml:space="preserve">In the public consultation, </w:t>
            </w:r>
            <w:r>
              <w:rPr>
                <w:rFonts w:ascii="Times New Roman" w:eastAsia="Calibri" w:hAnsi="Times New Roman" w:cs="Times New Roman"/>
                <w:noProof/>
                <w:color w:val="000000"/>
                <w:sz w:val="20"/>
                <w:szCs w:val="20"/>
              </w:rPr>
              <w:t>among the measures which would contribute to increasing recovery rates for creditors, insolvency practitioners were mentioned by most respondents, followed by avoidance actions and specialisation of courts or j</w:t>
            </w:r>
            <w:r>
              <w:rPr>
                <w:rFonts w:ascii="Times New Roman" w:eastAsia="Calibri" w:hAnsi="Times New Roman" w:cs="Times New Roman"/>
                <w:noProof/>
                <w:color w:val="000000"/>
                <w:sz w:val="20"/>
                <w:szCs w:val="20"/>
              </w:rPr>
              <w:t>udges</w:t>
            </w:r>
          </w:p>
        </w:tc>
        <w:tc>
          <w:tcPr>
            <w:tcW w:w="2333"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This sub-option would reduce the costs of creditors' participation in restructuring procedures, in particular in cross-border cases. A higher participation of credits will in turn result on a more balanced and therefore more viable restructuring plan. </w:t>
            </w:r>
          </w:p>
        </w:tc>
        <w:tc>
          <w:tcPr>
            <w:tcW w:w="2334"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Monitoring of procedures in each Member States will enable legislators to identify the soft spots of these systems and act in a targeted way to address them. For example, if the number of fillings is too small, further incentives could be put in place.</w:t>
            </w:r>
          </w:p>
        </w:tc>
      </w:tr>
      <w:tr w:rsidR="00B32D69">
        <w:trPr>
          <w:trHeight w:val="510"/>
        </w:trPr>
        <w:tc>
          <w:tcPr>
            <w:tcW w:w="2038"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hAnsi="Times New Roman" w:cs="Times New Roman"/>
                <w:i/>
                <w:noProof/>
                <w:sz w:val="20"/>
                <w:szCs w:val="20"/>
              </w:rPr>
            </w:pPr>
            <w:r>
              <w:rPr>
                <w:rFonts w:ascii="Times New Roman" w:hAnsi="Times New Roman" w:cs="Times New Roman"/>
                <w:i/>
                <w:noProof/>
                <w:sz w:val="20"/>
                <w:szCs w:val="20"/>
              </w:rPr>
              <w:t>Judicial authorities</w:t>
            </w:r>
          </w:p>
        </w:tc>
        <w:tc>
          <w:tcPr>
            <w:tcW w:w="2333"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Specialisation of courts or judges would contribute to reducing the time necessary to deal with cases, thus leading to a reduction of the overall workload in courts..</w:t>
            </w:r>
          </w:p>
        </w:tc>
        <w:tc>
          <w:tcPr>
            <w:tcW w:w="2333"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w:t>
            </w:r>
          </w:p>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noProof/>
                <w:sz w:val="20"/>
                <w:szCs w:val="20"/>
              </w:rPr>
              <w:t>This sub-option would have positive impacts on the legal system</w:t>
            </w:r>
            <w:r>
              <w:rPr>
                <w:rFonts w:ascii="Times New Roman" w:eastAsia="Calibri" w:hAnsi="Times New Roman" w:cs="Times New Roman"/>
                <w:noProof/>
                <w:sz w:val="20"/>
                <w:szCs w:val="20"/>
              </w:rPr>
              <w:t>, as it reduced delays and antiquated communication systems.</w:t>
            </w:r>
          </w:p>
        </w:tc>
        <w:tc>
          <w:tcPr>
            <w:tcW w:w="2334"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This sub-option should not require more work at the level of courts, if the steps in the procedure are digitised and can then feed into a dedicated database.</w:t>
            </w:r>
          </w:p>
        </w:tc>
      </w:tr>
      <w:tr w:rsidR="00B32D69">
        <w:trPr>
          <w:trHeight w:val="510"/>
        </w:trPr>
        <w:tc>
          <w:tcPr>
            <w:tcW w:w="2038"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hAnsi="Times New Roman" w:cs="Times New Roman"/>
                <w:i/>
                <w:noProof/>
                <w:sz w:val="20"/>
                <w:szCs w:val="20"/>
              </w:rPr>
            </w:pPr>
            <w:r>
              <w:rPr>
                <w:rFonts w:ascii="Times New Roman" w:hAnsi="Times New Roman" w:cs="Times New Roman"/>
                <w:i/>
                <w:noProof/>
                <w:sz w:val="20"/>
                <w:szCs w:val="20"/>
              </w:rPr>
              <w:t>Legal systems/Administrative cost</w:t>
            </w:r>
            <w:r>
              <w:rPr>
                <w:rFonts w:ascii="Times New Roman" w:hAnsi="Times New Roman" w:cs="Times New Roman"/>
                <w:i/>
                <w:noProof/>
                <w:sz w:val="20"/>
                <w:szCs w:val="20"/>
              </w:rPr>
              <w:t>s</w:t>
            </w:r>
          </w:p>
        </w:tc>
        <w:tc>
          <w:tcPr>
            <w:tcW w:w="2333"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w:t>
            </w:r>
          </w:p>
          <w:p w:rsidR="00B32D69" w:rsidRDefault="00FB661A">
            <w:pPr>
              <w:spacing w:before="60" w:after="60" w:line="240" w:lineRule="auto"/>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This sub-option may require that Member States re-think the organisation of courts and implement some substantial changes. To avoid any risks of dysfunctions in the short term, a longer implementation period should be considered for such measures. Orga</w:t>
            </w:r>
            <w:r>
              <w:rPr>
                <w:rFonts w:ascii="Times New Roman" w:eastAsia="Calibri" w:hAnsi="Times New Roman" w:cs="Times New Roman"/>
                <w:noProof/>
                <w:sz w:val="20"/>
                <w:szCs w:val="20"/>
              </w:rPr>
              <w:t>nisational changes would imply some one-off costs but would result in efficiency gains within the judiciary that should more than compensate for these costs in the longer term.</w:t>
            </w:r>
          </w:p>
          <w:p w:rsidR="00B32D69" w:rsidRDefault="00FB661A">
            <w:pPr>
              <w:spacing w:before="60" w:after="60" w:line="240" w:lineRule="auto"/>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There may be some further costs linked with the training of insolvency practiti</w:t>
            </w:r>
            <w:r>
              <w:rPr>
                <w:rFonts w:ascii="Times New Roman" w:eastAsia="Calibri" w:hAnsi="Times New Roman" w:cs="Times New Roman"/>
                <w:noProof/>
                <w:sz w:val="20"/>
                <w:szCs w:val="20"/>
              </w:rPr>
              <w:t>oners, and with the supervision of their activity. However, these costs should not necessarily be made from the public purse, but rather by the associations of lawyers, insolvency practitioners and other professionals who perform the tasks of insolvency pr</w:t>
            </w:r>
            <w:r>
              <w:rPr>
                <w:rFonts w:ascii="Times New Roman" w:eastAsia="Calibri" w:hAnsi="Times New Roman" w:cs="Times New Roman"/>
                <w:noProof/>
                <w:sz w:val="20"/>
                <w:szCs w:val="20"/>
              </w:rPr>
              <w:t>actitioners and should be part of their life-long learning and self-regulation expenditure.</w:t>
            </w:r>
          </w:p>
        </w:tc>
        <w:tc>
          <w:tcPr>
            <w:tcW w:w="2333"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 xml:space="preserve">- </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No significant changes in the legal system, but there would be additional costs for the justice budgets to implement such measures. However, the digitisation of </w:t>
            </w:r>
            <w:r>
              <w:rPr>
                <w:rFonts w:ascii="Times New Roman" w:eastAsia="Calibri" w:hAnsi="Times New Roman" w:cs="Times New Roman"/>
                <w:noProof/>
                <w:sz w:val="20"/>
                <w:szCs w:val="20"/>
              </w:rPr>
              <w:t>procedures is a trend in all Member States, any the upfront costs putting it in place are likely to be quickly offset by the gains in the reduction of the length of procedures.</w:t>
            </w:r>
          </w:p>
        </w:tc>
        <w:tc>
          <w:tcPr>
            <w:tcW w:w="2334"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b/>
                <w:noProof/>
                <w:sz w:val="20"/>
                <w:szCs w:val="20"/>
              </w:rPr>
            </w:pPr>
            <w:r>
              <w:rPr>
                <w:rFonts w:ascii="Times New Roman" w:eastAsia="Calibri" w:hAnsi="Times New Roman" w:cs="Times New Roman"/>
                <w:b/>
                <w:noProof/>
                <w:sz w:val="20"/>
                <w:szCs w:val="20"/>
              </w:rPr>
              <w:t xml:space="preserve">- </w:t>
            </w:r>
          </w:p>
          <w:p w:rsidR="00B32D69" w:rsidRDefault="00FB661A">
            <w:pPr>
              <w:spacing w:before="60" w:after="60" w:line="240" w:lineRule="auto"/>
              <w:rPr>
                <w:rFonts w:ascii="Times New Roman" w:eastAsia="Calibri" w:hAnsi="Times New Roman" w:cs="Times New Roman"/>
                <w:noProof/>
                <w:sz w:val="20"/>
                <w:szCs w:val="20"/>
              </w:rPr>
            </w:pPr>
            <w:r>
              <w:rPr>
                <w:rFonts w:ascii="Times New Roman" w:eastAsia="Calibri" w:hAnsi="Times New Roman" w:cs="Times New Roman"/>
                <w:noProof/>
                <w:sz w:val="20"/>
                <w:szCs w:val="20"/>
              </w:rPr>
              <w:t>If procedures are digitised, the costs of this sub-option would be reduced t</w:t>
            </w:r>
            <w:r>
              <w:rPr>
                <w:rFonts w:ascii="Times New Roman" w:eastAsia="Calibri" w:hAnsi="Times New Roman" w:cs="Times New Roman"/>
                <w:noProof/>
                <w:sz w:val="20"/>
                <w:szCs w:val="20"/>
              </w:rPr>
              <w:t xml:space="preserve">o the costs of developing a software aggregating relevant data which already exists in the system in a special database. These costs are negligible in comparison with the costs under Sub-option 2. </w:t>
            </w:r>
          </w:p>
        </w:tc>
      </w:tr>
    </w:tbl>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u w:val="single"/>
        </w:rPr>
        <w:t>Summary assessment of the preferred sub-option</w:t>
      </w:r>
      <w:r>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Sub-option 3 is the preferred sub-option because it has the highest impact on the reduction of the length of procedures, the increase of confidence in the operation of courts and the professionalism of insolvency practitioners. This is the most likely sub-</w:t>
      </w:r>
      <w:r>
        <w:rPr>
          <w:rFonts w:ascii="Times New Roman" w:eastAsia="Calibri" w:hAnsi="Times New Roman" w:cs="Times New Roman"/>
          <w:noProof/>
          <w:sz w:val="24"/>
          <w:szCs w:val="24"/>
        </w:rPr>
        <w:t>option to lead to a reduction of average insolvency proceedings in the Member States where procedures are too lengthy. The internal market objective would be best achieved by this sub-option which would ensure a considerable reduction of the investors' cos</w:t>
      </w:r>
      <w:r>
        <w:rPr>
          <w:rFonts w:ascii="Times New Roman" w:eastAsia="Calibri" w:hAnsi="Times New Roman" w:cs="Times New Roman"/>
          <w:noProof/>
          <w:sz w:val="24"/>
          <w:szCs w:val="24"/>
        </w:rPr>
        <w:t>ts of assessing risk ex-ante and of coordinating procedures ex post. No significant impacts on fundamental rights or social impacts can be discerned.</w:t>
      </w:r>
    </w:p>
    <w:p w:rsidR="00B32D69" w:rsidRDefault="00FB661A">
      <w:pPr>
        <w:spacing w:before="240" w:after="24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sz w:val="24"/>
          <w:szCs w:val="24"/>
        </w:rPr>
        <w:t xml:space="preserve">In the public consultation, </w:t>
      </w:r>
      <w:r>
        <w:rPr>
          <w:rFonts w:ascii="Times New Roman" w:eastAsia="Calibri" w:hAnsi="Times New Roman" w:cs="Times New Roman"/>
          <w:noProof/>
          <w:sz w:val="24"/>
          <w:szCs w:val="24"/>
          <w:lang w:val="en-US"/>
        </w:rPr>
        <w:t>many respondents stated that a court system in terms of speed, cost and specia</w:t>
      </w:r>
      <w:r>
        <w:rPr>
          <w:rFonts w:ascii="Times New Roman" w:eastAsia="Calibri" w:hAnsi="Times New Roman" w:cs="Times New Roman"/>
          <w:noProof/>
          <w:sz w:val="24"/>
          <w:szCs w:val="24"/>
          <w:lang w:val="en-US"/>
        </w:rPr>
        <w:t>lisation may have an impact on saving viable businesses and increasing the recovery rates.</w:t>
      </w:r>
      <w:r>
        <w:rPr>
          <w:rFonts w:ascii="Times New Roman" w:eastAsia="Calibri" w:hAnsi="Times New Roman" w:cs="Times New Roman"/>
          <w:noProof/>
          <w:color w:val="000000"/>
          <w:sz w:val="24"/>
          <w:szCs w:val="24"/>
        </w:rPr>
        <w:t>. More specifically</w:t>
      </w:r>
      <w:r>
        <w:rPr>
          <w:rFonts w:ascii="Times New Roman" w:eastAsia="Calibri" w:hAnsi="Times New Roman" w:cs="Times New Roman"/>
          <w:noProof/>
          <w:color w:val="000000"/>
          <w:sz w:val="24"/>
          <w:szCs w:val="24"/>
          <w:lang w:val="en-US"/>
        </w:rPr>
        <w:t>, the vast majority of the respondents were of the view that minimum standards on qualifications and training for insolvency practitioners would he</w:t>
      </w:r>
      <w:r>
        <w:rPr>
          <w:rFonts w:ascii="Times New Roman" w:eastAsia="Calibri" w:hAnsi="Times New Roman" w:cs="Times New Roman"/>
          <w:noProof/>
          <w:color w:val="000000"/>
          <w:sz w:val="24"/>
          <w:szCs w:val="24"/>
          <w:lang w:val="en-US"/>
        </w:rPr>
        <w:t xml:space="preserve">lp to increase the efficiency and effectiveness of insolvency proceedings, while more than half called for minimum standards on licensing and registration requirements, liability and a Code of Ethics. </w:t>
      </w:r>
      <w:r>
        <w:rPr>
          <w:rFonts w:ascii="Times New Roman" w:eastAsia="Calibri" w:hAnsi="Times New Roman" w:cs="Times New Roman"/>
          <w:noProof/>
          <w:sz w:val="24"/>
          <w:szCs w:val="24"/>
          <w:lang w:val="en-US"/>
        </w:rPr>
        <w:t>In addition, specialisation of courts and digitalisatio</w:t>
      </w:r>
      <w:r>
        <w:rPr>
          <w:rFonts w:ascii="Times New Roman" w:eastAsia="Calibri" w:hAnsi="Times New Roman" w:cs="Times New Roman"/>
          <w:noProof/>
          <w:sz w:val="24"/>
          <w:szCs w:val="24"/>
          <w:lang w:val="en-US"/>
        </w:rPr>
        <w:t>n was also mentioned as a potential incentive to reduce the length of insolvency proceedings.</w:t>
      </w:r>
    </w:p>
    <w:p w:rsidR="00B32D69" w:rsidRDefault="00FB661A">
      <w:pPr>
        <w:spacing w:before="240" w:after="24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Particularly, in the public consultation and the dedicated meetings with the stakeholders, business sector welcomed minimum standards for practitioners in the fie</w:t>
      </w:r>
      <w:r>
        <w:rPr>
          <w:rFonts w:ascii="Times New Roman" w:eastAsia="Calibri" w:hAnsi="Times New Roman" w:cs="Times New Roman"/>
          <w:noProof/>
          <w:sz w:val="24"/>
          <w:szCs w:val="24"/>
          <w:lang w:val="en-US"/>
        </w:rPr>
        <w:t>ld of restructuring and insolvency. Many of them advocated the introduction of a code of conduct for insolvency practitioners.</w:t>
      </w:r>
    </w:p>
    <w:p w:rsidR="00B32D69" w:rsidRDefault="00FB661A">
      <w:pPr>
        <w:spacing w:before="240" w:after="24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Financial institutions in general would welcome the introduction of minimum standardised rules on the role of mediators and super</w:t>
      </w:r>
      <w:r>
        <w:rPr>
          <w:rFonts w:ascii="Times New Roman" w:eastAsia="Calibri" w:hAnsi="Times New Roman" w:cs="Times New Roman"/>
          <w:noProof/>
          <w:sz w:val="24"/>
          <w:szCs w:val="24"/>
          <w:lang w:val="en-US"/>
        </w:rPr>
        <w:t>visors, which should include among others: (i) professional qualification standards; and (ii) general principles covering their remuneration. They were also of the view that the effective length of insolvency proceedings, as well as the skill of insolvency</w:t>
      </w:r>
      <w:r>
        <w:rPr>
          <w:rFonts w:ascii="Times New Roman" w:eastAsia="Calibri" w:hAnsi="Times New Roman" w:cs="Times New Roman"/>
          <w:noProof/>
          <w:sz w:val="24"/>
          <w:szCs w:val="24"/>
          <w:lang w:val="en-US"/>
        </w:rPr>
        <w:t xml:space="preserve"> practitioners and the specialisation of courts and judges, have an enormous impact on the debt recovery rate.</w:t>
      </w:r>
    </w:p>
    <w:p w:rsidR="00B32D69" w:rsidRDefault="00FB661A">
      <w:pPr>
        <w:spacing w:before="240" w:after="24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However, insolvency practitioners' organisations were reluctant to detailed provisions regarding insolvency office holders. INSOL Europe stressed</w:t>
      </w:r>
      <w:r>
        <w:rPr>
          <w:rFonts w:ascii="Times New Roman" w:eastAsia="Calibri" w:hAnsi="Times New Roman" w:cs="Times New Roman"/>
          <w:noProof/>
          <w:sz w:val="24"/>
          <w:szCs w:val="24"/>
          <w:lang w:val="en-US"/>
        </w:rPr>
        <w:t xml:space="preserve"> that although harmonisation would be in general desirable, only common principles in cooperation matters, independence and continuous education are advisable at this stage, due to the great diversity of national rules with regard to all aspects related to</w:t>
      </w:r>
      <w:r>
        <w:rPr>
          <w:rFonts w:ascii="Times New Roman" w:eastAsia="Calibri" w:hAnsi="Times New Roman" w:cs="Times New Roman"/>
          <w:noProof/>
          <w:sz w:val="24"/>
          <w:szCs w:val="24"/>
          <w:lang w:val="en-US"/>
        </w:rPr>
        <w:t xml:space="preserve"> insolvency office holders (types, nature of employment, size, qualification, training, appointment, remuneration and liability issues). </w:t>
      </w:r>
    </w:p>
    <w:p w:rsidR="00B32D69" w:rsidRDefault="00FB661A">
      <w:pPr>
        <w:spacing w:before="240" w:after="24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color w:val="000000"/>
          <w:sz w:val="24"/>
          <w:szCs w:val="24"/>
        </w:rPr>
        <w:t>Academics and experts were of the view that qualification, training and independence of insolvency practitioners as we</w:t>
      </w:r>
      <w:r>
        <w:rPr>
          <w:rFonts w:ascii="Times New Roman" w:eastAsia="Calibri" w:hAnsi="Times New Roman" w:cs="Times New Roman"/>
          <w:noProof/>
          <w:color w:val="000000"/>
          <w:sz w:val="24"/>
          <w:szCs w:val="24"/>
        </w:rPr>
        <w:t xml:space="preserve">ll as courts’ specialisation are of key importance for an efficient early restructuring legal framework. </w:t>
      </w:r>
    </w:p>
    <w:p w:rsidR="00B32D69" w:rsidRDefault="00FB661A">
      <w:pPr>
        <w:spacing w:before="240" w:after="24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sz w:val="24"/>
          <w:szCs w:val="24"/>
          <w:lang w:val="en-US"/>
        </w:rPr>
        <w:t>In the public consultation and the meetings with governmental experts from the Member States, the majority of the Member States (PT, DE, ES, FR, NL, F</w:t>
      </w:r>
      <w:r>
        <w:rPr>
          <w:rFonts w:ascii="Times New Roman" w:eastAsia="Calibri" w:hAnsi="Times New Roman" w:cs="Times New Roman"/>
          <w:noProof/>
          <w:sz w:val="24"/>
          <w:szCs w:val="24"/>
          <w:lang w:val="en-US"/>
        </w:rPr>
        <w:t>I, IE) supported the objectives of adequate qualification and training of insolvency practitioners. Many Member States voiced that EU intervention should remain at the level of general objectives and provide a rather flexible approach, especially regarding</w:t>
      </w:r>
      <w:r>
        <w:rPr>
          <w:rFonts w:ascii="Times New Roman" w:eastAsia="Calibri" w:hAnsi="Times New Roman" w:cs="Times New Roman"/>
          <w:noProof/>
          <w:sz w:val="24"/>
          <w:szCs w:val="24"/>
          <w:lang w:val="en-US"/>
        </w:rPr>
        <w:t xml:space="preserve"> the appointment and remuneration of practitioners. With regard to specialization of the judiciary, </w:t>
      </w:r>
      <w:r>
        <w:rPr>
          <w:rFonts w:ascii="Times New Roman" w:eastAsia="Calibri" w:hAnsi="Times New Roman" w:cs="Times New Roman"/>
          <w:noProof/>
          <w:color w:val="000000"/>
          <w:sz w:val="24"/>
          <w:szCs w:val="24"/>
        </w:rPr>
        <w:t>the majority of the Member States welcomed the general objectives of proper qualification, training and specialisation of judges, but expressed concerns reg</w:t>
      </w:r>
      <w:r>
        <w:rPr>
          <w:rFonts w:ascii="Times New Roman" w:eastAsia="Calibri" w:hAnsi="Times New Roman" w:cs="Times New Roman"/>
          <w:noProof/>
          <w:color w:val="000000"/>
          <w:sz w:val="24"/>
          <w:szCs w:val="24"/>
        </w:rPr>
        <w:t>arding a provision on the concentration of courts in insolvency cases, since it affects the organisation of the internal judiciary system, which is a matter of national competence.</w:t>
      </w:r>
    </w:p>
    <w:p w:rsidR="00B32D69" w:rsidRDefault="00FB661A">
      <w:pPr>
        <w:keepNext/>
        <w:keepLines/>
        <w:spacing w:before="240" w:after="240" w:line="240" w:lineRule="auto"/>
        <w:outlineLvl w:val="0"/>
        <w:rPr>
          <w:rFonts w:ascii="Times New Roman" w:eastAsia="Times New Roman" w:hAnsi="Times New Roman" w:cs="Times New Roman"/>
          <w:b/>
          <w:bCs/>
          <w:noProof/>
          <w:sz w:val="28"/>
          <w:szCs w:val="28"/>
        </w:rPr>
      </w:pPr>
      <w:bookmarkStart w:id="63" w:name="_Toc459390485"/>
      <w:bookmarkStart w:id="64" w:name="_Toc378078048"/>
      <w:bookmarkStart w:id="65" w:name="_Toc466452985"/>
      <w:r>
        <w:rPr>
          <w:rFonts w:ascii="Times New Roman" w:eastAsia="Times New Roman" w:hAnsi="Times New Roman" w:cs="Times New Roman"/>
          <w:b/>
          <w:bCs/>
          <w:noProof/>
          <w:sz w:val="28"/>
          <w:szCs w:val="28"/>
        </w:rPr>
        <w:t>6.</w:t>
      </w:r>
      <w:r>
        <w:rPr>
          <w:rFonts w:ascii="Times New Roman" w:eastAsia="Times New Roman" w:hAnsi="Times New Roman" w:cs="Times New Roman"/>
          <w:b/>
          <w:bCs/>
          <w:noProof/>
          <w:sz w:val="28"/>
          <w:szCs w:val="28"/>
        </w:rPr>
        <w:tab/>
        <w:t xml:space="preserve">THE PREFERRED </w:t>
      </w:r>
      <w:bookmarkEnd w:id="63"/>
      <w:bookmarkEnd w:id="64"/>
      <w:r>
        <w:rPr>
          <w:rFonts w:ascii="Times New Roman" w:eastAsia="Times New Roman" w:hAnsi="Times New Roman" w:cs="Times New Roman"/>
          <w:b/>
          <w:bCs/>
          <w:noProof/>
          <w:sz w:val="28"/>
          <w:szCs w:val="28"/>
        </w:rPr>
        <w:t>HIGH-LEVEL OPTION 4</w:t>
      </w:r>
      <w:bookmarkEnd w:id="65"/>
    </w:p>
    <w:p w:rsidR="00B32D69" w:rsidRDefault="00FB661A">
      <w:pPr>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The preferred option is Option 4 with </w:t>
      </w:r>
      <w:r>
        <w:rPr>
          <w:rFonts w:ascii="Times New Roman" w:eastAsia="Calibri" w:hAnsi="Times New Roman" w:cs="Times New Roman"/>
          <w:noProof/>
          <w:color w:val="000000"/>
          <w:sz w:val="24"/>
          <w:szCs w:val="24"/>
        </w:rPr>
        <w:t>the following combination of selected substantive sub-options: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6520"/>
      </w:tblGrid>
      <w:tr w:rsidR="00B32D69">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line="240" w:lineRule="auto"/>
              <w:jc w:val="center"/>
              <w:rPr>
                <w:rFonts w:ascii="Times New Roman" w:eastAsia="Calibri" w:hAnsi="Times New Roman" w:cs="Times New Roman"/>
                <w:b/>
                <w:noProof/>
              </w:rPr>
            </w:pPr>
            <w:r>
              <w:rPr>
                <w:rFonts w:ascii="Times New Roman" w:eastAsia="Calibri" w:hAnsi="Times New Roman" w:cs="Times New Roman"/>
                <w:b/>
                <w:noProof/>
              </w:rPr>
              <w:t>Operational objectives</w:t>
            </w:r>
          </w:p>
        </w:tc>
        <w:tc>
          <w:tcPr>
            <w:tcW w:w="6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2D69" w:rsidRDefault="00FB661A">
            <w:pPr>
              <w:spacing w:before="60" w:after="60" w:line="240" w:lineRule="auto"/>
              <w:jc w:val="center"/>
              <w:rPr>
                <w:rFonts w:ascii="Times New Roman" w:eastAsia="Calibri" w:hAnsi="Times New Roman" w:cs="Times New Roman"/>
                <w:b/>
                <w:noProof/>
              </w:rPr>
            </w:pPr>
            <w:r>
              <w:rPr>
                <w:rFonts w:ascii="Times New Roman" w:eastAsia="Calibri" w:hAnsi="Times New Roman" w:cs="Times New Roman"/>
                <w:b/>
                <w:noProof/>
              </w:rPr>
              <w:t xml:space="preserve">The preferred sub-option </w:t>
            </w:r>
          </w:p>
        </w:tc>
      </w:tr>
      <w:tr w:rsidR="00B32D69">
        <w:tc>
          <w:tcPr>
            <w:tcW w:w="269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Enable efficient possibilities of early restructuring</w:t>
            </w:r>
          </w:p>
        </w:tc>
        <w:tc>
          <w:tcPr>
            <w:tcW w:w="6520"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Sub-option 3</w:t>
            </w:r>
          </w:p>
          <w:p w:rsidR="00B32D69" w:rsidRDefault="00FB661A">
            <w:pPr>
              <w:spacing w:before="60" w:after="60" w:line="240" w:lineRule="auto"/>
              <w:jc w:val="both"/>
              <w:rPr>
                <w:rFonts w:ascii="Times New Roman" w:eastAsia="Calibri" w:hAnsi="Times New Roman" w:cs="Times New Roman"/>
                <w:i/>
                <w:noProof/>
              </w:rPr>
            </w:pPr>
            <w:r>
              <w:rPr>
                <w:rFonts w:ascii="Times New Roman" w:eastAsia="Calibri" w:hAnsi="Times New Roman" w:cs="Times New Roman"/>
                <w:noProof/>
              </w:rPr>
              <w:t xml:space="preserve">(i) A restructuring procedure must be available when the debtor is in </w:t>
            </w:r>
            <w:r>
              <w:rPr>
                <w:rFonts w:ascii="Times New Roman" w:eastAsia="Calibri" w:hAnsi="Times New Roman" w:cs="Times New Roman"/>
                <w:noProof/>
              </w:rPr>
              <w:t>financial difficulties and there is a likelihood of insolvency.</w:t>
            </w:r>
            <w:r>
              <w:rPr>
                <w:rFonts w:ascii="Times New Roman" w:eastAsia="Calibri" w:hAnsi="Times New Roman" w:cs="Times New Roman"/>
                <w:i/>
                <w:noProof/>
              </w:rPr>
              <w:t xml:space="preserve"> </w:t>
            </w:r>
          </w:p>
          <w:p w:rsidR="00B32D69" w:rsidRDefault="00FB661A">
            <w:pPr>
              <w:spacing w:before="60" w:after="60" w:line="240" w:lineRule="auto"/>
              <w:jc w:val="both"/>
              <w:rPr>
                <w:rFonts w:ascii="Times New Roman" w:eastAsia="Calibri" w:hAnsi="Times New Roman" w:cs="Times New Roman"/>
                <w:i/>
                <w:noProof/>
              </w:rPr>
            </w:pPr>
            <w:r>
              <w:rPr>
                <w:rFonts w:ascii="Times New Roman" w:eastAsia="Calibri" w:hAnsi="Times New Roman" w:cs="Times New Roman"/>
                <w:noProof/>
              </w:rPr>
              <w:t>(ii) Over-indebted but viable debtors must have a clear possibility to enter preventive restructuring.</w:t>
            </w:r>
          </w:p>
          <w:p w:rsidR="00B32D69" w:rsidRDefault="00FB661A">
            <w:pPr>
              <w:spacing w:before="60" w:after="60" w:line="240" w:lineRule="auto"/>
              <w:jc w:val="both"/>
              <w:rPr>
                <w:rFonts w:ascii="Times New Roman" w:eastAsia="Calibri" w:hAnsi="Times New Roman" w:cs="Times New Roman"/>
                <w:noProof/>
              </w:rPr>
            </w:pPr>
            <w:r>
              <w:rPr>
                <w:rFonts w:ascii="Times New Roman" w:eastAsia="Calibri" w:hAnsi="Times New Roman" w:cs="Times New Roman"/>
                <w:noProof/>
              </w:rPr>
              <w:t>(iii) A model restructuring plan must be made available to SMEs to assist them in drafti</w:t>
            </w:r>
            <w:r>
              <w:rPr>
                <w:rFonts w:ascii="Times New Roman" w:eastAsia="Calibri" w:hAnsi="Times New Roman" w:cs="Times New Roman"/>
                <w:noProof/>
              </w:rPr>
              <w:t>ng plans and making the necessary disclosures to creditors, accompanied by early warning tools or advice mechanisms.</w:t>
            </w:r>
          </w:p>
        </w:tc>
      </w:tr>
      <w:tr w:rsidR="00B32D69">
        <w:tc>
          <w:tcPr>
            <w:tcW w:w="269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Improve chances of negotiations by allowing the debtor a "breathing space" by way of stay of enforcement actions (moratorium)</w:t>
            </w:r>
          </w:p>
        </w:tc>
        <w:tc>
          <w:tcPr>
            <w:tcW w:w="6520"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Sub-option 3</w:t>
            </w:r>
          </w:p>
          <w:p w:rsidR="00B32D69" w:rsidRDefault="00FB661A">
            <w:pPr>
              <w:spacing w:before="60" w:after="60" w:line="240" w:lineRule="auto"/>
              <w:rPr>
                <w:rFonts w:ascii="Times New Roman" w:eastAsia="Calibri" w:hAnsi="Times New Roman" w:cs="Times New Roman"/>
                <w:noProof/>
              </w:rPr>
            </w:pPr>
            <w:r>
              <w:rPr>
                <w:rFonts w:ascii="Times New Roman" w:eastAsia="Calibri" w:hAnsi="Times New Roman" w:cs="Times New Roman"/>
                <w:noProof/>
              </w:rPr>
              <w:t>(i) The moratorium suspends individual enforcement actions and the duty to file for formal insolvency proceedings.</w:t>
            </w:r>
          </w:p>
          <w:p w:rsidR="00B32D69" w:rsidRDefault="00FB661A">
            <w:pPr>
              <w:spacing w:before="60" w:after="60" w:line="240" w:lineRule="auto"/>
              <w:rPr>
                <w:rFonts w:ascii="Times New Roman" w:eastAsia="Calibri" w:hAnsi="Times New Roman" w:cs="Times New Roman"/>
                <w:noProof/>
              </w:rPr>
            </w:pPr>
            <w:r>
              <w:rPr>
                <w:rFonts w:ascii="Times New Roman" w:eastAsia="Calibri" w:hAnsi="Times New Roman" w:cs="Times New Roman"/>
                <w:noProof/>
              </w:rPr>
              <w:t>(ii) The moratorium also suspends the right of essential suppliers to avail themselves of early termination clauses.</w:t>
            </w:r>
          </w:p>
          <w:p w:rsidR="00B32D69" w:rsidRDefault="00FB661A">
            <w:pPr>
              <w:spacing w:before="60" w:after="60" w:line="240" w:lineRule="auto"/>
              <w:rPr>
                <w:rFonts w:ascii="Times New Roman" w:eastAsia="Calibri" w:hAnsi="Times New Roman" w:cs="Times New Roman"/>
                <w:b/>
                <w:noProof/>
              </w:rPr>
            </w:pPr>
            <w:r>
              <w:rPr>
                <w:rFonts w:ascii="Times New Roman" w:eastAsia="Calibri" w:hAnsi="Times New Roman" w:cs="Times New Roman"/>
                <w:noProof/>
              </w:rPr>
              <w:t>(iii) The moratorium is</w:t>
            </w:r>
            <w:r>
              <w:rPr>
                <w:rFonts w:ascii="Times New Roman" w:eastAsia="Calibri" w:hAnsi="Times New Roman" w:cs="Times New Roman"/>
                <w:noProof/>
              </w:rPr>
              <w:t xml:space="preserve"> of a short, limited duration of no longer than 4 months and gives creditors right to ask for lifting the stay.</w:t>
            </w:r>
          </w:p>
        </w:tc>
      </w:tr>
      <w:tr w:rsidR="00B32D69">
        <w:tc>
          <w:tcPr>
            <w:tcW w:w="269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rPr>
            </w:pPr>
            <w:r>
              <w:rPr>
                <w:rFonts w:ascii="Times New Roman" w:eastAsia="Times New Roman" w:hAnsi="Times New Roman" w:cs="Times New Roman"/>
                <w:b/>
                <w:noProof/>
              </w:rPr>
              <w:t xml:space="preserve">Facilitate the continuation of debtor's business while restructuring </w:t>
            </w:r>
          </w:p>
        </w:tc>
        <w:tc>
          <w:tcPr>
            <w:tcW w:w="6520"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Sub-option 1</w:t>
            </w:r>
          </w:p>
          <w:p w:rsidR="00B32D69" w:rsidRDefault="00FB661A">
            <w:pPr>
              <w:spacing w:before="60" w:after="60" w:line="240" w:lineRule="auto"/>
              <w:rPr>
                <w:rFonts w:ascii="Times New Roman" w:eastAsia="Calibri" w:hAnsi="Times New Roman" w:cs="Times New Roman"/>
                <w:noProof/>
              </w:rPr>
            </w:pPr>
            <w:r>
              <w:rPr>
                <w:rFonts w:ascii="Times New Roman" w:eastAsia="Calibri" w:hAnsi="Times New Roman" w:cs="Times New Roman"/>
                <w:noProof/>
              </w:rPr>
              <w:t>Debtor remains in possession, but courts may appoint on a ca</w:t>
            </w:r>
            <w:r>
              <w:rPr>
                <w:rFonts w:ascii="Times New Roman" w:eastAsia="Calibri" w:hAnsi="Times New Roman" w:cs="Times New Roman"/>
                <w:noProof/>
              </w:rPr>
              <w:t xml:space="preserve">se-by-case basis a mediator or a supervisor </w:t>
            </w:r>
          </w:p>
        </w:tc>
      </w:tr>
      <w:tr w:rsidR="00B32D69">
        <w:tc>
          <w:tcPr>
            <w:tcW w:w="269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Disallow dissenting minority creditors and shareholders to jeopardise restructuring effort while safeguarding their interests</w:t>
            </w:r>
          </w:p>
        </w:tc>
        <w:tc>
          <w:tcPr>
            <w:tcW w:w="6520"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Sub-option 3</w:t>
            </w:r>
          </w:p>
          <w:p w:rsidR="00B32D69" w:rsidRDefault="00FB661A">
            <w:pPr>
              <w:spacing w:before="60" w:after="60" w:line="240" w:lineRule="auto"/>
              <w:rPr>
                <w:rFonts w:ascii="Times New Roman" w:eastAsia="Calibri" w:hAnsi="Times New Roman" w:cs="Times New Roman"/>
                <w:noProof/>
              </w:rPr>
            </w:pPr>
            <w:r>
              <w:rPr>
                <w:rFonts w:ascii="Times New Roman" w:eastAsia="Calibri" w:hAnsi="Times New Roman" w:cs="Times New Roman"/>
                <w:noProof/>
              </w:rPr>
              <w:t xml:space="preserve">(i) The plan is adopted if the required majority in every class is in </w:t>
            </w:r>
            <w:r>
              <w:rPr>
                <w:rFonts w:ascii="Times New Roman" w:eastAsia="Calibri" w:hAnsi="Times New Roman" w:cs="Times New Roman"/>
                <w:noProof/>
              </w:rPr>
              <w:t>favour of the plan, provided that the minority creditors are not unfairly prejudiced; all classes of creditors can be affected by the plan, vote and be bound by it, including secured creditors.</w:t>
            </w:r>
          </w:p>
          <w:p w:rsidR="00B32D69" w:rsidRDefault="00FB661A">
            <w:pPr>
              <w:spacing w:before="60" w:after="60" w:line="240" w:lineRule="auto"/>
              <w:rPr>
                <w:rFonts w:ascii="Times New Roman" w:eastAsia="Calibri" w:hAnsi="Times New Roman" w:cs="Times New Roman"/>
                <w:noProof/>
              </w:rPr>
            </w:pPr>
            <w:r>
              <w:rPr>
                <w:rFonts w:ascii="Times New Roman" w:eastAsia="Calibri" w:hAnsi="Times New Roman" w:cs="Times New Roman"/>
                <w:noProof/>
              </w:rPr>
              <w:t>(ii) Member States may also provide that the plan can be adopt</w:t>
            </w:r>
            <w:r>
              <w:rPr>
                <w:rFonts w:ascii="Times New Roman" w:eastAsia="Calibri" w:hAnsi="Times New Roman" w:cs="Times New Roman"/>
                <w:noProof/>
              </w:rPr>
              <w:t>ed if the required majority in at least one class of creditors is in favour of the plan, provided that dissenting classes are not unfairly prejudiced (inter-class cram-down).</w:t>
            </w:r>
          </w:p>
          <w:p w:rsidR="00B32D69" w:rsidRDefault="00FB661A">
            <w:pPr>
              <w:spacing w:before="60" w:after="60" w:line="240" w:lineRule="auto"/>
              <w:rPr>
                <w:rFonts w:ascii="Times New Roman" w:eastAsia="Calibri" w:hAnsi="Times New Roman" w:cs="Times New Roman"/>
                <w:noProof/>
              </w:rPr>
            </w:pPr>
            <w:r>
              <w:rPr>
                <w:rFonts w:ascii="Times New Roman" w:eastAsia="Calibri" w:hAnsi="Times New Roman" w:cs="Times New Roman"/>
                <w:noProof/>
              </w:rPr>
              <w:t>(iii) Shareholders should not be allowed to block restructuring plans, provided t</w:t>
            </w:r>
            <w:r>
              <w:rPr>
                <w:rFonts w:ascii="Times New Roman" w:eastAsia="Calibri" w:hAnsi="Times New Roman" w:cs="Times New Roman"/>
                <w:noProof/>
              </w:rPr>
              <w:t>heir legitimate interests are protected, for example, by including shareholders as  class(es) of their own).</w:t>
            </w:r>
          </w:p>
        </w:tc>
      </w:tr>
      <w:tr w:rsidR="00B32D69">
        <w:tc>
          <w:tcPr>
            <w:tcW w:w="269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Increase chances of success of the restructuring plan</w:t>
            </w:r>
          </w:p>
        </w:tc>
        <w:tc>
          <w:tcPr>
            <w:tcW w:w="6520"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Sub-option 2</w:t>
            </w:r>
          </w:p>
          <w:p w:rsidR="00B32D69" w:rsidRDefault="00FB661A">
            <w:pPr>
              <w:spacing w:before="60" w:after="60" w:line="240" w:lineRule="auto"/>
              <w:rPr>
                <w:rFonts w:ascii="Times New Roman" w:eastAsia="Calibri" w:hAnsi="Times New Roman" w:cs="Times New Roman"/>
                <w:noProof/>
              </w:rPr>
            </w:pPr>
            <w:r>
              <w:rPr>
                <w:rFonts w:ascii="Times New Roman" w:eastAsia="Calibri" w:hAnsi="Times New Roman" w:cs="Times New Roman"/>
                <w:noProof/>
              </w:rPr>
              <w:t xml:space="preserve">(i) Exempt new financing contained in the restructuring plan as well as </w:t>
            </w:r>
            <w:r>
              <w:rPr>
                <w:rFonts w:ascii="Times New Roman" w:eastAsia="Calibri" w:hAnsi="Times New Roman" w:cs="Times New Roman"/>
                <w:noProof/>
              </w:rPr>
              <w:t>essential interim financing from avoidance actions. Member States may also provide for super-priority status to new financing, ranking it at least above unsecured creditors.</w:t>
            </w:r>
          </w:p>
          <w:p w:rsidR="00B32D69" w:rsidRDefault="00FB661A">
            <w:pPr>
              <w:spacing w:before="60" w:after="60" w:line="240" w:lineRule="auto"/>
              <w:rPr>
                <w:rFonts w:ascii="Times New Roman" w:eastAsia="Calibri" w:hAnsi="Times New Roman" w:cs="Times New Roman"/>
                <w:noProof/>
              </w:rPr>
            </w:pPr>
            <w:r>
              <w:rPr>
                <w:rFonts w:ascii="Times New Roman" w:eastAsia="Calibri" w:hAnsi="Times New Roman" w:cs="Times New Roman"/>
                <w:noProof/>
              </w:rPr>
              <w:t>(ii) Non-related party  transaction entered into before insolvency, but in connect</w:t>
            </w:r>
            <w:r>
              <w:rPr>
                <w:rFonts w:ascii="Times New Roman" w:eastAsia="Calibri" w:hAnsi="Times New Roman" w:cs="Times New Roman"/>
                <w:noProof/>
              </w:rPr>
              <w:t xml:space="preserve">ion with a restructuring plan adopted by creditors shall be exempted from avoidance actions (safe harbour provisions) </w:t>
            </w:r>
          </w:p>
        </w:tc>
      </w:tr>
      <w:tr w:rsidR="00B32D69">
        <w:tc>
          <w:tcPr>
            <w:tcW w:w="269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Reduce costs and length of restructuring procedures</w:t>
            </w:r>
          </w:p>
        </w:tc>
        <w:tc>
          <w:tcPr>
            <w:tcW w:w="6520"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Sub-option 1</w:t>
            </w:r>
          </w:p>
          <w:p w:rsidR="00B32D69" w:rsidRDefault="00FB661A">
            <w:pPr>
              <w:spacing w:before="60" w:after="60" w:line="240" w:lineRule="auto"/>
              <w:rPr>
                <w:rFonts w:ascii="Times New Roman" w:eastAsia="Calibri" w:hAnsi="Times New Roman" w:cs="Times New Roman"/>
                <w:noProof/>
              </w:rPr>
            </w:pPr>
            <w:r>
              <w:rPr>
                <w:rFonts w:ascii="Times New Roman" w:eastAsia="Calibri" w:hAnsi="Times New Roman" w:cs="Times New Roman"/>
                <w:noProof/>
                <w:color w:val="000000"/>
              </w:rPr>
              <w:t xml:space="preserve">A flexible framework, which allows for a limited necessary involvement </w:t>
            </w:r>
            <w:r>
              <w:rPr>
                <w:rFonts w:ascii="Times New Roman" w:eastAsia="Calibri" w:hAnsi="Times New Roman" w:cs="Times New Roman"/>
                <w:noProof/>
                <w:color w:val="000000"/>
              </w:rPr>
              <w:t>of courts, for example, for granting a moratorium and for confirming the plan</w:t>
            </w:r>
          </w:p>
        </w:tc>
      </w:tr>
      <w:tr w:rsidR="00B32D69">
        <w:tc>
          <w:tcPr>
            <w:tcW w:w="2694"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Enable the discharge for natural persons in a reasonable time for those in good faith</w:t>
            </w:r>
          </w:p>
        </w:tc>
        <w:tc>
          <w:tcPr>
            <w:tcW w:w="6520" w:type="dxa"/>
            <w:tcBorders>
              <w:top w:val="single" w:sz="4" w:space="0" w:color="auto"/>
              <w:left w:val="single" w:sz="4" w:space="0" w:color="auto"/>
              <w:bottom w:val="single" w:sz="4" w:space="0" w:color="auto"/>
              <w:right w:val="single" w:sz="4" w:space="0" w:color="auto"/>
            </w:tcBorders>
            <w:hideMark/>
          </w:tcPr>
          <w:p w:rsidR="00B32D69" w:rsidRDefault="00FB661A">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Sub-option 3</w:t>
            </w:r>
          </w:p>
          <w:p w:rsidR="00B32D69" w:rsidRDefault="00FB661A">
            <w:pPr>
              <w:spacing w:before="60" w:after="60" w:line="240" w:lineRule="auto"/>
              <w:rPr>
                <w:rFonts w:ascii="Times New Roman" w:eastAsia="Calibri" w:hAnsi="Times New Roman" w:cs="Times New Roman"/>
                <w:noProof/>
              </w:rPr>
            </w:pPr>
            <w:r>
              <w:rPr>
                <w:rFonts w:ascii="Times New Roman" w:eastAsia="Calibri" w:hAnsi="Times New Roman" w:cs="Times New Roman"/>
                <w:noProof/>
              </w:rPr>
              <w:t>(i) Discharge of debts for entrepreneurs within 3 years from start of liquidat</w:t>
            </w:r>
            <w:r>
              <w:rPr>
                <w:rFonts w:ascii="Times New Roman" w:eastAsia="Calibri" w:hAnsi="Times New Roman" w:cs="Times New Roman"/>
                <w:noProof/>
              </w:rPr>
              <w:t>ion and start of implementation of the repayment plan, implemented, with limited exceptions (e.g. fraud, bad faith).</w:t>
            </w:r>
          </w:p>
          <w:p w:rsidR="00B32D69" w:rsidRDefault="00FB661A">
            <w:pPr>
              <w:spacing w:before="60" w:after="60" w:line="240" w:lineRule="auto"/>
              <w:rPr>
                <w:rFonts w:ascii="Times New Roman" w:eastAsia="Calibri" w:hAnsi="Times New Roman" w:cs="Times New Roman"/>
                <w:noProof/>
              </w:rPr>
            </w:pPr>
            <w:r>
              <w:rPr>
                <w:rFonts w:ascii="Times New Roman" w:eastAsia="Calibri" w:hAnsi="Times New Roman" w:cs="Times New Roman"/>
                <w:noProof/>
              </w:rPr>
              <w:t>(ii) Possibility to consolidate all personal debts of the entrepreneur - be they business or non-business in nature - in one procedure.</w:t>
            </w:r>
          </w:p>
          <w:p w:rsidR="00B32D69" w:rsidRDefault="00FB661A">
            <w:pPr>
              <w:spacing w:before="60" w:after="60" w:line="240" w:lineRule="auto"/>
              <w:rPr>
                <w:rFonts w:ascii="Times New Roman" w:eastAsia="Calibri" w:hAnsi="Times New Roman" w:cs="Times New Roman"/>
                <w:noProof/>
              </w:rPr>
            </w:pPr>
            <w:r>
              <w:rPr>
                <w:rFonts w:ascii="Times New Roman" w:eastAsia="Calibri" w:hAnsi="Times New Roman" w:cs="Times New Roman"/>
                <w:noProof/>
              </w:rPr>
              <w:t>Mem</w:t>
            </w:r>
            <w:r>
              <w:rPr>
                <w:rFonts w:ascii="Times New Roman" w:eastAsia="Calibri" w:hAnsi="Times New Roman" w:cs="Times New Roman"/>
                <w:noProof/>
              </w:rPr>
              <w:t>ber States could also reduce discharge periods for consumer debts to 3 years from the start of liquidation proceedings or the moment when repayment plan starts being implemented, with certain exceptions (e.g. fraud or bad faith). A coherent discharge regim</w:t>
            </w:r>
            <w:r>
              <w:rPr>
                <w:rFonts w:ascii="Times New Roman" w:eastAsia="Calibri" w:hAnsi="Times New Roman" w:cs="Times New Roman"/>
                <w:noProof/>
              </w:rPr>
              <w:t xml:space="preserve">e for all natural persons would facilitate the consolidation of all debts of the entrepreneurs for the purposes of obtaining a discharge. </w:t>
            </w:r>
          </w:p>
        </w:tc>
      </w:tr>
      <w:tr w:rsidR="00B32D69">
        <w:tc>
          <w:tcPr>
            <w:tcW w:w="2694"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Increasing the effectiveness of restructuring, insolvency and second chance procedures</w:t>
            </w:r>
          </w:p>
        </w:tc>
        <w:tc>
          <w:tcPr>
            <w:tcW w:w="6520" w:type="dxa"/>
            <w:tcBorders>
              <w:top w:val="single" w:sz="4" w:space="0" w:color="auto"/>
              <w:left w:val="single" w:sz="4" w:space="0" w:color="auto"/>
              <w:bottom w:val="single" w:sz="4" w:space="0" w:color="auto"/>
              <w:right w:val="single" w:sz="4" w:space="0" w:color="auto"/>
            </w:tcBorders>
          </w:tcPr>
          <w:p w:rsidR="00B32D69" w:rsidRDefault="00FB661A">
            <w:pPr>
              <w:spacing w:before="60" w:after="60" w:line="240" w:lineRule="auto"/>
              <w:rPr>
                <w:rFonts w:ascii="Times New Roman" w:eastAsia="Calibri" w:hAnsi="Times New Roman" w:cs="Times New Roman"/>
                <w:b/>
                <w:noProof/>
              </w:rPr>
            </w:pPr>
            <w:r>
              <w:rPr>
                <w:rFonts w:ascii="Times New Roman" w:eastAsia="Calibri" w:hAnsi="Times New Roman" w:cs="Times New Roman"/>
                <w:b/>
                <w:noProof/>
              </w:rPr>
              <w:t>Sub-option 3</w:t>
            </w:r>
          </w:p>
          <w:p w:rsidR="00B32D69" w:rsidRDefault="00FB661A">
            <w:pPr>
              <w:spacing w:before="60" w:after="60" w:line="240" w:lineRule="auto"/>
              <w:rPr>
                <w:rFonts w:ascii="Times New Roman" w:eastAsia="Calibri" w:hAnsi="Times New Roman" w:cs="Times New Roman"/>
                <w:noProof/>
              </w:rPr>
            </w:pPr>
            <w:r>
              <w:rPr>
                <w:rFonts w:ascii="Times New Roman" w:eastAsia="Calibri" w:hAnsi="Times New Roman" w:cs="Times New Roman"/>
                <w:noProof/>
              </w:rPr>
              <w:t>(i) Specialisati</w:t>
            </w:r>
            <w:r>
              <w:rPr>
                <w:rFonts w:ascii="Times New Roman" w:eastAsia="Calibri" w:hAnsi="Times New Roman" w:cs="Times New Roman"/>
                <w:noProof/>
              </w:rPr>
              <w:t xml:space="preserve">on of judges and enhancing the quality of insolvency practitioners. </w:t>
            </w:r>
          </w:p>
          <w:p w:rsidR="00B32D69" w:rsidRDefault="00FB661A">
            <w:pPr>
              <w:spacing w:before="60" w:after="60" w:line="240" w:lineRule="auto"/>
              <w:rPr>
                <w:rFonts w:ascii="Times New Roman" w:eastAsia="Calibri" w:hAnsi="Times New Roman" w:cs="Times New Roman"/>
                <w:noProof/>
              </w:rPr>
            </w:pPr>
            <w:r>
              <w:rPr>
                <w:rFonts w:ascii="Times New Roman" w:eastAsia="Calibri" w:hAnsi="Times New Roman" w:cs="Times New Roman"/>
                <w:noProof/>
              </w:rPr>
              <w:t>(ii) Digitisation of procedures.</w:t>
            </w:r>
          </w:p>
          <w:p w:rsidR="00B32D69" w:rsidRDefault="00FB661A">
            <w:pPr>
              <w:spacing w:before="60" w:after="60" w:line="240" w:lineRule="auto"/>
              <w:rPr>
                <w:rFonts w:ascii="Times New Roman" w:eastAsia="Calibri" w:hAnsi="Times New Roman" w:cs="Times New Roman"/>
                <w:b/>
                <w:noProof/>
              </w:rPr>
            </w:pPr>
            <w:r>
              <w:rPr>
                <w:rFonts w:ascii="Times New Roman" w:eastAsia="Calibri" w:hAnsi="Times New Roman" w:cs="Times New Roman"/>
                <w:noProof/>
              </w:rPr>
              <w:t>(iii) Data collection</w:t>
            </w:r>
          </w:p>
        </w:tc>
      </w:tr>
    </w:tbl>
    <w:p w:rsidR="00B32D69" w:rsidRDefault="00FB661A">
      <w:pPr>
        <w:spacing w:before="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selection of sub-options was also inspired by well-performing national frameworks</w:t>
      </w:r>
      <w:r>
        <w:rPr>
          <w:rStyle w:val="FootnoteReference"/>
          <w:rFonts w:ascii="Times New Roman" w:hAnsi="Times New Roman"/>
          <w:noProof/>
          <w:sz w:val="24"/>
          <w:szCs w:val="24"/>
          <w:lang w:val="en-US"/>
        </w:rPr>
        <w:footnoteReference w:id="191"/>
      </w:r>
      <w:r>
        <w:rPr>
          <w:rFonts w:ascii="Times New Roman" w:hAnsi="Times New Roman" w:cs="Times New Roman"/>
          <w:noProof/>
          <w:sz w:val="24"/>
          <w:szCs w:val="24"/>
          <w:lang w:val="en-US"/>
        </w:rPr>
        <w:t xml:space="preserve">. Hence, the provisions of the future </w:t>
      </w:r>
      <w:r>
        <w:rPr>
          <w:rFonts w:ascii="Times New Roman" w:hAnsi="Times New Roman" w:cs="Times New Roman"/>
          <w:noProof/>
          <w:sz w:val="24"/>
          <w:szCs w:val="24"/>
          <w:lang w:val="en-US"/>
        </w:rPr>
        <w:t>directive will not require significant changes in those Member States, while allowing those Member States which need to improve a reasonable degree of flexibility.</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For example, on restructuring:</w:t>
      </w:r>
    </w:p>
    <w:p w:rsidR="00B32D69" w:rsidRDefault="00FB661A">
      <w:pPr>
        <w:pStyle w:val="ListParagraph"/>
        <w:numPr>
          <w:ilvl w:val="0"/>
          <w:numId w:val="26"/>
        </w:numPr>
        <w:spacing w:after="240" w:line="240" w:lineRule="auto"/>
        <w:ind w:left="567" w:hanging="567"/>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a stay of enforcement actions is necessary to address the </w:t>
      </w:r>
      <w:r>
        <w:rPr>
          <w:rFonts w:ascii="Times New Roman" w:hAnsi="Times New Roman" w:cs="Times New Roman"/>
          <w:noProof/>
          <w:sz w:val="24"/>
          <w:szCs w:val="24"/>
          <w:lang w:val="en-US"/>
        </w:rPr>
        <w:t>problem of a minority of creditors who have no interest in restructuring the debtor and who may therefore obstruct the negotiations. at the same time, a too long stay period may be detrimental to creditors, therefore increasing the number of those who woul</w:t>
      </w:r>
      <w:r>
        <w:rPr>
          <w:rFonts w:ascii="Times New Roman" w:hAnsi="Times New Roman" w:cs="Times New Roman"/>
          <w:noProof/>
          <w:sz w:val="24"/>
          <w:szCs w:val="24"/>
          <w:lang w:val="en-US"/>
        </w:rPr>
        <w:t>d be opposed to restructuring the debtor's business</w:t>
      </w:r>
    </w:p>
    <w:p w:rsidR="00B32D69" w:rsidRDefault="00FB661A">
      <w:pPr>
        <w:pStyle w:val="ListParagraph"/>
        <w:numPr>
          <w:ilvl w:val="0"/>
          <w:numId w:val="26"/>
        </w:numPr>
        <w:spacing w:after="240" w:line="240" w:lineRule="auto"/>
        <w:ind w:left="567" w:hanging="567"/>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inspiration for a short stay period of no longer than 4 months came from France (the ad-hoc and conciliation procedures), Germany, Spain and a number of Member States which reformed very recently in t</w:t>
      </w:r>
      <w:r>
        <w:rPr>
          <w:rFonts w:ascii="Times New Roman" w:hAnsi="Times New Roman" w:cs="Times New Roman"/>
          <w:noProof/>
          <w:sz w:val="24"/>
          <w:szCs w:val="24"/>
          <w:lang w:val="en-US"/>
        </w:rPr>
        <w:t>his area (Slovenia for example); the inspiration for allowing MS the discretion to prolong the stay period up to 12 months provided that certain conditions are met came from Finland and France (the sauvegarde procedure) where more complex restructurings ca</w:t>
      </w:r>
      <w:r>
        <w:rPr>
          <w:rFonts w:ascii="Times New Roman" w:hAnsi="Times New Roman" w:cs="Times New Roman"/>
          <w:noProof/>
          <w:sz w:val="24"/>
          <w:szCs w:val="24"/>
          <w:lang w:val="en-US"/>
        </w:rPr>
        <w:t>n take place.</w:t>
      </w:r>
    </w:p>
    <w:p w:rsidR="00B32D69" w:rsidRDefault="00FB661A">
      <w:pPr>
        <w:pStyle w:val="ListParagraph"/>
        <w:numPr>
          <w:ilvl w:val="0"/>
          <w:numId w:val="26"/>
        </w:numPr>
        <w:spacing w:after="240" w:line="240" w:lineRule="auto"/>
        <w:ind w:left="567" w:hanging="567"/>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preferred option will therefore not change what works well in several Member States, while addressing the biggest problems with the stay which are: too long stay periods (24 months in Luxembourg) with no control and therefore potentially </w:t>
      </w:r>
      <w:r>
        <w:rPr>
          <w:rFonts w:ascii="Times New Roman" w:hAnsi="Times New Roman" w:cs="Times New Roman"/>
          <w:noProof/>
          <w:sz w:val="24"/>
          <w:szCs w:val="24"/>
          <w:lang w:val="en-US"/>
        </w:rPr>
        <w:t>open to abuse and (2) no stay possibility at all (Austria).</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For discharge: the trend is clearly towards reducing the discharge period for natural persons.</w:t>
      </w:r>
    </w:p>
    <w:p w:rsidR="00B32D69" w:rsidRDefault="00FB661A">
      <w:pPr>
        <w:pStyle w:val="ListParagraph"/>
        <w:numPr>
          <w:ilvl w:val="0"/>
          <w:numId w:val="27"/>
        </w:numPr>
        <w:spacing w:after="240" w:line="240" w:lineRule="auto"/>
        <w:ind w:left="567" w:hanging="567"/>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following the 2014 Recommendation, most reforms took place in this area: Spain, Romania, Hungary, Cro</w:t>
      </w:r>
      <w:r>
        <w:rPr>
          <w:rFonts w:ascii="Times New Roman" w:hAnsi="Times New Roman" w:cs="Times New Roman"/>
          <w:noProof/>
          <w:sz w:val="24"/>
          <w:szCs w:val="24"/>
          <w:lang w:val="en-US"/>
        </w:rPr>
        <w:t>atia have for the first time introduced the possibility of a discharge of debt after a number of years – this is a positive development, but the discharge period implemented in these countries is 5 years and not the recommended 3 years</w:t>
      </w:r>
    </w:p>
    <w:p w:rsidR="00B32D69" w:rsidRDefault="00FB661A">
      <w:pPr>
        <w:pStyle w:val="ListParagraph"/>
        <w:numPr>
          <w:ilvl w:val="0"/>
          <w:numId w:val="27"/>
        </w:numPr>
        <w:spacing w:after="240" w:line="240" w:lineRule="auto"/>
        <w:ind w:left="567" w:hanging="567"/>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some Member State</w:t>
      </w:r>
      <w:r>
        <w:rPr>
          <w:rFonts w:ascii="Times New Roman" w:hAnsi="Times New Roman" w:cs="Times New Roman"/>
          <w:noProof/>
          <w:sz w:val="24"/>
          <w:szCs w:val="24"/>
          <w:lang w:val="en-US"/>
        </w:rPr>
        <w:t>s the existing discharge periods were reduced to 3 years, e.g. Greece (for entrepreneurs only, from 10 years)</w:t>
      </w:r>
    </w:p>
    <w:p w:rsidR="00B32D69" w:rsidRDefault="00FB661A">
      <w:pPr>
        <w:pStyle w:val="ListParagraph"/>
        <w:numPr>
          <w:ilvl w:val="0"/>
          <w:numId w:val="27"/>
        </w:numPr>
        <w:spacing w:after="240" w:line="240" w:lineRule="auto"/>
        <w:ind w:left="567" w:hanging="567"/>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several Member States where entrepreneurship is very dynamic have short discharge periods, e.g. UK, NL, FI  - they were the inspiration probably a</w:t>
      </w:r>
      <w:r>
        <w:rPr>
          <w:rFonts w:ascii="Times New Roman" w:hAnsi="Times New Roman" w:cs="Times New Roman"/>
          <w:noProof/>
          <w:sz w:val="24"/>
          <w:szCs w:val="24"/>
          <w:lang w:val="en-US"/>
        </w:rPr>
        <w:t>lso for the 2011 Competitiveness Council conclusions which recommended 3 year discharge periods to be implemented in the Member States by 2013.</w:t>
      </w:r>
    </w:p>
    <w:p w:rsidR="00B32D69" w:rsidRDefault="00FB661A">
      <w:pPr>
        <w:rPr>
          <w:rFonts w:ascii="Times New Roman" w:eastAsia="Calibri" w:hAnsi="Times New Roman" w:cs="Times New Roman"/>
          <w:b/>
          <w:i/>
          <w:noProof/>
          <w:color w:val="000000"/>
          <w:sz w:val="24"/>
          <w:szCs w:val="24"/>
        </w:rPr>
      </w:pPr>
      <w:r>
        <w:rPr>
          <w:rFonts w:ascii="Times New Roman" w:eastAsia="Calibri" w:hAnsi="Times New Roman" w:cs="Times New Roman"/>
          <w:b/>
          <w:i/>
          <w:noProof/>
          <w:color w:val="000000"/>
          <w:sz w:val="24"/>
          <w:szCs w:val="24"/>
        </w:rPr>
        <w:br w:type="page"/>
      </w:r>
    </w:p>
    <w:p w:rsidR="00B32D69" w:rsidRDefault="00FB661A">
      <w:pPr>
        <w:spacing w:before="120" w:after="180" w:line="240" w:lineRule="auto"/>
        <w:jc w:val="both"/>
        <w:rPr>
          <w:rFonts w:ascii="Times New Roman" w:eastAsia="Calibri" w:hAnsi="Times New Roman" w:cs="Times New Roman"/>
          <w:b/>
          <w:i/>
          <w:noProof/>
          <w:color w:val="000000"/>
          <w:sz w:val="24"/>
          <w:szCs w:val="24"/>
        </w:rPr>
      </w:pPr>
      <w:r>
        <w:rPr>
          <w:rFonts w:ascii="Times New Roman" w:eastAsia="Calibri" w:hAnsi="Times New Roman" w:cs="Times New Roman"/>
          <w:b/>
          <w:i/>
          <w:noProof/>
          <w:color w:val="000000"/>
          <w:sz w:val="24"/>
          <w:szCs w:val="24"/>
        </w:rPr>
        <w:t>Chart 6: An illustration of how a restructuring framework including the preferred sub-options could work in pr</w:t>
      </w:r>
      <w:r>
        <w:rPr>
          <w:rFonts w:ascii="Times New Roman" w:eastAsia="Calibri" w:hAnsi="Times New Roman" w:cs="Times New Roman"/>
          <w:b/>
          <w:i/>
          <w:noProof/>
          <w:color w:val="000000"/>
          <w:sz w:val="24"/>
          <w:szCs w:val="24"/>
        </w:rPr>
        <w:t>actice</w:t>
      </w:r>
    </w:p>
    <w:p w:rsidR="00B32D69" w:rsidRDefault="00FB661A">
      <w:pPr>
        <w:jc w:val="center"/>
        <w:rPr>
          <w:rFonts w:ascii="Times New Roman" w:eastAsia="Calibri" w:hAnsi="Times New Roman" w:cs="Times New Roman"/>
          <w:noProof/>
        </w:rPr>
      </w:pPr>
      <w:r>
        <w:rPr>
          <w:noProof/>
          <w:lang w:eastAsia="en-GB"/>
        </w:rPr>
        <w:drawing>
          <wp:inline distT="0" distB="0" distL="0" distR="0">
            <wp:extent cx="4941775" cy="500190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41841" cy="5001971"/>
                    </a:xfrm>
                    <a:prstGeom prst="rect">
                      <a:avLst/>
                    </a:prstGeom>
                    <a:noFill/>
                    <a:ln>
                      <a:noFill/>
                    </a:ln>
                  </pic:spPr>
                </pic:pic>
              </a:graphicData>
            </a:graphic>
          </wp:inline>
        </w:drawing>
      </w:r>
    </w:p>
    <w:p w:rsidR="00B32D69" w:rsidRDefault="00FB661A">
      <w:pPr>
        <w:pStyle w:val="ManualHeading1"/>
        <w:rPr>
          <w:noProof/>
        </w:rPr>
      </w:pPr>
      <w:bookmarkStart w:id="66" w:name="_Toc459390486"/>
      <w:bookmarkStart w:id="67" w:name="_Toc378078049"/>
      <w:r>
        <w:rPr>
          <w:noProof/>
        </w:rPr>
        <w:br w:type="page"/>
      </w:r>
      <w:bookmarkStart w:id="68" w:name="_Toc466452986"/>
      <w:r>
        <w:rPr>
          <w:noProof/>
        </w:rPr>
        <w:tab/>
        <w:t xml:space="preserve">7. ANALYSIS OF OVERALL IMPACTS OF </w:t>
      </w:r>
      <w:bookmarkEnd w:id="66"/>
      <w:bookmarkEnd w:id="67"/>
      <w:r>
        <w:rPr>
          <w:noProof/>
        </w:rPr>
        <w:t>THE PREFERRED HIGH-LEVEL OPTION 4</w:t>
      </w:r>
      <w:bookmarkEnd w:id="68"/>
    </w:p>
    <w:p w:rsidR="00B32D69" w:rsidRDefault="00FB661A">
      <w:pPr>
        <w:autoSpaceDE w:val="0"/>
        <w:autoSpaceDN w:val="0"/>
        <w:adjustRightInd w:val="0"/>
        <w:spacing w:after="24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There is a substantial amount of evidence that the approach to restructuring that is set out in the preferred option, of giving preference to restructuring over liquidation, and</w:t>
      </w:r>
      <w:r>
        <w:rPr>
          <w:rFonts w:ascii="Times New Roman" w:eastAsia="Calibri" w:hAnsi="Times New Roman" w:cs="Times New Roman"/>
          <w:noProof/>
          <w:sz w:val="24"/>
          <w:szCs w:val="24"/>
          <w:lang w:eastAsia="en-GB"/>
        </w:rPr>
        <w:t xml:space="preserve"> of facilitating a fresh start for failed entrepreneurs and consumers can give rise to significant economic benefits</w:t>
      </w:r>
      <w:r>
        <w:rPr>
          <w:rFonts w:eastAsia="Calibri" w:cs="Times New Roman"/>
          <w:noProof/>
          <w:sz w:val="24"/>
          <w:szCs w:val="24"/>
          <w:vertAlign w:val="superscript"/>
          <w:lang w:eastAsia="en-GB"/>
        </w:rPr>
        <w:footnoteReference w:id="192"/>
      </w:r>
      <w:r>
        <w:rPr>
          <w:rFonts w:ascii="Times New Roman" w:eastAsia="Calibri" w:hAnsi="Times New Roman" w:cs="Times New Roman"/>
          <w:noProof/>
          <w:sz w:val="24"/>
          <w:szCs w:val="24"/>
          <w:lang w:eastAsia="en-GB"/>
        </w:rPr>
        <w:t>. However, the insufficient granularity and lack of data comparability between Member States as regards the number and types of restructuri</w:t>
      </w:r>
      <w:r>
        <w:rPr>
          <w:rFonts w:ascii="Times New Roman" w:eastAsia="Calibri" w:hAnsi="Times New Roman" w:cs="Times New Roman"/>
          <w:noProof/>
          <w:sz w:val="24"/>
          <w:szCs w:val="24"/>
          <w:lang w:eastAsia="en-GB"/>
        </w:rPr>
        <w:t>ng and insolvency proceedings, and essential elements of such proceedings, such as their length, costs and recovery rates - make it challenging to make precise quantitative estimates of the scale of the positive impacts that the preferred Option 4 is expec</w:t>
      </w:r>
      <w:r>
        <w:rPr>
          <w:rFonts w:ascii="Times New Roman" w:eastAsia="Calibri" w:hAnsi="Times New Roman" w:cs="Times New Roman"/>
          <w:noProof/>
          <w:sz w:val="24"/>
          <w:szCs w:val="24"/>
          <w:lang w:eastAsia="en-GB"/>
        </w:rPr>
        <w:t>ted to generate.</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Thanks to its binding character, Option 4 will introduce a new culture of rescuing viable businesses in those Member States (mostly central, eastern and southern EU Member States) where such approach is currently virtually non-existent and</w:t>
      </w:r>
      <w:r>
        <w:rPr>
          <w:rFonts w:ascii="Times New Roman" w:hAnsi="Times New Roman" w:cs="Times New Roman"/>
          <w:noProof/>
          <w:sz w:val="24"/>
          <w:szCs w:val="24"/>
          <w:lang w:val="en-US"/>
        </w:rPr>
        <w:t xml:space="preserve"> which the 2014 Recommendation could not bring about given its non-binding character.</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Option 4 provides for key effectiveness and efficiency elements of restructuring proceedings which have been elaborated together with a group of insolvency experts as well as the key stakeholders. Given the large divergences between the substantive insolve</w:t>
      </w:r>
      <w:r>
        <w:rPr>
          <w:rFonts w:ascii="Times New Roman" w:hAnsi="Times New Roman" w:cs="Times New Roman"/>
          <w:noProof/>
          <w:sz w:val="24"/>
          <w:szCs w:val="24"/>
          <w:lang w:val="en-US"/>
        </w:rPr>
        <w:t>ncy frameworks in Member States as attested by the comparative study, Option 4 tries to put in place a minimum, targeted effectiveness and efficiency framework while at the same time not upsetting the existing insolvency and restructuring procedures in the</w:t>
      </w:r>
      <w:r>
        <w:rPr>
          <w:rFonts w:ascii="Times New Roman" w:hAnsi="Times New Roman" w:cs="Times New Roman"/>
          <w:noProof/>
          <w:sz w:val="24"/>
          <w:szCs w:val="24"/>
          <w:lang w:val="en-US"/>
        </w:rPr>
        <w:t xml:space="preserve"> Member States where these work well. A degree of flexibility for Member States to decide on the means to achieve the objectives is necessary because in practice we observe that different approaches could work well in practice. For example, Member States h</w:t>
      </w:r>
      <w:r>
        <w:rPr>
          <w:rFonts w:ascii="Times New Roman" w:hAnsi="Times New Roman" w:cs="Times New Roman"/>
          <w:noProof/>
          <w:sz w:val="24"/>
          <w:szCs w:val="24"/>
          <w:lang w:val="en-US"/>
        </w:rPr>
        <w:t>ave different approaches to class formation (for example whether to bifurcate secured claims in different classes based on the value of the collateral) and to the majorities required for the plan to be adopted (for example whether simple or qualified major</w:t>
      </w:r>
      <w:r>
        <w:rPr>
          <w:rFonts w:ascii="Times New Roman" w:hAnsi="Times New Roman" w:cs="Times New Roman"/>
          <w:noProof/>
          <w:sz w:val="24"/>
          <w:szCs w:val="24"/>
          <w:lang w:val="en-US"/>
        </w:rPr>
        <w:t xml:space="preserve">ity), therefore the details in these matters were left to their discretion. </w:t>
      </w:r>
    </w:p>
    <w:p w:rsidR="00B32D69" w:rsidRDefault="00FB661A">
      <w:p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Furthermore, Option 4 will create a framework where restructuring of cross-border groups of companies will be possible – thanks to the common binding minimum standards. This will </w:t>
      </w:r>
      <w:r>
        <w:rPr>
          <w:rFonts w:ascii="Times New Roman" w:hAnsi="Times New Roman" w:cs="Times New Roman"/>
          <w:noProof/>
          <w:sz w:val="24"/>
          <w:szCs w:val="24"/>
          <w:lang w:val="en-US"/>
        </w:rPr>
        <w:t>be an important progress compared to the existing situations where, according to the stakeholders, cross-border restructurings with application of multiple Member State insolvency laws are currently unfeasible due to the inefficiency or divergences of nati</w:t>
      </w:r>
      <w:r>
        <w:rPr>
          <w:rFonts w:ascii="Times New Roman" w:hAnsi="Times New Roman" w:cs="Times New Roman"/>
          <w:noProof/>
          <w:sz w:val="24"/>
          <w:szCs w:val="24"/>
          <w:lang w:val="en-US"/>
        </w:rPr>
        <w:t>onal restructuring frameworks. By more coherent insolvency law, current barriers which hold back cross-border investments would be removed. However, Option 4 does not attempt to introduce a new European preventive restructuring procedure, but it rather def</w:t>
      </w:r>
      <w:r>
        <w:rPr>
          <w:rFonts w:ascii="Times New Roman" w:hAnsi="Times New Roman" w:cs="Times New Roman"/>
          <w:noProof/>
          <w:sz w:val="24"/>
          <w:szCs w:val="24"/>
          <w:lang w:val="en-US"/>
        </w:rPr>
        <w:t>ines certain efficiency measures which Member States should implement in their existing (or to be introduced) preventive restructuring procedures.</w:t>
      </w:r>
    </w:p>
    <w:p w:rsidR="00B32D69" w:rsidRDefault="00B32D69">
      <w:pPr>
        <w:autoSpaceDE w:val="0"/>
        <w:autoSpaceDN w:val="0"/>
        <w:adjustRightInd w:val="0"/>
        <w:spacing w:after="240" w:line="240" w:lineRule="auto"/>
        <w:jc w:val="both"/>
        <w:rPr>
          <w:rFonts w:ascii="Times New Roman" w:eastAsia="Calibri" w:hAnsi="Times New Roman" w:cs="Times New Roman"/>
          <w:noProof/>
          <w:sz w:val="24"/>
          <w:szCs w:val="24"/>
          <w:lang w:val="en-US" w:eastAsia="en-GB"/>
        </w:rPr>
      </w:pPr>
    </w:p>
    <w:p w:rsidR="00B32D69" w:rsidRDefault="00B32D69">
      <w:pPr>
        <w:autoSpaceDE w:val="0"/>
        <w:autoSpaceDN w:val="0"/>
        <w:adjustRightInd w:val="0"/>
        <w:spacing w:after="240" w:line="240" w:lineRule="auto"/>
        <w:jc w:val="both"/>
        <w:rPr>
          <w:rFonts w:ascii="Times New Roman" w:eastAsia="Calibri" w:hAnsi="Times New Roman" w:cs="Times New Roman"/>
          <w:noProof/>
          <w:sz w:val="24"/>
          <w:szCs w:val="24"/>
          <w:lang w:val="en-US" w:eastAsia="en-GB"/>
        </w:rPr>
      </w:pPr>
    </w:p>
    <w:p w:rsidR="00B32D69" w:rsidRDefault="00B32D69">
      <w:pPr>
        <w:autoSpaceDE w:val="0"/>
        <w:autoSpaceDN w:val="0"/>
        <w:adjustRightInd w:val="0"/>
        <w:spacing w:after="240" w:line="240" w:lineRule="auto"/>
        <w:jc w:val="both"/>
        <w:rPr>
          <w:rFonts w:ascii="Times New Roman" w:eastAsia="Calibri" w:hAnsi="Times New Roman" w:cs="Times New Roman"/>
          <w:noProof/>
          <w:sz w:val="24"/>
          <w:szCs w:val="24"/>
          <w:lang w:val="en-US" w:eastAsia="en-G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81"/>
        <w:gridCol w:w="7229"/>
      </w:tblGrid>
      <w:tr w:rsidR="00B32D69">
        <w:trPr>
          <w:trHeight w:val="20"/>
        </w:trPr>
        <w:tc>
          <w:tcPr>
            <w:tcW w:w="18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2D69" w:rsidRDefault="00FB661A">
            <w:pPr>
              <w:autoSpaceDE w:val="0"/>
              <w:autoSpaceDN w:val="0"/>
              <w:adjustRightInd w:val="0"/>
              <w:spacing w:before="60" w:after="60" w:line="240" w:lineRule="auto"/>
              <w:jc w:val="center"/>
              <w:rPr>
                <w:rFonts w:ascii="Times New Roman" w:eastAsia="Calibri" w:hAnsi="Times New Roman" w:cs="Times New Roman"/>
                <w:b/>
                <w:noProof/>
                <w:sz w:val="24"/>
                <w:szCs w:val="24"/>
                <w:lang w:eastAsia="en-GB"/>
              </w:rPr>
            </w:pPr>
            <w:r>
              <w:rPr>
                <w:rFonts w:ascii="Times New Roman" w:eastAsia="Calibri" w:hAnsi="Times New Roman" w:cs="Times New Roman"/>
                <w:b/>
                <w:noProof/>
                <w:sz w:val="24"/>
                <w:szCs w:val="24"/>
                <w:lang w:eastAsia="en-GB"/>
              </w:rPr>
              <w:t>Objectives / impacts</w:t>
            </w:r>
          </w:p>
        </w:tc>
        <w:tc>
          <w:tcPr>
            <w:tcW w:w="731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32D69" w:rsidRDefault="00FB661A">
            <w:pPr>
              <w:autoSpaceDE w:val="0"/>
              <w:autoSpaceDN w:val="0"/>
              <w:adjustRightInd w:val="0"/>
              <w:spacing w:before="60" w:after="60" w:line="240" w:lineRule="auto"/>
              <w:jc w:val="center"/>
              <w:rPr>
                <w:rFonts w:ascii="Times New Roman" w:eastAsia="Calibri" w:hAnsi="Times New Roman" w:cs="Times New Roman"/>
                <w:b/>
                <w:noProof/>
                <w:sz w:val="24"/>
                <w:szCs w:val="24"/>
                <w:lang w:eastAsia="en-GB"/>
              </w:rPr>
            </w:pPr>
            <w:r>
              <w:rPr>
                <w:rFonts w:ascii="Times New Roman" w:eastAsia="Calibri" w:hAnsi="Times New Roman" w:cs="Times New Roman"/>
                <w:b/>
                <w:noProof/>
                <w:sz w:val="24"/>
                <w:szCs w:val="24"/>
                <w:lang w:eastAsia="en-GB"/>
              </w:rPr>
              <w:t xml:space="preserve">Assessment of impacts of the high-level option 4                                     </w:t>
            </w:r>
            <w:r>
              <w:rPr>
                <w:rFonts w:ascii="Times New Roman" w:eastAsia="Calibri" w:hAnsi="Times New Roman" w:cs="Times New Roman"/>
                <w:b/>
                <w:noProof/>
                <w:sz w:val="24"/>
                <w:szCs w:val="24"/>
                <w:lang w:eastAsia="en-GB"/>
              </w:rPr>
              <w:t xml:space="preserve">                                                                     (with selected substantive sub-options against status quo)</w:t>
            </w:r>
          </w:p>
        </w:tc>
      </w:tr>
      <w:tr w:rsidR="00B32D69">
        <w:trPr>
          <w:trHeight w:val="20"/>
        </w:trPr>
        <w:tc>
          <w:tcPr>
            <w:tcW w:w="9180"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B32D69" w:rsidRDefault="00FB661A">
            <w:pPr>
              <w:autoSpaceDE w:val="0"/>
              <w:autoSpaceDN w:val="0"/>
              <w:adjustRightInd w:val="0"/>
              <w:spacing w:before="60" w:after="60" w:line="240" w:lineRule="auto"/>
              <w:jc w:val="center"/>
              <w:rPr>
                <w:rFonts w:ascii="Times New Roman" w:eastAsia="Calibri" w:hAnsi="Times New Roman" w:cs="Times New Roman"/>
                <w:noProof/>
                <w:sz w:val="24"/>
                <w:szCs w:val="24"/>
                <w:lang w:eastAsia="en-GB"/>
              </w:rPr>
            </w:pPr>
            <w:r>
              <w:rPr>
                <w:rFonts w:ascii="Times New Roman" w:hAnsi="Times New Roman" w:cs="Times New Roman"/>
                <w:b/>
                <w:noProof/>
                <w:sz w:val="24"/>
                <w:szCs w:val="24"/>
                <w:lang w:eastAsia="en-GB"/>
              </w:rPr>
              <w:t>General objectives</w:t>
            </w:r>
          </w:p>
        </w:tc>
      </w:tr>
      <w:tr w:rsidR="00B32D69">
        <w:trPr>
          <w:trHeight w:val="20"/>
        </w:trPr>
        <w:tc>
          <w:tcPr>
            <w:tcW w:w="1870" w:type="dxa"/>
            <w:tcBorders>
              <w:top w:val="single" w:sz="4" w:space="0" w:color="auto"/>
              <w:left w:val="single" w:sz="4" w:space="0" w:color="auto"/>
              <w:bottom w:val="single" w:sz="4" w:space="0" w:color="auto"/>
              <w:right w:val="single" w:sz="4" w:space="0" w:color="auto"/>
            </w:tcBorders>
            <w:shd w:val="clear" w:color="auto" w:fill="F2F2F2"/>
            <w:hideMark/>
          </w:tcPr>
          <w:p w:rsidR="00B32D69" w:rsidRDefault="00FB661A">
            <w:pPr>
              <w:autoSpaceDE w:val="0"/>
              <w:autoSpaceDN w:val="0"/>
              <w:adjustRightInd w:val="0"/>
              <w:spacing w:before="60" w:after="60" w:line="240" w:lineRule="auto"/>
              <w:rPr>
                <w:rFonts w:ascii="Times New Roman" w:eastAsia="Calibri" w:hAnsi="Times New Roman" w:cs="Times New Roman"/>
                <w:i/>
                <w:noProof/>
                <w:sz w:val="24"/>
                <w:szCs w:val="24"/>
                <w:lang w:eastAsia="en-GB"/>
              </w:rPr>
            </w:pPr>
            <w:r>
              <w:rPr>
                <w:rFonts w:ascii="Times New Roman" w:eastAsia="Calibri" w:hAnsi="Times New Roman" w:cs="Times New Roman"/>
                <w:i/>
                <w:noProof/>
                <w:sz w:val="24"/>
                <w:szCs w:val="24"/>
                <w:lang w:eastAsia="en-GB"/>
              </w:rPr>
              <w:t xml:space="preserve">Reduce the barriers for cross-border investment which are related to insolvency frameworks and increase </w:t>
            </w:r>
            <w:r>
              <w:rPr>
                <w:rFonts w:ascii="Times New Roman" w:eastAsia="Calibri" w:hAnsi="Times New Roman" w:cs="Times New Roman"/>
                <w:i/>
                <w:noProof/>
                <w:sz w:val="24"/>
                <w:szCs w:val="24"/>
                <w:lang w:eastAsia="en-GB"/>
              </w:rPr>
              <w:t>investment and job opportunities</w:t>
            </w:r>
          </w:p>
        </w:tc>
        <w:tc>
          <w:tcPr>
            <w:tcW w:w="731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2D69" w:rsidRDefault="00FB661A">
            <w:pPr>
              <w:spacing w:before="120" w:after="12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b/>
                <w:noProof/>
                <w:sz w:val="24"/>
                <w:szCs w:val="24"/>
                <w:lang w:eastAsia="en-GB"/>
              </w:rPr>
              <w:t>Less distortion of investment decisions and facilitated resolution of non-performing loans</w:t>
            </w:r>
            <w:r>
              <w:rPr>
                <w:rFonts w:ascii="Times New Roman" w:eastAsia="Calibri" w:hAnsi="Times New Roman" w:cs="Times New Roman"/>
                <w:noProof/>
                <w:sz w:val="24"/>
                <w:szCs w:val="24"/>
                <w:lang w:eastAsia="en-GB"/>
              </w:rPr>
              <w:t>. The preferred option will contribute to reducing barriers to cross-border investment.</w:t>
            </w:r>
            <w:r>
              <w:rPr>
                <w:rFonts w:ascii="Times New Roman" w:eastAsia="Calibri" w:hAnsi="Times New Roman" w:cs="Times New Roman"/>
                <w:b/>
                <w:noProof/>
                <w:sz w:val="24"/>
                <w:szCs w:val="24"/>
                <w:lang w:eastAsia="en-GB"/>
              </w:rPr>
              <w:t xml:space="preserve"> </w:t>
            </w:r>
            <w:r>
              <w:rPr>
                <w:rFonts w:ascii="Times New Roman" w:eastAsia="Calibri" w:hAnsi="Times New Roman" w:cs="Times New Roman"/>
                <w:noProof/>
                <w:sz w:val="24"/>
                <w:szCs w:val="24"/>
                <w:lang w:eastAsia="en-GB"/>
              </w:rPr>
              <w:t>When investing in the EU on a cross-border basis, the investor has to make an assessment of as many substantive restructuring regimes as is the number of Member States he intends to invest in. By reducing the differences between these restructuring regimes</w:t>
            </w:r>
            <w:r>
              <w:rPr>
                <w:rFonts w:ascii="Times New Roman" w:eastAsia="Calibri" w:hAnsi="Times New Roman" w:cs="Times New Roman"/>
                <w:noProof/>
                <w:sz w:val="24"/>
                <w:szCs w:val="24"/>
                <w:lang w:eastAsia="en-GB"/>
              </w:rPr>
              <w:t xml:space="preserve">, the costs of their assessment will decrease. </w:t>
            </w:r>
            <w:r>
              <w:rPr>
                <w:rFonts w:ascii="Times New Roman" w:hAnsi="Times New Roman" w:cs="Times New Roman"/>
                <w:noProof/>
                <w:sz w:val="24"/>
                <w:szCs w:val="24"/>
              </w:rPr>
              <w:t xml:space="preserve">Consideration of rights against foreign debtors would be an important factor impacting on a decision to invest abroad for almost a half of companies already having foreign debtors. The proportion of companies </w:t>
            </w:r>
            <w:r>
              <w:rPr>
                <w:rFonts w:ascii="Times New Roman" w:hAnsi="Times New Roman" w:cs="Times New Roman"/>
                <w:noProof/>
                <w:sz w:val="24"/>
                <w:szCs w:val="24"/>
              </w:rPr>
              <w:t>that would consider those rights is particularly high in Poland, Croatia, Romania, Bulgaria, Latvia, Slovenia, Malta, Greece and Lithuania. The majority of companies (55%) find it difficult to find the information on those rights. Lack of knowledge of fore</w:t>
            </w:r>
            <w:r>
              <w:rPr>
                <w:rFonts w:ascii="Times New Roman" w:hAnsi="Times New Roman" w:cs="Times New Roman"/>
                <w:noProof/>
                <w:sz w:val="24"/>
                <w:szCs w:val="24"/>
              </w:rPr>
              <w:t>ign law is considered by almost a half (47%) of interviewees a potential obstacle to invest abroad, while around 40% of companies find practical difficulties to file a claim in another country or cost of pursuing this claim, or cost of legal advice a poten</w:t>
            </w:r>
            <w:r>
              <w:rPr>
                <w:rFonts w:ascii="Times New Roman" w:hAnsi="Times New Roman" w:cs="Times New Roman"/>
                <w:noProof/>
                <w:sz w:val="24"/>
                <w:szCs w:val="24"/>
              </w:rPr>
              <w:t>tial obstacle to invest</w:t>
            </w:r>
            <w:r>
              <w:rPr>
                <w:rFonts w:cs="Times New Roman"/>
                <w:noProof/>
                <w:vertAlign w:val="superscript"/>
              </w:rPr>
              <w:footnoteReference w:id="193"/>
            </w:r>
            <w:r>
              <w:rPr>
                <w:noProof/>
              </w:rPr>
              <w:t xml:space="preserve">. </w:t>
            </w:r>
          </w:p>
        </w:tc>
      </w:tr>
      <w:tr w:rsidR="00B32D69">
        <w:trPr>
          <w:trHeight w:val="20"/>
        </w:trPr>
        <w:tc>
          <w:tcPr>
            <w:tcW w:w="1870" w:type="dxa"/>
            <w:tcBorders>
              <w:top w:val="single" w:sz="4" w:space="0" w:color="auto"/>
              <w:left w:val="single" w:sz="4" w:space="0" w:color="auto"/>
              <w:bottom w:val="single" w:sz="4" w:space="0" w:color="auto"/>
              <w:right w:val="single" w:sz="4" w:space="0" w:color="auto"/>
            </w:tcBorders>
            <w:shd w:val="clear" w:color="auto" w:fill="F2F2F2"/>
            <w:hideMark/>
          </w:tcPr>
          <w:p w:rsidR="00B32D69" w:rsidRDefault="00FB661A">
            <w:pPr>
              <w:autoSpaceDE w:val="0"/>
              <w:autoSpaceDN w:val="0"/>
              <w:adjustRightInd w:val="0"/>
              <w:spacing w:before="60" w:after="60" w:line="240" w:lineRule="auto"/>
              <w:rPr>
                <w:rFonts w:ascii="Times New Roman" w:eastAsia="Calibri" w:hAnsi="Times New Roman" w:cs="Times New Roman"/>
                <w:i/>
                <w:noProof/>
                <w:sz w:val="24"/>
                <w:szCs w:val="24"/>
                <w:lang w:eastAsia="en-GB"/>
              </w:rPr>
            </w:pPr>
            <w:r>
              <w:rPr>
                <w:rFonts w:ascii="Times New Roman" w:eastAsia="Calibri" w:hAnsi="Times New Roman" w:cs="Times New Roman"/>
                <w:i/>
                <w:noProof/>
                <w:sz w:val="23"/>
                <w:szCs w:val="23"/>
                <w:lang w:eastAsia="en-GB"/>
              </w:rPr>
              <w:t>Reduce the costs of restructuring, including for groups of companies, so that viable companies are rescued rather than liquidated and maintain</w:t>
            </w:r>
            <w:r>
              <w:rPr>
                <w:rFonts w:ascii="Times New Roman" w:eastAsia="Calibri" w:hAnsi="Times New Roman" w:cs="Times New Roman"/>
                <w:i/>
                <w:noProof/>
                <w:sz w:val="24"/>
                <w:szCs w:val="24"/>
                <w:lang w:eastAsia="en-GB"/>
              </w:rPr>
              <w:t xml:space="preserve"> jobs</w:t>
            </w:r>
          </w:p>
        </w:tc>
        <w:tc>
          <w:tcPr>
            <w:tcW w:w="731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2D69" w:rsidRDefault="00FB661A">
            <w:pPr>
              <w:spacing w:before="60" w:after="60" w:line="240" w:lineRule="auto"/>
              <w:jc w:val="both"/>
              <w:rPr>
                <w:rFonts w:ascii="Times New Roman" w:eastAsia="Calibri" w:hAnsi="Times New Roman" w:cs="Times New Roman"/>
                <w:noProof/>
                <w:sz w:val="24"/>
                <w:szCs w:val="24"/>
                <w:lang w:eastAsia="pl-PL"/>
              </w:rPr>
            </w:pPr>
            <w:r>
              <w:rPr>
                <w:rFonts w:ascii="Times New Roman" w:eastAsia="Calibri" w:hAnsi="Times New Roman" w:cs="Times New Roman"/>
                <w:b/>
                <w:noProof/>
                <w:sz w:val="24"/>
                <w:szCs w:val="24"/>
                <w:lang w:eastAsia="pl-PL"/>
              </w:rPr>
              <w:t>The preferred option 4 would result in more viable business being rescued than a</w:t>
            </w:r>
            <w:r>
              <w:rPr>
                <w:rFonts w:ascii="Times New Roman" w:eastAsia="Calibri" w:hAnsi="Times New Roman" w:cs="Times New Roman"/>
                <w:b/>
                <w:noProof/>
                <w:sz w:val="24"/>
                <w:szCs w:val="24"/>
                <w:lang w:eastAsia="pl-PL"/>
              </w:rPr>
              <w:t>t present</w:t>
            </w:r>
            <w:r>
              <w:rPr>
                <w:rFonts w:ascii="Times New Roman" w:eastAsia="Calibri" w:hAnsi="Times New Roman" w:cs="Times New Roman"/>
                <w:noProof/>
                <w:sz w:val="24"/>
                <w:szCs w:val="24"/>
                <w:lang w:eastAsia="pl-PL"/>
              </w:rPr>
              <w:t xml:space="preserve"> since:  </w:t>
            </w:r>
          </w:p>
          <w:p w:rsidR="00B32D69" w:rsidRDefault="00FB661A">
            <w:pPr>
              <w:spacing w:before="60" w:after="60" w:line="240" w:lineRule="auto"/>
              <w:jc w:val="both"/>
              <w:rPr>
                <w:rFonts w:ascii="Times New Roman" w:eastAsia="Calibri" w:hAnsi="Times New Roman" w:cs="Times New Roman"/>
                <w:noProof/>
                <w:sz w:val="24"/>
                <w:szCs w:val="24"/>
                <w:lang w:eastAsia="pl-PL"/>
              </w:rPr>
            </w:pPr>
            <w:r>
              <w:rPr>
                <w:rFonts w:ascii="Times New Roman" w:eastAsia="Calibri" w:hAnsi="Times New Roman" w:cs="Times New Roman"/>
                <w:noProof/>
                <w:sz w:val="24"/>
                <w:szCs w:val="24"/>
                <w:lang w:eastAsia="pl-PL"/>
              </w:rPr>
              <w:t xml:space="preserve">- Minority creditors will not be able to destabilise the negotiation process in the hope of extracting some commercial advantage, e.g. by forcing an early recovery of their debt. </w:t>
            </w:r>
          </w:p>
          <w:p w:rsidR="00B32D69" w:rsidRDefault="00FB661A">
            <w:pPr>
              <w:spacing w:before="60" w:after="60" w:line="240" w:lineRule="auto"/>
              <w:jc w:val="both"/>
              <w:rPr>
                <w:rFonts w:ascii="Times New Roman" w:eastAsia="Calibri" w:hAnsi="Times New Roman" w:cs="Times New Roman"/>
                <w:noProof/>
                <w:color w:val="000000"/>
                <w:sz w:val="24"/>
                <w:szCs w:val="24"/>
                <w:lang w:val="en-US" w:eastAsia="pl-PL"/>
              </w:rPr>
            </w:pPr>
            <w:r>
              <w:rPr>
                <w:rFonts w:ascii="Times New Roman" w:eastAsia="Calibri" w:hAnsi="Times New Roman" w:cs="Times New Roman"/>
                <w:noProof/>
                <w:sz w:val="24"/>
                <w:szCs w:val="24"/>
                <w:lang w:eastAsia="pl-PL"/>
              </w:rPr>
              <w:t>- Cross-class cram-down will ensure that creditors with n</w:t>
            </w:r>
            <w:r>
              <w:rPr>
                <w:rFonts w:ascii="Times New Roman" w:eastAsia="Calibri" w:hAnsi="Times New Roman" w:cs="Times New Roman"/>
                <w:noProof/>
                <w:sz w:val="24"/>
                <w:szCs w:val="24"/>
                <w:lang w:eastAsia="pl-PL"/>
              </w:rPr>
              <w:t>o economic interest in the company are not able to hinder the adoption of restructuring plans. Shareholders will not be able to oppose a restructuring which restores the viability of the company. This will</w:t>
            </w:r>
            <w:r>
              <w:rPr>
                <w:rFonts w:ascii="Times New Roman" w:eastAsia="Calibri" w:hAnsi="Times New Roman" w:cs="Times New Roman"/>
                <w:noProof/>
                <w:sz w:val="24"/>
                <w:szCs w:val="24"/>
                <w:lang w:val="en-US" w:eastAsia="pl-PL"/>
              </w:rPr>
              <w:t xml:space="preserve"> improve the restructuring frameworks in particular</w:t>
            </w:r>
            <w:r>
              <w:rPr>
                <w:rFonts w:ascii="Times New Roman" w:eastAsia="Calibri" w:hAnsi="Times New Roman" w:cs="Times New Roman"/>
                <w:noProof/>
                <w:sz w:val="24"/>
                <w:szCs w:val="24"/>
                <w:lang w:val="en-US" w:eastAsia="pl-PL"/>
              </w:rPr>
              <w:t xml:space="preserve"> in </w:t>
            </w:r>
            <w:r>
              <w:rPr>
                <w:rFonts w:ascii="Times New Roman" w:eastAsia="Calibri" w:hAnsi="Times New Roman" w:cs="Times New Roman"/>
                <w:noProof/>
                <w:sz w:val="24"/>
                <w:szCs w:val="24"/>
                <w:lang w:eastAsia="en-GB"/>
              </w:rPr>
              <w:t>BG, DK, SK, SI, HR, CY, EE, IE, LT, LU, NL, PL, RO</w:t>
            </w:r>
            <w:r>
              <w:rPr>
                <w:rFonts w:ascii="Times New Roman" w:eastAsia="Calibri" w:hAnsi="Times New Roman" w:cs="Times New Roman"/>
                <w:noProof/>
                <w:sz w:val="24"/>
                <w:szCs w:val="24"/>
                <w:lang w:val="en-US" w:eastAsia="pl-PL"/>
              </w:rPr>
              <w:t xml:space="preserve"> </w:t>
            </w:r>
            <w:r>
              <w:rPr>
                <w:rFonts w:ascii="Times New Roman" w:eastAsia="Calibri" w:hAnsi="Times New Roman" w:cs="Times New Roman"/>
                <w:noProof/>
                <w:color w:val="000000"/>
                <w:sz w:val="24"/>
                <w:szCs w:val="24"/>
                <w:lang w:eastAsia="en-GB"/>
              </w:rPr>
              <w:t>where currently the restructuring is not effective (too late, formal, inefficient, lack of enabling framework)</w:t>
            </w:r>
            <w:r>
              <w:rPr>
                <w:rFonts w:ascii="Times New Roman" w:eastAsia="Calibri" w:hAnsi="Times New Roman" w:cs="Times New Roman"/>
                <w:noProof/>
                <w:color w:val="000000"/>
                <w:sz w:val="24"/>
                <w:szCs w:val="24"/>
                <w:lang w:val="en-US" w:eastAsia="pl-PL"/>
              </w:rPr>
              <w:t>.</w:t>
            </w:r>
          </w:p>
          <w:p w:rsidR="00B32D69" w:rsidRDefault="00FB661A">
            <w:pPr>
              <w:spacing w:before="60" w:after="6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color w:val="000000"/>
                <w:sz w:val="24"/>
                <w:szCs w:val="24"/>
                <w:lang w:val="en-US" w:eastAsia="pl-PL"/>
              </w:rPr>
              <w:t>- Viable SMEs</w:t>
            </w:r>
            <w:r>
              <w:rPr>
                <w:rFonts w:ascii="Times New Roman" w:eastAsia="Calibri" w:hAnsi="Times New Roman" w:cs="Times New Roman"/>
                <w:noProof/>
                <w:sz w:val="24"/>
                <w:szCs w:val="24"/>
                <w:lang w:eastAsia="en-GB"/>
              </w:rPr>
              <w:t xml:space="preserve"> in financial distress with a relatively simple debt structure would benefit in particular. </w:t>
            </w:r>
          </w:p>
          <w:p w:rsidR="00B32D69" w:rsidRDefault="00FB661A">
            <w:pPr>
              <w:spacing w:before="60" w:after="6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pl-PL"/>
              </w:rPr>
              <w:t xml:space="preserve">- </w:t>
            </w:r>
            <w:r>
              <w:rPr>
                <w:rFonts w:ascii="Times New Roman" w:eastAsia="Calibri" w:hAnsi="Times New Roman" w:cs="Times New Roman"/>
                <w:noProof/>
                <w:sz w:val="24"/>
                <w:szCs w:val="24"/>
                <w:lang w:val="en-US" w:eastAsia="pl-PL"/>
              </w:rPr>
              <w:t>This option will reduce the spill-over effects of insolvency which result in delayed payments or defaults by other businesses in the supply chain</w:t>
            </w:r>
            <w:r>
              <w:rPr>
                <w:rFonts w:ascii="Times New Roman" w:eastAsia="Calibri" w:hAnsi="Times New Roman" w:cs="Times New Roman"/>
                <w:b/>
                <w:noProof/>
                <w:sz w:val="24"/>
                <w:szCs w:val="24"/>
                <w:lang w:val="en-US" w:eastAsia="pl-PL"/>
              </w:rPr>
              <w:t>.</w:t>
            </w:r>
          </w:p>
        </w:tc>
      </w:tr>
      <w:tr w:rsidR="00B32D69">
        <w:trPr>
          <w:trHeight w:val="20"/>
        </w:trPr>
        <w:tc>
          <w:tcPr>
            <w:tcW w:w="1870" w:type="dxa"/>
            <w:tcBorders>
              <w:top w:val="single" w:sz="4" w:space="0" w:color="auto"/>
              <w:left w:val="single" w:sz="4" w:space="0" w:color="auto"/>
              <w:bottom w:val="single" w:sz="4" w:space="0" w:color="auto"/>
              <w:right w:val="single" w:sz="4" w:space="0" w:color="auto"/>
            </w:tcBorders>
            <w:shd w:val="clear" w:color="auto" w:fill="F2F2F2"/>
            <w:hideMark/>
          </w:tcPr>
          <w:p w:rsidR="00B32D69" w:rsidRDefault="00FB661A">
            <w:pPr>
              <w:spacing w:before="60" w:after="60" w:line="240" w:lineRule="auto"/>
              <w:rPr>
                <w:rFonts w:ascii="Times New Roman" w:hAnsi="Times New Roman" w:cs="Times New Roman"/>
                <w:i/>
                <w:noProof/>
                <w:sz w:val="24"/>
                <w:szCs w:val="24"/>
                <w:lang w:eastAsia="en-GB"/>
              </w:rPr>
            </w:pPr>
            <w:r>
              <w:rPr>
                <w:rFonts w:ascii="Times New Roman" w:hAnsi="Times New Roman" w:cs="Times New Roman"/>
                <w:i/>
                <w:noProof/>
                <w:sz w:val="24"/>
                <w:szCs w:val="24"/>
                <w:lang w:eastAsia="en-GB"/>
              </w:rPr>
              <w:t xml:space="preserve">Reduce the </w:t>
            </w:r>
            <w:r>
              <w:rPr>
                <w:rFonts w:ascii="Times New Roman" w:hAnsi="Times New Roman" w:cs="Times New Roman"/>
                <w:i/>
                <w:noProof/>
                <w:sz w:val="24"/>
                <w:szCs w:val="24"/>
                <w:lang w:eastAsia="en-GB"/>
              </w:rPr>
              <w:t>costs of and increase the opportunities for natural persons to have a fresh start</w:t>
            </w:r>
          </w:p>
        </w:tc>
        <w:tc>
          <w:tcPr>
            <w:tcW w:w="731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2D69" w:rsidRDefault="00FB661A">
            <w:pPr>
              <w:autoSpaceDE w:val="0"/>
              <w:autoSpaceDN w:val="0"/>
              <w:adjustRightInd w:val="0"/>
              <w:spacing w:before="60" w:after="6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b/>
                <w:noProof/>
                <w:sz w:val="24"/>
                <w:szCs w:val="24"/>
                <w:lang w:eastAsia="pl-PL"/>
              </w:rPr>
              <w:t>Option 4 would partially fulfil the objective</w:t>
            </w:r>
            <w:r>
              <w:rPr>
                <w:rFonts w:ascii="Times New Roman" w:eastAsia="Calibri" w:hAnsi="Times New Roman" w:cs="Times New Roman"/>
                <w:noProof/>
                <w:sz w:val="24"/>
                <w:szCs w:val="24"/>
                <w:lang w:eastAsia="pl-PL"/>
              </w:rPr>
              <w:t xml:space="preserve"> of reducing the costs of and increasing the opportunities for natural persons to have a fresh start </w:t>
            </w:r>
            <w:r>
              <w:rPr>
                <w:rFonts w:ascii="Times New Roman" w:eastAsia="Calibri" w:hAnsi="Times New Roman" w:cs="Times New Roman"/>
                <w:b/>
                <w:noProof/>
                <w:sz w:val="24"/>
                <w:szCs w:val="24"/>
                <w:lang w:eastAsia="pl-PL"/>
              </w:rPr>
              <w:t>as regards natural persons (</w:t>
            </w:r>
            <w:r>
              <w:rPr>
                <w:rFonts w:ascii="Times New Roman" w:eastAsia="Calibri" w:hAnsi="Times New Roman" w:cs="Times New Roman"/>
                <w:b/>
                <w:noProof/>
                <w:sz w:val="24"/>
                <w:szCs w:val="24"/>
                <w:lang w:eastAsia="pl-PL"/>
              </w:rPr>
              <w:t>entrepreneurs)</w:t>
            </w:r>
            <w:r>
              <w:rPr>
                <w:rFonts w:ascii="Times New Roman" w:eastAsia="Calibri" w:hAnsi="Times New Roman" w:cs="Times New Roman"/>
                <w:noProof/>
                <w:sz w:val="24"/>
                <w:szCs w:val="24"/>
                <w:lang w:eastAsia="pl-PL"/>
              </w:rPr>
              <w:t xml:space="preserve">. </w:t>
            </w:r>
            <w:r>
              <w:rPr>
                <w:rFonts w:ascii="Times New Roman" w:hAnsi="Times New Roman" w:cs="Times New Roman"/>
                <w:noProof/>
                <w:sz w:val="24"/>
                <w:szCs w:val="24"/>
              </w:rPr>
              <w:t>The risk of bankruptcy is what Europeans fear most about setting up a new business. In Flash Eurobarometer</w:t>
            </w:r>
            <w:r>
              <w:rPr>
                <w:rFonts w:cs="Times New Roman"/>
                <w:noProof/>
                <w:sz w:val="24"/>
                <w:szCs w:val="24"/>
                <w:vertAlign w:val="superscript"/>
              </w:rPr>
              <w:footnoteReference w:id="194"/>
            </w:r>
            <w:r>
              <w:rPr>
                <w:rFonts w:ascii="Times New Roman" w:hAnsi="Times New Roman" w:cs="Times New Roman"/>
                <w:noProof/>
                <w:sz w:val="24"/>
                <w:szCs w:val="24"/>
              </w:rPr>
              <w:t xml:space="preserve">, 49% of Europeans have declared that they would not start a business because of the fear of failure. That fear is justified given </w:t>
            </w:r>
            <w:r>
              <w:rPr>
                <w:rFonts w:ascii="Times New Roman" w:hAnsi="Times New Roman" w:cs="Times New Roman"/>
                <w:noProof/>
                <w:sz w:val="24"/>
                <w:szCs w:val="24"/>
              </w:rPr>
              <w:t>that 50% of businesses do not survive the first 5 years of their existence and that in many Member States it takes a long time for a bankrupt person to obtain a discharge of debt.</w:t>
            </w:r>
          </w:p>
        </w:tc>
      </w:tr>
      <w:tr w:rsidR="00B32D69">
        <w:trPr>
          <w:trHeight w:val="20"/>
        </w:trPr>
        <w:tc>
          <w:tcPr>
            <w:tcW w:w="9180"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B32D69" w:rsidRDefault="00FB661A">
            <w:pPr>
              <w:autoSpaceDE w:val="0"/>
              <w:autoSpaceDN w:val="0"/>
              <w:adjustRightInd w:val="0"/>
              <w:spacing w:before="60" w:after="60" w:line="240" w:lineRule="auto"/>
              <w:jc w:val="center"/>
              <w:rPr>
                <w:rFonts w:ascii="Times New Roman" w:eastAsia="Calibri" w:hAnsi="Times New Roman" w:cs="Times New Roman"/>
                <w:noProof/>
                <w:sz w:val="24"/>
                <w:szCs w:val="24"/>
                <w:lang w:eastAsia="en-GB"/>
              </w:rPr>
            </w:pPr>
            <w:r>
              <w:rPr>
                <w:rFonts w:ascii="Times New Roman" w:eastAsia="Calibri" w:hAnsi="Times New Roman" w:cs="Times New Roman"/>
                <w:b/>
                <w:noProof/>
                <w:sz w:val="24"/>
                <w:szCs w:val="24"/>
                <w:lang w:eastAsia="en-GB"/>
              </w:rPr>
              <w:t>Specific objectives</w:t>
            </w:r>
          </w:p>
        </w:tc>
      </w:tr>
      <w:tr w:rsidR="00B32D69">
        <w:trPr>
          <w:trHeight w:val="20"/>
        </w:trPr>
        <w:tc>
          <w:tcPr>
            <w:tcW w:w="1870" w:type="dxa"/>
            <w:tcBorders>
              <w:top w:val="single" w:sz="4" w:space="0" w:color="auto"/>
              <w:left w:val="single" w:sz="4" w:space="0" w:color="auto"/>
              <w:bottom w:val="single" w:sz="4" w:space="0" w:color="auto"/>
              <w:right w:val="single" w:sz="4" w:space="0" w:color="auto"/>
            </w:tcBorders>
            <w:shd w:val="clear" w:color="auto" w:fill="F2F2F2"/>
            <w:hideMark/>
          </w:tcPr>
          <w:p w:rsidR="00B32D69" w:rsidRDefault="00FB661A">
            <w:pPr>
              <w:autoSpaceDE w:val="0"/>
              <w:autoSpaceDN w:val="0"/>
              <w:adjustRightInd w:val="0"/>
              <w:spacing w:before="60" w:after="60" w:line="240" w:lineRule="auto"/>
              <w:rPr>
                <w:rFonts w:ascii="Times New Roman" w:eastAsia="Calibri" w:hAnsi="Times New Roman" w:cs="Times New Roman"/>
                <w:i/>
                <w:noProof/>
                <w:sz w:val="24"/>
                <w:szCs w:val="24"/>
                <w:lang w:eastAsia="en-GB"/>
              </w:rPr>
            </w:pPr>
            <w:r>
              <w:rPr>
                <w:rFonts w:ascii="Times New Roman" w:eastAsia="Times New Roman" w:hAnsi="Times New Roman" w:cs="Times New Roman"/>
                <w:i/>
                <w:noProof/>
                <w:sz w:val="24"/>
                <w:szCs w:val="24"/>
              </w:rPr>
              <w:t xml:space="preserve">Reduce the costs of assessing ex-ante the investment risks and improve recovery rates </w:t>
            </w:r>
          </w:p>
        </w:tc>
        <w:tc>
          <w:tcPr>
            <w:tcW w:w="731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B32D69" w:rsidRDefault="00FB661A">
            <w:pPr>
              <w:autoSpaceDE w:val="0"/>
              <w:autoSpaceDN w:val="0"/>
              <w:adjustRightInd w:val="0"/>
              <w:spacing w:before="60" w:after="6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b/>
                <w:noProof/>
                <w:sz w:val="24"/>
                <w:szCs w:val="24"/>
                <w:lang w:eastAsia="en-GB"/>
              </w:rPr>
              <w:t>The costs of assessing ex-ante the investment risks will be reduced and recovery rates in insolvency proceedings will be improved</w:t>
            </w:r>
            <w:r>
              <w:rPr>
                <w:rFonts w:ascii="Times New Roman" w:eastAsia="Calibri" w:hAnsi="Times New Roman" w:cs="Times New Roman"/>
                <w:noProof/>
                <w:sz w:val="24"/>
                <w:szCs w:val="24"/>
                <w:lang w:eastAsia="en-GB"/>
              </w:rPr>
              <w:t xml:space="preserve">. </w:t>
            </w:r>
            <w:r>
              <w:rPr>
                <w:rFonts w:ascii="Times New Roman" w:hAnsi="Times New Roman" w:cs="Times New Roman"/>
                <w:noProof/>
                <w:sz w:val="24"/>
                <w:szCs w:val="24"/>
              </w:rPr>
              <w:t>The greater alignment of restructuring</w:t>
            </w:r>
            <w:r>
              <w:rPr>
                <w:rFonts w:ascii="Times New Roman" w:hAnsi="Times New Roman" w:cs="Times New Roman"/>
                <w:noProof/>
                <w:sz w:val="24"/>
                <w:szCs w:val="24"/>
              </w:rPr>
              <w:t xml:space="preserve"> regimes would reduce the </w:t>
            </w:r>
            <w:r>
              <w:rPr>
                <w:rFonts w:ascii="Times New Roman" w:eastAsia="Calibri" w:hAnsi="Times New Roman" w:cs="Times New Roman"/>
                <w:noProof/>
                <w:sz w:val="24"/>
                <w:szCs w:val="24"/>
                <w:lang w:eastAsia="en-GB"/>
              </w:rPr>
              <w:t>cost of legal advice currently used to avoid application of multiple national restructuring and insolvency frameworks. Stakeholders, and especially those in the banking and investment sector reported that greater convergence of in</w:t>
            </w:r>
            <w:r>
              <w:rPr>
                <w:rFonts w:ascii="Times New Roman" w:eastAsia="Calibri" w:hAnsi="Times New Roman" w:cs="Times New Roman"/>
                <w:noProof/>
                <w:sz w:val="24"/>
                <w:szCs w:val="24"/>
                <w:lang w:eastAsia="en-GB"/>
              </w:rPr>
              <w:t>solvency frameworks would enhance predictability, reduce risk assessment costs and encourage investors establishing their business activities in other Member States. At the same time, this alignment would prevent inefficiencies of the cross-border investme</w:t>
            </w:r>
            <w:r>
              <w:rPr>
                <w:rFonts w:ascii="Times New Roman" w:eastAsia="Calibri" w:hAnsi="Times New Roman" w:cs="Times New Roman"/>
                <w:noProof/>
                <w:sz w:val="24"/>
                <w:szCs w:val="24"/>
                <w:lang w:eastAsia="en-GB"/>
              </w:rPr>
              <w:t xml:space="preserve">nt structures which are so designed in the economically most efficient way, but in order to circumvent the application of certain inefficient insolvency and restructuring laws. </w:t>
            </w:r>
            <w:r>
              <w:rPr>
                <w:rFonts w:ascii="Times New Roman" w:hAnsi="Times New Roman" w:cs="Times New Roman"/>
                <w:noProof/>
                <w:sz w:val="24"/>
                <w:szCs w:val="24"/>
              </w:rPr>
              <w:t xml:space="preserve">Although it is difficult to assess how much in assessment of recovery rate can </w:t>
            </w:r>
            <w:r>
              <w:rPr>
                <w:rFonts w:ascii="Times New Roman" w:hAnsi="Times New Roman" w:cs="Times New Roman"/>
                <w:noProof/>
                <w:sz w:val="24"/>
                <w:szCs w:val="24"/>
              </w:rPr>
              <w:t xml:space="preserve">be associated with parts of the insolvency framework on restructuring and second chance, if all EU Member States were to reach a recovery rate of 85 percent, this would imply a permanent increase in GDP of €41bn to €78bn (or between 0.3% and 0.55% of EU28 </w:t>
            </w:r>
            <w:r>
              <w:rPr>
                <w:rFonts w:ascii="Times New Roman" w:hAnsi="Times New Roman" w:cs="Times New Roman"/>
                <w:noProof/>
                <w:sz w:val="24"/>
                <w:szCs w:val="24"/>
              </w:rPr>
              <w:t>GDP). The distribution of macroeconomic effects suggests that much of the absolute gains from insolvency reform could flow to Italy, Spain and France, as well as some central European member states such as Poland, Hungary and Romania</w:t>
            </w:r>
            <w:r>
              <w:rPr>
                <w:rFonts w:ascii="Times New Roman" w:hAnsi="Times New Roman" w:cs="Times New Roman"/>
                <w:noProof/>
                <w:sz w:val="24"/>
                <w:szCs w:val="24"/>
                <w:vertAlign w:val="superscript"/>
              </w:rPr>
              <w:footnoteReference w:id="195"/>
            </w:r>
            <w:r>
              <w:rPr>
                <w:rFonts w:ascii="Times New Roman" w:hAnsi="Times New Roman" w:cs="Times New Roman"/>
                <w:noProof/>
                <w:sz w:val="24"/>
                <w:szCs w:val="24"/>
              </w:rPr>
              <w:t>.</w:t>
            </w:r>
          </w:p>
        </w:tc>
      </w:tr>
      <w:tr w:rsidR="00B32D69">
        <w:trPr>
          <w:trHeight w:val="20"/>
        </w:trPr>
        <w:tc>
          <w:tcPr>
            <w:tcW w:w="1870" w:type="dxa"/>
            <w:tcBorders>
              <w:top w:val="single" w:sz="4" w:space="0" w:color="auto"/>
              <w:left w:val="single" w:sz="4" w:space="0" w:color="auto"/>
              <w:bottom w:val="single" w:sz="4" w:space="0" w:color="auto"/>
              <w:right w:val="single" w:sz="4" w:space="0" w:color="auto"/>
            </w:tcBorders>
            <w:shd w:val="clear" w:color="auto" w:fill="F2F2F2"/>
            <w:hideMark/>
          </w:tcPr>
          <w:p w:rsidR="00B32D69" w:rsidRDefault="00FB661A">
            <w:pPr>
              <w:autoSpaceDE w:val="0"/>
              <w:autoSpaceDN w:val="0"/>
              <w:adjustRightInd w:val="0"/>
              <w:spacing w:before="60" w:after="60" w:line="240" w:lineRule="auto"/>
              <w:rPr>
                <w:rFonts w:ascii="Times New Roman" w:eastAsia="Calibri" w:hAnsi="Times New Roman" w:cs="Times New Roman"/>
                <w:i/>
                <w:noProof/>
                <w:sz w:val="24"/>
                <w:szCs w:val="24"/>
                <w:lang w:eastAsia="en-GB"/>
              </w:rPr>
            </w:pPr>
            <w:r>
              <w:rPr>
                <w:rFonts w:ascii="Times New Roman" w:eastAsia="Times New Roman" w:hAnsi="Times New Roman" w:cs="Times New Roman"/>
                <w:i/>
                <w:noProof/>
                <w:sz w:val="24"/>
                <w:szCs w:val="24"/>
              </w:rPr>
              <w:t>Reduce the costs of</w:t>
            </w:r>
            <w:r>
              <w:rPr>
                <w:rFonts w:ascii="Times New Roman" w:eastAsia="Times New Roman" w:hAnsi="Times New Roman" w:cs="Times New Roman"/>
                <w:i/>
                <w:noProof/>
                <w:sz w:val="24"/>
                <w:szCs w:val="24"/>
              </w:rPr>
              <w:t xml:space="preserve"> restructuring, including for the groups of companies, so that viable companies are rescued rather than liquidated </w:t>
            </w:r>
          </w:p>
        </w:tc>
        <w:tc>
          <w:tcPr>
            <w:tcW w:w="731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B32D69" w:rsidRDefault="00FB661A">
            <w:pPr>
              <w:autoSpaceDE w:val="0"/>
              <w:autoSpaceDN w:val="0"/>
              <w:adjustRightInd w:val="0"/>
              <w:spacing w:before="60" w:after="240" w:line="240" w:lineRule="auto"/>
              <w:jc w:val="both"/>
              <w:rPr>
                <w:rFonts w:ascii="Times New Roman" w:eastAsia="Times New Roman" w:hAnsi="Times New Roman" w:cs="Times New Roman"/>
                <w:noProof/>
                <w:color w:val="000000"/>
                <w:sz w:val="24"/>
                <w:szCs w:val="24"/>
                <w:lang w:eastAsia="en-GB"/>
              </w:rPr>
            </w:pPr>
            <w:r>
              <w:rPr>
                <w:rFonts w:ascii="Times New Roman" w:eastAsia="Calibri" w:hAnsi="Times New Roman" w:cs="Times New Roman"/>
                <w:b/>
                <w:noProof/>
                <w:sz w:val="24"/>
                <w:szCs w:val="24"/>
                <w:lang w:eastAsia="en-GB"/>
              </w:rPr>
              <w:t>The impacts of the preferred option 4 on restructuring costs will be potentially significant in several Member States</w:t>
            </w:r>
            <w:r>
              <w:rPr>
                <w:rFonts w:ascii="Times New Roman" w:eastAsia="Calibri" w:hAnsi="Times New Roman" w:cs="Times New Roman"/>
                <w:noProof/>
                <w:sz w:val="24"/>
                <w:szCs w:val="24"/>
                <w:lang w:eastAsia="en-GB"/>
              </w:rPr>
              <w:t xml:space="preserve"> (in particular BG, DK, SK, SI, HR, CY, EE, IE, LT, LU, NL, PL, RO) and of minimal order of magnitude in terms of savings in other Member States (€135-223 m in particular in BE, DE, FR, FI, SE, LV), plus other unquantified savings. Option 4 would enhance t</w:t>
            </w:r>
            <w:r>
              <w:rPr>
                <w:rFonts w:ascii="Times New Roman" w:eastAsia="Calibri" w:hAnsi="Times New Roman" w:cs="Times New Roman"/>
                <w:noProof/>
                <w:sz w:val="24"/>
                <w:szCs w:val="24"/>
                <w:lang w:eastAsia="en-GB"/>
              </w:rPr>
              <w:t xml:space="preserve">he prospects of realising a higher number of restructurings of cross-border groups the costs of which are currently prohibitive due to widely differing national restructuring laws. </w:t>
            </w:r>
            <w:r>
              <w:rPr>
                <w:rFonts w:ascii="Times New Roman" w:eastAsia="Times New Roman" w:hAnsi="Times New Roman" w:cs="Times New Roman"/>
                <w:noProof/>
                <w:color w:val="000000"/>
                <w:sz w:val="24"/>
                <w:szCs w:val="24"/>
                <w:lang w:eastAsia="en-GB"/>
              </w:rPr>
              <w:t xml:space="preserve">Furthermore, the solution under the preferred option 4 will </w:t>
            </w:r>
            <w:r>
              <w:rPr>
                <w:rFonts w:ascii="Times New Roman" w:eastAsia="Times New Roman" w:hAnsi="Times New Roman" w:cs="Times New Roman"/>
                <w:noProof/>
                <w:sz w:val="24"/>
                <w:szCs w:val="24"/>
                <w:lang w:eastAsia="en-GB"/>
              </w:rPr>
              <w:t>reduce the barr</w:t>
            </w:r>
            <w:r>
              <w:rPr>
                <w:rFonts w:ascii="Times New Roman" w:eastAsia="Times New Roman" w:hAnsi="Times New Roman" w:cs="Times New Roman"/>
                <w:noProof/>
                <w:sz w:val="24"/>
                <w:szCs w:val="24"/>
                <w:lang w:eastAsia="en-GB"/>
              </w:rPr>
              <w:t>iers for cross-border crediting of SMEs:</w:t>
            </w:r>
            <w:r>
              <w:rPr>
                <w:rFonts w:ascii="Times New Roman" w:eastAsia="Times New Roman" w:hAnsi="Times New Roman" w:cs="Times New Roman"/>
                <w:noProof/>
                <w:color w:val="000000"/>
                <w:sz w:val="24"/>
                <w:szCs w:val="24"/>
                <w:lang w:eastAsia="en-GB"/>
              </w:rPr>
              <w:t xml:space="preserve"> an efficient restructuring procedure would enable SMEs to recover more than in the case of the insolvency of the debtor, since creditors’ recovery rates are in general higher where the insolvency framework allows for early and efficient restructuring of v</w:t>
            </w:r>
            <w:r>
              <w:rPr>
                <w:rFonts w:ascii="Times New Roman" w:eastAsia="Times New Roman" w:hAnsi="Times New Roman" w:cs="Times New Roman"/>
                <w:noProof/>
                <w:color w:val="000000"/>
                <w:sz w:val="24"/>
                <w:szCs w:val="24"/>
                <w:lang w:eastAsia="en-GB"/>
              </w:rPr>
              <w:t xml:space="preserve">iable firms and quick resolution of the non-viable ones. Moreover, in the public consultation and the dedicated meetings with the stakeholders, business and banking sector considered that minimum standards on insolvency practitioners and specialisation of </w:t>
            </w:r>
            <w:r>
              <w:rPr>
                <w:rFonts w:ascii="Times New Roman" w:eastAsia="Times New Roman" w:hAnsi="Times New Roman" w:cs="Times New Roman"/>
                <w:noProof/>
                <w:color w:val="000000"/>
                <w:sz w:val="24"/>
                <w:szCs w:val="24"/>
                <w:lang w:eastAsia="en-GB"/>
              </w:rPr>
              <w:t>judges could contribute significantly to the increase in recovery rates.</w:t>
            </w:r>
          </w:p>
          <w:p w:rsidR="00B32D69" w:rsidRDefault="00FB661A">
            <w:pPr>
              <w:spacing w:after="24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majority of the respondents in the performed public consultation agreed that measures enabling the rescue of viable companies are essential for mitigating the problem of non-perfo</w:t>
            </w:r>
            <w:r>
              <w:rPr>
                <w:rFonts w:ascii="Times New Roman" w:hAnsi="Times New Roman" w:cs="Times New Roman"/>
                <w:noProof/>
                <w:sz w:val="24"/>
                <w:szCs w:val="24"/>
                <w:lang w:val="en-US"/>
              </w:rPr>
              <w:t>rming loans, while less were of the view that measures to improve the effectiveness of insolvency proceedings can also contribute to reducing the problem of non-performing loans. It was in general stressed that the problem of NPLs can be dealt more effecti</w:t>
            </w:r>
            <w:r>
              <w:rPr>
                <w:rFonts w:ascii="Times New Roman" w:hAnsi="Times New Roman" w:cs="Times New Roman"/>
                <w:noProof/>
                <w:sz w:val="24"/>
                <w:szCs w:val="24"/>
                <w:lang w:val="en-US"/>
              </w:rPr>
              <w:t>vely in a system providing for realistic possibilities of an effective restructuring and debt enforcement on the one hand and a prompt discharge of what is not realistically recoverable on the other hand. More particularly, the banking sector and legal and</w:t>
            </w:r>
            <w:r>
              <w:rPr>
                <w:rFonts w:ascii="Times New Roman" w:hAnsi="Times New Roman" w:cs="Times New Roman"/>
                <w:noProof/>
                <w:sz w:val="24"/>
                <w:szCs w:val="24"/>
                <w:lang w:val="en-US"/>
              </w:rPr>
              <w:t xml:space="preserve"> insolvency practitioners supported the view that early restructuring measures result in better recovery for lenders since they can allow rescued companies to repay their loans (at least in part) and to continue to make a positive contribution to the econo</w:t>
            </w:r>
            <w:r>
              <w:rPr>
                <w:rFonts w:ascii="Times New Roman" w:hAnsi="Times New Roman" w:cs="Times New Roman"/>
                <w:noProof/>
                <w:sz w:val="24"/>
                <w:szCs w:val="24"/>
                <w:lang w:val="en-US"/>
              </w:rPr>
              <w:t>my. Also in the view of financial and banking sector, creditors and investors' certainty concerning legal outcomes particularly as to the enforceability of the loans and the effectiveness of the restructuring initiatives will lead to the efficient resoluti</w:t>
            </w:r>
            <w:r>
              <w:rPr>
                <w:rFonts w:ascii="Times New Roman" w:hAnsi="Times New Roman" w:cs="Times New Roman"/>
                <w:noProof/>
                <w:sz w:val="24"/>
                <w:szCs w:val="24"/>
                <w:lang w:val="en-US"/>
              </w:rPr>
              <w:t>on of NPLs in Europe.</w:t>
            </w:r>
          </w:p>
          <w:p w:rsidR="00B32D69" w:rsidRDefault="00FB661A">
            <w:pPr>
              <w:spacing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concrete terms, the length of procedures will be reduced in a number of ways:</w:t>
            </w:r>
          </w:p>
          <w:p w:rsidR="00B32D69" w:rsidRDefault="00FB661A">
            <w:pPr>
              <w:pStyle w:val="ListParagraph"/>
              <w:numPr>
                <w:ilvl w:val="0"/>
                <w:numId w:val="28"/>
              </w:numPr>
              <w:spacing w:after="120" w:line="240" w:lineRule="auto"/>
              <w:ind w:left="567" w:hanging="567"/>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 maximum four months limit to the stay of enforcement actions; prolongation would be possible but only upon evidence of progress in the negotiations and</w:t>
            </w:r>
            <w:r>
              <w:rPr>
                <w:rFonts w:ascii="Times New Roman" w:hAnsi="Times New Roman" w:cs="Times New Roman"/>
                <w:noProof/>
                <w:sz w:val="24"/>
                <w:szCs w:val="24"/>
                <w:lang w:val="en-US"/>
              </w:rPr>
              <w:t xml:space="preserve"> in any case it should not be longer than 12 months, </w:t>
            </w:r>
          </w:p>
          <w:p w:rsidR="00B32D69" w:rsidRDefault="00FB661A">
            <w:pPr>
              <w:pStyle w:val="ListParagraph"/>
              <w:numPr>
                <w:ilvl w:val="0"/>
                <w:numId w:val="28"/>
              </w:numPr>
              <w:spacing w:after="120" w:line="240" w:lineRule="auto"/>
              <w:ind w:left="567" w:hanging="567"/>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courts must decide with expedience,</w:t>
            </w:r>
          </w:p>
          <w:p w:rsidR="00B32D69" w:rsidRDefault="00FB661A">
            <w:pPr>
              <w:pStyle w:val="ListParagraph"/>
              <w:numPr>
                <w:ilvl w:val="0"/>
                <w:numId w:val="28"/>
              </w:numPr>
              <w:spacing w:after="120" w:line="240" w:lineRule="auto"/>
              <w:ind w:left="567" w:hanging="567"/>
              <w:contextualSpacing w:val="0"/>
              <w:jc w:val="both"/>
              <w:rPr>
                <w:rFonts w:ascii="Times New Roman" w:eastAsia="Calibri" w:hAnsi="Times New Roman" w:cs="Times New Roman"/>
                <w:noProof/>
                <w:sz w:val="24"/>
                <w:szCs w:val="24"/>
                <w:lang w:val="en-US" w:eastAsia="en-GB"/>
              </w:rPr>
            </w:pPr>
            <w:r>
              <w:rPr>
                <w:rFonts w:ascii="Times New Roman" w:hAnsi="Times New Roman" w:cs="Times New Roman"/>
                <w:noProof/>
                <w:sz w:val="24"/>
                <w:szCs w:val="24"/>
                <w:lang w:val="en-US"/>
              </w:rPr>
              <w:t>challenges and appeals shall not be able to suspend confirmation and application of restructuring plans.</w:t>
            </w:r>
          </w:p>
          <w:p w:rsidR="00B32D69" w:rsidRDefault="00FB661A">
            <w:pPr>
              <w:spacing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Finally, by requiring specialisation of insolvency courts and</w:t>
            </w:r>
            <w:r>
              <w:rPr>
                <w:rFonts w:ascii="Times New Roman" w:hAnsi="Times New Roman" w:cs="Times New Roman"/>
                <w:noProof/>
                <w:sz w:val="24"/>
                <w:szCs w:val="24"/>
                <w:lang w:val="en-US"/>
              </w:rPr>
              <w:t xml:space="preserve"> judges, the proposal will oblige Member States to enhance quality and speed of restructuring procedures which are of essence for successful restructurings.</w:t>
            </w:r>
          </w:p>
          <w:p w:rsidR="00B32D69" w:rsidRDefault="00FB661A">
            <w:pPr>
              <w:spacing w:after="120" w:line="240" w:lineRule="auto"/>
              <w:jc w:val="both"/>
              <w:rPr>
                <w:rFonts w:ascii="Times New Roman" w:eastAsia="Calibri" w:hAnsi="Times New Roman" w:cs="Times New Roman"/>
                <w:noProof/>
                <w:sz w:val="24"/>
                <w:szCs w:val="24"/>
                <w:lang w:val="en-US" w:eastAsia="en-GB"/>
              </w:rPr>
            </w:pPr>
            <w:r>
              <w:rPr>
                <w:rFonts w:ascii="Times New Roman" w:hAnsi="Times New Roman" w:cs="Times New Roman"/>
                <w:noProof/>
                <w:sz w:val="24"/>
                <w:szCs w:val="24"/>
                <w:lang w:val="en-US"/>
              </w:rPr>
              <w:t xml:space="preserve">Conservatively, if only the reduction of the stay period should have an impact (assuming all other </w:t>
            </w:r>
            <w:r>
              <w:rPr>
                <w:rFonts w:ascii="Times New Roman" w:hAnsi="Times New Roman" w:cs="Times New Roman"/>
                <w:noProof/>
                <w:sz w:val="24"/>
                <w:szCs w:val="24"/>
                <w:lang w:val="en-US"/>
              </w:rPr>
              <w:t xml:space="preserve">elements are complies with), one can estimate that length of restructuring procedures will, for example, be halved in LU and reduced by 1/3 in France. </w:t>
            </w:r>
          </w:p>
        </w:tc>
      </w:tr>
      <w:tr w:rsidR="00B32D69">
        <w:trPr>
          <w:trHeight w:val="20"/>
        </w:trPr>
        <w:tc>
          <w:tcPr>
            <w:tcW w:w="18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B32D69" w:rsidRDefault="00FB661A">
            <w:pPr>
              <w:autoSpaceDE w:val="0"/>
              <w:autoSpaceDN w:val="0"/>
              <w:adjustRightInd w:val="0"/>
              <w:spacing w:before="60" w:after="60" w:line="240" w:lineRule="auto"/>
              <w:rPr>
                <w:rFonts w:ascii="Times New Roman" w:eastAsia="Calibri" w:hAnsi="Times New Roman" w:cs="Times New Roman"/>
                <w:i/>
                <w:noProof/>
                <w:sz w:val="24"/>
                <w:szCs w:val="24"/>
                <w:lang w:eastAsia="en-GB"/>
              </w:rPr>
            </w:pPr>
            <w:r>
              <w:rPr>
                <w:rFonts w:ascii="Times New Roman" w:eastAsia="Times New Roman" w:hAnsi="Times New Roman" w:cs="Times New Roman"/>
                <w:i/>
                <w:noProof/>
                <w:sz w:val="24"/>
                <w:szCs w:val="24"/>
              </w:rPr>
              <w:t xml:space="preserve">Reduce the number of natural persons (entrepreneurs and consumers) in a debt-trap so that these natural persons could create new companies and re-integrate in economic life of a society to support a dynamic business environment  </w:t>
            </w:r>
          </w:p>
        </w:tc>
        <w:tc>
          <w:tcPr>
            <w:tcW w:w="731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B32D69" w:rsidRDefault="00FB661A">
            <w:pPr>
              <w:autoSpaceDE w:val="0"/>
              <w:autoSpaceDN w:val="0"/>
              <w:adjustRightInd w:val="0"/>
              <w:spacing w:before="60" w:after="240" w:line="240" w:lineRule="auto"/>
              <w:jc w:val="both"/>
              <w:rPr>
                <w:rFonts w:ascii="Times New Roman" w:eastAsia="Calibri" w:hAnsi="Times New Roman" w:cs="Times New Roman"/>
                <w:noProof/>
                <w:sz w:val="24"/>
                <w:szCs w:val="24"/>
                <w:lang w:val="en-US" w:eastAsia="en-GB"/>
              </w:rPr>
            </w:pPr>
            <w:r>
              <w:rPr>
                <w:rFonts w:ascii="Times New Roman" w:hAnsi="Times New Roman" w:cs="Times New Roman"/>
                <w:b/>
                <w:noProof/>
                <w:sz w:val="24"/>
                <w:szCs w:val="24"/>
              </w:rPr>
              <w:t>The selected option 4 will</w:t>
            </w:r>
            <w:r>
              <w:rPr>
                <w:rFonts w:ascii="Times New Roman" w:hAnsi="Times New Roman" w:cs="Times New Roman"/>
                <w:b/>
                <w:noProof/>
                <w:sz w:val="24"/>
                <w:szCs w:val="24"/>
              </w:rPr>
              <w:t xml:space="preserve"> reduce the number of natural persons-entrepreneurs trapped in debt. </w:t>
            </w:r>
            <w:r>
              <w:rPr>
                <w:rFonts w:ascii="Times New Roman" w:hAnsi="Times New Roman" w:cs="Times New Roman"/>
                <w:noProof/>
                <w:sz w:val="24"/>
                <w:szCs w:val="24"/>
              </w:rPr>
              <w:t xml:space="preserve">This will also increase the rate of self-employment in the EU </w:t>
            </w:r>
            <w:r>
              <w:rPr>
                <w:rFonts w:ascii="Times New Roman" w:eastAsia="Times New Roman" w:hAnsi="Times New Roman" w:cs="Times New Roman"/>
                <w:noProof/>
                <w:sz w:val="24"/>
                <w:szCs w:val="24"/>
              </w:rPr>
              <w:t>since a reduction in the discharge period increases the rate of self-employment in total employment</w:t>
            </w:r>
            <w:r>
              <w:rPr>
                <w:rFonts w:eastAsia="Times New Roman" w:cs="Times New Roman"/>
                <w:noProof/>
                <w:sz w:val="24"/>
                <w:szCs w:val="24"/>
                <w:vertAlign w:val="superscript"/>
              </w:rPr>
              <w:footnoteReference w:id="196"/>
            </w:r>
            <w:r>
              <w:rPr>
                <w:rFonts w:ascii="Times New Roman" w:eastAsia="Times New Roman" w:hAnsi="Times New Roman" w:cs="Times New Roman"/>
                <w:noProof/>
                <w:sz w:val="24"/>
                <w:szCs w:val="24"/>
              </w:rPr>
              <w:t>. During the ‘Sounding Board’ meetings, business and practitioners’ organisations, consumers organisations as well as academics acknowledged that a second chance approach accompanied with adequate safeguards will be beneficial for allowing entrepreneurs to</w:t>
            </w:r>
            <w:r>
              <w:rPr>
                <w:rFonts w:ascii="Times New Roman" w:eastAsia="Times New Roman" w:hAnsi="Times New Roman" w:cs="Times New Roman"/>
                <w:noProof/>
                <w:sz w:val="24"/>
                <w:szCs w:val="24"/>
              </w:rPr>
              <w:t xml:space="preserve"> re-enter in the productive economy. At one end of the spectrum there are countries such as Cyprus, Hungary, Italy, Lithuania, Malta, Portugal, and Romania, where currently there is no discharge period for entrepreneurs and where the impact of 3-year disch</w:t>
            </w:r>
            <w:r>
              <w:rPr>
                <w:rFonts w:ascii="Times New Roman" w:eastAsia="Times New Roman" w:hAnsi="Times New Roman" w:cs="Times New Roman"/>
                <w:noProof/>
                <w:sz w:val="24"/>
                <w:szCs w:val="24"/>
              </w:rPr>
              <w:t>arge period would be significant. The number of new businesses each year in Greece, for example, would double. On the other hand, in the countries which have already have a period to discharge of less than 3 years or even less than a year (Belgium (less th</w:t>
            </w:r>
            <w:r>
              <w:rPr>
                <w:rFonts w:ascii="Times New Roman" w:eastAsia="Times New Roman" w:hAnsi="Times New Roman" w:cs="Times New Roman"/>
                <w:noProof/>
                <w:sz w:val="24"/>
                <w:szCs w:val="24"/>
              </w:rPr>
              <w:t>an 1), Bulgaria (1), Denmark (3), Estonia (3), France (3), Ireland (3), Latvia (3), the Netherlands (3), Poland (1), Slovakia (3) and the United Kingdom (1)) the impact would be only marginal and would be achieved by reducing in practice the discharge peri</w:t>
            </w:r>
            <w:r>
              <w:rPr>
                <w:rFonts w:ascii="Times New Roman" w:eastAsia="Times New Roman" w:hAnsi="Times New Roman" w:cs="Times New Roman"/>
                <w:noProof/>
                <w:sz w:val="24"/>
                <w:szCs w:val="24"/>
              </w:rPr>
              <w:t xml:space="preserve">od to even less than what it is now. </w:t>
            </w:r>
          </w:p>
        </w:tc>
      </w:tr>
      <w:tr w:rsidR="00B32D69">
        <w:trPr>
          <w:trHeight w:val="20"/>
        </w:trPr>
        <w:tc>
          <w:tcPr>
            <w:tcW w:w="9180"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B32D69" w:rsidRDefault="00FB661A">
            <w:pPr>
              <w:autoSpaceDE w:val="0"/>
              <w:autoSpaceDN w:val="0"/>
              <w:adjustRightInd w:val="0"/>
              <w:spacing w:before="60" w:after="60" w:line="240" w:lineRule="auto"/>
              <w:jc w:val="center"/>
              <w:rPr>
                <w:rFonts w:ascii="Times New Roman" w:eastAsia="Calibri" w:hAnsi="Times New Roman" w:cs="Times New Roman"/>
                <w:noProof/>
                <w:sz w:val="20"/>
                <w:szCs w:val="20"/>
                <w:lang w:eastAsia="en-GB"/>
              </w:rPr>
            </w:pPr>
            <w:r>
              <w:rPr>
                <w:rFonts w:ascii="Times New Roman" w:eastAsia="Calibri" w:hAnsi="Times New Roman" w:cs="Times New Roman"/>
                <w:b/>
                <w:noProof/>
                <w:sz w:val="24"/>
                <w:szCs w:val="24"/>
                <w:lang w:eastAsia="en-GB"/>
              </w:rPr>
              <w:t>Key impacts</w:t>
            </w:r>
          </w:p>
        </w:tc>
      </w:tr>
      <w:tr w:rsidR="00B32D69">
        <w:trPr>
          <w:trHeight w:val="20"/>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32D69" w:rsidRDefault="00FB661A">
            <w:pPr>
              <w:spacing w:before="60" w:after="60" w:line="240" w:lineRule="auto"/>
              <w:jc w:val="center"/>
              <w:rPr>
                <w:rFonts w:ascii="Times New Roman" w:hAnsi="Times New Roman" w:cs="Times New Roman"/>
                <w:i/>
                <w:noProof/>
                <w:sz w:val="24"/>
                <w:szCs w:val="24"/>
                <w:lang w:eastAsia="en-GB"/>
              </w:rPr>
            </w:pPr>
            <w:r>
              <w:rPr>
                <w:rFonts w:ascii="Times New Roman" w:hAnsi="Times New Roman" w:cs="Times New Roman"/>
                <w:i/>
                <w:noProof/>
                <w:sz w:val="24"/>
                <w:szCs w:val="24"/>
              </w:rPr>
              <w:t>Entrepreneurship and innovation</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2D69" w:rsidRDefault="00FB661A">
            <w:pPr>
              <w:autoSpaceDE w:val="0"/>
              <w:autoSpaceDN w:val="0"/>
              <w:adjustRightInd w:val="0"/>
              <w:spacing w:before="60" w:after="6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b/>
                <w:noProof/>
                <w:sz w:val="24"/>
                <w:szCs w:val="24"/>
                <w:lang w:eastAsia="en-GB"/>
              </w:rPr>
              <w:t>The impact on entrepreneurship will be positive</w:t>
            </w:r>
            <w:r>
              <w:rPr>
                <w:rFonts w:ascii="Times New Roman" w:eastAsia="Calibri" w:hAnsi="Times New Roman" w:cs="Times New Roman"/>
                <w:noProof/>
                <w:sz w:val="24"/>
                <w:szCs w:val="24"/>
                <w:lang w:eastAsia="en-GB"/>
              </w:rPr>
              <w:t xml:space="preserve">. </w:t>
            </w:r>
            <w:r>
              <w:rPr>
                <w:rFonts w:ascii="Times New Roman" w:hAnsi="Times New Roman" w:cs="Times New Roman"/>
                <w:noProof/>
                <w:sz w:val="24"/>
                <w:szCs w:val="24"/>
              </w:rPr>
              <w:t xml:space="preserve">The latest analysis of enterprise mortality rates shows that on average across Member States, only 82% of firms created in </w:t>
            </w:r>
            <w:r>
              <w:rPr>
                <w:rFonts w:ascii="Times New Roman" w:hAnsi="Times New Roman" w:cs="Times New Roman"/>
                <w:noProof/>
                <w:sz w:val="24"/>
                <w:szCs w:val="24"/>
              </w:rPr>
              <w:t>2012 and 67% of firms created in 2011 survived in 2013. In other words, the death rate of newly created firms is about 1/3 after two years</w:t>
            </w:r>
            <w:r>
              <w:rPr>
                <w:rFonts w:cs="Times New Roman"/>
                <w:noProof/>
                <w:sz w:val="24"/>
                <w:szCs w:val="24"/>
                <w:vertAlign w:val="superscript"/>
              </w:rPr>
              <w:footnoteReference w:id="197"/>
            </w:r>
            <w:r>
              <w:rPr>
                <w:rFonts w:ascii="Times New Roman" w:hAnsi="Times New Roman" w:cs="Times New Roman"/>
                <w:noProof/>
                <w:sz w:val="24"/>
                <w:szCs w:val="24"/>
              </w:rPr>
              <w:t>. Since any liquidation can potentially cause a chain effect of further insolvencies (according to most recent Eurost</w:t>
            </w:r>
            <w:r>
              <w:rPr>
                <w:rFonts w:ascii="Times New Roman" w:hAnsi="Times New Roman" w:cs="Times New Roman"/>
                <w:noProof/>
                <w:sz w:val="24"/>
                <w:szCs w:val="24"/>
              </w:rPr>
              <w:t>at data available for 2011, cross-border sales constituted 17,6% of the whole value of sales in Europe) firms further upstream or downstream in the supply chain in one Member State may face financial difficulties because of the insolvency of a firm in anot</w:t>
            </w:r>
            <w:r>
              <w:rPr>
                <w:rFonts w:ascii="Times New Roman" w:hAnsi="Times New Roman" w:cs="Times New Roman"/>
                <w:noProof/>
                <w:sz w:val="24"/>
                <w:szCs w:val="24"/>
              </w:rPr>
              <w:t xml:space="preserve">her Member State, even if they have no direct dealings with that firm. </w:t>
            </w:r>
            <w:r>
              <w:rPr>
                <w:rFonts w:ascii="Times New Roman" w:eastAsia="Calibri" w:hAnsi="Times New Roman" w:cs="Times New Roman"/>
                <w:noProof/>
                <w:sz w:val="24"/>
                <w:szCs w:val="24"/>
                <w:lang w:eastAsia="en-GB"/>
              </w:rPr>
              <w:t>By promoting a more flexible restructuring framework and better conditions for fresh start upon failure, the death rate of companies can be reduced as well as the negative knock-on effe</w:t>
            </w:r>
            <w:r>
              <w:rPr>
                <w:rFonts w:ascii="Times New Roman" w:eastAsia="Calibri" w:hAnsi="Times New Roman" w:cs="Times New Roman"/>
                <w:noProof/>
                <w:sz w:val="24"/>
                <w:szCs w:val="24"/>
                <w:lang w:eastAsia="en-GB"/>
              </w:rPr>
              <w:t>cts of related insolvencies in the supply chain.Easier discharge conditions for entrepreneurs also contribute to greater innovation</w:t>
            </w:r>
            <w:r>
              <w:rPr>
                <w:rFonts w:ascii="Times New Roman" w:eastAsia="Calibri" w:hAnsi="Times New Roman" w:cs="Times New Roman"/>
                <w:noProof/>
                <w:sz w:val="24"/>
                <w:szCs w:val="24"/>
                <w:vertAlign w:val="superscript"/>
                <w:lang w:eastAsia="en-GB"/>
              </w:rPr>
              <w:footnoteReference w:id="198"/>
            </w:r>
            <w:r>
              <w:rPr>
                <w:rFonts w:ascii="Times New Roman" w:eastAsia="Calibri" w:hAnsi="Times New Roman" w:cs="Times New Roman"/>
                <w:noProof/>
                <w:sz w:val="24"/>
                <w:szCs w:val="24"/>
                <w:lang w:eastAsia="en-GB"/>
              </w:rPr>
              <w:t>.</w:t>
            </w:r>
          </w:p>
        </w:tc>
      </w:tr>
      <w:tr w:rsidR="00B32D69">
        <w:trPr>
          <w:trHeight w:val="20"/>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32D69" w:rsidRDefault="00FB661A">
            <w:pPr>
              <w:autoSpaceDE w:val="0"/>
              <w:autoSpaceDN w:val="0"/>
              <w:adjustRightInd w:val="0"/>
              <w:spacing w:before="60" w:after="60" w:line="240" w:lineRule="auto"/>
              <w:jc w:val="center"/>
              <w:rPr>
                <w:rFonts w:ascii="Times New Roman" w:eastAsia="Calibri" w:hAnsi="Times New Roman" w:cs="Times New Roman"/>
                <w:i/>
                <w:noProof/>
                <w:sz w:val="24"/>
                <w:szCs w:val="24"/>
              </w:rPr>
            </w:pPr>
            <w:r>
              <w:rPr>
                <w:rFonts w:ascii="Times New Roman" w:eastAsia="Calibri" w:hAnsi="Times New Roman" w:cs="Times New Roman"/>
                <w:i/>
                <w:noProof/>
                <w:sz w:val="24"/>
                <w:szCs w:val="24"/>
              </w:rPr>
              <w:t>Consumption and growth</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2D69" w:rsidRDefault="00FB661A">
            <w:pPr>
              <w:autoSpaceDE w:val="0"/>
              <w:autoSpaceDN w:val="0"/>
              <w:adjustRightInd w:val="0"/>
              <w:spacing w:before="60" w:after="24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b/>
                <w:noProof/>
                <w:sz w:val="24"/>
                <w:szCs w:val="24"/>
                <w:lang w:eastAsia="en-GB"/>
              </w:rPr>
              <w:t>The option will positively contribute to consumption and growth</w:t>
            </w:r>
            <w:r>
              <w:rPr>
                <w:rFonts w:ascii="Times New Roman" w:eastAsia="Calibri" w:hAnsi="Times New Roman" w:cs="Times New Roman"/>
                <w:noProof/>
                <w:sz w:val="24"/>
                <w:szCs w:val="24"/>
                <w:lang w:eastAsia="en-GB"/>
              </w:rPr>
              <w:t>, due to enhanced possibilities for</w:t>
            </w:r>
            <w:r>
              <w:rPr>
                <w:rFonts w:ascii="Times New Roman" w:eastAsia="Calibri" w:hAnsi="Times New Roman" w:cs="Times New Roman"/>
                <w:noProof/>
                <w:sz w:val="24"/>
                <w:szCs w:val="24"/>
                <w:lang w:eastAsia="en-GB"/>
              </w:rPr>
              <w:t xml:space="preserve"> companies to continue their operations and keep employment. Since (i) more efficient restructuring procedures lead to a speedier normalisation of portfolios of non-performing loans, and (ii) there is a significant negative relationship between resolution </w:t>
            </w:r>
            <w:r>
              <w:rPr>
                <w:rFonts w:ascii="Times New Roman" w:eastAsia="Calibri" w:hAnsi="Times New Roman" w:cs="Times New Roman"/>
                <w:noProof/>
                <w:sz w:val="24"/>
                <w:szCs w:val="24"/>
                <w:lang w:eastAsia="en-GB"/>
              </w:rPr>
              <w:t>of corporate non-performing loans and GDP growth - 1 percentage point reduction in the ratio of debt to financial assets leads to about 0.4 percentage points less GDP growth – increasing efficiency of restructuring proceedings should positively influence t</w:t>
            </w:r>
            <w:r>
              <w:rPr>
                <w:rFonts w:ascii="Times New Roman" w:eastAsia="Calibri" w:hAnsi="Times New Roman" w:cs="Times New Roman"/>
                <w:noProof/>
                <w:sz w:val="24"/>
                <w:szCs w:val="24"/>
                <w:lang w:eastAsia="en-GB"/>
              </w:rPr>
              <w:t>he growth of GDP. It will have a positive impact for natural persons-entrepreneurs to come back to professional life and previous consumption, after using discharge and second chance possibility. Furthermore, according to a study carried out in 2006, GDP g</w:t>
            </w:r>
            <w:r>
              <w:rPr>
                <w:rFonts w:ascii="Times New Roman" w:eastAsia="Calibri" w:hAnsi="Times New Roman" w:cs="Times New Roman"/>
                <w:noProof/>
                <w:sz w:val="24"/>
                <w:szCs w:val="24"/>
                <w:lang w:eastAsia="en-GB"/>
              </w:rPr>
              <w:t>rowth is positively correlated with a favourable attitude towards second chance</w:t>
            </w:r>
            <w:r>
              <w:rPr>
                <w:rFonts w:ascii="Times New Roman" w:hAnsi="Times New Roman" w:cs="Times New Roman"/>
                <w:noProof/>
                <w:vertAlign w:val="superscript"/>
              </w:rPr>
              <w:footnoteReference w:id="199"/>
            </w:r>
            <w:r>
              <w:rPr>
                <w:rFonts w:ascii="Times New Roman" w:hAnsi="Times New Roman" w:cs="Times New Roman"/>
                <w:noProof/>
              </w:rPr>
              <w:t>.</w:t>
            </w:r>
            <w:r>
              <w:rPr>
                <w:rFonts w:ascii="Times New Roman" w:eastAsia="Calibri" w:hAnsi="Times New Roman" w:cs="Times New Roman"/>
                <w:noProof/>
                <w:sz w:val="24"/>
                <w:szCs w:val="24"/>
                <w:lang w:eastAsia="en-GB"/>
              </w:rPr>
              <w:t xml:space="preserve"> </w:t>
            </w:r>
          </w:p>
          <w:p w:rsidR="00B32D69" w:rsidRDefault="00B32D69">
            <w:pPr>
              <w:keepNext/>
              <w:spacing w:before="240" w:after="240" w:line="240" w:lineRule="auto"/>
              <w:jc w:val="both"/>
              <w:rPr>
                <w:rFonts w:ascii="Times New Roman" w:eastAsia="Calibri" w:hAnsi="Times New Roman" w:cs="Times New Roman"/>
                <w:b/>
                <w:bCs/>
                <w:i/>
                <w:noProof/>
                <w:sz w:val="24"/>
                <w:szCs w:val="24"/>
              </w:rPr>
            </w:pPr>
          </w:p>
          <w:p w:rsidR="00B32D69" w:rsidRDefault="00B32D69">
            <w:pPr>
              <w:keepNext/>
              <w:spacing w:before="240" w:after="240" w:line="240" w:lineRule="auto"/>
              <w:jc w:val="both"/>
              <w:rPr>
                <w:rFonts w:ascii="Times New Roman" w:eastAsia="Calibri" w:hAnsi="Times New Roman" w:cs="Times New Roman"/>
                <w:b/>
                <w:bCs/>
                <w:i/>
                <w:noProof/>
                <w:sz w:val="24"/>
                <w:szCs w:val="24"/>
              </w:rPr>
            </w:pPr>
          </w:p>
          <w:p w:rsidR="00B32D69" w:rsidRDefault="00FB661A">
            <w:pPr>
              <w:keepNext/>
              <w:spacing w:before="240" w:after="240" w:line="240" w:lineRule="auto"/>
              <w:jc w:val="both"/>
              <w:rPr>
                <w:rFonts w:ascii="Times New Roman" w:eastAsia="Calibri" w:hAnsi="Times New Roman" w:cs="Times New Roman"/>
                <w:b/>
                <w:bCs/>
                <w:i/>
                <w:noProof/>
                <w:sz w:val="24"/>
                <w:szCs w:val="24"/>
              </w:rPr>
            </w:pPr>
            <w:r>
              <w:rPr>
                <w:rFonts w:ascii="Times New Roman" w:eastAsia="Calibri" w:hAnsi="Times New Roman" w:cs="Times New Roman"/>
                <w:b/>
                <w:bCs/>
                <w:i/>
                <w:noProof/>
                <w:sz w:val="24"/>
                <w:szCs w:val="24"/>
              </w:rPr>
              <w:t>Chart 7: Estimated impacts of insolvency reform on GDP and employment in the EU28</w:t>
            </w:r>
          </w:p>
          <w:p w:rsidR="00B32D69" w:rsidRDefault="00FB661A">
            <w:pPr>
              <w:spacing w:before="60" w:after="60" w:line="240" w:lineRule="auto"/>
              <w:rPr>
                <w:rFonts w:ascii="Times New Roman" w:eastAsia="Calibri" w:hAnsi="Times New Roman" w:cs="Times New Roman"/>
                <w:noProof/>
                <w:sz w:val="24"/>
                <w:szCs w:val="24"/>
                <w:lang w:eastAsia="en-GB"/>
              </w:rPr>
            </w:pPr>
            <w:r>
              <w:rPr>
                <w:noProof/>
                <w:lang w:eastAsia="en-GB"/>
              </w:rPr>
              <w:drawing>
                <wp:inline distT="0" distB="0" distL="0" distR="0">
                  <wp:extent cx="3993320" cy="250507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5621" t="31034" r="34024" b="12808"/>
                          <a:stretch/>
                        </pic:blipFill>
                        <pic:spPr bwMode="auto">
                          <a:xfrm>
                            <a:off x="0" y="0"/>
                            <a:ext cx="3998515" cy="250833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noProof/>
              </w:rPr>
              <w:t>Source: Frontier Economics and Weil, for AFME, Potential economic gains from reforming i</w:t>
            </w:r>
            <w:r>
              <w:rPr>
                <w:rFonts w:ascii="Times New Roman" w:hAnsi="Times New Roman" w:cs="Times New Roman"/>
                <w:i/>
                <w:noProof/>
              </w:rPr>
              <w:t>nsolvency law in Europe, February 2016, based on Datastream, World Bank, S&amp;P and Moody’s data</w:t>
            </w:r>
          </w:p>
        </w:tc>
      </w:tr>
      <w:tr w:rsidR="00B32D69">
        <w:trPr>
          <w:trHeight w:val="20"/>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32D69" w:rsidRDefault="00FB661A">
            <w:pPr>
              <w:spacing w:before="60" w:after="60" w:line="240" w:lineRule="auto"/>
              <w:jc w:val="center"/>
              <w:rPr>
                <w:rFonts w:ascii="Times New Roman" w:hAnsi="Times New Roman" w:cs="Times New Roman"/>
                <w:i/>
                <w:noProof/>
                <w:sz w:val="24"/>
                <w:szCs w:val="24"/>
              </w:rPr>
            </w:pPr>
            <w:r>
              <w:rPr>
                <w:rFonts w:ascii="Times New Roman" w:hAnsi="Times New Roman" w:cs="Times New Roman"/>
                <w:i/>
                <w:noProof/>
                <w:sz w:val="24"/>
                <w:szCs w:val="24"/>
              </w:rPr>
              <w:t>SMEs</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2D69" w:rsidRDefault="00FB661A">
            <w:pPr>
              <w:autoSpaceDE w:val="0"/>
              <w:autoSpaceDN w:val="0"/>
              <w:adjustRightInd w:val="0"/>
              <w:spacing w:before="60" w:after="6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b/>
                <w:noProof/>
                <w:sz w:val="24"/>
                <w:szCs w:val="24"/>
                <w:lang w:eastAsia="en-GB"/>
              </w:rPr>
              <w:t>The impact on SMEs will be positive</w:t>
            </w:r>
            <w:r>
              <w:rPr>
                <w:rFonts w:ascii="Times New Roman" w:eastAsia="Calibri" w:hAnsi="Times New Roman" w:cs="Times New Roman"/>
                <w:noProof/>
                <w:sz w:val="24"/>
                <w:szCs w:val="24"/>
                <w:lang w:eastAsia="en-GB"/>
              </w:rPr>
              <w:t>. SMEs as debtors are most likely to succumb to temporary financial difficulties, as (i) their smaller size may mean that</w:t>
            </w:r>
            <w:r>
              <w:rPr>
                <w:rFonts w:ascii="Times New Roman" w:eastAsia="Calibri" w:hAnsi="Times New Roman" w:cs="Times New Roman"/>
                <w:noProof/>
                <w:sz w:val="24"/>
                <w:szCs w:val="24"/>
                <w:lang w:eastAsia="en-GB"/>
              </w:rPr>
              <w:t xml:space="preserve"> they have fewer financial reserves on which they can draw in case of financial difficulties – often triggered by the financial difficulties of a bigger company in their network, (ii) they are most affected by the cost of restructuring and the reticence of</w:t>
            </w:r>
            <w:r>
              <w:rPr>
                <w:rFonts w:ascii="Times New Roman" w:eastAsia="Calibri" w:hAnsi="Times New Roman" w:cs="Times New Roman"/>
                <w:noProof/>
                <w:sz w:val="24"/>
                <w:szCs w:val="24"/>
                <w:lang w:eastAsia="en-GB"/>
              </w:rPr>
              <w:t xml:space="preserve"> lenders to extend new finance to companies in financial distress. A more accessible, cheaper, and faster preventive restructuring framework would afford SMEs more chances to restructure successfully and therefor are more resilient to shocks in the supply </w:t>
            </w:r>
            <w:r>
              <w:rPr>
                <w:rFonts w:ascii="Times New Roman" w:eastAsia="Calibri" w:hAnsi="Times New Roman" w:cs="Times New Roman"/>
                <w:noProof/>
                <w:sz w:val="24"/>
                <w:szCs w:val="24"/>
                <w:lang w:eastAsia="en-GB"/>
              </w:rPr>
              <w:t>chain.</w:t>
            </w:r>
          </w:p>
        </w:tc>
      </w:tr>
      <w:tr w:rsidR="00B32D69">
        <w:trPr>
          <w:trHeight w:val="20"/>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32D69" w:rsidRDefault="00FB661A">
            <w:pPr>
              <w:spacing w:before="60" w:after="60" w:line="240" w:lineRule="auto"/>
              <w:jc w:val="center"/>
              <w:rPr>
                <w:rFonts w:ascii="Times New Roman" w:hAnsi="Times New Roman" w:cs="Times New Roman"/>
                <w:i/>
                <w:noProof/>
                <w:sz w:val="24"/>
                <w:szCs w:val="24"/>
              </w:rPr>
            </w:pPr>
            <w:r>
              <w:rPr>
                <w:rFonts w:ascii="Times New Roman" w:hAnsi="Times New Roman" w:cs="Times New Roman"/>
                <w:i/>
                <w:noProof/>
                <w:sz w:val="24"/>
                <w:szCs w:val="24"/>
              </w:rPr>
              <w:t>Competitiveness</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2D69" w:rsidRDefault="00FB661A">
            <w:pPr>
              <w:spacing w:before="60" w:after="60" w:line="240" w:lineRule="auto"/>
              <w:jc w:val="both"/>
              <w:rPr>
                <w:rFonts w:ascii="Times New Roman" w:eastAsia="Calibri" w:hAnsi="Times New Roman" w:cs="Times New Roman"/>
                <w:b/>
                <w:noProof/>
                <w:sz w:val="24"/>
                <w:szCs w:val="24"/>
                <w:lang w:eastAsia="en-GB"/>
              </w:rPr>
            </w:pPr>
            <w:r>
              <w:rPr>
                <w:rFonts w:ascii="Times New Roman" w:hAnsi="Times New Roman" w:cs="Times New Roman"/>
                <w:b/>
                <w:noProof/>
                <w:sz w:val="24"/>
                <w:szCs w:val="24"/>
              </w:rPr>
              <w:t>The preferred option will contribute to higher competitiveness of EU companies</w:t>
            </w:r>
            <w:r>
              <w:rPr>
                <w:rFonts w:ascii="Times New Roman" w:hAnsi="Times New Roman" w:cs="Times New Roman"/>
                <w:noProof/>
                <w:sz w:val="24"/>
                <w:szCs w:val="24"/>
              </w:rPr>
              <w:t xml:space="preserve"> since it is expected that it will lead to increases in recovery rates which, in turn, lead to lower borrowing costs</w:t>
            </w:r>
            <w:r>
              <w:rPr>
                <w:rFonts w:cs="Times New Roman"/>
                <w:noProof/>
                <w:sz w:val="24"/>
                <w:szCs w:val="24"/>
                <w:vertAlign w:val="superscript"/>
              </w:rPr>
              <w:footnoteReference w:id="200"/>
            </w:r>
            <w:r>
              <w:rPr>
                <w:rFonts w:ascii="Times New Roman" w:hAnsi="Times New Roman" w:cs="Times New Roman"/>
                <w:noProof/>
                <w:sz w:val="24"/>
                <w:szCs w:val="24"/>
              </w:rPr>
              <w:t>. The lower borrowing costs for EU co</w:t>
            </w:r>
            <w:r>
              <w:rPr>
                <w:rFonts w:ascii="Times New Roman" w:hAnsi="Times New Roman" w:cs="Times New Roman"/>
                <w:noProof/>
                <w:sz w:val="24"/>
                <w:szCs w:val="24"/>
              </w:rPr>
              <w:t>mpanies will have a positive effect on their competitiveness.</w:t>
            </w:r>
          </w:p>
        </w:tc>
      </w:tr>
      <w:tr w:rsidR="00B32D69">
        <w:trPr>
          <w:trHeight w:val="20"/>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32D69" w:rsidRDefault="00FB661A">
            <w:pPr>
              <w:autoSpaceDE w:val="0"/>
              <w:autoSpaceDN w:val="0"/>
              <w:adjustRightInd w:val="0"/>
              <w:spacing w:before="60" w:after="60" w:line="240" w:lineRule="auto"/>
              <w:jc w:val="center"/>
              <w:rPr>
                <w:rFonts w:ascii="Times New Roman" w:eastAsia="Calibri" w:hAnsi="Times New Roman" w:cs="Times New Roman"/>
                <w:i/>
                <w:noProof/>
                <w:sz w:val="24"/>
                <w:szCs w:val="24"/>
              </w:rPr>
            </w:pPr>
            <w:r>
              <w:rPr>
                <w:rFonts w:ascii="Times New Roman" w:eastAsia="Calibri" w:hAnsi="Times New Roman" w:cs="Times New Roman"/>
                <w:i/>
                <w:noProof/>
                <w:sz w:val="24"/>
                <w:szCs w:val="24"/>
              </w:rPr>
              <w:t>Jobs and social impacts</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2D69" w:rsidRDefault="00FB661A">
            <w:pPr>
              <w:widowControl w:val="0"/>
              <w:autoSpaceDE w:val="0"/>
              <w:autoSpaceDN w:val="0"/>
              <w:adjustRightInd w:val="0"/>
              <w:spacing w:before="6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The preferred option will have a positive impact on employment</w:t>
            </w:r>
            <w:r>
              <w:rPr>
                <w:rFonts w:ascii="Times New Roman" w:eastAsia="Calibri" w:hAnsi="Times New Roman" w:cs="Times New Roman"/>
                <w:noProof/>
                <w:sz w:val="24"/>
                <w:szCs w:val="24"/>
              </w:rPr>
              <w:t>.</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Since early restructuring saves companies rather than drive them into liquidation, it is expected that jobs will be saved rather than lost. It was hard to measure the exact impact on jobs, but it is expected that a significant proportion of the 1.7 million</w:t>
            </w:r>
            <w:r>
              <w:rPr>
                <w:rFonts w:ascii="Times New Roman" w:hAnsi="Times New Roman" w:cs="Times New Roman"/>
                <w:noProof/>
                <w:sz w:val="24"/>
                <w:szCs w:val="24"/>
                <w:lang w:val="en-US"/>
              </w:rPr>
              <w:t xml:space="preserve"> jobs which are lost to insolvency every year will be saved. </w:t>
            </w:r>
            <w:r>
              <w:rPr>
                <w:rFonts w:ascii="Times New Roman" w:eastAsia="Calibri" w:hAnsi="Times New Roman" w:cs="Times New Roman"/>
                <w:noProof/>
                <w:sz w:val="24"/>
                <w:szCs w:val="24"/>
              </w:rPr>
              <w:t xml:space="preserve">Benefits will be seen in particular </w:t>
            </w:r>
            <w:r>
              <w:rPr>
                <w:rFonts w:ascii="Times New Roman" w:eastAsia="Calibri" w:hAnsi="Times New Roman" w:cs="Times New Roman"/>
                <w:noProof/>
                <w:sz w:val="24"/>
                <w:szCs w:val="24"/>
                <w:lang w:eastAsia="en-GB"/>
              </w:rPr>
              <w:t>in particular in BG, DK, SK, SI, HR, CY, EE, IE, LT, LU, NL, PL, RO.</w:t>
            </w:r>
            <w:r>
              <w:rPr>
                <w:rFonts w:ascii="Times New Roman" w:hAnsi="Times New Roman" w:cs="Times New Roman"/>
                <w:noProof/>
                <w:sz w:val="24"/>
                <w:szCs w:val="24"/>
                <w:lang w:val="en-US"/>
              </w:rPr>
              <w:t xml:space="preserve"> </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selected option will not impact on the protection of workers, including their rights </w:t>
            </w:r>
            <w:r>
              <w:rPr>
                <w:rFonts w:ascii="Times New Roman" w:hAnsi="Times New Roman" w:cs="Times New Roman"/>
                <w:noProof/>
                <w:sz w:val="24"/>
                <w:szCs w:val="24"/>
                <w:lang w:val="en-US"/>
              </w:rPr>
              <w:t>to information and consultation, as guaranteed by EU law. This will be clearly spelled out in the proposal. Furthermore, it contains a flexibility to ensure that workers as a class can be adequately protected. For example, courts can exempt an entire class</w:t>
            </w:r>
            <w:r>
              <w:rPr>
                <w:rFonts w:ascii="Times New Roman" w:hAnsi="Times New Roman" w:cs="Times New Roman"/>
                <w:noProof/>
                <w:sz w:val="24"/>
                <w:szCs w:val="24"/>
                <w:lang w:val="en-US"/>
              </w:rPr>
              <w:t xml:space="preserve"> of creditors from the stay of enforcement if such a class will be unfairly prejudiced by the stay. Furthermore, possibilities for the salaries to be paid during the stay period and protected under the 'safe harbour' provision would be introduced. Also, pl</w:t>
            </w:r>
            <w:r>
              <w:rPr>
                <w:rFonts w:ascii="Times New Roman" w:hAnsi="Times New Roman" w:cs="Times New Roman"/>
                <w:noProof/>
                <w:sz w:val="24"/>
                <w:szCs w:val="24"/>
                <w:lang w:val="en-US"/>
              </w:rPr>
              <w:t xml:space="preserve">ans will not be confirmed by a court if they do not guarantee at least liquidation value to all creditors. </w:t>
            </w:r>
          </w:p>
          <w:p w:rsidR="00B32D69" w:rsidRDefault="00FB661A">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Second chance provision will also have a positive impact on jobs. Restarters could create up to 3 million new jobs</w:t>
            </w:r>
            <w:r>
              <w:rPr>
                <w:rFonts w:eastAsia="Calibri" w:cs="Times New Roman"/>
                <w:noProof/>
                <w:sz w:val="24"/>
                <w:szCs w:val="24"/>
                <w:vertAlign w:val="superscript"/>
              </w:rPr>
              <w:footnoteReference w:id="201"/>
            </w:r>
            <w:r>
              <w:rPr>
                <w:rFonts w:ascii="Times New Roman" w:eastAsia="Calibri" w:hAnsi="Times New Roman" w:cs="Times New Roman"/>
                <w:noProof/>
                <w:sz w:val="24"/>
                <w:szCs w:val="24"/>
              </w:rPr>
              <w:t>. The measures on discharge perio</w:t>
            </w:r>
            <w:r>
              <w:rPr>
                <w:rFonts w:ascii="Times New Roman" w:eastAsia="Calibri" w:hAnsi="Times New Roman" w:cs="Times New Roman"/>
                <w:noProof/>
                <w:sz w:val="24"/>
                <w:szCs w:val="24"/>
              </w:rPr>
              <w:t>d also have an impact on preserving a decent livelihood for debtors (who can otherwise slide into the grey or black economy.</w:t>
            </w:r>
            <w:r>
              <w:rPr>
                <w:rFonts w:ascii="Times New Roman" w:hAnsi="Times New Roman" w:cs="Times New Roman"/>
                <w:noProof/>
                <w:sz w:val="24"/>
                <w:szCs w:val="24"/>
              </w:rPr>
              <w:t xml:space="preserve"> </w:t>
            </w:r>
          </w:p>
        </w:tc>
      </w:tr>
      <w:tr w:rsidR="00B32D69">
        <w:trPr>
          <w:trHeight w:val="5865"/>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32D69" w:rsidRDefault="00FB661A">
            <w:pPr>
              <w:jc w:val="center"/>
              <w:rPr>
                <w:rFonts w:ascii="Times New Roman" w:hAnsi="Times New Roman" w:cs="Times New Roman"/>
                <w:i/>
                <w:noProof/>
                <w:sz w:val="24"/>
                <w:szCs w:val="24"/>
                <w:lang w:eastAsia="en-GB"/>
              </w:rPr>
            </w:pPr>
            <w:r>
              <w:rPr>
                <w:rFonts w:ascii="Times New Roman" w:hAnsi="Times New Roman" w:cs="Times New Roman"/>
                <w:i/>
                <w:noProof/>
                <w:sz w:val="24"/>
                <w:szCs w:val="24"/>
                <w:lang w:eastAsia="en-GB"/>
              </w:rPr>
              <w:t>Financial institutions</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2D69" w:rsidRDefault="00FB661A">
            <w:pPr>
              <w:autoSpaceDE w:val="0"/>
              <w:autoSpaceDN w:val="0"/>
              <w:adjustRightInd w:val="0"/>
              <w:spacing w:before="60" w:after="6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b/>
                <w:noProof/>
                <w:sz w:val="24"/>
                <w:szCs w:val="24"/>
                <w:lang w:val="en-US" w:eastAsia="pl-PL"/>
              </w:rPr>
              <w:t>The preferred option will have a mostly positive impact on financial institutions</w:t>
            </w:r>
            <w:r>
              <w:rPr>
                <w:rFonts w:ascii="Times New Roman" w:eastAsia="Calibri" w:hAnsi="Times New Roman" w:cs="Times New Roman"/>
                <w:noProof/>
                <w:sz w:val="24"/>
                <w:szCs w:val="24"/>
                <w:lang w:val="en-US" w:eastAsia="pl-PL"/>
              </w:rPr>
              <w:t xml:space="preserve">. The positive impacts </w:t>
            </w:r>
            <w:r>
              <w:rPr>
                <w:rFonts w:ascii="Times New Roman" w:eastAsia="Calibri" w:hAnsi="Times New Roman" w:cs="Times New Roman"/>
                <w:noProof/>
                <w:sz w:val="24"/>
                <w:szCs w:val="24"/>
                <w:lang w:val="en-US" w:eastAsia="pl-PL"/>
              </w:rPr>
              <w:t>will result from the expected increase in recovery rates and from the accelerated rate of reduction in the share of non-performing loans. This will be due in particular to easier detection of viable debtors, shorter and less costly process of restructuring</w:t>
            </w:r>
            <w:r>
              <w:rPr>
                <w:rFonts w:ascii="Times New Roman" w:eastAsia="Calibri" w:hAnsi="Times New Roman" w:cs="Times New Roman"/>
                <w:noProof/>
                <w:sz w:val="24"/>
                <w:szCs w:val="24"/>
                <w:lang w:val="en-US" w:eastAsia="pl-PL"/>
              </w:rPr>
              <w:t xml:space="preserve"> or liquidation. Financial sector will benefit from better crediting capacity and higher demand for credit (due to better standing of the economies) Higher convergence of discharge regimes for debtors will have a positive impact on financial institutions a</w:t>
            </w:r>
            <w:r>
              <w:rPr>
                <w:rFonts w:ascii="Times New Roman" w:eastAsia="Calibri" w:hAnsi="Times New Roman" w:cs="Times New Roman"/>
                <w:noProof/>
                <w:sz w:val="24"/>
                <w:szCs w:val="24"/>
                <w:lang w:val="en-US" w:eastAsia="pl-PL"/>
              </w:rPr>
              <w:t>s creditors, by enabling them to better foresee the prospects of repayment of debts by companies and individuals. Some negative impact may come from the moratorium on enforcement actions of secured creditors. The provision on majority decision on the restr</w:t>
            </w:r>
            <w:r>
              <w:rPr>
                <w:rFonts w:ascii="Times New Roman" w:eastAsia="Calibri" w:hAnsi="Times New Roman" w:cs="Times New Roman"/>
                <w:noProof/>
                <w:sz w:val="24"/>
                <w:szCs w:val="24"/>
                <w:lang w:val="en-US" w:eastAsia="pl-PL"/>
              </w:rPr>
              <w:t xml:space="preserve">ucturing plan binding all types of creditors may lead financial institutions to think that they have less control over their loans held against borrowers in distress or insolvent. However, specific safeguards are foreseen in Option 4 to mitigate potential </w:t>
            </w:r>
            <w:r>
              <w:rPr>
                <w:rFonts w:ascii="Times New Roman" w:eastAsia="Calibri" w:hAnsi="Times New Roman" w:cs="Times New Roman"/>
                <w:noProof/>
                <w:sz w:val="24"/>
                <w:szCs w:val="24"/>
                <w:lang w:val="en-US" w:eastAsia="pl-PL"/>
              </w:rPr>
              <w:t>negative impacts. For example, the duration of the moratorium has been designed to be limited and short. Court confirmation of a restructuring plan must hinge on whether the plan is fair towards dissenting creditors (i.e. best interest of creditors test an</w:t>
            </w:r>
            <w:r>
              <w:rPr>
                <w:rFonts w:ascii="Times New Roman" w:eastAsia="Calibri" w:hAnsi="Times New Roman" w:cs="Times New Roman"/>
                <w:noProof/>
                <w:sz w:val="24"/>
                <w:szCs w:val="24"/>
                <w:lang w:val="en-US" w:eastAsia="pl-PL"/>
              </w:rPr>
              <w:t>d the absolute priority rule).</w:t>
            </w:r>
          </w:p>
        </w:tc>
      </w:tr>
      <w:tr w:rsidR="00B32D69">
        <w:trPr>
          <w:trHeight w:val="1020"/>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32D69" w:rsidRDefault="00FB661A">
            <w:pPr>
              <w:jc w:val="center"/>
              <w:rPr>
                <w:rFonts w:ascii="Times New Roman" w:hAnsi="Times New Roman" w:cs="Times New Roman"/>
                <w:i/>
                <w:noProof/>
                <w:sz w:val="24"/>
                <w:szCs w:val="24"/>
                <w:lang w:eastAsia="en-GB"/>
              </w:rPr>
            </w:pPr>
            <w:r>
              <w:rPr>
                <w:rFonts w:ascii="Times New Roman" w:hAnsi="Times New Roman" w:cs="Times New Roman"/>
                <w:i/>
                <w:noProof/>
                <w:sz w:val="24"/>
                <w:szCs w:val="24"/>
                <w:lang w:eastAsia="en-GB"/>
              </w:rPr>
              <w:t>Impact on unsecured creditors</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D69" w:rsidRDefault="00FB661A">
            <w:pPr>
              <w:autoSpaceDE w:val="0"/>
              <w:autoSpaceDN w:val="0"/>
              <w:adjustRightInd w:val="0"/>
              <w:spacing w:before="60" w:after="60" w:line="240" w:lineRule="auto"/>
              <w:jc w:val="both"/>
              <w:rPr>
                <w:rFonts w:ascii="Times New Roman" w:eastAsia="Calibri" w:hAnsi="Times New Roman" w:cs="Times New Roman"/>
                <w:noProof/>
                <w:sz w:val="24"/>
                <w:szCs w:val="24"/>
                <w:lang w:val="en-US" w:eastAsia="pl-PL"/>
              </w:rPr>
            </w:pPr>
            <w:r>
              <w:rPr>
                <w:rFonts w:ascii="Times New Roman" w:eastAsia="Calibri" w:hAnsi="Times New Roman" w:cs="Times New Roman"/>
                <w:noProof/>
                <w:sz w:val="24"/>
                <w:szCs w:val="24"/>
                <w:lang w:val="en-US" w:eastAsia="pl-PL"/>
              </w:rPr>
              <w:t xml:space="preserve">In liquidation proceedings, creditors with no security suffer the biggest losses: this reality is universally valid, and consequently the World Bank Ease of Doing Business Index measures only </w:t>
            </w:r>
            <w:r>
              <w:rPr>
                <w:rFonts w:ascii="Times New Roman" w:eastAsia="Calibri" w:hAnsi="Times New Roman" w:cs="Times New Roman"/>
                <w:noProof/>
                <w:sz w:val="24"/>
                <w:szCs w:val="24"/>
                <w:lang w:val="en-US" w:eastAsia="pl-PL"/>
              </w:rPr>
              <w:t>recovery rates for secured creditors. Precisely because liquidation would be so disastrous, unsecured creditors are the most likely to benefit from the rescue of the debtor's business: even if subject to a long stay, unsecured creditors would at the end, i</w:t>
            </w:r>
            <w:r>
              <w:rPr>
                <w:rFonts w:ascii="Times New Roman" w:eastAsia="Calibri" w:hAnsi="Times New Roman" w:cs="Times New Roman"/>
                <w:noProof/>
                <w:sz w:val="24"/>
                <w:szCs w:val="24"/>
                <w:lang w:val="en-US" w:eastAsia="pl-PL"/>
              </w:rPr>
              <w:t>f restructuring is successful, be able to claim and obtain compensation for the unpaid debts, where as in case of liquidation they will get close to nothing.</w:t>
            </w:r>
          </w:p>
          <w:p w:rsidR="00B32D69" w:rsidRDefault="00FB661A">
            <w:pPr>
              <w:autoSpaceDE w:val="0"/>
              <w:autoSpaceDN w:val="0"/>
              <w:adjustRightInd w:val="0"/>
              <w:spacing w:before="60" w:after="60" w:line="240" w:lineRule="auto"/>
              <w:jc w:val="both"/>
              <w:rPr>
                <w:rFonts w:ascii="Times New Roman" w:eastAsia="Calibri" w:hAnsi="Times New Roman" w:cs="Times New Roman"/>
                <w:noProof/>
                <w:sz w:val="24"/>
                <w:szCs w:val="24"/>
                <w:lang w:val="en-US" w:eastAsia="pl-PL"/>
              </w:rPr>
            </w:pPr>
            <w:r>
              <w:rPr>
                <w:rFonts w:ascii="Times New Roman" w:eastAsia="Calibri" w:hAnsi="Times New Roman" w:cs="Times New Roman"/>
                <w:noProof/>
                <w:sz w:val="24"/>
                <w:szCs w:val="24"/>
                <w:lang w:val="en-US" w:eastAsia="pl-PL"/>
              </w:rPr>
              <w:t>Nevertheless, it is important to ensure that the debtor is able to continue operating during the s</w:t>
            </w:r>
            <w:r>
              <w:rPr>
                <w:rFonts w:ascii="Times New Roman" w:eastAsia="Calibri" w:hAnsi="Times New Roman" w:cs="Times New Roman"/>
                <w:noProof/>
                <w:sz w:val="24"/>
                <w:szCs w:val="24"/>
                <w:lang w:val="en-US" w:eastAsia="pl-PL"/>
              </w:rPr>
              <w:t>tay period, therefore his essential suppliers should not be able to terminate contracts provided the debtor fulfills his obligation. They should also not be able to terminate contracts for debts which arose before the stay was granted.</w:t>
            </w:r>
          </w:p>
        </w:tc>
      </w:tr>
      <w:tr w:rsidR="00B32D69">
        <w:trPr>
          <w:trHeight w:val="1020"/>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32D69" w:rsidRDefault="00FB661A">
            <w:pPr>
              <w:jc w:val="center"/>
              <w:rPr>
                <w:rFonts w:ascii="Times New Roman" w:hAnsi="Times New Roman" w:cs="Times New Roman"/>
                <w:i/>
                <w:noProof/>
                <w:sz w:val="24"/>
                <w:szCs w:val="24"/>
                <w:lang w:eastAsia="en-GB"/>
              </w:rPr>
            </w:pPr>
            <w:r>
              <w:rPr>
                <w:rFonts w:ascii="Times New Roman" w:hAnsi="Times New Roman" w:cs="Times New Roman"/>
                <w:i/>
                <w:noProof/>
                <w:sz w:val="24"/>
                <w:szCs w:val="24"/>
                <w:lang w:eastAsia="en-GB"/>
              </w:rPr>
              <w:t>Impact on consumers</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D69" w:rsidRDefault="00FB661A">
            <w:pPr>
              <w:autoSpaceDE w:val="0"/>
              <w:autoSpaceDN w:val="0"/>
              <w:adjustRightInd w:val="0"/>
              <w:spacing w:before="60" w:after="60" w:line="240" w:lineRule="auto"/>
              <w:jc w:val="both"/>
              <w:rPr>
                <w:rFonts w:ascii="Times New Roman" w:eastAsia="Calibri" w:hAnsi="Times New Roman" w:cs="Times New Roman"/>
                <w:noProof/>
                <w:sz w:val="24"/>
                <w:szCs w:val="24"/>
                <w:lang w:val="en-US" w:eastAsia="pl-PL"/>
              </w:rPr>
            </w:pPr>
            <w:r>
              <w:rPr>
                <w:rFonts w:ascii="Times New Roman" w:eastAsia="Calibri" w:hAnsi="Times New Roman" w:cs="Times New Roman"/>
                <w:noProof/>
                <w:sz w:val="24"/>
                <w:szCs w:val="24"/>
              </w:rPr>
              <w:t>Although the proposal would not lay down mandatory rules on consumer discharge, it would encourage that the same regime applies to entrepreneurs and to non-entrepreneurs (consumers). Many Member States already treat the discharge and second chance for nat</w:t>
            </w:r>
            <w:r>
              <w:rPr>
                <w:rFonts w:ascii="Times New Roman" w:eastAsia="Calibri" w:hAnsi="Times New Roman" w:cs="Times New Roman"/>
                <w:noProof/>
                <w:sz w:val="24"/>
                <w:szCs w:val="24"/>
              </w:rPr>
              <w:t xml:space="preserve">ural persons in the same way irrespective of whether the indebted person is a consumer or entrepreneur. It should also be made possible where it is not currently the case. </w:t>
            </w:r>
          </w:p>
        </w:tc>
      </w:tr>
      <w:tr w:rsidR="00B32D69">
        <w:trPr>
          <w:trHeight w:val="375"/>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32D69" w:rsidRDefault="00FB661A">
            <w:pPr>
              <w:spacing w:before="240" w:after="240" w:line="240" w:lineRule="auto"/>
              <w:jc w:val="center"/>
              <w:rPr>
                <w:rFonts w:ascii="Times New Roman" w:hAnsi="Times New Roman" w:cs="Times New Roman"/>
                <w:i/>
                <w:noProof/>
                <w:sz w:val="24"/>
                <w:szCs w:val="24"/>
                <w:lang w:eastAsia="en-GB"/>
              </w:rPr>
            </w:pPr>
            <w:r>
              <w:rPr>
                <w:rFonts w:ascii="Times New Roman" w:hAnsi="Times New Roman" w:cs="Times New Roman"/>
                <w:i/>
                <w:noProof/>
                <w:sz w:val="24"/>
                <w:szCs w:val="24"/>
                <w:lang w:eastAsia="en-GB"/>
              </w:rPr>
              <w:t>Non-performing loans</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D69" w:rsidRDefault="00FB661A">
            <w:pPr>
              <w:spacing w:before="120" w:line="240" w:lineRule="auto"/>
              <w:jc w:val="both"/>
              <w:rPr>
                <w:rFonts w:ascii="Times New Roman" w:hAnsi="Times New Roman" w:cs="Times New Roman"/>
                <w:noProof/>
                <w:sz w:val="24"/>
                <w:szCs w:val="24"/>
                <w:lang w:val="en-US"/>
              </w:rPr>
            </w:pPr>
            <w:r>
              <w:rPr>
                <w:rFonts w:ascii="Times New Roman" w:hAnsi="Times New Roman" w:cs="Times New Roman"/>
                <w:b/>
                <w:noProof/>
                <w:sz w:val="24"/>
                <w:szCs w:val="24"/>
                <w:lang w:val="en-US"/>
              </w:rPr>
              <w:t>A solid restructuring framework will prevent the accumulation</w:t>
            </w:r>
            <w:r>
              <w:rPr>
                <w:rFonts w:ascii="Times New Roman" w:hAnsi="Times New Roman" w:cs="Times New Roman"/>
                <w:b/>
                <w:noProof/>
                <w:sz w:val="24"/>
                <w:szCs w:val="24"/>
                <w:lang w:val="en-US"/>
              </w:rPr>
              <w:t xml:space="preserve"> of bad debts</w:t>
            </w:r>
            <w:r>
              <w:rPr>
                <w:rFonts w:ascii="Times New Roman" w:hAnsi="Times New Roman" w:cs="Times New Roman"/>
                <w:noProof/>
                <w:sz w:val="24"/>
                <w:szCs w:val="24"/>
                <w:lang w:val="en-US"/>
              </w:rPr>
              <w:t xml:space="preserve"> by putting in place tools that allow the transformation of non-performing loans into performing ones, or alternatively to channel non-viable companies to quick liquidation. The preferred option is also expected to have a positive impact on co</w:t>
            </w:r>
            <w:r>
              <w:rPr>
                <w:rFonts w:ascii="Times New Roman" w:hAnsi="Times New Roman" w:cs="Times New Roman"/>
                <w:noProof/>
                <w:sz w:val="24"/>
                <w:szCs w:val="24"/>
                <w:lang w:val="en-US"/>
              </w:rPr>
              <w:t>ntributing to reducing  the NPLs accumulated in the balance sheets of banks issue, although it will not fully solve it (at least not in a very short time span). More specifically, the NPLs will be tackled by:</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rescuing viable companies in financial diffic</w:t>
            </w:r>
            <w:r>
              <w:rPr>
                <w:rFonts w:ascii="Times New Roman" w:hAnsi="Times New Roman" w:cs="Times New Roman"/>
                <w:noProof/>
                <w:sz w:val="24"/>
                <w:szCs w:val="24"/>
                <w:lang w:val="en-US"/>
              </w:rPr>
              <w:t>ulties: such company will mostly owe to a bank a performing loan (which is not yet due but the due date coming close). Rescuing a higher number of companies will ensure that new NPLs are not added. However, since it cannot be excluded that a viable company</w:t>
            </w:r>
            <w:r>
              <w:rPr>
                <w:rFonts w:ascii="Times New Roman" w:hAnsi="Times New Roman" w:cs="Times New Roman"/>
                <w:noProof/>
                <w:sz w:val="24"/>
                <w:szCs w:val="24"/>
                <w:lang w:val="en-US"/>
              </w:rPr>
              <w:t xml:space="preserve"> in financial difficulties may also owe a non-performing loan (which is already due), there is a twofold indirect link between early restructuring and reduction of non-performing loans. First, higher recovery rates are more likely in economies where restru</w:t>
            </w:r>
            <w:r>
              <w:rPr>
                <w:rFonts w:ascii="Times New Roman" w:hAnsi="Times New Roman" w:cs="Times New Roman"/>
                <w:noProof/>
                <w:sz w:val="24"/>
                <w:szCs w:val="24"/>
                <w:lang w:val="en-US"/>
              </w:rPr>
              <w:t>cturing is the most common insolvency proceeding. For example, 45 percent of OECD economies use reorganization as the most common insolvency proceeding to save viable firms, leading to an average recovery rate of 83 cents on the dollar, as opposed to 57 ce</w:t>
            </w:r>
            <w:r>
              <w:rPr>
                <w:rFonts w:ascii="Times New Roman" w:hAnsi="Times New Roman" w:cs="Times New Roman"/>
                <w:noProof/>
                <w:sz w:val="24"/>
                <w:szCs w:val="24"/>
                <w:lang w:val="en-US"/>
              </w:rPr>
              <w:t xml:space="preserve">nts on the dollar with liquidation (World Bank, Doing Business Report, 2013). </w:t>
            </w:r>
            <w:r>
              <w:rPr>
                <w:rFonts w:ascii="Times New Roman" w:hAnsi="Times New Roman" w:cs="Times New Roman"/>
                <w:noProof/>
                <w:sz w:val="24"/>
                <w:szCs w:val="24"/>
              </w:rPr>
              <w:t xml:space="preserve">There is also solid evidence from the US showing that an insolvency system which favours restructuring is more resilient to economic shocks. </w:t>
            </w:r>
          </w:p>
          <w:p w:rsidR="00B32D69" w:rsidRDefault="00FB661A">
            <w:pPr>
              <w:spacing w:line="240" w:lineRule="auto"/>
              <w:jc w:val="both"/>
              <w:rPr>
                <w:rFonts w:ascii="Times New Roman" w:eastAsia="Calibri" w:hAnsi="Times New Roman" w:cs="Times New Roman"/>
                <w:b/>
                <w:noProof/>
                <w:sz w:val="24"/>
                <w:szCs w:val="24"/>
                <w:lang w:val="en-US" w:eastAsia="pl-PL"/>
              </w:rPr>
            </w:pPr>
            <w:r>
              <w:rPr>
                <w:rFonts w:ascii="Times New Roman" w:hAnsi="Times New Roman" w:cs="Times New Roman"/>
                <w:noProof/>
                <w:sz w:val="24"/>
                <w:szCs w:val="24"/>
                <w:lang w:val="en-US"/>
              </w:rPr>
              <w:t>- by making restructuring frameworks</w:t>
            </w:r>
            <w:r>
              <w:rPr>
                <w:rFonts w:ascii="Times New Roman" w:hAnsi="Times New Roman" w:cs="Times New Roman"/>
                <w:noProof/>
                <w:sz w:val="24"/>
                <w:szCs w:val="24"/>
                <w:lang w:val="en-US"/>
              </w:rPr>
              <w:t xml:space="preserve"> more effective and efficient, the costs of enforcement of non-performing loans through restructuring will decrease, so that banks will be able to deleverage a higher number of those loans through restructuring channel (the other channel of deleveraging of</w:t>
            </w:r>
            <w:r>
              <w:rPr>
                <w:rFonts w:ascii="Times New Roman" w:hAnsi="Times New Roman" w:cs="Times New Roman"/>
                <w:noProof/>
                <w:sz w:val="24"/>
                <w:szCs w:val="24"/>
                <w:lang w:val="en-US"/>
              </w:rPr>
              <w:t xml:space="preserve"> non-performing loans in insolvency is through a piece-meal liquidation). This effect has been observed in several countries which recently introduced some sort of restructuring proceedings and faced a problem of a high number of non-performing loans, such</w:t>
            </w:r>
            <w:r>
              <w:rPr>
                <w:rFonts w:ascii="Times New Roman" w:hAnsi="Times New Roman" w:cs="Times New Roman"/>
                <w:noProof/>
                <w:sz w:val="24"/>
                <w:szCs w:val="24"/>
                <w:lang w:val="en-US"/>
              </w:rPr>
              <w:t xml:space="preserve"> as Slovenia. In addition, in the performed public consultation, the banking sector agreed that early restructuring and efficient insolvency procedures can have a very positive impact on recovery rates and non-performing loans.</w:t>
            </w:r>
          </w:p>
        </w:tc>
      </w:tr>
      <w:tr w:rsidR="00B32D69">
        <w:trPr>
          <w:trHeight w:val="20"/>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32D69" w:rsidRDefault="00FB661A">
            <w:pPr>
              <w:autoSpaceDE w:val="0"/>
              <w:autoSpaceDN w:val="0"/>
              <w:adjustRightInd w:val="0"/>
              <w:spacing w:before="60" w:after="60" w:line="240" w:lineRule="auto"/>
              <w:jc w:val="center"/>
              <w:rPr>
                <w:rFonts w:ascii="Times New Roman" w:eastAsia="Calibri" w:hAnsi="Times New Roman" w:cs="Times New Roman"/>
                <w:i/>
                <w:noProof/>
                <w:sz w:val="24"/>
                <w:szCs w:val="24"/>
                <w:lang w:eastAsia="en-GB"/>
              </w:rPr>
            </w:pPr>
            <w:r>
              <w:rPr>
                <w:rFonts w:ascii="Times New Roman" w:eastAsia="Calibri" w:hAnsi="Times New Roman" w:cs="Times New Roman"/>
                <w:i/>
                <w:noProof/>
                <w:sz w:val="24"/>
                <w:szCs w:val="24"/>
                <w:lang w:eastAsia="en-GB"/>
              </w:rPr>
              <w:t xml:space="preserve">Tax revenues and state aid </w:t>
            </w:r>
            <w:r>
              <w:rPr>
                <w:rFonts w:ascii="Times New Roman" w:eastAsia="Calibri" w:hAnsi="Times New Roman" w:cs="Times New Roman"/>
                <w:i/>
                <w:noProof/>
                <w:sz w:val="24"/>
                <w:szCs w:val="24"/>
                <w:lang w:eastAsia="en-GB"/>
              </w:rPr>
              <w:t>rules</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D69" w:rsidRDefault="00FB661A">
            <w:pPr>
              <w:autoSpaceDE w:val="0"/>
              <w:autoSpaceDN w:val="0"/>
              <w:adjustRightInd w:val="0"/>
              <w:spacing w:before="60" w:after="60" w:line="240" w:lineRule="auto"/>
              <w:jc w:val="both"/>
              <w:rPr>
                <w:rFonts w:ascii="Times New Roman" w:eastAsia="Calibri" w:hAnsi="Times New Roman" w:cs="Times New Roman"/>
                <w:b/>
                <w:noProof/>
                <w:sz w:val="24"/>
                <w:szCs w:val="24"/>
                <w:lang w:val="en-US" w:eastAsia="pl-PL"/>
              </w:rPr>
            </w:pPr>
            <w:r>
              <w:rPr>
                <w:rFonts w:ascii="Times New Roman" w:eastAsia="Calibri" w:hAnsi="Times New Roman" w:cs="Times New Roman"/>
                <w:b/>
                <w:noProof/>
                <w:sz w:val="24"/>
                <w:szCs w:val="24"/>
                <w:lang w:val="en-US" w:eastAsia="pl-PL"/>
              </w:rPr>
              <w:t xml:space="preserve">The preferred option will have a neutral impact on tax revenues and state aid rules. </w:t>
            </w:r>
            <w:r>
              <w:rPr>
                <w:rFonts w:ascii="Times New Roman" w:eastAsia="Calibri" w:hAnsi="Times New Roman" w:cs="Times New Roman"/>
                <w:noProof/>
                <w:sz w:val="24"/>
                <w:szCs w:val="24"/>
                <w:lang w:val="en-US" w:eastAsia="pl-PL"/>
              </w:rPr>
              <w:t>The preferred options complies with the "private investor test" since it treats both the public and the private investors in the same way. In particular, a public cr</w:t>
            </w:r>
            <w:r>
              <w:rPr>
                <w:rFonts w:ascii="Times New Roman" w:eastAsia="Calibri" w:hAnsi="Times New Roman" w:cs="Times New Roman"/>
                <w:noProof/>
                <w:sz w:val="24"/>
                <w:szCs w:val="24"/>
                <w:lang w:val="en-US" w:eastAsia="pl-PL"/>
              </w:rPr>
              <w:t>editor agreeing with a reduction of its claim under in a restructuring plan will be subject to the same haircut as the private creditor in the same position. If the public creditor will be among the dissenting creditors, he will be entitled to no less than</w:t>
            </w:r>
            <w:r>
              <w:rPr>
                <w:rFonts w:ascii="Times New Roman" w:eastAsia="Calibri" w:hAnsi="Times New Roman" w:cs="Times New Roman"/>
                <w:noProof/>
                <w:sz w:val="24"/>
                <w:szCs w:val="24"/>
                <w:lang w:val="en-US" w:eastAsia="pl-PL"/>
              </w:rPr>
              <w:t xml:space="preserve"> the liquidation value of the restructures business. Thus, no loss of value meaning no loss of actual or potential revenues for public budgets will occur. Also the stay on enforcement action (the moratorium) limited in time and strictly linked to the prepa</w:t>
            </w:r>
            <w:r>
              <w:rPr>
                <w:rFonts w:ascii="Times New Roman" w:eastAsia="Calibri" w:hAnsi="Times New Roman" w:cs="Times New Roman"/>
                <w:noProof/>
                <w:sz w:val="24"/>
                <w:szCs w:val="24"/>
                <w:lang w:val="en-US" w:eastAsia="pl-PL"/>
              </w:rPr>
              <w:t>ration of a viable restructuring plan is in accordance with the state aid rules and principles in the area of rescue and restructuring.</w:t>
            </w:r>
          </w:p>
        </w:tc>
      </w:tr>
      <w:tr w:rsidR="00B32D69">
        <w:trPr>
          <w:trHeight w:val="1560"/>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32D69" w:rsidRDefault="00FB661A">
            <w:pPr>
              <w:autoSpaceDE w:val="0"/>
              <w:autoSpaceDN w:val="0"/>
              <w:adjustRightInd w:val="0"/>
              <w:spacing w:before="60" w:after="60" w:line="240" w:lineRule="auto"/>
              <w:jc w:val="center"/>
              <w:rPr>
                <w:rFonts w:ascii="Times New Roman" w:eastAsia="Calibri" w:hAnsi="Times New Roman" w:cs="Times New Roman"/>
                <w:i/>
                <w:noProof/>
                <w:sz w:val="24"/>
                <w:szCs w:val="24"/>
                <w:lang w:eastAsia="en-GB"/>
              </w:rPr>
            </w:pPr>
            <w:r>
              <w:rPr>
                <w:rFonts w:ascii="Times New Roman" w:eastAsia="Calibri" w:hAnsi="Times New Roman" w:cs="Times New Roman"/>
                <w:i/>
                <w:noProof/>
                <w:sz w:val="24"/>
                <w:szCs w:val="24"/>
                <w:lang w:eastAsia="en-GB"/>
              </w:rPr>
              <w:t>Legal systems of Member States</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2D69" w:rsidRDefault="00FB661A">
            <w:pPr>
              <w:autoSpaceDE w:val="0"/>
              <w:autoSpaceDN w:val="0"/>
              <w:adjustRightInd w:val="0"/>
              <w:spacing w:before="60" w:after="60" w:line="240" w:lineRule="auto"/>
              <w:jc w:val="both"/>
              <w:rPr>
                <w:rFonts w:ascii="Times New Roman" w:eastAsia="Calibri" w:hAnsi="Times New Roman" w:cs="Times New Roman"/>
                <w:noProof/>
                <w:sz w:val="24"/>
                <w:szCs w:val="24"/>
                <w:lang w:eastAsia="en-GB"/>
              </w:rPr>
            </w:pPr>
            <w:r>
              <w:rPr>
                <w:rFonts w:ascii="Times New Roman" w:eastAsia="Times New Roman" w:hAnsi="Times New Roman" w:cs="Times New Roman"/>
                <w:b/>
                <w:noProof/>
                <w:sz w:val="24"/>
                <w:szCs w:val="24"/>
                <w:lang w:eastAsia="en-GB"/>
              </w:rPr>
              <w:t xml:space="preserve">The preferred option will require a modification of restructuring and second chance </w:t>
            </w:r>
            <w:r>
              <w:rPr>
                <w:rFonts w:ascii="Times New Roman" w:eastAsia="Times New Roman" w:hAnsi="Times New Roman" w:cs="Times New Roman"/>
                <w:b/>
                <w:noProof/>
                <w:sz w:val="24"/>
                <w:szCs w:val="24"/>
                <w:lang w:eastAsia="en-GB"/>
              </w:rPr>
              <w:t>frameworks in certain Member States</w:t>
            </w:r>
            <w:r>
              <w:rPr>
                <w:rFonts w:ascii="Times New Roman" w:eastAsia="Times New Roman" w:hAnsi="Times New Roman" w:cs="Times New Roman"/>
                <w:noProof/>
                <w:sz w:val="24"/>
                <w:szCs w:val="24"/>
                <w:lang w:eastAsia="en-GB"/>
              </w:rPr>
              <w:t>. The preferred option will require some Member States to put in place a preventive procedure or adapt a procedure already notified under Annex A of the Insolvency Regulation. Some changes to the law of companies may be n</w:t>
            </w:r>
            <w:r>
              <w:rPr>
                <w:rFonts w:ascii="Times New Roman" w:eastAsia="Times New Roman" w:hAnsi="Times New Roman" w:cs="Times New Roman"/>
                <w:noProof/>
                <w:sz w:val="24"/>
                <w:szCs w:val="24"/>
                <w:lang w:eastAsia="en-GB"/>
              </w:rPr>
              <w:t>eeded to implement the provision on shareholders.</w:t>
            </w:r>
          </w:p>
        </w:tc>
      </w:tr>
      <w:tr w:rsidR="00B32D69">
        <w:trPr>
          <w:trHeight w:val="201"/>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32D69" w:rsidRDefault="00FB661A">
            <w:pPr>
              <w:autoSpaceDE w:val="0"/>
              <w:autoSpaceDN w:val="0"/>
              <w:adjustRightInd w:val="0"/>
              <w:spacing w:before="60" w:after="60" w:line="240" w:lineRule="auto"/>
              <w:jc w:val="center"/>
              <w:rPr>
                <w:rFonts w:ascii="Times New Roman" w:eastAsia="Calibri" w:hAnsi="Times New Roman" w:cs="Times New Roman"/>
                <w:i/>
                <w:noProof/>
                <w:sz w:val="24"/>
                <w:szCs w:val="24"/>
                <w:lang w:eastAsia="en-GB"/>
              </w:rPr>
            </w:pPr>
            <w:r>
              <w:rPr>
                <w:rFonts w:ascii="Times New Roman" w:eastAsia="Calibri" w:hAnsi="Times New Roman" w:cs="Times New Roman"/>
                <w:i/>
                <w:noProof/>
                <w:sz w:val="24"/>
                <w:szCs w:val="24"/>
                <w:lang w:eastAsia="en-GB"/>
              </w:rPr>
              <w:t>Moral hazard</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2D69" w:rsidRDefault="00FB661A">
            <w:pPr>
              <w:spacing w:before="120"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preferred option should in principle not affect moral hazard elements neither on the side of lenders nor on the side of borrowers due to the safeguards provided for each risk element of </w:t>
            </w:r>
            <w:r>
              <w:rPr>
                <w:rFonts w:ascii="Times New Roman" w:hAnsi="Times New Roman" w:cs="Times New Roman"/>
                <w:noProof/>
                <w:sz w:val="24"/>
                <w:szCs w:val="24"/>
                <w:lang w:val="en-US"/>
              </w:rPr>
              <w:t>the procedure. For example:</w:t>
            </w:r>
          </w:p>
          <w:p w:rsidR="00B32D69" w:rsidRDefault="00FB661A">
            <w:pPr>
              <w:pStyle w:val="ListParagraph"/>
              <w:numPr>
                <w:ilvl w:val="0"/>
                <w:numId w:val="29"/>
              </w:numPr>
              <w:spacing w:after="240" w:line="240" w:lineRule="auto"/>
              <w:ind w:left="567" w:hanging="567"/>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in respect of the stay of enforcement: creditors can ask the court for lifting the stay when creditors are unfairly prejudiced; </w:t>
            </w:r>
          </w:p>
          <w:p w:rsidR="00B32D69" w:rsidRDefault="00FB661A">
            <w:pPr>
              <w:pStyle w:val="ListParagraph"/>
              <w:numPr>
                <w:ilvl w:val="0"/>
                <w:numId w:val="29"/>
              </w:numPr>
              <w:spacing w:after="240" w:line="240" w:lineRule="auto"/>
              <w:ind w:left="567" w:hanging="567"/>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courts have to confirm both the stay and the restructuring plan, making sure that the procedural steps were respected, that dissenting creditors are not unfairly prejudiced and that the plan is not clearly unviable; </w:t>
            </w:r>
          </w:p>
          <w:p w:rsidR="00B32D69" w:rsidRDefault="00FB661A">
            <w:pPr>
              <w:pStyle w:val="ListParagraph"/>
              <w:numPr>
                <w:ilvl w:val="0"/>
                <w:numId w:val="29"/>
              </w:numPr>
              <w:spacing w:after="240" w:line="240" w:lineRule="auto"/>
              <w:ind w:left="567" w:hanging="567"/>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creditors can appeal the courts' decisi</w:t>
            </w:r>
            <w:r>
              <w:rPr>
                <w:rFonts w:ascii="Times New Roman" w:hAnsi="Times New Roman" w:cs="Times New Roman"/>
                <w:noProof/>
                <w:sz w:val="24"/>
                <w:szCs w:val="24"/>
                <w:lang w:val="en-US"/>
              </w:rPr>
              <w:t xml:space="preserve">on and thus challenge the restructuring plan; </w:t>
            </w:r>
          </w:p>
          <w:p w:rsidR="00B32D69" w:rsidRDefault="00FB661A">
            <w:pPr>
              <w:pStyle w:val="ListParagraph"/>
              <w:numPr>
                <w:ilvl w:val="0"/>
                <w:numId w:val="29"/>
              </w:numPr>
              <w:spacing w:after="240" w:line="240" w:lineRule="auto"/>
              <w:ind w:left="567" w:hanging="567"/>
              <w:contextualSpacing w:val="0"/>
              <w:jc w:val="both"/>
              <w:rPr>
                <w:rFonts w:eastAsia="Times New Roman"/>
                <w:b/>
                <w:noProof/>
                <w:lang w:val="en-US" w:eastAsia="en-GB"/>
              </w:rPr>
            </w:pPr>
            <w:r>
              <w:rPr>
                <w:rFonts w:ascii="Times New Roman" w:hAnsi="Times New Roman" w:cs="Times New Roman"/>
                <w:noProof/>
                <w:sz w:val="24"/>
                <w:szCs w:val="24"/>
                <w:lang w:val="en-US"/>
              </w:rPr>
              <w:t>in respect of second chance: Member States can reduce the access to the discharge period or extend the discharge period in case of dishonesty of the debtor.</w:t>
            </w:r>
          </w:p>
        </w:tc>
      </w:tr>
      <w:tr w:rsidR="00B32D69">
        <w:trPr>
          <w:trHeight w:val="20"/>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32D69" w:rsidRDefault="00FB661A">
            <w:pPr>
              <w:spacing w:before="60" w:after="60" w:line="240" w:lineRule="auto"/>
              <w:jc w:val="center"/>
              <w:rPr>
                <w:rFonts w:ascii="Times New Roman" w:hAnsi="Times New Roman" w:cs="Times New Roman"/>
                <w:i/>
                <w:noProof/>
                <w:sz w:val="24"/>
                <w:szCs w:val="24"/>
                <w:lang w:eastAsia="en-GB"/>
              </w:rPr>
            </w:pPr>
            <w:r>
              <w:rPr>
                <w:rFonts w:ascii="Times New Roman" w:hAnsi="Times New Roman" w:cs="Times New Roman"/>
                <w:i/>
                <w:noProof/>
                <w:sz w:val="24"/>
                <w:szCs w:val="24"/>
                <w:lang w:eastAsia="en-GB"/>
              </w:rPr>
              <w:t>Fundamental rights</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2D69" w:rsidRDefault="00FB661A">
            <w:pPr>
              <w:autoSpaceDE w:val="0"/>
              <w:autoSpaceDN w:val="0"/>
              <w:adjustRightInd w:val="0"/>
              <w:spacing w:before="60" w:after="6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b/>
                <w:noProof/>
                <w:sz w:val="24"/>
                <w:szCs w:val="24"/>
                <w:lang w:eastAsia="en-GB"/>
              </w:rPr>
              <w:t>The impact on fundamental rights</w:t>
            </w:r>
            <w:r>
              <w:rPr>
                <w:rFonts w:ascii="Times New Roman" w:eastAsia="Calibri" w:hAnsi="Times New Roman" w:cs="Times New Roman"/>
                <w:b/>
                <w:noProof/>
                <w:sz w:val="24"/>
                <w:szCs w:val="24"/>
                <w:lang w:eastAsia="en-GB"/>
              </w:rPr>
              <w:t xml:space="preserve"> will be neutral</w:t>
            </w:r>
            <w:r>
              <w:rPr>
                <w:rFonts w:ascii="Times New Roman" w:eastAsia="Calibri" w:hAnsi="Times New Roman" w:cs="Times New Roman"/>
                <w:noProof/>
                <w:sz w:val="24"/>
                <w:szCs w:val="24"/>
                <w:lang w:eastAsia="en-GB"/>
              </w:rPr>
              <w:t>. The right to conduct a business and engage in gainful employment will be enhanced, since companies will be able to continue operating, and entrepreneurs would be able to have a second chance. Although certain elements of the procedure may</w:t>
            </w:r>
            <w:r>
              <w:rPr>
                <w:rFonts w:ascii="Times New Roman" w:eastAsia="Calibri" w:hAnsi="Times New Roman" w:cs="Times New Roman"/>
                <w:noProof/>
                <w:sz w:val="24"/>
                <w:szCs w:val="24"/>
                <w:lang w:eastAsia="en-GB"/>
              </w:rPr>
              <w:t xml:space="preserve"> affect the right to property and the right to an effective remedy and to a fair trial, safeguards will be foreseen in each case in order to ensure that these are proportionate in view of attaining the objectives and respect the rights and principles set o</w:t>
            </w:r>
            <w:r>
              <w:rPr>
                <w:rFonts w:ascii="Times New Roman" w:eastAsia="Calibri" w:hAnsi="Times New Roman" w:cs="Times New Roman"/>
                <w:noProof/>
                <w:sz w:val="24"/>
                <w:szCs w:val="24"/>
                <w:lang w:eastAsia="en-GB"/>
              </w:rPr>
              <w:t>ut in the Charter of Fundamental Rights, in particular those in Article 17 (right to property), Article 16 (freedom to conduct a business), Article 15 (freedom to choose an occupation and right to engage in work), Article 47 (2) (right to a fair trial), Ar</w:t>
            </w:r>
            <w:r>
              <w:rPr>
                <w:rFonts w:ascii="Times New Roman" w:eastAsia="Calibri" w:hAnsi="Times New Roman" w:cs="Times New Roman"/>
                <w:noProof/>
                <w:sz w:val="24"/>
                <w:szCs w:val="24"/>
                <w:lang w:eastAsia="en-GB"/>
              </w:rPr>
              <w:t>ticle 27 (on the workers' rights to information and consultation), as well as Article 8 (protection of personal data) and Article 7 (respect for private and a family life).</w:t>
            </w:r>
          </w:p>
        </w:tc>
      </w:tr>
      <w:tr w:rsidR="00B32D69">
        <w:trPr>
          <w:trHeight w:val="20"/>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32D69" w:rsidRDefault="00FB661A">
            <w:pPr>
              <w:autoSpaceDE w:val="0"/>
              <w:autoSpaceDN w:val="0"/>
              <w:adjustRightInd w:val="0"/>
              <w:spacing w:before="60" w:after="60" w:line="240" w:lineRule="auto"/>
              <w:jc w:val="center"/>
              <w:rPr>
                <w:rFonts w:ascii="Times New Roman" w:eastAsia="Calibri" w:hAnsi="Times New Roman" w:cs="Times New Roman"/>
                <w:i/>
                <w:noProof/>
                <w:sz w:val="24"/>
                <w:szCs w:val="24"/>
                <w:lang w:eastAsia="en-GB"/>
              </w:rPr>
            </w:pPr>
            <w:r>
              <w:rPr>
                <w:rFonts w:ascii="Times New Roman" w:eastAsia="Calibri" w:hAnsi="Times New Roman" w:cs="Times New Roman"/>
                <w:i/>
                <w:noProof/>
                <w:sz w:val="24"/>
                <w:szCs w:val="24"/>
                <w:lang w:eastAsia="en-GB"/>
              </w:rPr>
              <w:t>Third countries, international trade or investment</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2D69" w:rsidRDefault="00FB661A">
            <w:pPr>
              <w:autoSpaceDE w:val="0"/>
              <w:autoSpaceDN w:val="0"/>
              <w:adjustRightInd w:val="0"/>
              <w:spacing w:before="60" w:after="60" w:line="240" w:lineRule="auto"/>
              <w:jc w:val="both"/>
              <w:rPr>
                <w:rFonts w:ascii="Times New Roman" w:eastAsia="Calibri" w:hAnsi="Times New Roman" w:cs="Times New Roman"/>
                <w:noProof/>
                <w:sz w:val="24"/>
                <w:szCs w:val="24"/>
                <w:lang w:eastAsia="en-GB"/>
              </w:rPr>
            </w:pPr>
            <w:r>
              <w:rPr>
                <w:rFonts w:ascii="Times New Roman" w:hAnsi="Times New Roman" w:cs="Times New Roman"/>
                <w:b/>
                <w:noProof/>
                <w:color w:val="000000"/>
                <w:sz w:val="24"/>
                <w:szCs w:val="24"/>
              </w:rPr>
              <w:t xml:space="preserve">The impact on third countries, </w:t>
            </w:r>
            <w:r>
              <w:rPr>
                <w:rFonts w:ascii="Times New Roman" w:hAnsi="Times New Roman" w:cs="Times New Roman"/>
                <w:b/>
                <w:noProof/>
                <w:color w:val="000000"/>
                <w:sz w:val="24"/>
                <w:szCs w:val="24"/>
              </w:rPr>
              <w:t>international trade or investment will be positive</w:t>
            </w:r>
            <w:r>
              <w:rPr>
                <w:rFonts w:ascii="Times New Roman" w:hAnsi="Times New Roman" w:cs="Times New Roman"/>
                <w:noProof/>
                <w:color w:val="000000"/>
                <w:sz w:val="24"/>
                <w:szCs w:val="24"/>
              </w:rPr>
              <w:t>. The selected option will stimulate international investment from third countries into the EU, as investors will likely face fewer obstacles when entering the EU market.</w:t>
            </w:r>
          </w:p>
        </w:tc>
      </w:tr>
      <w:tr w:rsidR="00B32D69">
        <w:trPr>
          <w:trHeight w:val="20"/>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32D69" w:rsidRDefault="00FB661A">
            <w:pPr>
              <w:spacing w:before="60" w:after="60" w:line="240" w:lineRule="auto"/>
              <w:jc w:val="center"/>
              <w:rPr>
                <w:rFonts w:ascii="Times New Roman" w:hAnsi="Times New Roman" w:cs="Times New Roman"/>
                <w:i/>
                <w:noProof/>
                <w:sz w:val="24"/>
                <w:szCs w:val="24"/>
                <w:lang w:eastAsia="en-GB"/>
              </w:rPr>
            </w:pPr>
            <w:r>
              <w:rPr>
                <w:rFonts w:ascii="Times New Roman" w:hAnsi="Times New Roman" w:cs="Times New Roman"/>
                <w:i/>
                <w:noProof/>
                <w:sz w:val="24"/>
                <w:szCs w:val="24"/>
                <w:lang w:eastAsia="en-GB"/>
              </w:rPr>
              <w:t>Court workloads</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2D69" w:rsidRDefault="00FB661A">
            <w:pPr>
              <w:autoSpaceDE w:val="0"/>
              <w:autoSpaceDN w:val="0"/>
              <w:adjustRightInd w:val="0"/>
              <w:spacing w:before="60" w:after="6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b/>
                <w:noProof/>
                <w:sz w:val="24"/>
                <w:szCs w:val="24"/>
                <w:lang w:eastAsia="en-GB"/>
              </w:rPr>
              <w:t xml:space="preserve">The preferred </w:t>
            </w:r>
            <w:r>
              <w:rPr>
                <w:rFonts w:ascii="Times New Roman" w:eastAsia="Calibri" w:hAnsi="Times New Roman" w:cs="Times New Roman"/>
                <w:b/>
                <w:noProof/>
                <w:sz w:val="24"/>
                <w:szCs w:val="24"/>
                <w:lang w:eastAsia="en-GB"/>
              </w:rPr>
              <w:t>option 4 will decrease the workload for courts</w:t>
            </w:r>
            <w:r>
              <w:rPr>
                <w:rFonts w:ascii="Times New Roman" w:eastAsia="Calibri" w:hAnsi="Times New Roman" w:cs="Times New Roman"/>
                <w:noProof/>
                <w:sz w:val="24"/>
                <w:szCs w:val="24"/>
                <w:lang w:eastAsia="en-GB"/>
              </w:rPr>
              <w:t xml:space="preserve"> by reducing the necessity of involving courts in many restructuring proceedings and by introducing the digitisation of procedures. Where the proposed procedure is used, the courts' involvement would only be li</w:t>
            </w:r>
            <w:r>
              <w:rPr>
                <w:rFonts w:ascii="Times New Roman" w:eastAsia="Calibri" w:hAnsi="Times New Roman" w:cs="Times New Roman"/>
                <w:noProof/>
                <w:sz w:val="24"/>
                <w:szCs w:val="24"/>
                <w:lang w:eastAsia="en-GB"/>
              </w:rPr>
              <w:t>mited and they would have the possibility of concentrating on formal insolvency procedures.</w:t>
            </w:r>
          </w:p>
        </w:tc>
      </w:tr>
      <w:tr w:rsidR="00B32D69">
        <w:trPr>
          <w:trHeight w:val="20"/>
        </w:trPr>
        <w:tc>
          <w:tcPr>
            <w:tcW w:w="1951"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32D69" w:rsidRDefault="00FB661A">
            <w:pPr>
              <w:autoSpaceDE w:val="0"/>
              <w:autoSpaceDN w:val="0"/>
              <w:adjustRightInd w:val="0"/>
              <w:spacing w:before="60" w:after="60" w:line="240" w:lineRule="auto"/>
              <w:jc w:val="center"/>
              <w:rPr>
                <w:rFonts w:ascii="Times New Roman" w:eastAsia="Calibri" w:hAnsi="Times New Roman" w:cs="Times New Roman"/>
                <w:i/>
                <w:noProof/>
                <w:sz w:val="24"/>
                <w:szCs w:val="24"/>
                <w:lang w:eastAsia="en-GB"/>
              </w:rPr>
            </w:pPr>
            <w:r>
              <w:rPr>
                <w:rFonts w:ascii="Times New Roman" w:eastAsia="Calibri" w:hAnsi="Times New Roman" w:cs="Times New Roman"/>
                <w:i/>
                <w:noProof/>
                <w:sz w:val="24"/>
                <w:szCs w:val="24"/>
                <w:lang w:eastAsia="en-GB"/>
              </w:rPr>
              <w:t>Public administrations</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2D69" w:rsidRDefault="00FB661A">
            <w:pPr>
              <w:spacing w:before="60" w:after="0" w:line="24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The impact on costs for public administrations of Member States will be limited</w:t>
            </w:r>
            <w:r>
              <w:rPr>
                <w:rFonts w:ascii="Times New Roman" w:eastAsia="Calibri" w:hAnsi="Times New Roman" w:cs="Times New Roman"/>
                <w:noProof/>
                <w:sz w:val="24"/>
                <w:szCs w:val="24"/>
              </w:rPr>
              <w:t xml:space="preserve">. Where preventive procedures are introduced for the first </w:t>
            </w:r>
            <w:r>
              <w:rPr>
                <w:rFonts w:ascii="Times New Roman" w:eastAsia="Calibri" w:hAnsi="Times New Roman" w:cs="Times New Roman"/>
                <w:noProof/>
                <w:sz w:val="24"/>
                <w:szCs w:val="24"/>
              </w:rPr>
              <w:t>time Member States would need to provide training for their courts and for insolvency practitioners. These training costs will be of one-off character in the range of €950-1300 per judge in those countries where a preventive procedure is used for the first</w:t>
            </w:r>
            <w:r>
              <w:rPr>
                <w:rFonts w:ascii="Times New Roman" w:eastAsia="Calibri" w:hAnsi="Times New Roman" w:cs="Times New Roman"/>
                <w:noProof/>
                <w:sz w:val="24"/>
                <w:szCs w:val="24"/>
              </w:rPr>
              <w:t xml:space="preserve"> time. Exchange of best practices could be done in the context of the European Judicial Network, at no extra cost for public administrations. Cost of reporting obligations: many Member States already have statistical data, and only need to make it availabl</w:t>
            </w:r>
            <w:r>
              <w:rPr>
                <w:rFonts w:ascii="Times New Roman" w:eastAsia="Calibri" w:hAnsi="Times New Roman" w:cs="Times New Roman"/>
                <w:noProof/>
                <w:sz w:val="24"/>
                <w:szCs w:val="24"/>
              </w:rPr>
              <w:t>e to the Commission once a year. For the rest of the Member States, the costs of gathering such data are not expected to be significant.</w:t>
            </w:r>
          </w:p>
        </w:tc>
      </w:tr>
    </w:tbl>
    <w:p w:rsidR="00B32D69" w:rsidRDefault="00FB661A">
      <w:pPr>
        <w:rPr>
          <w:noProof/>
          <w:lang w:val="cs-CZ"/>
        </w:rPr>
      </w:pPr>
      <w:bookmarkStart w:id="69" w:name="_Toc459390488"/>
      <w:bookmarkStart w:id="70" w:name="_Toc459390489"/>
      <w:r>
        <w:rPr>
          <w:noProof/>
          <w:lang w:val="cs-CZ"/>
        </w:rPr>
        <w:br w:type="page"/>
      </w:r>
    </w:p>
    <w:p w:rsidR="00B32D69" w:rsidRDefault="00FB661A">
      <w:pPr>
        <w:keepNext/>
        <w:keepLines/>
        <w:spacing w:before="240" w:after="240" w:line="240" w:lineRule="auto"/>
        <w:outlineLvl w:val="0"/>
        <w:rPr>
          <w:rFonts w:ascii="Times New Roman" w:eastAsiaTheme="majorEastAsia" w:hAnsi="Times New Roman" w:cs="Times New Roman"/>
          <w:b/>
          <w:bCs/>
          <w:noProof/>
          <w:sz w:val="24"/>
          <w:szCs w:val="24"/>
          <w:lang w:val="cs-CZ"/>
        </w:rPr>
      </w:pPr>
      <w:bookmarkStart w:id="71" w:name="_Toc466452987"/>
      <w:r>
        <w:rPr>
          <w:rFonts w:ascii="Times New Roman" w:eastAsiaTheme="majorEastAsia" w:hAnsi="Times New Roman" w:cs="Times New Roman"/>
          <w:b/>
          <w:bCs/>
          <w:noProof/>
          <w:sz w:val="24"/>
          <w:szCs w:val="24"/>
          <w:lang w:val="cs-CZ"/>
        </w:rPr>
        <w:t>8. MONITORING AND EVALUATION</w:t>
      </w:r>
      <w:bookmarkEnd w:id="69"/>
      <w:bookmarkEnd w:id="71"/>
    </w:p>
    <w:p w:rsidR="00B32D69" w:rsidRDefault="00FB661A">
      <w:pPr>
        <w:spacing w:after="120" w:line="240" w:lineRule="auto"/>
        <w:jc w:val="both"/>
        <w:rPr>
          <w:rFonts w:ascii="Times New Roman" w:hAnsi="Times New Roman" w:cs="Times New Roman"/>
          <w:noProof/>
          <w:sz w:val="24"/>
          <w:szCs w:val="24"/>
          <w:lang w:val="cs-CZ"/>
        </w:rPr>
      </w:pPr>
      <w:r>
        <w:rPr>
          <w:rFonts w:ascii="Times New Roman" w:hAnsi="Times New Roman" w:cs="Times New Roman"/>
          <w:noProof/>
          <w:sz w:val="24"/>
          <w:szCs w:val="24"/>
          <w:lang w:val="cs-CZ"/>
        </w:rPr>
        <w:t xml:space="preserve">The implementation of the Directive in the Member States will be followed in the </w:t>
      </w:r>
      <w:r>
        <w:rPr>
          <w:rFonts w:ascii="Times New Roman" w:hAnsi="Times New Roman" w:cs="Times New Roman"/>
          <w:noProof/>
          <w:sz w:val="24"/>
          <w:szCs w:val="24"/>
          <w:lang w:val="cs-CZ"/>
        </w:rPr>
        <w:t>context of the European Judicial Network, which will act as a forum for the exchange of best practices on restructuring and second chance frameworks at EU level. Currently, n</w:t>
      </w:r>
      <w:r>
        <w:rPr>
          <w:rFonts w:ascii="Times New Roman" w:hAnsi="Times New Roman" w:cs="Times New Roman"/>
          <w:noProof/>
          <w:sz w:val="24"/>
          <w:szCs w:val="24"/>
        </w:rPr>
        <w:t>ational official sources (e.g. justice ministries or national statistical institut</w:t>
      </w:r>
      <w:r>
        <w:rPr>
          <w:rFonts w:ascii="Times New Roman" w:hAnsi="Times New Roman" w:cs="Times New Roman"/>
          <w:noProof/>
          <w:sz w:val="24"/>
          <w:szCs w:val="24"/>
        </w:rPr>
        <w:t xml:space="preserve">es) provide information on the number of insolvency cases filed. In some Member States, additional breakdown of different types of insolvency proceedings – which may include restructuring proceedings – can be available. </w:t>
      </w:r>
    </w:p>
    <w:p w:rsidR="00B32D69" w:rsidRDefault="00FB661A">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Although some cross-country data on</w:t>
      </w:r>
      <w:r>
        <w:rPr>
          <w:rFonts w:ascii="Times New Roman" w:hAnsi="Times New Roman" w:cs="Times New Roman"/>
          <w:noProof/>
          <w:sz w:val="24"/>
          <w:szCs w:val="24"/>
        </w:rPr>
        <w:t xml:space="preserve"> the number of insolvencies are assembled and reviewed by international institutions</w:t>
      </w:r>
      <w:r>
        <w:rPr>
          <w:rFonts w:ascii="Times New Roman" w:hAnsi="Times New Roman" w:cs="Times New Roman"/>
          <w:noProof/>
          <w:sz w:val="24"/>
          <w:szCs w:val="24"/>
          <w:vertAlign w:val="superscript"/>
        </w:rPr>
        <w:footnoteReference w:id="202"/>
      </w:r>
      <w:r>
        <w:rPr>
          <w:rFonts w:ascii="Times New Roman" w:hAnsi="Times New Roman" w:cs="Times New Roman"/>
          <w:noProof/>
          <w:sz w:val="24"/>
          <w:szCs w:val="24"/>
        </w:rPr>
        <w:t>, currently, it is not possible to distinguish the number of national proceedings with a cross-border element from the total number of insolvency proceedings</w:t>
      </w:r>
      <w:r>
        <w:rPr>
          <w:rFonts w:ascii="Times New Roman" w:hAnsi="Times New Roman" w:cs="Times New Roman"/>
          <w:noProof/>
          <w:sz w:val="24"/>
          <w:szCs w:val="24"/>
          <w:vertAlign w:val="superscript"/>
        </w:rPr>
        <w:footnoteReference w:id="203"/>
      </w:r>
      <w:r>
        <w:rPr>
          <w:rFonts w:ascii="Times New Roman" w:hAnsi="Times New Roman" w:cs="Times New Roman"/>
          <w:noProof/>
          <w:sz w:val="24"/>
          <w:szCs w:val="24"/>
        </w:rPr>
        <w:t>; the same ap</w:t>
      </w:r>
      <w:r>
        <w:rPr>
          <w:rFonts w:ascii="Times New Roman" w:hAnsi="Times New Roman" w:cs="Times New Roman"/>
          <w:noProof/>
          <w:sz w:val="24"/>
          <w:szCs w:val="24"/>
        </w:rPr>
        <w:t>plies to restructuring proceedings. Due to the aforementioned limitations in availability of real data on insolvency, it is currently not possible to say what the actual costs of cross-border insolvency or restructuring proceedings and cross-border recover</w:t>
      </w:r>
      <w:r>
        <w:rPr>
          <w:rFonts w:ascii="Times New Roman" w:hAnsi="Times New Roman" w:cs="Times New Roman"/>
          <w:noProof/>
          <w:sz w:val="24"/>
          <w:szCs w:val="24"/>
        </w:rPr>
        <w:t>y rates</w:t>
      </w:r>
      <w:r>
        <w:rPr>
          <w:rFonts w:ascii="Times New Roman" w:hAnsi="Times New Roman" w:cs="Times New Roman"/>
          <w:noProof/>
          <w:sz w:val="24"/>
          <w:szCs w:val="24"/>
          <w:vertAlign w:val="superscript"/>
        </w:rPr>
        <w:footnoteReference w:id="204"/>
      </w:r>
      <w:r>
        <w:rPr>
          <w:rFonts w:ascii="Times New Roman" w:hAnsi="Times New Roman" w:cs="Times New Roman"/>
          <w:noProof/>
          <w:sz w:val="24"/>
          <w:szCs w:val="24"/>
        </w:rPr>
        <w:t>. With respect to time needed for resolving insolvency cases, estimations on the basis of insolvency practitioners experience are available</w:t>
      </w:r>
      <w:r>
        <w:rPr>
          <w:rFonts w:ascii="Times New Roman" w:hAnsi="Times New Roman" w:cs="Times New Roman"/>
          <w:noProof/>
          <w:sz w:val="24"/>
          <w:szCs w:val="24"/>
          <w:vertAlign w:val="superscript"/>
        </w:rPr>
        <w:footnoteReference w:id="205"/>
      </w:r>
      <w:r>
        <w:rPr>
          <w:rFonts w:ascii="Times New Roman" w:hAnsi="Times New Roman" w:cs="Times New Roman"/>
          <w:noProof/>
          <w:sz w:val="24"/>
          <w:szCs w:val="24"/>
        </w:rPr>
        <w:t>. Introducing performance reporting by national insolvency agencies (e.g. on costs, timescales and asset rec</w:t>
      </w:r>
      <w:r>
        <w:rPr>
          <w:rFonts w:ascii="Times New Roman" w:hAnsi="Times New Roman" w:cs="Times New Roman"/>
          <w:noProof/>
          <w:sz w:val="24"/>
          <w:szCs w:val="24"/>
        </w:rPr>
        <w:t>overy percentage) has been suggested by private stakeholders</w:t>
      </w:r>
      <w:r>
        <w:rPr>
          <w:rFonts w:ascii="Times New Roman" w:hAnsi="Times New Roman" w:cs="Times New Roman"/>
          <w:noProof/>
          <w:sz w:val="24"/>
          <w:szCs w:val="24"/>
          <w:vertAlign w:val="superscript"/>
        </w:rPr>
        <w:footnoteReference w:id="206"/>
      </w:r>
      <w:r>
        <w:rPr>
          <w:rFonts w:ascii="Times New Roman" w:hAnsi="Times New Roman" w:cs="Times New Roman"/>
          <w:noProof/>
          <w:sz w:val="24"/>
          <w:szCs w:val="24"/>
        </w:rPr>
        <w:t xml:space="preserve"> as well as international organisations, such as the IMF</w:t>
      </w:r>
      <w:r>
        <w:rPr>
          <w:rFonts w:ascii="Times New Roman" w:hAnsi="Times New Roman" w:cs="Times New Roman"/>
          <w:noProof/>
          <w:sz w:val="24"/>
          <w:szCs w:val="24"/>
          <w:vertAlign w:val="superscript"/>
        </w:rPr>
        <w:footnoteReference w:id="207"/>
      </w:r>
      <w:r>
        <w:rPr>
          <w:rFonts w:ascii="Times New Roman" w:hAnsi="Times New Roman" w:cs="Times New Roman"/>
          <w:noProof/>
          <w:sz w:val="24"/>
          <w:szCs w:val="24"/>
        </w:rPr>
        <w:t>.</w:t>
      </w:r>
    </w:p>
    <w:p w:rsidR="00B32D69" w:rsidRDefault="00FB661A">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proposed instrument, it would be necessary to include an obligation for Member States to provide annual statistical data on:</w:t>
      </w:r>
    </w:p>
    <w:p w:rsidR="00B32D69" w:rsidRDefault="00FB661A">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 </w:t>
      </w:r>
      <w:r>
        <w:rPr>
          <w:rFonts w:ascii="Times New Roman" w:hAnsi="Times New Roman" w:cs="Times New Roman"/>
          <w:noProof/>
          <w:sz w:val="24"/>
          <w:szCs w:val="24"/>
        </w:rPr>
        <w:tab/>
        <w:t xml:space="preserve">the number of preventive restructuring procedures opened by enterprises in difficulty, </w:t>
      </w:r>
    </w:p>
    <w:p w:rsidR="00B32D69" w:rsidRDefault="00FB661A">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(ii)</w:t>
      </w:r>
      <w:r>
        <w:rPr>
          <w:rFonts w:ascii="Times New Roman" w:hAnsi="Times New Roman" w:cs="Times New Roman"/>
          <w:noProof/>
          <w:sz w:val="24"/>
          <w:szCs w:val="24"/>
        </w:rPr>
        <w:tab/>
        <w:t xml:space="preserve">the number of liquidations and sales as a going concern, </w:t>
      </w:r>
    </w:p>
    <w:p w:rsidR="00B32D69" w:rsidRDefault="00FB661A">
      <w:pPr>
        <w:spacing w:after="120" w:line="240" w:lineRule="auto"/>
        <w:ind w:left="709" w:hanging="709"/>
        <w:jc w:val="both"/>
        <w:rPr>
          <w:rFonts w:ascii="Times New Roman" w:hAnsi="Times New Roman" w:cs="Times New Roman"/>
          <w:noProof/>
          <w:sz w:val="24"/>
          <w:szCs w:val="24"/>
        </w:rPr>
      </w:pPr>
      <w:r>
        <w:rPr>
          <w:rFonts w:ascii="Times New Roman" w:hAnsi="Times New Roman" w:cs="Times New Roman"/>
          <w:noProof/>
          <w:sz w:val="24"/>
          <w:szCs w:val="24"/>
        </w:rPr>
        <w:t xml:space="preserve">(iii) </w:t>
      </w:r>
      <w:r>
        <w:rPr>
          <w:rFonts w:ascii="Times New Roman" w:hAnsi="Times New Roman" w:cs="Times New Roman"/>
          <w:noProof/>
          <w:sz w:val="24"/>
          <w:szCs w:val="24"/>
        </w:rPr>
        <w:tab/>
        <w:t>the average length of proceedings, including particular procedural phases (e.g. before courts, ou</w:t>
      </w:r>
      <w:r>
        <w:rPr>
          <w:rFonts w:ascii="Times New Roman" w:hAnsi="Times New Roman" w:cs="Times New Roman"/>
          <w:noProof/>
          <w:sz w:val="24"/>
          <w:szCs w:val="24"/>
        </w:rPr>
        <w:t>t-of-court),</w:t>
      </w:r>
    </w:p>
    <w:p w:rsidR="00B32D69" w:rsidRDefault="00FB661A">
      <w:pPr>
        <w:spacing w:after="120" w:line="240" w:lineRule="auto"/>
        <w:ind w:left="709" w:hanging="709"/>
        <w:jc w:val="both"/>
        <w:rPr>
          <w:rFonts w:ascii="Times New Roman" w:hAnsi="Times New Roman" w:cs="Times New Roman"/>
          <w:noProof/>
          <w:sz w:val="24"/>
          <w:szCs w:val="24"/>
        </w:rPr>
      </w:pPr>
      <w:r>
        <w:rPr>
          <w:rFonts w:ascii="Times New Roman" w:hAnsi="Times New Roman" w:cs="Times New Roman"/>
          <w:noProof/>
          <w:sz w:val="24"/>
          <w:szCs w:val="24"/>
        </w:rPr>
        <w:t xml:space="preserve">(iv) </w:t>
      </w:r>
      <w:r>
        <w:rPr>
          <w:rFonts w:ascii="Times New Roman" w:hAnsi="Times New Roman" w:cs="Times New Roman"/>
          <w:noProof/>
          <w:sz w:val="24"/>
          <w:szCs w:val="24"/>
        </w:rPr>
        <w:tab/>
        <w:t>the size of the debtors involved in such proceedings (medium, large or micro-enterprises), and</w:t>
      </w:r>
    </w:p>
    <w:p w:rsidR="00B32D69" w:rsidRDefault="00FB661A">
      <w:pPr>
        <w:spacing w:after="120" w:line="240" w:lineRule="auto"/>
        <w:ind w:left="709" w:hanging="709"/>
        <w:jc w:val="both"/>
        <w:rPr>
          <w:rFonts w:ascii="Times New Roman" w:hAnsi="Times New Roman" w:cs="Times New Roman"/>
          <w:noProof/>
          <w:sz w:val="24"/>
          <w:szCs w:val="24"/>
        </w:rPr>
      </w:pPr>
      <w:r>
        <w:rPr>
          <w:rFonts w:ascii="Times New Roman" w:hAnsi="Times New Roman" w:cs="Times New Roman"/>
          <w:noProof/>
          <w:sz w:val="24"/>
          <w:szCs w:val="24"/>
        </w:rPr>
        <w:t xml:space="preserve">(v) </w:t>
      </w:r>
      <w:r>
        <w:rPr>
          <w:rFonts w:ascii="Times New Roman" w:hAnsi="Times New Roman" w:cs="Times New Roman"/>
          <w:noProof/>
          <w:sz w:val="24"/>
          <w:szCs w:val="24"/>
        </w:rPr>
        <w:tab/>
        <w:t xml:space="preserve">the outcome of the procedures opened, including the recovery rates in different types of procedures. </w:t>
      </w:r>
    </w:p>
    <w:p w:rsidR="00B32D69" w:rsidRDefault="00FB661A">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evaluation of statistical data </w:t>
      </w:r>
      <w:r>
        <w:rPr>
          <w:rFonts w:ascii="Times New Roman" w:hAnsi="Times New Roman" w:cs="Times New Roman"/>
          <w:noProof/>
          <w:sz w:val="24"/>
          <w:szCs w:val="24"/>
        </w:rPr>
        <w:t>will allow the Commission to decide on the appropriate follow-up.</w:t>
      </w:r>
      <w:r>
        <w:rPr>
          <w:rFonts w:ascii="Times New Roman" w:hAnsi="Times New Roman" w:cs="Times New Roman"/>
          <w:noProof/>
          <w:sz w:val="24"/>
          <w:szCs w:val="24"/>
        </w:rPr>
        <w:br w:type="page"/>
      </w:r>
    </w:p>
    <w:p w:rsidR="00B32D69" w:rsidRDefault="00FB661A">
      <w:pPr>
        <w:keepNext/>
        <w:keepLines/>
        <w:spacing w:after="240" w:line="240" w:lineRule="auto"/>
        <w:jc w:val="center"/>
        <w:outlineLvl w:val="0"/>
        <w:rPr>
          <w:rFonts w:ascii="Times New Roman" w:eastAsiaTheme="majorEastAsia" w:hAnsi="Times New Roman" w:cs="Times New Roman"/>
          <w:b/>
          <w:bCs/>
          <w:noProof/>
          <w:sz w:val="24"/>
          <w:szCs w:val="24"/>
        </w:rPr>
      </w:pPr>
      <w:bookmarkStart w:id="72" w:name="_Toc466452988"/>
      <w:r>
        <w:rPr>
          <w:rFonts w:ascii="Times New Roman" w:eastAsiaTheme="majorEastAsia" w:hAnsi="Times New Roman" w:cs="Times New Roman"/>
          <w:b/>
          <w:bCs/>
          <w:noProof/>
          <w:sz w:val="24"/>
          <w:szCs w:val="24"/>
        </w:rPr>
        <w:t>9. ANNEXES</w:t>
      </w:r>
      <w:bookmarkEnd w:id="70"/>
      <w:bookmarkEnd w:id="72"/>
    </w:p>
    <w:p w:rsidR="00B32D69" w:rsidRDefault="00FB661A">
      <w:pPr>
        <w:spacing w:after="240" w:line="240" w:lineRule="auto"/>
        <w:jc w:val="both"/>
        <w:rPr>
          <w:rFonts w:ascii="Times New Roman" w:hAnsi="Times New Roman" w:cs="Times New Roman"/>
          <w:caps/>
          <w:noProof/>
          <w:sz w:val="24"/>
          <w:szCs w:val="24"/>
        </w:rPr>
      </w:pPr>
      <w:r>
        <w:rPr>
          <w:rFonts w:ascii="Times New Roman" w:hAnsi="Times New Roman" w:cs="Times New Roman"/>
          <w:caps/>
          <w:noProof/>
          <w:sz w:val="24"/>
          <w:szCs w:val="24"/>
        </w:rPr>
        <w:t>ANNEX 1. Procedural information concerning the process to prepare the impact assessment report and the related initiative</w:t>
      </w:r>
    </w:p>
    <w:p w:rsidR="00B32D69" w:rsidRDefault="00FB661A">
      <w:pPr>
        <w:spacing w:after="240" w:line="240" w:lineRule="auto"/>
        <w:jc w:val="both"/>
        <w:rPr>
          <w:rFonts w:ascii="Times New Roman" w:hAnsi="Times New Roman" w:cs="Times New Roman"/>
          <w:caps/>
          <w:noProof/>
          <w:sz w:val="24"/>
          <w:szCs w:val="24"/>
        </w:rPr>
      </w:pPr>
      <w:r>
        <w:rPr>
          <w:rFonts w:ascii="Times New Roman" w:hAnsi="Times New Roman" w:cs="Times New Roman"/>
          <w:caps/>
          <w:noProof/>
          <w:sz w:val="24"/>
          <w:szCs w:val="24"/>
        </w:rPr>
        <w:t xml:space="preserve">ANNEX 2. Summary of consultations of stakeholders, </w:t>
      </w:r>
      <w:r>
        <w:rPr>
          <w:rFonts w:ascii="Times New Roman" w:hAnsi="Times New Roman" w:cs="Times New Roman"/>
          <w:caps/>
          <w:noProof/>
          <w:sz w:val="24"/>
          <w:szCs w:val="24"/>
        </w:rPr>
        <w:t>including the outcome of the public consultation on an effective insolvency framework within the EU</w:t>
      </w:r>
    </w:p>
    <w:p w:rsidR="00B32D69" w:rsidRDefault="00FB661A">
      <w:pPr>
        <w:spacing w:after="240" w:line="240" w:lineRule="auto"/>
        <w:jc w:val="both"/>
        <w:rPr>
          <w:rFonts w:ascii="Times New Roman" w:hAnsi="Times New Roman" w:cs="Times New Roman"/>
          <w:caps/>
          <w:noProof/>
          <w:sz w:val="24"/>
          <w:szCs w:val="24"/>
        </w:rPr>
      </w:pPr>
      <w:r>
        <w:rPr>
          <w:rFonts w:ascii="Times New Roman" w:hAnsi="Times New Roman" w:cs="Times New Roman"/>
          <w:caps/>
          <w:noProof/>
          <w:sz w:val="24"/>
          <w:szCs w:val="24"/>
        </w:rPr>
        <w:t xml:space="preserve">ANNEX 3. The Impact of the initIative and data </w:t>
      </w:r>
    </w:p>
    <w:p w:rsidR="00B32D69" w:rsidRDefault="00FB661A">
      <w:pPr>
        <w:spacing w:after="240" w:line="240" w:lineRule="auto"/>
        <w:jc w:val="both"/>
        <w:rPr>
          <w:rFonts w:ascii="Times New Roman" w:hAnsi="Times New Roman" w:cs="Times New Roman"/>
          <w:noProof/>
          <w:sz w:val="24"/>
          <w:szCs w:val="24"/>
          <w:lang w:val="cs-CZ"/>
        </w:rPr>
      </w:pPr>
      <w:r>
        <w:rPr>
          <w:rFonts w:ascii="Times New Roman" w:hAnsi="Times New Roman" w:cs="Times New Roman"/>
          <w:noProof/>
          <w:sz w:val="24"/>
          <w:szCs w:val="24"/>
          <w:lang w:val="cs-CZ"/>
        </w:rPr>
        <w:t>ANNEX 4. LEGAL BACKGROUND</w:t>
      </w:r>
    </w:p>
    <w:p w:rsidR="00B32D69" w:rsidRDefault="00FB661A">
      <w:pPr>
        <w:spacing w:after="240"/>
        <w:jc w:val="both"/>
        <w:rPr>
          <w:rFonts w:ascii="Times New Roman" w:hAnsi="Times New Roman" w:cs="Times New Roman"/>
          <w:noProof/>
          <w:sz w:val="24"/>
          <w:szCs w:val="24"/>
          <w:lang w:val="cs-CZ"/>
        </w:rPr>
      </w:pPr>
      <w:r>
        <w:rPr>
          <w:rFonts w:ascii="Times New Roman" w:hAnsi="Times New Roman" w:cs="Times New Roman"/>
          <w:noProof/>
          <w:sz w:val="24"/>
          <w:szCs w:val="24"/>
          <w:lang w:val="cs-CZ"/>
        </w:rPr>
        <w:t>ANNEX 5. GLOSSARY</w:t>
      </w:r>
    </w:p>
    <w:p w:rsidR="00B32D69" w:rsidRDefault="00FB661A">
      <w:pPr>
        <w:spacing w:after="240"/>
        <w:jc w:val="both"/>
        <w:rPr>
          <w:rFonts w:ascii="Times New Roman" w:hAnsi="Times New Roman" w:cs="Times New Roman"/>
          <w:noProof/>
          <w:sz w:val="24"/>
          <w:szCs w:val="24"/>
          <w:lang w:val="cs-CZ"/>
        </w:rPr>
      </w:pPr>
      <w:r>
        <w:rPr>
          <w:rFonts w:ascii="Times New Roman" w:hAnsi="Times New Roman" w:cs="Times New Roman"/>
          <w:noProof/>
          <w:sz w:val="24"/>
          <w:szCs w:val="24"/>
          <w:lang w:val="cs-CZ"/>
        </w:rPr>
        <w:t>ANNEX 6. OVERVIEW OF MEMBER STATES' RESTRUCTURING FRAMEWORKS</w:t>
      </w:r>
    </w:p>
    <w:p w:rsidR="00B32D69" w:rsidRDefault="00FB661A">
      <w:pPr>
        <w:spacing w:after="240"/>
        <w:jc w:val="both"/>
        <w:rPr>
          <w:rFonts w:ascii="Times New Roman" w:hAnsi="Times New Roman" w:cs="Times New Roman"/>
          <w:noProof/>
          <w:sz w:val="24"/>
          <w:szCs w:val="24"/>
          <w:lang w:val="cs-CZ"/>
        </w:rPr>
      </w:pPr>
      <w:r>
        <w:rPr>
          <w:rFonts w:ascii="Times New Roman" w:hAnsi="Times New Roman" w:cs="Times New Roman"/>
          <w:noProof/>
          <w:sz w:val="24"/>
          <w:szCs w:val="24"/>
          <w:lang w:val="cs-CZ"/>
        </w:rPr>
        <w:t>ANN</w:t>
      </w:r>
      <w:r>
        <w:rPr>
          <w:rFonts w:ascii="Times New Roman" w:hAnsi="Times New Roman" w:cs="Times New Roman"/>
          <w:noProof/>
          <w:sz w:val="24"/>
          <w:szCs w:val="24"/>
          <w:lang w:val="cs-CZ"/>
        </w:rPr>
        <w:t>EX 7. WHO IS AFFECTED BY THE INITIATIVE AND HOW</w:t>
      </w:r>
    </w:p>
    <w:p w:rsidR="00B32D69" w:rsidRDefault="00FB661A">
      <w:pPr>
        <w:spacing w:after="240"/>
        <w:jc w:val="both"/>
        <w:rPr>
          <w:rFonts w:ascii="Times New Roman" w:hAnsi="Times New Roman" w:cs="Times New Roman"/>
          <w:noProof/>
          <w:sz w:val="24"/>
          <w:szCs w:val="24"/>
          <w:lang w:val="cs-CZ"/>
        </w:rPr>
      </w:pPr>
      <w:r>
        <w:rPr>
          <w:rFonts w:ascii="Times New Roman" w:hAnsi="Times New Roman" w:cs="Times New Roman"/>
          <w:noProof/>
          <w:sz w:val="24"/>
          <w:szCs w:val="24"/>
          <w:lang w:val="cs-CZ"/>
        </w:rPr>
        <w:t>ANNEX 8. EVALUATION OF THE IMPLEMENTATION OF THE COMMISSION RECOMMENDATION of 12.3.2014 ON A NEW APPROACH TO BUSINESS FAILURE AND INSOLVENCY</w:t>
      </w:r>
    </w:p>
    <w:p w:rsidR="00B32D69" w:rsidRDefault="00B32D69">
      <w:pPr>
        <w:rPr>
          <w:rFonts w:ascii="Times New Roman" w:hAnsi="Times New Roman" w:cs="Times New Roman"/>
          <w:noProof/>
          <w:sz w:val="24"/>
          <w:szCs w:val="24"/>
          <w:lang w:val="cs-CZ"/>
        </w:rPr>
      </w:pPr>
    </w:p>
    <w:p w:rsidR="00B32D69" w:rsidRDefault="00B32D69">
      <w:pPr>
        <w:rPr>
          <w:rFonts w:ascii="Times New Roman" w:hAnsi="Times New Roman" w:cs="Times New Roman"/>
          <w:noProof/>
          <w:sz w:val="24"/>
          <w:szCs w:val="24"/>
          <w:lang w:val="cs-CZ"/>
        </w:rPr>
      </w:pPr>
    </w:p>
    <w:p w:rsidR="00B32D69" w:rsidRDefault="00B32D69">
      <w:pPr>
        <w:rPr>
          <w:rFonts w:ascii="Times New Roman" w:eastAsia="Times New Roman" w:hAnsi="Times New Roman" w:cs="Times New Roman"/>
          <w:noProof/>
          <w:sz w:val="24"/>
          <w:szCs w:val="24"/>
        </w:rPr>
      </w:pPr>
    </w:p>
    <w:p w:rsidR="00B32D69" w:rsidRDefault="00FB661A">
      <w:pPr>
        <w:rPr>
          <w:noProof/>
        </w:rPr>
      </w:pPr>
      <w:r>
        <w:rPr>
          <w:noProof/>
        </w:rPr>
        <w:br w:type="page"/>
      </w:r>
    </w:p>
    <w:p w:rsidR="00B32D69" w:rsidRDefault="00FB661A">
      <w:pPr>
        <w:spacing w:after="0"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t>ANNEX 1</w:t>
      </w:r>
    </w:p>
    <w:p w:rsidR="00B32D69" w:rsidRDefault="00B32D69">
      <w:pPr>
        <w:spacing w:after="0" w:line="240" w:lineRule="auto"/>
        <w:jc w:val="center"/>
        <w:rPr>
          <w:rFonts w:ascii="Times New Roman" w:hAnsi="Times New Roman" w:cs="Times New Roman"/>
          <w:b/>
          <w:noProof/>
          <w:sz w:val="24"/>
          <w:szCs w:val="24"/>
        </w:rPr>
      </w:pPr>
    </w:p>
    <w:p w:rsidR="00B32D69" w:rsidRDefault="00FB661A">
      <w:pPr>
        <w:spacing w:after="0" w:line="240" w:lineRule="auto"/>
        <w:jc w:val="center"/>
        <w:rPr>
          <w:rFonts w:ascii="Times New Roman" w:hAnsi="Times New Roman" w:cs="Times New Roman"/>
          <w:b/>
          <w:caps/>
          <w:noProof/>
          <w:sz w:val="24"/>
          <w:szCs w:val="24"/>
        </w:rPr>
      </w:pPr>
      <w:r>
        <w:rPr>
          <w:rFonts w:ascii="Times New Roman" w:hAnsi="Times New Roman" w:cs="Times New Roman"/>
          <w:b/>
          <w:caps/>
          <w:noProof/>
          <w:sz w:val="24"/>
          <w:szCs w:val="24"/>
        </w:rPr>
        <w:t xml:space="preserve">Procedural information concerning the process to </w:t>
      </w:r>
      <w:r>
        <w:rPr>
          <w:rFonts w:ascii="Times New Roman" w:hAnsi="Times New Roman" w:cs="Times New Roman"/>
          <w:b/>
          <w:caps/>
          <w:noProof/>
          <w:sz w:val="24"/>
          <w:szCs w:val="24"/>
        </w:rPr>
        <w:t>prepare the impact assessment report and the related initiative</w:t>
      </w:r>
    </w:p>
    <w:p w:rsidR="00B32D69" w:rsidRDefault="00B32D69">
      <w:pPr>
        <w:spacing w:after="0" w:line="240" w:lineRule="auto"/>
        <w:jc w:val="center"/>
        <w:rPr>
          <w:rFonts w:ascii="Times New Roman" w:hAnsi="Times New Roman" w:cs="Times New Roman"/>
          <w:b/>
          <w:noProof/>
          <w:sz w:val="24"/>
          <w:szCs w:val="24"/>
        </w:rPr>
      </w:pPr>
    </w:p>
    <w:p w:rsidR="00B32D69" w:rsidRDefault="00FB661A">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1. REGULATORY SCRUTINY BOARD</w:t>
      </w:r>
    </w:p>
    <w:p w:rsidR="00B32D69" w:rsidRDefault="00B32D69">
      <w:pPr>
        <w:spacing w:after="0" w:line="240" w:lineRule="auto"/>
        <w:jc w:val="both"/>
        <w:rPr>
          <w:rFonts w:ascii="Times New Roman" w:hAnsi="Times New Roman" w:cs="Times New Roman"/>
          <w:b/>
          <w:noProof/>
          <w:sz w:val="24"/>
          <w:szCs w:val="24"/>
        </w:rPr>
      </w:pPr>
    </w:p>
    <w:p w:rsidR="00B32D69" w:rsidRDefault="00FB661A">
      <w:pPr>
        <w:pStyle w:val="Default"/>
        <w:spacing w:before="120" w:after="120"/>
        <w:jc w:val="both"/>
        <w:rPr>
          <w:noProof/>
        </w:rPr>
      </w:pPr>
      <w:r>
        <w:rPr>
          <w:noProof/>
        </w:rPr>
        <w:t xml:space="preserve">The Impact Assessment Report was examined by the Regulatory Scrutiny Board on 28 September 2016. Recommendations from the Board were transmitted on 30 September </w:t>
      </w:r>
      <w:r>
        <w:rPr>
          <w:noProof/>
        </w:rPr>
        <w:t>2016 and were implemented into the resubmitted version of the IA Report as follows:</w:t>
      </w:r>
    </w:p>
    <w:p w:rsidR="00B32D69" w:rsidRDefault="00B32D69">
      <w:pPr>
        <w:pStyle w:val="Default"/>
        <w:spacing w:before="120" w:after="120"/>
        <w:jc w:val="both"/>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4961"/>
      </w:tblGrid>
      <w:tr w:rsidR="00B32D69">
        <w:trPr>
          <w:trHeight w:val="20"/>
        </w:trPr>
        <w:tc>
          <w:tcPr>
            <w:tcW w:w="4219" w:type="dxa"/>
            <w:tcBorders>
              <w:bottom w:val="single" w:sz="4" w:space="0" w:color="auto"/>
            </w:tcBorders>
            <w:shd w:val="clear" w:color="auto" w:fill="D9D9D9" w:themeFill="background1" w:themeFillShade="D9"/>
            <w:vAlign w:val="center"/>
          </w:tcPr>
          <w:p w:rsidR="00B32D69" w:rsidRDefault="00FB661A">
            <w:pPr>
              <w:spacing w:before="120" w:after="120"/>
              <w:jc w:val="center"/>
              <w:rPr>
                <w:b/>
                <w:noProof/>
              </w:rPr>
            </w:pPr>
            <w:r>
              <w:rPr>
                <w:b/>
                <w:noProof/>
              </w:rPr>
              <w:t>Board's Recommendations</w:t>
            </w:r>
          </w:p>
        </w:tc>
        <w:tc>
          <w:tcPr>
            <w:tcW w:w="4961" w:type="dxa"/>
            <w:shd w:val="clear" w:color="auto" w:fill="D9D9D9" w:themeFill="background1" w:themeFillShade="D9"/>
            <w:vAlign w:val="center"/>
          </w:tcPr>
          <w:p w:rsidR="00B32D69" w:rsidRDefault="00FB661A">
            <w:pPr>
              <w:spacing w:before="120" w:after="120"/>
              <w:jc w:val="center"/>
              <w:rPr>
                <w:b/>
                <w:noProof/>
              </w:rPr>
            </w:pPr>
            <w:r>
              <w:rPr>
                <w:b/>
                <w:noProof/>
                <w:color w:val="000000"/>
              </w:rPr>
              <w:t>Implementation of the recommendations into the revised IA Report</w:t>
            </w:r>
          </w:p>
        </w:tc>
      </w:tr>
      <w:tr w:rsidR="00B32D69">
        <w:trPr>
          <w:trHeight w:val="20"/>
        </w:trPr>
        <w:tc>
          <w:tcPr>
            <w:tcW w:w="4219" w:type="dxa"/>
            <w:tcBorders>
              <w:bottom w:val="single" w:sz="4" w:space="0" w:color="auto"/>
            </w:tcBorders>
          </w:tcPr>
          <w:p w:rsidR="00B32D69" w:rsidRDefault="00FB661A">
            <w:pPr>
              <w:pStyle w:val="Default"/>
              <w:spacing w:before="120" w:after="120"/>
              <w:jc w:val="both"/>
              <w:rPr>
                <w:i/>
                <w:noProof/>
              </w:rPr>
            </w:pPr>
            <w:r>
              <w:rPr>
                <w:noProof/>
              </w:rPr>
              <w:t xml:space="preserve"> </w:t>
            </w:r>
            <w:r>
              <w:rPr>
                <w:b/>
                <w:bCs/>
                <w:noProof/>
              </w:rPr>
              <w:t>(1) The policy context should better justify the need to act now, only two years</w:t>
            </w:r>
            <w:r>
              <w:rPr>
                <w:b/>
                <w:bCs/>
                <w:noProof/>
              </w:rPr>
              <w:t xml:space="preserve"> after the related Recommendation. </w:t>
            </w:r>
          </w:p>
          <w:p w:rsidR="00B32D69" w:rsidRDefault="00FB661A">
            <w:pPr>
              <w:pStyle w:val="Default"/>
              <w:spacing w:before="120" w:after="120"/>
              <w:jc w:val="both"/>
              <w:rPr>
                <w:noProof/>
              </w:rPr>
            </w:pPr>
            <w:r>
              <w:rPr>
                <w:noProof/>
              </w:rPr>
              <w:t>The policy context should better justify the need to act now. Member States have had relatively little time to implement the 2014 Recommendation. What is the evidence that suitable implementation will not take place over</w:t>
            </w:r>
            <w:r>
              <w:rPr>
                <w:noProof/>
              </w:rPr>
              <w:t xml:space="preserve"> time without further EU action? </w:t>
            </w:r>
          </w:p>
          <w:p w:rsidR="00B32D69" w:rsidRDefault="00B32D69">
            <w:pPr>
              <w:autoSpaceDE w:val="0"/>
              <w:autoSpaceDN w:val="0"/>
              <w:adjustRightInd w:val="0"/>
              <w:spacing w:before="120" w:after="120"/>
              <w:rPr>
                <w:noProof/>
                <w:color w:val="000000"/>
              </w:rPr>
            </w:pPr>
          </w:p>
          <w:p w:rsidR="00B32D69" w:rsidRDefault="00B32D69">
            <w:pPr>
              <w:pStyle w:val="Default"/>
              <w:spacing w:before="120" w:after="120"/>
              <w:jc w:val="both"/>
              <w:rPr>
                <w:noProof/>
              </w:rPr>
            </w:pPr>
          </w:p>
          <w:p w:rsidR="00B32D69" w:rsidRDefault="00B32D69">
            <w:pPr>
              <w:pStyle w:val="Default"/>
              <w:spacing w:before="120" w:after="120"/>
              <w:jc w:val="both"/>
              <w:rPr>
                <w:noProof/>
              </w:rPr>
            </w:pPr>
          </w:p>
          <w:p w:rsidR="00B32D69" w:rsidRDefault="00B32D69">
            <w:pPr>
              <w:pStyle w:val="Default"/>
              <w:spacing w:before="120" w:after="120"/>
              <w:jc w:val="both"/>
              <w:rPr>
                <w:noProof/>
              </w:rPr>
            </w:pPr>
          </w:p>
          <w:p w:rsidR="00B32D69" w:rsidRDefault="00B32D69">
            <w:pPr>
              <w:pStyle w:val="Default"/>
              <w:spacing w:before="120" w:after="120"/>
              <w:jc w:val="both"/>
              <w:rPr>
                <w:noProof/>
              </w:rPr>
            </w:pPr>
          </w:p>
          <w:p w:rsidR="00B32D69" w:rsidRDefault="00B32D69">
            <w:pPr>
              <w:pStyle w:val="Default"/>
              <w:spacing w:before="120" w:after="120"/>
              <w:jc w:val="both"/>
              <w:rPr>
                <w:i/>
                <w:noProof/>
              </w:rPr>
            </w:pPr>
          </w:p>
        </w:tc>
        <w:tc>
          <w:tcPr>
            <w:tcW w:w="4961" w:type="dxa"/>
            <w:tcBorders>
              <w:bottom w:val="single" w:sz="4" w:space="0" w:color="auto"/>
            </w:tcBorders>
          </w:tcPr>
          <w:p w:rsidR="00B32D69" w:rsidRDefault="00FB661A">
            <w:pPr>
              <w:pStyle w:val="Default"/>
              <w:spacing w:before="120" w:after="120"/>
              <w:jc w:val="both"/>
              <w:rPr>
                <w:noProof/>
              </w:rPr>
            </w:pPr>
            <w:r>
              <w:rPr>
                <w:b/>
                <w:noProof/>
              </w:rPr>
              <w:t>(1)</w:t>
            </w:r>
            <w:r>
              <w:rPr>
                <w:noProof/>
              </w:rPr>
              <w:t xml:space="preserve"> The section on policy context (section 2.1) was further improved by additional details on the assessment of the evaluation of the 2014 Insolvency Recommendation showing the inconsistencies in the existing restructuring and second chance frameworks in Memb</w:t>
            </w:r>
            <w:r>
              <w:rPr>
                <w:noProof/>
              </w:rPr>
              <w:t>er States as well as the diverging character of the national reforms in the pipeline. This need for current action is evidenced by the Feedback Statement on the Green Paper "Building a Capital Markets Union" in relation to insolvency and restructuring, the</w:t>
            </w:r>
            <w:r>
              <w:rPr>
                <w:noProof/>
              </w:rPr>
              <w:t xml:space="preserve"> Economic Analysis accompanying Action Plan on Building a Capital Markets Union (both published in 2015) and the independent external evaluation of the implementation of Recommendation on restructuring in the Study on a new approach to business failure and</w:t>
            </w:r>
            <w:r>
              <w:rPr>
                <w:noProof/>
              </w:rPr>
              <w:t xml:space="preserve"> insolvency performed by the University of Leeds (January 2016). A new annex 8 summarising the evaluation of the implementation of the Recommendation in 2015 and 2016 on the basis of Member States reporting was added.</w:t>
            </w:r>
          </w:p>
        </w:tc>
      </w:tr>
      <w:tr w:rsidR="00B32D69">
        <w:trPr>
          <w:trHeight w:val="20"/>
        </w:trPr>
        <w:tc>
          <w:tcPr>
            <w:tcW w:w="4219" w:type="dxa"/>
            <w:tcBorders>
              <w:top w:val="single" w:sz="4" w:space="0" w:color="auto"/>
              <w:bottom w:val="single" w:sz="4" w:space="0" w:color="auto"/>
            </w:tcBorders>
          </w:tcPr>
          <w:p w:rsidR="00B32D69" w:rsidRDefault="00FB661A">
            <w:pPr>
              <w:pStyle w:val="Default"/>
              <w:spacing w:before="120" w:after="120"/>
              <w:jc w:val="both"/>
              <w:rPr>
                <w:b/>
                <w:bCs/>
                <w:noProof/>
              </w:rPr>
            </w:pPr>
            <w:r>
              <w:rPr>
                <w:b/>
                <w:bCs/>
                <w:noProof/>
              </w:rPr>
              <w:t xml:space="preserve">(2) The report should better justify </w:t>
            </w:r>
            <w:r>
              <w:rPr>
                <w:b/>
                <w:bCs/>
                <w:noProof/>
              </w:rPr>
              <w:t>the initiative's internal market aspects and minimum harmonisation approach. It should elaborate on the cross border dimension of restructuring. It should develop the justification for the specific features put forward for harmonisation. It should also cla</w:t>
            </w:r>
            <w:r>
              <w:rPr>
                <w:b/>
                <w:bCs/>
                <w:noProof/>
              </w:rPr>
              <w:t>rify the internal market aspects of 'second chance.'</w:t>
            </w:r>
          </w:p>
          <w:p w:rsidR="00B32D69" w:rsidRDefault="00FB661A">
            <w:pPr>
              <w:pStyle w:val="Default"/>
              <w:jc w:val="both"/>
              <w:rPr>
                <w:noProof/>
              </w:rPr>
            </w:pPr>
            <w:r>
              <w:rPr>
                <w:noProof/>
              </w:rPr>
              <w:t>The report should provide more detail on the cross-border dimensions of restructuring cases. Notably, it should justify the internal market aspects of the various provisions of the initiative. For instan</w:t>
            </w:r>
            <w:r>
              <w:rPr>
                <w:noProof/>
              </w:rPr>
              <w:t>ce, it should explain why the proposal covers all potential cases (including purely domestic) rather than only those with a direct debtor/creditor cross-border dimension. The report should also explain how harmonizing specific features would achieve stated</w:t>
            </w:r>
            <w:r>
              <w:rPr>
                <w:noProof/>
              </w:rPr>
              <w:t xml:space="preserve"> objectives. What will be the gains from harmonizing early restructuring, stay, debtors' business continuation, safeguarding of minority interests, possibility of new financing, costs and length of restructuring procedures and discharge? In line with the p</w:t>
            </w:r>
            <w:r>
              <w:rPr>
                <w:noProof/>
              </w:rPr>
              <w:t xml:space="preserve">roportionality principle, the report needs better address the issue raised by stakeholders on 'principle' versus 'detailed' regulation. Clarify what the proposed approach implies for Member States and their degree of flexibility in implementation. </w:t>
            </w:r>
          </w:p>
          <w:p w:rsidR="00B32D69" w:rsidRDefault="00FB661A">
            <w:pPr>
              <w:pStyle w:val="Default"/>
              <w:jc w:val="both"/>
              <w:rPr>
                <w:noProof/>
              </w:rPr>
            </w:pPr>
            <w:r>
              <w:rPr>
                <w:noProof/>
              </w:rPr>
              <w:t>Explain</w:t>
            </w:r>
            <w:r>
              <w:rPr>
                <w:noProof/>
              </w:rPr>
              <w:t xml:space="preserve"> the internal market dimension of the second chance provision. </w:t>
            </w:r>
          </w:p>
          <w:p w:rsidR="00B32D69" w:rsidRDefault="00FB661A">
            <w:pPr>
              <w:pStyle w:val="Default"/>
              <w:spacing w:after="187"/>
              <w:jc w:val="both"/>
              <w:rPr>
                <w:noProof/>
              </w:rPr>
            </w:pPr>
            <w:r>
              <w:rPr>
                <w:noProof/>
              </w:rPr>
              <w:t xml:space="preserve">The 'discharge for consumers' option is presented as a recommendation to Member States - how would this be more effective than the 2014 recommendation in that respect? </w:t>
            </w:r>
          </w:p>
        </w:tc>
        <w:tc>
          <w:tcPr>
            <w:tcW w:w="4961" w:type="dxa"/>
            <w:tcBorders>
              <w:top w:val="single" w:sz="4" w:space="0" w:color="auto"/>
              <w:bottom w:val="single" w:sz="4" w:space="0" w:color="auto"/>
            </w:tcBorders>
          </w:tcPr>
          <w:p w:rsidR="00B32D69" w:rsidRDefault="00FB661A">
            <w:pPr>
              <w:pStyle w:val="Default"/>
              <w:spacing w:before="120"/>
              <w:jc w:val="both"/>
              <w:rPr>
                <w:b/>
                <w:noProof/>
              </w:rPr>
            </w:pPr>
            <w:r>
              <w:rPr>
                <w:noProof/>
              </w:rPr>
              <w:t>(2) The internal market</w:t>
            </w:r>
            <w:r>
              <w:rPr>
                <w:noProof/>
              </w:rPr>
              <w:t xml:space="preserve"> aspects of both restructuring and second chance was substantially improved. From the economic perspective, data about (i) cost of the cross-border dimension of insolvency procedures, including restructuring, for large companies and SMEs, and (ii) the addi</w:t>
            </w:r>
            <w:r>
              <w:rPr>
                <w:noProof/>
              </w:rPr>
              <w:t>tional costs of insolvency, including restructuring proceedings with cross-border element(s) compared to domestic procedures were inserted as provided in the meantime by the final report of the contractor for the economic analysis study of the restructurin</w:t>
            </w:r>
            <w:r>
              <w:rPr>
                <w:noProof/>
              </w:rPr>
              <w:t xml:space="preserve">g and second chance proposal (section 2.3.2). Additional data on cross-border aspects of debt resolution from the 2016 Insolvency Eurobarometer were provided (section 2.3.2 and 2.5). From the legal perspective, it was explained that due to the divergences </w:t>
            </w:r>
            <w:r>
              <w:rPr>
                <w:noProof/>
              </w:rPr>
              <w:t xml:space="preserve">in restructuring frameworks in Member States no restructuring plan involving the continuation of the business of groups of companies has ever been accepted in more than two jurisdictions (section 2.3.2). As regards the discharge period, evidence about its </w:t>
            </w:r>
            <w:r>
              <w:rPr>
                <w:noProof/>
              </w:rPr>
              <w:t>application and duration in Member States was supplemented based on the information provided by the Study on a new approach to business failure and insolvency performed by the University of Leeds (January 2016) and the Bankruptcy and Second Chance for Hone</w:t>
            </w:r>
            <w:r>
              <w:rPr>
                <w:noProof/>
              </w:rPr>
              <w:t>st Entrepreneurs of 2014 elaborated by Ecorys. (section 2.3.1 part B) The justification of specific features of restructuring and second chance which merit harmonisation was strengthened by the propositions expressed by stakeholders in the sounding board m</w:t>
            </w:r>
            <w:r>
              <w:rPr>
                <w:noProof/>
              </w:rPr>
              <w:t>eetings and experts in the meetings of the expert group organised for this purpose during the impact impact assessment processed Detailed explanation with examples showing why a dedicated restructuring regime limited to cases of EU cross-border restructuri</w:t>
            </w:r>
            <w:r>
              <w:rPr>
                <w:noProof/>
              </w:rPr>
              <w:t>ng is a not a viable possibility was added. The internal market dimension of the second chance provision was supplemented by the explanation showing that different discharge periods may lead bankrupt entrepreneurs to exercise their free movement rights and</w:t>
            </w:r>
            <w:r>
              <w:rPr>
                <w:noProof/>
              </w:rPr>
              <w:t xml:space="preserve"> relocate to a more debtor friendly jurisdiction (section 2.3.2) . The IA Report also clarified that the issue of discharge and second chance for consumers will not be dealt with under the current proposal and that it will keep the status quo foreseen by t</w:t>
            </w:r>
            <w:r>
              <w:rPr>
                <w:noProof/>
              </w:rPr>
              <w:t>he 2014 Recommendation of restructuring and second chance (section 4.2 or 5).</w:t>
            </w:r>
          </w:p>
        </w:tc>
      </w:tr>
      <w:tr w:rsidR="00B32D69">
        <w:trPr>
          <w:trHeight w:val="20"/>
        </w:trPr>
        <w:tc>
          <w:tcPr>
            <w:tcW w:w="4219" w:type="dxa"/>
            <w:tcBorders>
              <w:top w:val="single" w:sz="4" w:space="0" w:color="auto"/>
              <w:bottom w:val="single" w:sz="4" w:space="0" w:color="auto"/>
            </w:tcBorders>
          </w:tcPr>
          <w:p w:rsidR="00B32D69" w:rsidRDefault="00FB661A">
            <w:pPr>
              <w:spacing w:before="120"/>
              <w:rPr>
                <w:b/>
                <w:noProof/>
              </w:rPr>
            </w:pPr>
            <w:r>
              <w:rPr>
                <w:b/>
                <w:noProof/>
              </w:rPr>
              <w:t xml:space="preserve">(3) Stakeholder views should feature throughout the assessment of the various policy options. Clearly present differences in views across the stakeholder groups. </w:t>
            </w:r>
          </w:p>
          <w:p w:rsidR="00B32D69" w:rsidRDefault="00FB661A">
            <w:pPr>
              <w:pStyle w:val="Default"/>
              <w:rPr>
                <w:noProof/>
              </w:rPr>
            </w:pPr>
            <w:r>
              <w:rPr>
                <w:noProof/>
              </w:rPr>
              <w:t xml:space="preserve">Stakeholder views should feature more prominently throughout the report. This would strengthen the evidence base and enhance policymaker assessment of options. When doing so, it is important to present differences across stakeholder (sub-) groups. </w:t>
            </w:r>
          </w:p>
          <w:p w:rsidR="00B32D69" w:rsidRDefault="00FB661A">
            <w:pPr>
              <w:autoSpaceDE w:val="0"/>
              <w:autoSpaceDN w:val="0"/>
              <w:adjustRightInd w:val="0"/>
              <w:rPr>
                <w:b/>
                <w:bCs/>
                <w:noProof/>
                <w:color w:val="000000"/>
              </w:rPr>
            </w:pPr>
            <w:r>
              <w:rPr>
                <w:noProof/>
              </w:rPr>
              <w:t xml:space="preserve">The report should justify the inclusion of a soft law instrument in the preferred option against the background of the stated ineffectiveness of the 2014 Recommendation. </w:t>
            </w:r>
          </w:p>
          <w:p w:rsidR="00B32D69" w:rsidRDefault="00B32D69">
            <w:pPr>
              <w:autoSpaceDE w:val="0"/>
              <w:autoSpaceDN w:val="0"/>
              <w:adjustRightInd w:val="0"/>
              <w:rPr>
                <w:b/>
                <w:bCs/>
                <w:noProof/>
                <w:color w:val="000000"/>
              </w:rPr>
            </w:pPr>
          </w:p>
          <w:p w:rsidR="00B32D69" w:rsidRDefault="00B32D69">
            <w:pPr>
              <w:pStyle w:val="Default"/>
              <w:jc w:val="both"/>
              <w:rPr>
                <w:b/>
                <w:bCs/>
                <w:noProof/>
              </w:rPr>
            </w:pPr>
          </w:p>
        </w:tc>
        <w:tc>
          <w:tcPr>
            <w:tcW w:w="4961" w:type="dxa"/>
            <w:tcBorders>
              <w:top w:val="single" w:sz="4" w:space="0" w:color="auto"/>
              <w:bottom w:val="single" w:sz="4" w:space="0" w:color="auto"/>
            </w:tcBorders>
          </w:tcPr>
          <w:p w:rsidR="00B32D69" w:rsidRDefault="00FB661A">
            <w:pPr>
              <w:pStyle w:val="Default"/>
              <w:spacing w:before="120"/>
              <w:jc w:val="both"/>
              <w:rPr>
                <w:noProof/>
              </w:rPr>
            </w:pPr>
            <w:r>
              <w:rPr>
                <w:noProof/>
              </w:rPr>
              <w:t>(3) In Chapter 5 of the Report containing the analysis of the impact of the various</w:t>
            </w:r>
            <w:r>
              <w:rPr>
                <w:noProof/>
              </w:rPr>
              <w:t xml:space="preserve"> substantive options, we included to each element the opinions of the stakeholders grouped according to sectors. Furthermore, we amended extensively ANNEX 2 on stakeholder consultation. This new version of the ANNEX identifies the consulted stakeholders in</w:t>
            </w:r>
            <w:r>
              <w:rPr>
                <w:noProof/>
              </w:rPr>
              <w:t xml:space="preserve"> a more detailed manner (listing them according to sectors); contains short paragraphs summarizing the views of the main European stakeholder organizations, includes with regard to each issue addressed by the public consultation the structured presentation</w:t>
            </w:r>
            <w:r>
              <w:rPr>
                <w:noProof/>
              </w:rPr>
              <w:t xml:space="preserve"> of stakeholders' opinion by sectors, and disposes of a table explaining why certain proposals recommended by different stakeholders were not taken on board by the initiative. In this respect, the relevant stakeholders' views on the specific sub-options ha</w:t>
            </w:r>
            <w:r>
              <w:rPr>
                <w:noProof/>
              </w:rPr>
              <w:t>ve been added, based on their input according to the public consultation (stakeholders' position papers and EU-Survey questionnaire) and dedicated stakeholders' meetings ('Sounding Board' meetings and bilateral meetings). There is a clear breakdown of stak</w:t>
            </w:r>
            <w:r>
              <w:rPr>
                <w:noProof/>
              </w:rPr>
              <w:t>eholders (business sector, financial institutions, practitioners in the field of restructuring, trade Unions, consumer organisations, academics and experts). Stakeholders' different views and concerns/suggestions with regard to different policy options are</w:t>
            </w:r>
            <w:r>
              <w:rPr>
                <w:noProof/>
              </w:rPr>
              <w:t xml:space="preserve"> made clear. The IA Report clarified that the issue of discharge and second chance for consumers will not be dealt with under the current proposal and that it will keep the status quo foreseen by the 2014 Recommendation of restructuring and second chance (</w:t>
            </w:r>
            <w:r>
              <w:rPr>
                <w:noProof/>
              </w:rPr>
              <w:t>section 4.2 or 5).</w:t>
            </w:r>
          </w:p>
        </w:tc>
      </w:tr>
      <w:tr w:rsidR="00B32D69">
        <w:trPr>
          <w:trHeight w:val="20"/>
        </w:trPr>
        <w:tc>
          <w:tcPr>
            <w:tcW w:w="4219" w:type="dxa"/>
            <w:tcBorders>
              <w:top w:val="single" w:sz="4" w:space="0" w:color="auto"/>
              <w:bottom w:val="single" w:sz="4" w:space="0" w:color="auto"/>
            </w:tcBorders>
          </w:tcPr>
          <w:p w:rsidR="00B32D69" w:rsidRDefault="00FB661A">
            <w:pPr>
              <w:pStyle w:val="Default"/>
              <w:spacing w:before="120" w:after="120"/>
              <w:rPr>
                <w:b/>
                <w:bCs/>
                <w:noProof/>
              </w:rPr>
            </w:pPr>
            <w:r>
              <w:rPr>
                <w:b/>
                <w:bCs/>
                <w:noProof/>
              </w:rPr>
              <w:t xml:space="preserve">(4) Clarify the overall impacts of the package, notably with regard to fundamental rights and social aspects. Identify potential downside risks, such as moral hazard and limited capacity of the courts to implement new provisions. </w:t>
            </w:r>
          </w:p>
          <w:p w:rsidR="00B32D69" w:rsidRDefault="00FB661A">
            <w:pPr>
              <w:pStyle w:val="Default"/>
              <w:jc w:val="both"/>
              <w:rPr>
                <w:noProof/>
              </w:rPr>
            </w:pPr>
            <w:r>
              <w:rPr>
                <w:noProof/>
              </w:rPr>
              <w:t>The r</w:t>
            </w:r>
            <w:r>
              <w:rPr>
                <w:noProof/>
              </w:rPr>
              <w:t>eport should strengthen the section on the impacts of the different sub-option beyond the currently descriptive presentation. It should discuss risks involved in the implementation of the proposal. The package of preferred options represents an add-on to n</w:t>
            </w:r>
            <w:r>
              <w:rPr>
                <w:noProof/>
              </w:rPr>
              <w:t>ational insolvency proceedings. It entails elements that will have to work in close sync with existing national systems. Given this dependence and the diversity of legal systems across the union, harmonization would seem to entail risks as well as benefits</w:t>
            </w:r>
            <w:r>
              <w:rPr>
                <w:noProof/>
              </w:rPr>
              <w:t xml:space="preserve">. The report ignores administrative costs such as the provisions of the preferred option requiring specialised judges. </w:t>
            </w:r>
          </w:p>
          <w:p w:rsidR="00B32D69" w:rsidRDefault="00FB661A">
            <w:pPr>
              <w:pStyle w:val="Default"/>
              <w:spacing w:after="187"/>
              <w:jc w:val="both"/>
              <w:rPr>
                <w:b/>
                <w:bCs/>
                <w:noProof/>
              </w:rPr>
            </w:pPr>
            <w:r>
              <w:rPr>
                <w:noProof/>
              </w:rPr>
              <w:t xml:space="preserve">The report should also consider risks related to moral hazard problems occurring in the restructuring process. It needs to explain better how this relates to the problem of non-performing loans, and it should estimate the extent to which the proposal will </w:t>
            </w:r>
            <w:r>
              <w:rPr>
                <w:noProof/>
              </w:rPr>
              <w:t>have an impact on these. Given that restructuring may involve situations with lay-offs, outsourcing, etc., the impact assessment also needs to cover social impacts of the preferred options better. It should spelling out any links to the social dialogue and</w:t>
            </w:r>
            <w:r>
              <w:rPr>
                <w:noProof/>
              </w:rPr>
              <w:t xml:space="preserve"> workers' rights (including on information and consultation). The link with – and impact on - fundamental rights should also be clarified. </w:t>
            </w:r>
          </w:p>
        </w:tc>
        <w:tc>
          <w:tcPr>
            <w:tcW w:w="4961" w:type="dxa"/>
            <w:tcBorders>
              <w:top w:val="single" w:sz="4" w:space="0" w:color="auto"/>
              <w:bottom w:val="single" w:sz="4" w:space="0" w:color="auto"/>
            </w:tcBorders>
          </w:tcPr>
          <w:p w:rsidR="00B32D69" w:rsidRDefault="00FB661A">
            <w:pPr>
              <w:pStyle w:val="Default"/>
              <w:spacing w:before="120" w:after="120"/>
              <w:jc w:val="both"/>
              <w:rPr>
                <w:noProof/>
              </w:rPr>
            </w:pPr>
            <w:r>
              <w:rPr>
                <w:noProof/>
              </w:rPr>
              <w:t>(4) Additional analysis how key effectiveness and efficiency elements of restructuring proceedings have been identif</w:t>
            </w:r>
            <w:r>
              <w:rPr>
                <w:noProof/>
              </w:rPr>
              <w:t>ied and elaborated together with a group of insolvency experts as well as the key stakeholders was added. A new section  4.2 containing analysis of high level options and discarded options was included. Impact on fundamental rights, in particular social as</w:t>
            </w:r>
            <w:r>
              <w:rPr>
                <w:noProof/>
              </w:rPr>
              <w:t>pects was further improved both in the IA Report and in the Annex 3 (Chapter 5). As to the issue of the moral hazard, further conclusions from past research on moral hazard performed in relation to the assessment of impacts of household indebtedness were a</w:t>
            </w:r>
            <w:r>
              <w:rPr>
                <w:noProof/>
              </w:rPr>
              <w:t xml:space="preserve">dded (section 2.4 and 5.7) : </w:t>
            </w:r>
            <w:r>
              <w:rPr>
                <w:noProof/>
                <w:lang w:val="en-US"/>
              </w:rPr>
              <w:t>The research (</w:t>
            </w:r>
            <w:r>
              <w:rPr>
                <w:noProof/>
              </w:rPr>
              <w:t>Quoted by Annual Report on European SMEs 2015/2016 )</w:t>
            </w:r>
            <w:r>
              <w:rPr>
                <w:noProof/>
                <w:lang w:val="en-US"/>
              </w:rPr>
              <w:t xml:space="preserve"> shows that the key reason of over-indebtedness of sole entrepreneurs, which represent important part of SMEs, resides in the lower resistance of SMEs to externa</w:t>
            </w:r>
            <w:r>
              <w:rPr>
                <w:noProof/>
                <w:lang w:val="en-US"/>
              </w:rPr>
              <w:t>l economic shocks due to their lower ability to mobilise reserves for the period of economic downturns. Negligence or intention to repay the contracted business loans is a reason for default of their obligations only in a very low number of situations. Inf</w:t>
            </w:r>
            <w:r>
              <w:rPr>
                <w:noProof/>
                <w:lang w:val="en-US"/>
              </w:rPr>
              <w:t>ormation about experience in recent decades in a number of Member State which reduced the time limit of discharge period was added. This experience shows that in none of those Member State the amount of unpaid loans would have increased due to the moral ha</w:t>
            </w:r>
            <w:r>
              <w:rPr>
                <w:noProof/>
                <w:lang w:val="en-US"/>
              </w:rPr>
              <w:t>zard issue. At the same time, Member States with very short discharge periods (for example 1 year in the UK) do reports how a higher level of unpaid loans due to the moral hazard issue than Member States with long discharge period (for instance Greece with</w:t>
            </w:r>
            <w:r>
              <w:rPr>
                <w:noProof/>
                <w:lang w:val="en-US"/>
              </w:rPr>
              <w:t xml:space="preserve"> 10 years) (section 5.7). The study on consumer over-indebtedness further confirmed that the reasons of consumer over-indebtedness are mostly external (loss of employment, divorce, disease) and does not find confirmation for moral hazard behavior on the si</w:t>
            </w:r>
            <w:r>
              <w:rPr>
                <w:noProof/>
                <w:lang w:val="en-US"/>
              </w:rPr>
              <w:t>de of over-indebted consumers.  Research on US (having liberal insolvency regime) quoted in this study confirms that only 15% of mortgage defaults may be strategic (</w:t>
            </w:r>
            <w:r>
              <w:rPr>
                <w:noProof/>
              </w:rPr>
              <w:t xml:space="preserve">THE OVER-INDEBTEDNESS OF EUROPEAN HOUSEHOLDS: UPDATED MAPPING OF THE SITUATION, NATURE AND </w:t>
            </w:r>
            <w:r>
              <w:rPr>
                <w:noProof/>
              </w:rPr>
              <w:t xml:space="preserve">CAUSES, EFFECTS AND INITIATIVES FOR ALLEVIATING ITS IMPACT, Report prepared by Civic Consulting of the Consumer Policy Evaluation Consortium (CPEC) for the European Commission (DG SANCO), Report published in 2014). </w:t>
            </w:r>
            <w:r>
              <w:rPr>
                <w:noProof/>
                <w:lang w:val="en-US"/>
              </w:rPr>
              <w:t>Moreover, better clarification on numerou</w:t>
            </w:r>
            <w:r>
              <w:rPr>
                <w:noProof/>
                <w:lang w:val="en-US"/>
              </w:rPr>
              <w:t xml:space="preserve">s safeguards against moral hazard, namely possibility to reduce stay on creditors request, confirmation of restructuring plan by the court, limiting access to discharge to dishonest debtors were added to an additional section in the IA Report (section 7). </w:t>
            </w:r>
            <w:r>
              <w:rPr>
                <w:noProof/>
                <w:lang w:val="en-US"/>
              </w:rPr>
              <w:t>The impact on the capacity of courts further considered and explained.</w:t>
            </w:r>
          </w:p>
        </w:tc>
      </w:tr>
      <w:tr w:rsidR="00B32D69">
        <w:trPr>
          <w:trHeight w:val="20"/>
        </w:trPr>
        <w:tc>
          <w:tcPr>
            <w:tcW w:w="4219" w:type="dxa"/>
            <w:tcBorders>
              <w:top w:val="single" w:sz="4" w:space="0" w:color="auto"/>
              <w:bottom w:val="single" w:sz="4" w:space="0" w:color="auto"/>
            </w:tcBorders>
          </w:tcPr>
          <w:p w:rsidR="00B32D69" w:rsidRDefault="00FB661A">
            <w:pPr>
              <w:autoSpaceDE w:val="0"/>
              <w:autoSpaceDN w:val="0"/>
              <w:adjustRightInd w:val="0"/>
              <w:spacing w:before="120"/>
              <w:rPr>
                <w:noProof/>
                <w:color w:val="000000"/>
              </w:rPr>
            </w:pPr>
            <w:r>
              <w:rPr>
                <w:b/>
                <w:bCs/>
                <w:noProof/>
                <w:color w:val="000000"/>
              </w:rPr>
              <w:t xml:space="preserve">(D) Procedure and presentation </w:t>
            </w:r>
          </w:p>
          <w:p w:rsidR="00B32D69" w:rsidRDefault="00FB661A">
            <w:pPr>
              <w:pStyle w:val="Default"/>
              <w:spacing w:after="187"/>
              <w:jc w:val="both"/>
              <w:rPr>
                <w:b/>
                <w:bCs/>
                <w:noProof/>
              </w:rPr>
            </w:pPr>
            <w:r>
              <w:rPr>
                <w:noProof/>
              </w:rPr>
              <w:t xml:space="preserve">The report should clarify concepts and definitions of 'discharge' and 'recovery rates.' The mandatory annex (2) on stakeholder identification should be </w:t>
            </w:r>
            <w:r>
              <w:rPr>
                <w:noProof/>
              </w:rPr>
              <w:t>added.</w:t>
            </w:r>
          </w:p>
        </w:tc>
        <w:tc>
          <w:tcPr>
            <w:tcW w:w="4961" w:type="dxa"/>
            <w:tcBorders>
              <w:top w:val="single" w:sz="4" w:space="0" w:color="auto"/>
              <w:bottom w:val="single" w:sz="4" w:space="0" w:color="auto"/>
            </w:tcBorders>
          </w:tcPr>
          <w:p w:rsidR="00B32D69" w:rsidRDefault="00FB661A">
            <w:pPr>
              <w:pStyle w:val="Default"/>
              <w:spacing w:before="120"/>
              <w:jc w:val="both"/>
              <w:rPr>
                <w:noProof/>
              </w:rPr>
            </w:pPr>
            <w:r>
              <w:rPr>
                <w:noProof/>
              </w:rPr>
              <w:t>(D) The concept of discharge and recovery rates defined in the Glossary were further clarified in the report, additional explanations as to the contents of the notion of recovery rates and its calculation was added in Section 8 of Annex 3. Mandatory</w:t>
            </w:r>
            <w:r>
              <w:rPr>
                <w:noProof/>
              </w:rPr>
              <w:t xml:space="preserve"> annex on stakeholder identification was added.</w:t>
            </w:r>
          </w:p>
        </w:tc>
      </w:tr>
    </w:tbl>
    <w:p w:rsidR="00B32D69" w:rsidRDefault="00B32D69">
      <w:pPr>
        <w:spacing w:after="0" w:line="240" w:lineRule="auto"/>
        <w:jc w:val="both"/>
        <w:rPr>
          <w:rFonts w:ascii="Times New Roman" w:hAnsi="Times New Roman" w:cs="Times New Roman"/>
          <w:b/>
          <w:noProof/>
          <w:sz w:val="24"/>
          <w:szCs w:val="24"/>
        </w:rPr>
      </w:pPr>
    </w:p>
    <w:p w:rsidR="00B32D69" w:rsidRDefault="00B32D69">
      <w:pPr>
        <w:spacing w:after="0" w:line="240" w:lineRule="auto"/>
        <w:jc w:val="both"/>
        <w:rPr>
          <w:rFonts w:ascii="Times New Roman" w:hAnsi="Times New Roman" w:cs="Times New Roman"/>
          <w:b/>
          <w:caps/>
          <w:noProof/>
          <w:sz w:val="24"/>
          <w:szCs w:val="24"/>
        </w:rPr>
      </w:pPr>
    </w:p>
    <w:p w:rsidR="00B32D69" w:rsidRDefault="00B32D69">
      <w:pPr>
        <w:spacing w:after="0" w:line="240" w:lineRule="auto"/>
        <w:jc w:val="both"/>
        <w:rPr>
          <w:rFonts w:ascii="Times New Roman" w:hAnsi="Times New Roman" w:cs="Times New Roman"/>
          <w:b/>
          <w:caps/>
          <w:noProof/>
          <w:sz w:val="24"/>
          <w:szCs w:val="24"/>
        </w:rPr>
      </w:pPr>
    </w:p>
    <w:p w:rsidR="00B32D69" w:rsidRDefault="00B32D69">
      <w:pPr>
        <w:spacing w:after="0" w:line="240" w:lineRule="auto"/>
        <w:jc w:val="both"/>
        <w:rPr>
          <w:rFonts w:ascii="Times New Roman" w:hAnsi="Times New Roman" w:cs="Times New Roman"/>
          <w:b/>
          <w:caps/>
          <w:noProof/>
          <w:sz w:val="24"/>
          <w:szCs w:val="24"/>
        </w:rPr>
      </w:pPr>
    </w:p>
    <w:p w:rsidR="00B32D69" w:rsidRDefault="00FB661A">
      <w:pPr>
        <w:spacing w:after="0" w:line="240" w:lineRule="auto"/>
        <w:jc w:val="both"/>
        <w:rPr>
          <w:rFonts w:ascii="Times New Roman" w:hAnsi="Times New Roman" w:cs="Times New Roman"/>
          <w:b/>
          <w:caps/>
          <w:noProof/>
          <w:sz w:val="24"/>
          <w:szCs w:val="24"/>
        </w:rPr>
      </w:pPr>
      <w:r>
        <w:rPr>
          <w:rFonts w:ascii="Times New Roman" w:hAnsi="Times New Roman" w:cs="Times New Roman"/>
          <w:b/>
          <w:caps/>
          <w:noProof/>
          <w:sz w:val="24"/>
          <w:szCs w:val="24"/>
        </w:rPr>
        <w:t>2. Impact Assessment Steering Group</w:t>
      </w:r>
    </w:p>
    <w:p w:rsidR="00B32D69" w:rsidRDefault="00B32D69">
      <w:pPr>
        <w:spacing w:after="0" w:line="240" w:lineRule="auto"/>
        <w:jc w:val="both"/>
        <w:rPr>
          <w:rFonts w:ascii="Times New Roman" w:hAnsi="Times New Roman" w:cs="Times New Roman"/>
          <w:b/>
          <w:noProof/>
          <w:sz w:val="24"/>
          <w:szCs w:val="24"/>
        </w:rPr>
      </w:pP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Impact Assessment was drawn up by Directorate-General for Justice and Consumers (DG JUST).</w:t>
      </w:r>
    </w:p>
    <w:p w:rsidR="00B32D69" w:rsidRDefault="00B32D69">
      <w:pPr>
        <w:spacing w:after="0" w:line="240" w:lineRule="auto"/>
        <w:jc w:val="both"/>
        <w:rPr>
          <w:rFonts w:ascii="Times New Roman" w:hAnsi="Times New Roman" w:cs="Times New Roman"/>
          <w:noProof/>
          <w:sz w:val="24"/>
          <w:szCs w:val="24"/>
        </w:rPr>
      </w:pP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An Impact Assessment Steering Group (IASG) was set up to bring in views of other services of the Commission. DG Competition, DG Economic and Financial Affairs, DG Financial Stability, Financial Services and Capital Markets Union, DG Internal Market, Indust</w:t>
      </w:r>
      <w:r>
        <w:rPr>
          <w:rFonts w:ascii="Times New Roman" w:hAnsi="Times New Roman" w:cs="Times New Roman"/>
          <w:noProof/>
          <w:sz w:val="24"/>
          <w:szCs w:val="24"/>
        </w:rPr>
        <w:t xml:space="preserve">ry, Entrepreneurship and SMEs, DG Justice, Secretariat General, Legal service, DG Taxation and Customs Union, DG Employment, Social Affairs and Inclusion and DG Communications Networks, Content and Technology accepted the invitation. </w:t>
      </w:r>
    </w:p>
    <w:p w:rsidR="00B32D69" w:rsidRDefault="00B32D69">
      <w:pPr>
        <w:spacing w:after="0" w:line="240" w:lineRule="auto"/>
        <w:jc w:val="both"/>
        <w:rPr>
          <w:rFonts w:ascii="Times New Roman" w:hAnsi="Times New Roman" w:cs="Times New Roman"/>
          <w:noProof/>
          <w:sz w:val="24"/>
          <w:szCs w:val="24"/>
        </w:rPr>
      </w:pP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Impact </w:t>
      </w:r>
      <w:r>
        <w:rPr>
          <w:rFonts w:ascii="Times New Roman" w:hAnsi="Times New Roman" w:cs="Times New Roman"/>
          <w:noProof/>
          <w:sz w:val="24"/>
          <w:szCs w:val="24"/>
        </w:rPr>
        <w:t>Assessment Steering Group met 3 times and was consulted by writing on 9 February 2016. The first meeting took place on 11 December 2015, the second - on 30 June 2016 and the third - on 20 July 2016. The minutes of the two last meetings may be found in sect</w:t>
      </w:r>
      <w:r>
        <w:rPr>
          <w:rFonts w:ascii="Times New Roman" w:hAnsi="Times New Roman" w:cs="Times New Roman"/>
          <w:noProof/>
          <w:sz w:val="24"/>
          <w:szCs w:val="24"/>
        </w:rPr>
        <w:t>ion 2 (below).</w:t>
      </w:r>
    </w:p>
    <w:p w:rsidR="00B32D69" w:rsidRDefault="00B32D69">
      <w:pPr>
        <w:spacing w:after="0" w:line="240" w:lineRule="auto"/>
        <w:jc w:val="both"/>
        <w:rPr>
          <w:rFonts w:ascii="Times New Roman" w:hAnsi="Times New Roman" w:cs="Times New Roman"/>
          <w:noProof/>
          <w:sz w:val="24"/>
          <w:szCs w:val="24"/>
        </w:rPr>
      </w:pPr>
    </w:p>
    <w:p w:rsidR="00B32D69" w:rsidRDefault="00FB661A">
      <w:pPr>
        <w:spacing w:after="0" w:line="240" w:lineRule="auto"/>
        <w:jc w:val="both"/>
        <w:rPr>
          <w:rFonts w:ascii="Times New Roman" w:hAnsi="Times New Roman" w:cs="Times New Roman"/>
          <w:b/>
          <w:caps/>
          <w:noProof/>
          <w:sz w:val="24"/>
          <w:szCs w:val="24"/>
        </w:rPr>
      </w:pPr>
      <w:r>
        <w:rPr>
          <w:rFonts w:ascii="Times New Roman" w:hAnsi="Times New Roman" w:cs="Times New Roman"/>
          <w:b/>
          <w:caps/>
          <w:noProof/>
          <w:sz w:val="24"/>
          <w:szCs w:val="24"/>
        </w:rPr>
        <w:t>3. The minutes of the two last meetings of the Impact Assessment Steering Group</w:t>
      </w:r>
    </w:p>
    <w:p w:rsidR="00B32D69" w:rsidRDefault="00B32D69">
      <w:pPr>
        <w:spacing w:after="0" w:line="240" w:lineRule="auto"/>
        <w:jc w:val="both"/>
        <w:rPr>
          <w:rFonts w:ascii="Times New Roman" w:hAnsi="Times New Roman" w:cs="Times New Roman"/>
          <w:b/>
          <w:noProof/>
          <w:sz w:val="24"/>
          <w:szCs w:val="24"/>
        </w:rPr>
      </w:pPr>
    </w:p>
    <w:p w:rsidR="00B32D69" w:rsidRDefault="00B32D69">
      <w:pPr>
        <w:pStyle w:val="ListParagraph"/>
        <w:ind w:left="360"/>
        <w:rPr>
          <w:rFonts w:ascii="Times New Roman" w:hAnsi="Times New Roman"/>
          <w:noProof/>
          <w:sz w:val="24"/>
          <w:szCs w:val="24"/>
        </w:rPr>
      </w:pPr>
    </w:p>
    <w:p w:rsidR="00B32D69" w:rsidRDefault="00B32D69">
      <w:pPr>
        <w:pStyle w:val="ListParagraph"/>
        <w:ind w:left="360"/>
        <w:rPr>
          <w:rFonts w:ascii="Times New Roman" w:hAnsi="Times New Roman"/>
          <w:noProof/>
          <w:sz w:val="24"/>
          <w:szCs w:val="24"/>
        </w:rPr>
      </w:pPr>
    </w:p>
    <w:p w:rsidR="00B32D69" w:rsidRDefault="00FB661A">
      <w:pPr>
        <w:jc w:val="center"/>
        <w:rPr>
          <w:rFonts w:ascii="Times New Roman" w:hAnsi="Times New Roman" w:cs="Times New Roman"/>
          <w:b/>
          <w:bCs/>
          <w:noProof/>
        </w:rPr>
      </w:pPr>
      <w:r>
        <w:rPr>
          <w:rFonts w:ascii="Times New Roman" w:hAnsi="Times New Roman" w:cs="Times New Roman"/>
          <w:b/>
          <w:bCs/>
          <w:noProof/>
        </w:rPr>
        <w:t>4th Inter-Service Meeting on initiative on preventive restructuring and second chance frameworks</w:t>
      </w:r>
    </w:p>
    <w:p w:rsidR="00B32D69" w:rsidRDefault="00FB661A">
      <w:pPr>
        <w:rPr>
          <w:rFonts w:ascii="Times New Roman" w:hAnsi="Times New Roman" w:cs="Times New Roman"/>
          <w:noProof/>
        </w:rPr>
      </w:pPr>
      <w:r>
        <w:rPr>
          <w:rFonts w:ascii="Times New Roman" w:hAnsi="Times New Roman" w:cs="Times New Roman"/>
          <w:noProof/>
        </w:rPr>
        <w:t xml:space="preserve">Commission services represented: GROW, CNECT, ECFIN, TAXUD, </w:t>
      </w:r>
      <w:r>
        <w:rPr>
          <w:rFonts w:ascii="Times New Roman" w:hAnsi="Times New Roman" w:cs="Times New Roman"/>
          <w:noProof/>
        </w:rPr>
        <w:t>FISMA, EMPL, DGT,  JUST, SG</w:t>
      </w:r>
    </w:p>
    <w:p w:rsidR="00B32D69" w:rsidRDefault="00FB661A">
      <w:pPr>
        <w:jc w:val="both"/>
        <w:rPr>
          <w:rFonts w:ascii="Times New Roman" w:hAnsi="Times New Roman" w:cs="Times New Roman"/>
          <w:noProof/>
        </w:rPr>
      </w:pPr>
      <w:r>
        <w:rPr>
          <w:rFonts w:ascii="Times New Roman" w:hAnsi="Times New Roman" w:cs="Times New Roman"/>
          <w:noProof/>
        </w:rPr>
        <w:t xml:space="preserve">A </w:t>
      </w:r>
      <w:r>
        <w:rPr>
          <w:rFonts w:ascii="Times New Roman" w:hAnsi="Times New Roman" w:cs="Times New Roman"/>
          <w:b/>
          <w:bCs/>
          <w:noProof/>
        </w:rPr>
        <w:t xml:space="preserve">fourth inter-service meeting </w:t>
      </w:r>
      <w:r>
        <w:rPr>
          <w:rFonts w:ascii="Times New Roman" w:hAnsi="Times New Roman" w:cs="Times New Roman"/>
          <w:noProof/>
        </w:rPr>
        <w:t xml:space="preserve">on the initiative on preventive restructuring and second chance frameworks took place on </w:t>
      </w:r>
      <w:r>
        <w:rPr>
          <w:rFonts w:ascii="Times New Roman" w:hAnsi="Times New Roman" w:cs="Times New Roman"/>
          <w:b/>
          <w:bCs/>
          <w:noProof/>
        </w:rPr>
        <w:t>22 September 2016</w:t>
      </w:r>
      <w:r>
        <w:rPr>
          <w:rFonts w:ascii="Times New Roman" w:hAnsi="Times New Roman" w:cs="Times New Roman"/>
          <w:noProof/>
        </w:rPr>
        <w:t xml:space="preserve">. The purpose of the meeting was to discuss the content of the new initiative based on a </w:t>
      </w:r>
      <w:r>
        <w:rPr>
          <w:rFonts w:ascii="Times New Roman" w:hAnsi="Times New Roman" w:cs="Times New Roman"/>
          <w:b/>
          <w:bCs/>
          <w:noProof/>
        </w:rPr>
        <w:t>fi</w:t>
      </w:r>
      <w:r>
        <w:rPr>
          <w:rFonts w:ascii="Times New Roman" w:hAnsi="Times New Roman" w:cs="Times New Roman"/>
          <w:b/>
          <w:bCs/>
          <w:noProof/>
        </w:rPr>
        <w:t>rst draft Directive on preventive restructuring and second chance frameworks</w:t>
      </w:r>
      <w:r>
        <w:rPr>
          <w:rFonts w:ascii="Times New Roman" w:hAnsi="Times New Roman" w:cs="Times New Roman"/>
          <w:noProof/>
        </w:rPr>
        <w:t>.</w:t>
      </w:r>
    </w:p>
    <w:p w:rsidR="00B32D69" w:rsidRDefault="00FB661A">
      <w:pPr>
        <w:jc w:val="both"/>
        <w:rPr>
          <w:rFonts w:ascii="Times New Roman" w:hAnsi="Times New Roman" w:cs="Times New Roman"/>
          <w:b/>
          <w:bCs/>
          <w:noProof/>
          <w:u w:val="single"/>
        </w:rPr>
      </w:pPr>
      <w:r>
        <w:rPr>
          <w:rFonts w:ascii="Times New Roman" w:hAnsi="Times New Roman" w:cs="Times New Roman"/>
          <w:b/>
          <w:bCs/>
          <w:noProof/>
          <w:u w:val="single"/>
        </w:rPr>
        <w:t>Horizontal provisions - Judges and practitioners in the field of restructuring, insolvency and second chance</w:t>
      </w:r>
    </w:p>
    <w:p w:rsidR="00B32D69" w:rsidRDefault="00FB661A">
      <w:pPr>
        <w:jc w:val="both"/>
        <w:rPr>
          <w:rFonts w:ascii="Times New Roman" w:hAnsi="Times New Roman" w:cs="Times New Roman"/>
          <w:noProof/>
        </w:rPr>
      </w:pPr>
      <w:r>
        <w:rPr>
          <w:rFonts w:ascii="Times New Roman" w:hAnsi="Times New Roman" w:cs="Times New Roman"/>
          <w:b/>
          <w:bCs/>
          <w:noProof/>
        </w:rPr>
        <w:t xml:space="preserve">DG FISMA </w:t>
      </w:r>
      <w:r>
        <w:rPr>
          <w:rFonts w:ascii="Times New Roman" w:hAnsi="Times New Roman" w:cs="Times New Roman"/>
          <w:noProof/>
        </w:rPr>
        <w:t>welcomed the provisions on specialisation of judges and inso</w:t>
      </w:r>
      <w:r>
        <w:rPr>
          <w:rFonts w:ascii="Times New Roman" w:hAnsi="Times New Roman" w:cs="Times New Roman"/>
          <w:noProof/>
        </w:rPr>
        <w:t xml:space="preserve">lvency practitioners, as the rationale aligns with many country specific recommendations on improving the efficiency of insolvency frameworks. </w:t>
      </w:r>
    </w:p>
    <w:p w:rsidR="00B32D69" w:rsidRDefault="00FB661A">
      <w:pPr>
        <w:jc w:val="both"/>
        <w:rPr>
          <w:rFonts w:ascii="Times New Roman" w:hAnsi="Times New Roman" w:cs="Times New Roman"/>
          <w:b/>
          <w:bCs/>
          <w:noProof/>
          <w:u w:val="single"/>
        </w:rPr>
      </w:pPr>
      <w:r>
        <w:rPr>
          <w:rFonts w:ascii="Times New Roman" w:hAnsi="Times New Roman" w:cs="Times New Roman"/>
          <w:b/>
          <w:bCs/>
          <w:noProof/>
          <w:u w:val="single"/>
        </w:rPr>
        <w:t>Employees</w:t>
      </w:r>
    </w:p>
    <w:p w:rsidR="00B32D69" w:rsidRDefault="00FB661A">
      <w:pPr>
        <w:jc w:val="both"/>
        <w:rPr>
          <w:rFonts w:ascii="Times New Roman" w:hAnsi="Times New Roman" w:cs="Times New Roman"/>
          <w:noProof/>
        </w:rPr>
      </w:pPr>
      <w:r>
        <w:rPr>
          <w:rFonts w:ascii="Times New Roman" w:hAnsi="Times New Roman" w:cs="Times New Roman"/>
          <w:b/>
          <w:bCs/>
          <w:noProof/>
        </w:rPr>
        <w:t xml:space="preserve">DG EMPL </w:t>
      </w:r>
      <w:r>
        <w:rPr>
          <w:rFonts w:ascii="Times New Roman" w:hAnsi="Times New Roman" w:cs="Times New Roman"/>
          <w:noProof/>
        </w:rPr>
        <w:t xml:space="preserve">referred to the importance of employees’ standing and suggested that a clear reference to the </w:t>
      </w:r>
      <w:r>
        <w:rPr>
          <w:rFonts w:ascii="Times New Roman" w:hAnsi="Times New Roman" w:cs="Times New Roman"/>
          <w:noProof/>
        </w:rPr>
        <w:t>fact that the current Directive will not affect EU labour acquis should be made. In addition, they expressed concerns regarding the impact of the stay period (which can be up to 12 months) on workers.</w:t>
      </w:r>
    </w:p>
    <w:p w:rsidR="00B32D69" w:rsidRDefault="00FB661A">
      <w:pPr>
        <w:jc w:val="both"/>
        <w:rPr>
          <w:rFonts w:ascii="Times New Roman" w:hAnsi="Times New Roman" w:cs="Times New Roman"/>
          <w:noProof/>
        </w:rPr>
      </w:pPr>
      <w:r>
        <w:rPr>
          <w:rFonts w:ascii="Times New Roman" w:hAnsi="Times New Roman" w:cs="Times New Roman"/>
          <w:b/>
          <w:bCs/>
          <w:noProof/>
        </w:rPr>
        <w:t>DG JUST</w:t>
      </w:r>
      <w:r>
        <w:rPr>
          <w:rFonts w:ascii="Times New Roman" w:hAnsi="Times New Roman" w:cs="Times New Roman"/>
          <w:noProof/>
        </w:rPr>
        <w:t xml:space="preserve"> welcomed the suggestion made and will reflect f</w:t>
      </w:r>
      <w:r>
        <w:rPr>
          <w:rFonts w:ascii="Times New Roman" w:hAnsi="Times New Roman" w:cs="Times New Roman"/>
          <w:noProof/>
        </w:rPr>
        <w:t xml:space="preserve">urther on a possible solution in order to clarify the </w:t>
      </w:r>
      <w:r>
        <w:rPr>
          <w:rFonts w:ascii="Times New Roman" w:hAnsi="Times New Roman" w:cs="Times New Roman"/>
          <w:noProof/>
          <w:lang w:val="en-US"/>
        </w:rPr>
        <w:t>effect of the stay on employees.</w:t>
      </w:r>
    </w:p>
    <w:p w:rsidR="00B32D69" w:rsidRDefault="00FB661A">
      <w:pPr>
        <w:jc w:val="both"/>
        <w:rPr>
          <w:rFonts w:ascii="Times New Roman" w:hAnsi="Times New Roman" w:cs="Times New Roman"/>
          <w:noProof/>
        </w:rPr>
      </w:pPr>
      <w:r>
        <w:rPr>
          <w:rFonts w:ascii="Times New Roman" w:hAnsi="Times New Roman" w:cs="Times New Roman"/>
          <w:b/>
          <w:bCs/>
          <w:noProof/>
          <w:u w:val="single"/>
        </w:rPr>
        <w:t>Stay of individual enforcement actions</w:t>
      </w:r>
    </w:p>
    <w:p w:rsidR="00B32D69" w:rsidRDefault="00FB661A">
      <w:pPr>
        <w:jc w:val="both"/>
        <w:rPr>
          <w:rFonts w:ascii="Times New Roman" w:hAnsi="Times New Roman" w:cs="Times New Roman"/>
          <w:noProof/>
        </w:rPr>
      </w:pPr>
      <w:r>
        <w:rPr>
          <w:rFonts w:ascii="Times New Roman" w:hAnsi="Times New Roman" w:cs="Times New Roman"/>
          <w:b/>
          <w:bCs/>
          <w:noProof/>
        </w:rPr>
        <w:t xml:space="preserve">DG FISMA </w:t>
      </w:r>
      <w:r>
        <w:rPr>
          <w:rFonts w:ascii="Times New Roman" w:hAnsi="Times New Roman" w:cs="Times New Roman"/>
          <w:noProof/>
        </w:rPr>
        <w:t>expressed concerns with regard to the length of the stay period (up to 12 months). They would favour a proposal of a stay</w:t>
      </w:r>
      <w:r>
        <w:rPr>
          <w:rFonts w:ascii="Times New Roman" w:hAnsi="Times New Roman" w:cs="Times New Roman"/>
          <w:noProof/>
        </w:rPr>
        <w:t xml:space="preserve"> of 3 or 4 months with the possibility for renewal or extension in prescribed circumstances (up to 6 or 8 months), especially when the recourse to restructuring is not limited to a clear viability test.</w:t>
      </w:r>
    </w:p>
    <w:p w:rsidR="00B32D69" w:rsidRDefault="00FB661A">
      <w:pPr>
        <w:jc w:val="both"/>
        <w:rPr>
          <w:rFonts w:ascii="Times New Roman" w:hAnsi="Times New Roman" w:cs="Times New Roman"/>
          <w:noProof/>
        </w:rPr>
      </w:pPr>
      <w:r>
        <w:rPr>
          <w:rFonts w:ascii="Times New Roman" w:hAnsi="Times New Roman" w:cs="Times New Roman"/>
          <w:b/>
          <w:bCs/>
          <w:noProof/>
        </w:rPr>
        <w:t>DG JUST</w:t>
      </w:r>
      <w:r>
        <w:rPr>
          <w:rFonts w:ascii="Times New Roman" w:hAnsi="Times New Roman" w:cs="Times New Roman"/>
          <w:noProof/>
        </w:rPr>
        <w:t xml:space="preserve"> underlined the significant divergence regardi</w:t>
      </w:r>
      <w:r>
        <w:rPr>
          <w:rFonts w:ascii="Times New Roman" w:hAnsi="Times New Roman" w:cs="Times New Roman"/>
          <w:noProof/>
        </w:rPr>
        <w:t>ng the characteristics and period of stay in Member States and referred to the safeguards provided for creditors so as to address moral hazard: the stay can be lifted any time on the request of one creditor; the extension of the stay will be decided by a c</w:t>
      </w:r>
      <w:r>
        <w:rPr>
          <w:rFonts w:ascii="Times New Roman" w:hAnsi="Times New Roman" w:cs="Times New Roman"/>
          <w:noProof/>
        </w:rPr>
        <w:t xml:space="preserve">ourt, only if there is evidence of relevant progress in the negotiations on the restructuring plan and evidence that the continuation of the stay is not detrimental to the creditors' rights. </w:t>
      </w:r>
    </w:p>
    <w:p w:rsidR="00B32D69" w:rsidRDefault="00FB661A">
      <w:pPr>
        <w:jc w:val="both"/>
        <w:rPr>
          <w:rFonts w:ascii="Times New Roman" w:hAnsi="Times New Roman" w:cs="Times New Roman"/>
          <w:noProof/>
        </w:rPr>
      </w:pPr>
      <w:r>
        <w:rPr>
          <w:rFonts w:ascii="Times New Roman" w:hAnsi="Times New Roman" w:cs="Times New Roman"/>
          <w:b/>
          <w:bCs/>
          <w:noProof/>
        </w:rPr>
        <w:t>DG ECFIN</w:t>
      </w:r>
      <w:r>
        <w:rPr>
          <w:rFonts w:ascii="Times New Roman" w:hAnsi="Times New Roman" w:cs="Times New Roman"/>
          <w:noProof/>
        </w:rPr>
        <w:t xml:space="preserve"> remarked that the safeguards introduced depend largely </w:t>
      </w:r>
      <w:r>
        <w:rPr>
          <w:rFonts w:ascii="Times New Roman" w:hAnsi="Times New Roman" w:cs="Times New Roman"/>
          <w:noProof/>
        </w:rPr>
        <w:t xml:space="preserve">on the quality of the judiciary.  </w:t>
      </w:r>
    </w:p>
    <w:p w:rsidR="00B32D69" w:rsidRDefault="00FB661A">
      <w:pPr>
        <w:jc w:val="both"/>
        <w:rPr>
          <w:rFonts w:ascii="Times New Roman" w:hAnsi="Times New Roman" w:cs="Times New Roman"/>
          <w:noProof/>
        </w:rPr>
      </w:pPr>
      <w:r>
        <w:rPr>
          <w:rFonts w:ascii="Times New Roman" w:hAnsi="Times New Roman" w:cs="Times New Roman"/>
          <w:b/>
          <w:bCs/>
          <w:noProof/>
        </w:rPr>
        <w:t>DG FISMA</w:t>
      </w:r>
      <w:r>
        <w:rPr>
          <w:rFonts w:ascii="Times New Roman" w:hAnsi="Times New Roman" w:cs="Times New Roman"/>
          <w:noProof/>
        </w:rPr>
        <w:t xml:space="preserve"> expressed concerns with regard to the suspension of acceleration/termination clauses foreseen for executory contracts during the stay period. They required certain clarifications in order to remove uncertainty an</w:t>
      </w:r>
      <w:r>
        <w:rPr>
          <w:rFonts w:ascii="Times New Roman" w:hAnsi="Times New Roman" w:cs="Times New Roman"/>
          <w:noProof/>
        </w:rPr>
        <w:t>d ensure compatibility with the Financial Collateral Directive.</w:t>
      </w:r>
    </w:p>
    <w:p w:rsidR="00B32D69" w:rsidRDefault="00FB661A">
      <w:pPr>
        <w:jc w:val="both"/>
        <w:rPr>
          <w:rFonts w:ascii="Times New Roman" w:hAnsi="Times New Roman" w:cs="Times New Roman"/>
          <w:noProof/>
        </w:rPr>
      </w:pPr>
      <w:r>
        <w:rPr>
          <w:rFonts w:ascii="Times New Roman" w:hAnsi="Times New Roman" w:cs="Times New Roman"/>
          <w:b/>
          <w:bCs/>
          <w:noProof/>
        </w:rPr>
        <w:t>DG JUST</w:t>
      </w:r>
      <w:r>
        <w:rPr>
          <w:rFonts w:ascii="Times New Roman" w:hAnsi="Times New Roman" w:cs="Times New Roman"/>
          <w:noProof/>
        </w:rPr>
        <w:t xml:space="preserve"> stressed that the early termination/suspension will apply mostly to non-financial contracts. Additionally, the future Directive provides that the creditors should be paid during the st</w:t>
      </w:r>
      <w:r>
        <w:rPr>
          <w:rFonts w:ascii="Times New Roman" w:hAnsi="Times New Roman" w:cs="Times New Roman"/>
          <w:noProof/>
        </w:rPr>
        <w:t>ay as only pre-commencement claims are affected. Finally, in collaboration with DG FISMA, these provisions could be fine-tuned in order to be in accordance with the Financial Collateral Directive.</w:t>
      </w:r>
    </w:p>
    <w:p w:rsidR="00B32D69" w:rsidRDefault="00FB661A">
      <w:pPr>
        <w:jc w:val="both"/>
        <w:rPr>
          <w:rFonts w:ascii="Times New Roman" w:hAnsi="Times New Roman" w:cs="Times New Roman"/>
          <w:noProof/>
        </w:rPr>
      </w:pPr>
      <w:r>
        <w:rPr>
          <w:rFonts w:ascii="Times New Roman" w:hAnsi="Times New Roman" w:cs="Times New Roman"/>
          <w:b/>
          <w:bCs/>
          <w:noProof/>
        </w:rPr>
        <w:t>DG FISMA</w:t>
      </w:r>
      <w:r>
        <w:rPr>
          <w:rFonts w:ascii="Times New Roman" w:hAnsi="Times New Roman" w:cs="Times New Roman"/>
          <w:noProof/>
        </w:rPr>
        <w:t xml:space="preserve"> expressed concerns with regard to the suspension o</w:t>
      </w:r>
      <w:r>
        <w:rPr>
          <w:rFonts w:ascii="Times New Roman" w:hAnsi="Times New Roman" w:cs="Times New Roman"/>
          <w:noProof/>
        </w:rPr>
        <w:t>f the obligation to open insolvency proceedings for the duration of the stay.</w:t>
      </w:r>
    </w:p>
    <w:p w:rsidR="00B32D69" w:rsidRDefault="00FB661A">
      <w:pPr>
        <w:jc w:val="both"/>
        <w:rPr>
          <w:rFonts w:ascii="Times New Roman" w:hAnsi="Times New Roman" w:cs="Times New Roman"/>
          <w:noProof/>
        </w:rPr>
      </w:pPr>
      <w:r>
        <w:rPr>
          <w:rFonts w:ascii="Times New Roman" w:hAnsi="Times New Roman" w:cs="Times New Roman"/>
          <w:b/>
          <w:bCs/>
          <w:noProof/>
        </w:rPr>
        <w:t>DG JUST</w:t>
      </w:r>
      <w:r>
        <w:rPr>
          <w:rFonts w:ascii="Times New Roman" w:hAnsi="Times New Roman" w:cs="Times New Roman"/>
          <w:noProof/>
        </w:rPr>
        <w:t xml:space="preserve"> explained that in some jurisdictions over-indebtedness or the prospect of illiquidity could trigger the obligation to file for insolvency. The future Directive provides safeguards so as to ensure that that only viable companies can benefit from preventive</w:t>
      </w:r>
      <w:r>
        <w:rPr>
          <w:rFonts w:ascii="Times New Roman" w:hAnsi="Times New Roman" w:cs="Times New Roman"/>
          <w:noProof/>
        </w:rPr>
        <w:t xml:space="preserve"> restructuring, since creditors can lift a stay at any time and the court will reject the plan if it is clearly non-viable. Additionally, the Insolvency Regulation already provides that secondary proceedings can be suspended for three months.</w:t>
      </w:r>
    </w:p>
    <w:p w:rsidR="00B32D69" w:rsidRDefault="00FB661A">
      <w:pPr>
        <w:jc w:val="both"/>
        <w:rPr>
          <w:rFonts w:ascii="Times New Roman" w:hAnsi="Times New Roman" w:cs="Times New Roman"/>
          <w:b/>
          <w:bCs/>
          <w:noProof/>
          <w:u w:val="single"/>
        </w:rPr>
      </w:pPr>
      <w:r>
        <w:rPr>
          <w:rFonts w:ascii="Times New Roman" w:hAnsi="Times New Roman" w:cs="Times New Roman"/>
          <w:b/>
          <w:bCs/>
          <w:noProof/>
          <w:u w:val="single"/>
        </w:rPr>
        <w:t>Discharge for</w:t>
      </w:r>
      <w:r>
        <w:rPr>
          <w:rFonts w:ascii="Times New Roman" w:hAnsi="Times New Roman" w:cs="Times New Roman"/>
          <w:b/>
          <w:bCs/>
          <w:noProof/>
          <w:u w:val="single"/>
        </w:rPr>
        <w:t xml:space="preserve"> entrepreneurs</w:t>
      </w:r>
    </w:p>
    <w:p w:rsidR="00B32D69" w:rsidRDefault="00FB661A">
      <w:pPr>
        <w:jc w:val="both"/>
        <w:rPr>
          <w:rFonts w:ascii="Times New Roman" w:hAnsi="Times New Roman" w:cs="Times New Roman"/>
          <w:noProof/>
        </w:rPr>
      </w:pPr>
      <w:r>
        <w:rPr>
          <w:rFonts w:ascii="Times New Roman" w:hAnsi="Times New Roman" w:cs="Times New Roman"/>
          <w:b/>
          <w:bCs/>
          <w:noProof/>
        </w:rPr>
        <w:t xml:space="preserve">DG FISMA and DG ECFIN </w:t>
      </w:r>
      <w:r>
        <w:rPr>
          <w:rFonts w:ascii="Times New Roman" w:hAnsi="Times New Roman" w:cs="Times New Roman"/>
          <w:noProof/>
        </w:rPr>
        <w:t>suggested that the wording used in Article 22(1), which allows Member States to restrict the access to discharge or lay down longer discharge periods for dishonest entrepreneurs should be looked at in order to disincent</w:t>
      </w:r>
      <w:r>
        <w:rPr>
          <w:rFonts w:ascii="Times New Roman" w:hAnsi="Times New Roman" w:cs="Times New Roman"/>
          <w:noProof/>
        </w:rPr>
        <w:t xml:space="preserve">ive dishonesty. </w:t>
      </w:r>
    </w:p>
    <w:p w:rsidR="00B32D69" w:rsidRDefault="00FB661A">
      <w:pPr>
        <w:jc w:val="both"/>
        <w:rPr>
          <w:rFonts w:ascii="Times New Roman" w:hAnsi="Times New Roman" w:cs="Times New Roman"/>
          <w:noProof/>
        </w:rPr>
      </w:pPr>
      <w:r>
        <w:rPr>
          <w:rFonts w:ascii="Times New Roman" w:hAnsi="Times New Roman" w:cs="Times New Roman"/>
          <w:b/>
          <w:bCs/>
          <w:noProof/>
        </w:rPr>
        <w:t xml:space="preserve">DG TAXUD </w:t>
      </w:r>
      <w:r>
        <w:rPr>
          <w:rFonts w:ascii="Times New Roman" w:hAnsi="Times New Roman" w:cs="Times New Roman"/>
          <w:noProof/>
        </w:rPr>
        <w:t>suggested leaving flexibility to the Member States in this matter.</w:t>
      </w:r>
    </w:p>
    <w:p w:rsidR="00B32D69" w:rsidRDefault="00FB661A">
      <w:pPr>
        <w:jc w:val="both"/>
        <w:rPr>
          <w:rFonts w:ascii="Times New Roman" w:hAnsi="Times New Roman" w:cs="Times New Roman"/>
          <w:noProof/>
        </w:rPr>
      </w:pPr>
      <w:r>
        <w:rPr>
          <w:rFonts w:ascii="Times New Roman" w:hAnsi="Times New Roman" w:cs="Times New Roman"/>
          <w:b/>
          <w:bCs/>
          <w:noProof/>
        </w:rPr>
        <w:t xml:space="preserve">DG JUST </w:t>
      </w:r>
      <w:r>
        <w:rPr>
          <w:rFonts w:ascii="Times New Roman" w:hAnsi="Times New Roman" w:cs="Times New Roman"/>
          <w:noProof/>
        </w:rPr>
        <w:t>explained that flexibility is provided to Member States to restrict access or to lay down longer periods for debtors when there is bad faith or fraud and t</w:t>
      </w:r>
      <w:r>
        <w:rPr>
          <w:rFonts w:ascii="Times New Roman" w:hAnsi="Times New Roman" w:cs="Times New Roman"/>
          <w:noProof/>
        </w:rPr>
        <w:t>hat the Member States can also exclude some kinds of debt from discharge. A Recital would be added in order to underline further the need to disincentivise dishonest debtors.</w:t>
      </w:r>
    </w:p>
    <w:p w:rsidR="00B32D69" w:rsidRDefault="00FB661A">
      <w:pPr>
        <w:rPr>
          <w:rFonts w:ascii="Times New Roman" w:hAnsi="Times New Roman" w:cs="Times New Roman"/>
          <w:b/>
          <w:bCs/>
          <w:noProof/>
          <w:u w:val="single"/>
        </w:rPr>
      </w:pPr>
      <w:r>
        <w:rPr>
          <w:rFonts w:ascii="Times New Roman" w:hAnsi="Times New Roman" w:cs="Times New Roman"/>
          <w:b/>
          <w:bCs/>
          <w:noProof/>
          <w:u w:val="single"/>
        </w:rPr>
        <w:t>Discharge for consumers</w:t>
      </w:r>
    </w:p>
    <w:p w:rsidR="00B32D69" w:rsidRDefault="00FB661A">
      <w:pPr>
        <w:jc w:val="both"/>
        <w:rPr>
          <w:rFonts w:ascii="Times New Roman" w:hAnsi="Times New Roman" w:cs="Times New Roman"/>
          <w:noProof/>
        </w:rPr>
      </w:pPr>
      <w:r>
        <w:rPr>
          <w:rFonts w:ascii="Times New Roman" w:hAnsi="Times New Roman" w:cs="Times New Roman"/>
          <w:b/>
          <w:bCs/>
          <w:noProof/>
        </w:rPr>
        <w:t>DG FISMA and DG ECFIN</w:t>
      </w:r>
      <w:r>
        <w:rPr>
          <w:rFonts w:ascii="Times New Roman" w:hAnsi="Times New Roman" w:cs="Times New Roman"/>
          <w:noProof/>
        </w:rPr>
        <w:t xml:space="preserve"> expressed concerns about the provis</w:t>
      </w:r>
      <w:r>
        <w:rPr>
          <w:rFonts w:ascii="Times New Roman" w:hAnsi="Times New Roman" w:cs="Times New Roman"/>
          <w:noProof/>
        </w:rPr>
        <w:t>ion encouraging Member States to envisage debt discharge for households, given the current vulnerabilities in EU banking system and the focus of the initiative on business restructuring and second chance for entrepreneurs. They suggested that explanation (</w:t>
      </w:r>
      <w:r>
        <w:rPr>
          <w:rFonts w:ascii="Times New Roman" w:hAnsi="Times New Roman" w:cs="Times New Roman"/>
          <w:noProof/>
        </w:rPr>
        <w:t xml:space="preserve">Recital) should be improved in order to clarify that what is intended is not to change the status quo. </w:t>
      </w:r>
    </w:p>
    <w:p w:rsidR="00B32D69" w:rsidRDefault="00FB661A">
      <w:pPr>
        <w:jc w:val="both"/>
        <w:rPr>
          <w:rFonts w:ascii="Times New Roman" w:hAnsi="Times New Roman" w:cs="Times New Roman"/>
          <w:noProof/>
        </w:rPr>
      </w:pPr>
      <w:r>
        <w:rPr>
          <w:rFonts w:ascii="Times New Roman" w:hAnsi="Times New Roman" w:cs="Times New Roman"/>
          <w:b/>
          <w:bCs/>
          <w:noProof/>
        </w:rPr>
        <w:t>DG JUST</w:t>
      </w:r>
      <w:r>
        <w:rPr>
          <w:rFonts w:ascii="Times New Roman" w:hAnsi="Times New Roman" w:cs="Times New Roman"/>
          <w:noProof/>
        </w:rPr>
        <w:t xml:space="preserve"> explained that this is not a mandatory provision and is in line with the 2014 COM Recommendation.</w:t>
      </w:r>
    </w:p>
    <w:p w:rsidR="00B32D69" w:rsidRDefault="00FB661A">
      <w:pPr>
        <w:jc w:val="both"/>
        <w:rPr>
          <w:rFonts w:ascii="Times New Roman" w:hAnsi="Times New Roman" w:cs="Times New Roman"/>
          <w:noProof/>
        </w:rPr>
      </w:pPr>
      <w:r>
        <w:rPr>
          <w:rFonts w:ascii="Times New Roman" w:hAnsi="Times New Roman" w:cs="Times New Roman"/>
          <w:noProof/>
        </w:rPr>
        <w:t>The SJ would be invited to look at whether a r</w:t>
      </w:r>
      <w:r>
        <w:rPr>
          <w:rFonts w:ascii="Times New Roman" w:hAnsi="Times New Roman" w:cs="Times New Roman"/>
          <w:noProof/>
        </w:rPr>
        <w:t xml:space="preserve">eporting obligation could be inserted when there is no substantial obligation (i.e. also for those Member States who did not take up an option to extend to consumers). </w:t>
      </w:r>
    </w:p>
    <w:p w:rsidR="00B32D69" w:rsidRDefault="00FB661A">
      <w:pPr>
        <w:jc w:val="both"/>
        <w:rPr>
          <w:rFonts w:ascii="Times New Roman" w:hAnsi="Times New Roman" w:cs="Times New Roman"/>
          <w:b/>
          <w:bCs/>
          <w:noProof/>
          <w:u w:val="single"/>
        </w:rPr>
      </w:pPr>
      <w:r>
        <w:rPr>
          <w:rFonts w:ascii="Times New Roman" w:hAnsi="Times New Roman" w:cs="Times New Roman"/>
          <w:b/>
          <w:bCs/>
          <w:noProof/>
          <w:u w:val="single"/>
        </w:rPr>
        <w:t>Explanatory Memorandum</w:t>
      </w:r>
    </w:p>
    <w:p w:rsidR="00B32D69" w:rsidRDefault="00FB661A">
      <w:pPr>
        <w:jc w:val="both"/>
        <w:rPr>
          <w:rFonts w:ascii="Times New Roman" w:hAnsi="Times New Roman" w:cs="Times New Roman"/>
          <w:b/>
          <w:bCs/>
          <w:noProof/>
        </w:rPr>
      </w:pPr>
      <w:r>
        <w:rPr>
          <w:rFonts w:ascii="Times New Roman" w:hAnsi="Times New Roman" w:cs="Times New Roman"/>
          <w:b/>
          <w:bCs/>
          <w:noProof/>
        </w:rPr>
        <w:t xml:space="preserve">SG </w:t>
      </w:r>
      <w:r>
        <w:rPr>
          <w:rFonts w:ascii="Times New Roman" w:hAnsi="Times New Roman" w:cs="Times New Roman"/>
          <w:noProof/>
        </w:rPr>
        <w:t>suggested improving the text of the explanatory memorandum pr</w:t>
      </w:r>
      <w:r>
        <w:rPr>
          <w:rFonts w:ascii="Times New Roman" w:hAnsi="Times New Roman" w:cs="Times New Roman"/>
          <w:noProof/>
        </w:rPr>
        <w:t>oviding for more visibility on the broader goals (CMU, Single Market)</w:t>
      </w:r>
      <w:r>
        <w:rPr>
          <w:rFonts w:ascii="Times New Roman" w:hAnsi="Times New Roman" w:cs="Times New Roman"/>
          <w:b/>
          <w:bCs/>
          <w:noProof/>
        </w:rPr>
        <w:t>.</w:t>
      </w:r>
    </w:p>
    <w:p w:rsidR="00B32D69" w:rsidRDefault="00B32D69">
      <w:pPr>
        <w:pStyle w:val="ListParagraph"/>
        <w:ind w:left="360"/>
        <w:rPr>
          <w:rFonts w:ascii="Times New Roman" w:hAnsi="Times New Roman"/>
          <w:noProof/>
          <w:sz w:val="24"/>
          <w:szCs w:val="24"/>
        </w:rPr>
      </w:pPr>
    </w:p>
    <w:p w:rsidR="00B32D69" w:rsidRDefault="00B32D69">
      <w:pPr>
        <w:spacing w:after="0" w:line="240" w:lineRule="auto"/>
        <w:rPr>
          <w:rFonts w:ascii="Times New Roman" w:hAnsi="Times New Roman" w:cs="Times New Roman"/>
          <w:noProof/>
          <w:sz w:val="24"/>
          <w:szCs w:val="24"/>
        </w:rPr>
      </w:pPr>
    </w:p>
    <w:p w:rsidR="00B32D69" w:rsidRDefault="00FB661A">
      <w:pPr>
        <w:jc w:val="center"/>
        <w:rPr>
          <w:rFonts w:ascii="Times New Roman" w:hAnsi="Times New Roman" w:cs="Times New Roman"/>
          <w:b/>
          <w:noProof/>
          <w:sz w:val="24"/>
          <w:szCs w:val="24"/>
        </w:rPr>
      </w:pPr>
      <w:r>
        <w:rPr>
          <w:rFonts w:ascii="Times New Roman" w:hAnsi="Times New Roman" w:cs="Times New Roman"/>
          <w:b/>
          <w:noProof/>
          <w:sz w:val="24"/>
          <w:szCs w:val="24"/>
        </w:rPr>
        <w:t>* * * *</w:t>
      </w:r>
    </w:p>
    <w:p w:rsidR="00B32D69" w:rsidRDefault="00FB661A">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Summary record of the 3rd Inter-Service Meeting on the insolvency initiative - BERL 20.07.2016</w:t>
      </w:r>
    </w:p>
    <w:p w:rsidR="00B32D69" w:rsidRDefault="00B32D69">
      <w:pPr>
        <w:spacing w:after="0" w:line="240" w:lineRule="auto"/>
        <w:rPr>
          <w:rFonts w:ascii="Times New Roman" w:hAnsi="Times New Roman" w:cs="Times New Roman"/>
          <w:b/>
          <w:noProof/>
          <w:sz w:val="24"/>
          <w:szCs w:val="24"/>
        </w:rPr>
      </w:pP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u w:val="single"/>
        </w:rPr>
        <w:t>Participants:</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P. Stachowiak (COMP); N. Philiponnet (ECFIN); O. Martinez De </w:t>
      </w:r>
      <w:r>
        <w:rPr>
          <w:rFonts w:ascii="Times New Roman" w:hAnsi="Times New Roman" w:cs="Times New Roman"/>
          <w:noProof/>
          <w:sz w:val="24"/>
          <w:szCs w:val="24"/>
        </w:rPr>
        <w:t>Briones (EMPL); N. Bohan, M. Parmentier, F. Poliani (FISMA); D. Tsagkris (GROW); J. Lopez Rodriguez (TAXUD); K. Vandekerckhove, M. Carpus-Carcea,  O. Vondracek, A. Chra, M. Mailly, P. Sziranyi, M. Lissowska, M. Janschek (JUST); W. Sleath, A-L. Barreau (SG)</w:t>
      </w:r>
    </w:p>
    <w:p w:rsidR="00B32D69" w:rsidRDefault="00B32D69">
      <w:pPr>
        <w:spacing w:after="0" w:line="240" w:lineRule="auto"/>
        <w:jc w:val="both"/>
        <w:rPr>
          <w:rFonts w:ascii="Times New Roman" w:hAnsi="Times New Roman" w:cs="Times New Roman"/>
          <w:noProof/>
          <w:sz w:val="24"/>
          <w:szCs w:val="24"/>
        </w:rPr>
      </w:pP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u w:val="single"/>
        </w:rPr>
        <w:t>Agenda:</w:t>
      </w:r>
      <w:r>
        <w:rPr>
          <w:rFonts w:ascii="Times New Roman" w:hAnsi="Times New Roman" w:cs="Times New Roman"/>
          <w:noProof/>
          <w:sz w:val="24"/>
          <w:szCs w:val="24"/>
        </w:rPr>
        <w:t xml:space="preserve"> Discussion of the draft impact assessment before the submission to RSB </w:t>
      </w: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u w:val="single"/>
        </w:rPr>
        <w:t>Meeting document:</w:t>
      </w:r>
      <w:r>
        <w:rPr>
          <w:rFonts w:ascii="Times New Roman" w:hAnsi="Times New Roman" w:cs="Times New Roman"/>
          <w:noProof/>
          <w:sz w:val="24"/>
          <w:szCs w:val="24"/>
        </w:rPr>
        <w:t xml:space="preserve"> Draft impact assessment </w:t>
      </w:r>
    </w:p>
    <w:p w:rsidR="00B32D69" w:rsidRDefault="00B32D69">
      <w:pPr>
        <w:spacing w:after="0" w:line="240" w:lineRule="auto"/>
        <w:jc w:val="both"/>
        <w:rPr>
          <w:rFonts w:ascii="Times New Roman" w:hAnsi="Times New Roman" w:cs="Times New Roman"/>
          <w:noProof/>
          <w:sz w:val="24"/>
          <w:szCs w:val="24"/>
        </w:rPr>
      </w:pPr>
    </w:p>
    <w:p w:rsidR="00B32D69" w:rsidRDefault="00FB661A">
      <w:pPr>
        <w:spacing w:after="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Discussion:</w:t>
      </w:r>
    </w:p>
    <w:p w:rsidR="00B32D69" w:rsidRDefault="00B32D69">
      <w:pPr>
        <w:spacing w:after="0" w:line="240" w:lineRule="auto"/>
        <w:jc w:val="both"/>
        <w:rPr>
          <w:rFonts w:ascii="Times New Roman" w:hAnsi="Times New Roman" w:cs="Times New Roman"/>
          <w:b/>
          <w:noProof/>
          <w:sz w:val="24"/>
          <w:szCs w:val="24"/>
        </w:rPr>
      </w:pP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K. Vandekerckhove (JUST) provided an update on the state of play of the initiative and explained the evolution of t</w:t>
      </w:r>
      <w:r>
        <w:rPr>
          <w:rFonts w:ascii="Times New Roman" w:hAnsi="Times New Roman" w:cs="Times New Roman"/>
          <w:noProof/>
          <w:sz w:val="24"/>
          <w:szCs w:val="24"/>
        </w:rPr>
        <w:t>he text since the last inter-service group meeting and further meetings with Member States. Some adaptations would be made in terms of the baselines, the impacts and stakeholders' views. It had been a conscious choice to change the order of the presentatio</w:t>
      </w:r>
      <w:r>
        <w:rPr>
          <w:rFonts w:ascii="Times New Roman" w:hAnsi="Times New Roman" w:cs="Times New Roman"/>
          <w:noProof/>
          <w:sz w:val="24"/>
          <w:szCs w:val="24"/>
        </w:rPr>
        <w:t>n of the options, but if this was to be retained, the rationale would be explained. It was noted that the Communication planned to accompany the proposal would be an opportunity to provide the broader context, including on the relationship with the Capital</w:t>
      </w:r>
      <w:r>
        <w:rPr>
          <w:rFonts w:ascii="Times New Roman" w:hAnsi="Times New Roman" w:cs="Times New Roman"/>
          <w:noProof/>
          <w:sz w:val="24"/>
          <w:szCs w:val="24"/>
        </w:rPr>
        <w:t xml:space="preserve"> Markets Union and the Single Market Strategy, so this could be kept relatively brief in the impact assessment report. Personal insolvency would be dealt with in a separate recommendation. </w:t>
      </w:r>
    </w:p>
    <w:p w:rsidR="00B32D69" w:rsidRDefault="00B32D69">
      <w:pPr>
        <w:spacing w:after="0" w:line="240" w:lineRule="auto"/>
        <w:jc w:val="both"/>
        <w:rPr>
          <w:rFonts w:ascii="Times New Roman" w:hAnsi="Times New Roman" w:cs="Times New Roman"/>
          <w:noProof/>
          <w:sz w:val="24"/>
          <w:szCs w:val="24"/>
        </w:rPr>
      </w:pP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N. Philiponnet (ECFIN) commented on the following aspects: </w:t>
      </w:r>
    </w:p>
    <w:p w:rsidR="00B32D69" w:rsidRDefault="00B32D69">
      <w:pPr>
        <w:spacing w:after="0" w:line="240" w:lineRule="auto"/>
        <w:jc w:val="both"/>
        <w:rPr>
          <w:rFonts w:ascii="Times New Roman" w:hAnsi="Times New Roman" w:cs="Times New Roman"/>
          <w:noProof/>
          <w:sz w:val="24"/>
          <w:szCs w:val="24"/>
        </w:rPr>
      </w:pPr>
    </w:p>
    <w:p w:rsidR="00B32D69" w:rsidRDefault="00FB661A">
      <w:pPr>
        <w:pStyle w:val="ListParagraph"/>
        <w:numPr>
          <w:ilvl w:val="0"/>
          <w:numId w:val="32"/>
        </w:numPr>
        <w:spacing w:after="0" w:line="240" w:lineRule="auto"/>
        <w:jc w:val="both"/>
        <w:rPr>
          <w:rFonts w:ascii="Times New Roman" w:hAnsi="Times New Roman"/>
          <w:noProof/>
          <w:sz w:val="24"/>
          <w:szCs w:val="24"/>
        </w:rPr>
      </w:pPr>
      <w:r>
        <w:rPr>
          <w:rFonts w:ascii="Times New Roman" w:hAnsi="Times New Roman"/>
          <w:noProof/>
          <w:sz w:val="24"/>
          <w:szCs w:val="24"/>
        </w:rPr>
        <w:t>The scope of the initiative should be clarified. It would be useful to explain why the initiative focuses on restructuring and does not address other aspects of the insolvency framework. This could help anchor expectations on the potential impact of the in</w:t>
      </w:r>
      <w:r>
        <w:rPr>
          <w:rFonts w:ascii="Times New Roman" w:hAnsi="Times New Roman"/>
          <w:noProof/>
          <w:sz w:val="24"/>
          <w:szCs w:val="24"/>
        </w:rPr>
        <w:t xml:space="preserve">itiative. </w:t>
      </w:r>
    </w:p>
    <w:p w:rsidR="00B32D69" w:rsidRDefault="00FB661A">
      <w:pPr>
        <w:pStyle w:val="ListParagraph"/>
        <w:numPr>
          <w:ilvl w:val="0"/>
          <w:numId w:val="32"/>
        </w:numPr>
        <w:spacing w:after="0" w:line="240" w:lineRule="auto"/>
        <w:jc w:val="both"/>
        <w:rPr>
          <w:rFonts w:ascii="Times New Roman" w:hAnsi="Times New Roman"/>
          <w:noProof/>
          <w:sz w:val="24"/>
          <w:szCs w:val="24"/>
        </w:rPr>
      </w:pPr>
      <w:r>
        <w:rPr>
          <w:rFonts w:ascii="Times New Roman" w:hAnsi="Times New Roman"/>
          <w:noProof/>
          <w:sz w:val="24"/>
          <w:szCs w:val="24"/>
        </w:rPr>
        <w:t xml:space="preserve">With regard to the choice of instrument, it would be useful to develop further why other legislative instruments could not be used. </w:t>
      </w:r>
    </w:p>
    <w:p w:rsidR="00B32D69" w:rsidRDefault="00FB661A">
      <w:pPr>
        <w:pStyle w:val="ListParagraph"/>
        <w:numPr>
          <w:ilvl w:val="0"/>
          <w:numId w:val="32"/>
        </w:numPr>
        <w:spacing w:after="0" w:line="240" w:lineRule="auto"/>
        <w:jc w:val="both"/>
        <w:rPr>
          <w:rFonts w:ascii="Times New Roman" w:hAnsi="Times New Roman"/>
          <w:noProof/>
          <w:sz w:val="24"/>
          <w:szCs w:val="24"/>
        </w:rPr>
      </w:pPr>
      <w:r>
        <w:rPr>
          <w:rFonts w:ascii="Times New Roman" w:hAnsi="Times New Roman"/>
          <w:noProof/>
          <w:sz w:val="24"/>
          <w:szCs w:val="24"/>
        </w:rPr>
        <w:t xml:space="preserve">Regarding the sub-options, there could be more clarity on what the criteria for their selection is, and whether </w:t>
      </w:r>
      <w:r>
        <w:rPr>
          <w:rFonts w:ascii="Times New Roman" w:hAnsi="Times New Roman"/>
          <w:noProof/>
          <w:sz w:val="24"/>
          <w:szCs w:val="24"/>
        </w:rPr>
        <w:t xml:space="preserve">they are exhaustive and exclusive. </w:t>
      </w:r>
    </w:p>
    <w:p w:rsidR="00B32D69" w:rsidRDefault="00FB661A">
      <w:pPr>
        <w:pStyle w:val="ListParagraph"/>
        <w:numPr>
          <w:ilvl w:val="0"/>
          <w:numId w:val="32"/>
        </w:numPr>
        <w:spacing w:after="0" w:line="240" w:lineRule="auto"/>
        <w:jc w:val="both"/>
        <w:rPr>
          <w:rFonts w:ascii="Times New Roman" w:hAnsi="Times New Roman"/>
          <w:noProof/>
          <w:sz w:val="24"/>
          <w:szCs w:val="24"/>
        </w:rPr>
      </w:pPr>
      <w:r>
        <w:rPr>
          <w:rFonts w:ascii="Times New Roman" w:hAnsi="Times New Roman"/>
          <w:noProof/>
          <w:sz w:val="24"/>
          <w:szCs w:val="24"/>
        </w:rPr>
        <w:t>The consistency between the options and the objective could be improved. The overall objective of the initiative is to reduce the cost of cross-border insolvency. However in section 7 on the overall impact of the instrum</w:t>
      </w:r>
      <w:r>
        <w:rPr>
          <w:rFonts w:ascii="Times New Roman" w:hAnsi="Times New Roman"/>
          <w:noProof/>
          <w:sz w:val="24"/>
          <w:szCs w:val="24"/>
        </w:rPr>
        <w:t xml:space="preserve">ent, the improvement of the performance of the insolvency systems at the national level is given more prominence. The impact on cross-border flows of capital could also be better articulated. </w:t>
      </w:r>
    </w:p>
    <w:p w:rsidR="00B32D69" w:rsidRDefault="00FB661A">
      <w:pPr>
        <w:pStyle w:val="ListParagraph"/>
        <w:numPr>
          <w:ilvl w:val="0"/>
          <w:numId w:val="32"/>
        </w:numPr>
        <w:spacing w:after="0" w:line="240" w:lineRule="auto"/>
        <w:jc w:val="both"/>
        <w:rPr>
          <w:rFonts w:ascii="Times New Roman" w:hAnsi="Times New Roman"/>
          <w:noProof/>
          <w:sz w:val="24"/>
          <w:szCs w:val="24"/>
        </w:rPr>
      </w:pPr>
      <w:r>
        <w:rPr>
          <w:rFonts w:ascii="Times New Roman" w:hAnsi="Times New Roman"/>
          <w:noProof/>
          <w:sz w:val="24"/>
          <w:szCs w:val="24"/>
        </w:rPr>
        <w:t>There could also be a more cautious approach to the quantificat</w:t>
      </w:r>
      <w:r>
        <w:rPr>
          <w:rFonts w:ascii="Times New Roman" w:hAnsi="Times New Roman"/>
          <w:noProof/>
          <w:sz w:val="24"/>
          <w:szCs w:val="24"/>
        </w:rPr>
        <w:t xml:space="preserve">ion of the benefits, given that restructuring agreements were only one element. </w:t>
      </w:r>
    </w:p>
    <w:p w:rsidR="00B32D69" w:rsidRDefault="00FB661A">
      <w:pPr>
        <w:pStyle w:val="ListParagraph"/>
        <w:numPr>
          <w:ilvl w:val="0"/>
          <w:numId w:val="32"/>
        </w:numPr>
        <w:spacing w:after="0" w:line="240" w:lineRule="auto"/>
        <w:jc w:val="both"/>
        <w:rPr>
          <w:rFonts w:ascii="Times New Roman" w:hAnsi="Times New Roman"/>
          <w:noProof/>
          <w:sz w:val="24"/>
          <w:szCs w:val="24"/>
        </w:rPr>
      </w:pPr>
      <w:r>
        <w:rPr>
          <w:rFonts w:ascii="Times New Roman" w:hAnsi="Times New Roman"/>
          <w:noProof/>
          <w:sz w:val="24"/>
          <w:szCs w:val="24"/>
        </w:rPr>
        <w:t>More globally, the general approach and the communication could underline that a positive environment for start-ups needed the right balance between liquidation and restructur</w:t>
      </w:r>
      <w:r>
        <w:rPr>
          <w:rFonts w:ascii="Times New Roman" w:hAnsi="Times New Roman"/>
          <w:noProof/>
          <w:sz w:val="24"/>
          <w:szCs w:val="24"/>
        </w:rPr>
        <w:t>ing.</w:t>
      </w:r>
    </w:p>
    <w:p w:rsidR="00B32D69" w:rsidRDefault="00B32D69">
      <w:pPr>
        <w:spacing w:after="0" w:line="240" w:lineRule="auto"/>
        <w:jc w:val="both"/>
        <w:rPr>
          <w:rFonts w:ascii="Times New Roman" w:hAnsi="Times New Roman" w:cs="Times New Roman"/>
          <w:noProof/>
          <w:sz w:val="24"/>
          <w:szCs w:val="24"/>
        </w:rPr>
      </w:pP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JUST agreed to seek to adjust the text accordingly.</w:t>
      </w:r>
    </w:p>
    <w:p w:rsidR="00B32D69" w:rsidRDefault="00B32D69">
      <w:pPr>
        <w:spacing w:after="0" w:line="240" w:lineRule="auto"/>
        <w:jc w:val="both"/>
        <w:rPr>
          <w:rFonts w:ascii="Times New Roman" w:hAnsi="Times New Roman" w:cs="Times New Roman"/>
          <w:noProof/>
          <w:sz w:val="24"/>
          <w:szCs w:val="24"/>
        </w:rPr>
      </w:pP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N. Bohan (FISMA) underlined the following elements: </w:t>
      </w:r>
    </w:p>
    <w:p w:rsidR="00B32D69" w:rsidRDefault="00B32D69">
      <w:pPr>
        <w:spacing w:after="0" w:line="240" w:lineRule="auto"/>
        <w:jc w:val="both"/>
        <w:rPr>
          <w:rFonts w:ascii="Times New Roman" w:hAnsi="Times New Roman" w:cs="Times New Roman"/>
          <w:noProof/>
          <w:sz w:val="24"/>
          <w:szCs w:val="24"/>
        </w:rPr>
      </w:pPr>
    </w:p>
    <w:p w:rsidR="00B32D69" w:rsidRDefault="00FB661A">
      <w:pPr>
        <w:pStyle w:val="ListParagraph"/>
        <w:numPr>
          <w:ilvl w:val="0"/>
          <w:numId w:val="33"/>
        </w:numPr>
        <w:spacing w:after="0" w:line="240" w:lineRule="auto"/>
        <w:jc w:val="both"/>
        <w:rPr>
          <w:rFonts w:ascii="Times New Roman" w:hAnsi="Times New Roman"/>
          <w:noProof/>
          <w:sz w:val="24"/>
          <w:szCs w:val="24"/>
        </w:rPr>
      </w:pPr>
      <w:r>
        <w:rPr>
          <w:rFonts w:ascii="Times New Roman" w:hAnsi="Times New Roman"/>
          <w:noProof/>
          <w:sz w:val="24"/>
          <w:szCs w:val="24"/>
        </w:rPr>
        <w:t xml:space="preserve">The text could have a more logical frame to better link the identification of the problem in the draft impact assessment with the intention to </w:t>
      </w:r>
      <w:r>
        <w:rPr>
          <w:rFonts w:ascii="Times New Roman" w:hAnsi="Times New Roman"/>
          <w:noProof/>
          <w:sz w:val="24"/>
          <w:szCs w:val="24"/>
        </w:rPr>
        <w:t>come with a proposal confined to business restructuring. The problem definition and objectives should more clearly lead to the options identified.</w:t>
      </w:r>
    </w:p>
    <w:p w:rsidR="00B32D69" w:rsidRDefault="00FB661A">
      <w:pPr>
        <w:pStyle w:val="ListParagraph"/>
        <w:numPr>
          <w:ilvl w:val="0"/>
          <w:numId w:val="33"/>
        </w:numPr>
        <w:spacing w:after="0" w:line="240" w:lineRule="auto"/>
        <w:jc w:val="both"/>
        <w:rPr>
          <w:rFonts w:ascii="Times New Roman" w:hAnsi="Times New Roman"/>
          <w:noProof/>
          <w:sz w:val="24"/>
          <w:szCs w:val="24"/>
        </w:rPr>
      </w:pPr>
      <w:r>
        <w:rPr>
          <w:rFonts w:ascii="Times New Roman" w:hAnsi="Times New Roman"/>
          <w:noProof/>
          <w:sz w:val="24"/>
          <w:szCs w:val="24"/>
        </w:rPr>
        <w:t>In terms of criteria for assessing options, a specific objective / criterion should be added related to the w</w:t>
      </w:r>
      <w:r>
        <w:rPr>
          <w:rFonts w:ascii="Times New Roman" w:hAnsi="Times New Roman"/>
          <w:noProof/>
          <w:sz w:val="24"/>
          <w:szCs w:val="24"/>
        </w:rPr>
        <w:t>ay in which the restructuring solution balances the interests of creditors and debtors; financial stability should be a criterion in assessing all the options. The regime should ensure adequate protection for creditors and limit the scope for tactical abus</w:t>
      </w:r>
      <w:r>
        <w:rPr>
          <w:rFonts w:ascii="Times New Roman" w:hAnsi="Times New Roman"/>
          <w:noProof/>
          <w:sz w:val="24"/>
          <w:szCs w:val="24"/>
        </w:rPr>
        <w:t>e of restructuring systems (for example, through excessive delay). It should be clear that for some companies, liquidation will always remain the best option.</w:t>
      </w:r>
    </w:p>
    <w:p w:rsidR="00B32D69" w:rsidRDefault="00FB661A">
      <w:pPr>
        <w:pStyle w:val="ListParagraph"/>
        <w:numPr>
          <w:ilvl w:val="0"/>
          <w:numId w:val="33"/>
        </w:numPr>
        <w:spacing w:after="0" w:line="240" w:lineRule="auto"/>
        <w:jc w:val="both"/>
        <w:rPr>
          <w:rFonts w:ascii="Times New Roman" w:hAnsi="Times New Roman"/>
          <w:noProof/>
          <w:sz w:val="24"/>
          <w:szCs w:val="24"/>
        </w:rPr>
      </w:pPr>
      <w:r>
        <w:rPr>
          <w:rFonts w:ascii="Times New Roman" w:hAnsi="Times New Roman"/>
          <w:noProof/>
          <w:sz w:val="24"/>
          <w:szCs w:val="24"/>
        </w:rPr>
        <w:t xml:space="preserve">A specific option for SMEs could be included. </w:t>
      </w:r>
    </w:p>
    <w:p w:rsidR="00B32D69" w:rsidRDefault="00B32D69">
      <w:pPr>
        <w:spacing w:after="0" w:line="240" w:lineRule="auto"/>
        <w:jc w:val="both"/>
        <w:rPr>
          <w:rFonts w:ascii="Times New Roman" w:hAnsi="Times New Roman" w:cs="Times New Roman"/>
          <w:noProof/>
          <w:sz w:val="24"/>
          <w:szCs w:val="24"/>
        </w:rPr>
      </w:pP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JUST agreed that the overall narrative needed to explain the more specific place of restructuring (and its limits), including why acting on restructuring would help banks to deal with non-performing loans, also noting that this would be an important elemen</w:t>
      </w:r>
      <w:r>
        <w:rPr>
          <w:rFonts w:ascii="Times New Roman" w:hAnsi="Times New Roman" w:cs="Times New Roman"/>
          <w:noProof/>
          <w:sz w:val="24"/>
          <w:szCs w:val="24"/>
        </w:rPr>
        <w:t xml:space="preserve">t for the chapeau communication. </w:t>
      </w:r>
    </w:p>
    <w:p w:rsidR="00B32D69" w:rsidRDefault="00B32D69">
      <w:pPr>
        <w:spacing w:after="0" w:line="240" w:lineRule="auto"/>
        <w:jc w:val="both"/>
        <w:rPr>
          <w:rFonts w:ascii="Times New Roman" w:hAnsi="Times New Roman" w:cs="Times New Roman"/>
          <w:noProof/>
          <w:sz w:val="24"/>
          <w:szCs w:val="24"/>
        </w:rPr>
      </w:pP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J. Lopez Rodriguez (TAXUD) considered</w:t>
      </w:r>
      <w:r>
        <w:rPr>
          <w:rFonts w:ascii="Times New Roman" w:hAnsi="Times New Roman" w:cs="Times New Roman"/>
          <w:noProof/>
          <w:color w:val="1F497D"/>
          <w:sz w:val="24"/>
          <w:szCs w:val="24"/>
        </w:rPr>
        <w:t xml:space="preserve"> </w:t>
      </w:r>
      <w:r>
        <w:rPr>
          <w:rFonts w:ascii="Times New Roman" w:hAnsi="Times New Roman" w:cs="Times New Roman"/>
          <w:noProof/>
          <w:sz w:val="24"/>
          <w:szCs w:val="24"/>
        </w:rPr>
        <w:t>that the problem driver stressed too heavily the impact of differences of national legislation/fragmentation, as opposed to the shortcomings of some (but not all) national approaches.</w:t>
      </w:r>
      <w:r>
        <w:rPr>
          <w:rFonts w:ascii="Times New Roman" w:hAnsi="Times New Roman" w:cs="Times New Roman"/>
          <w:noProof/>
          <w:sz w:val="24"/>
          <w:szCs w:val="24"/>
        </w:rPr>
        <w:t xml:space="preserve"> It would be useful to identify further national practices creating problems and gaps, so as to address them as objectives and in the policy options. </w:t>
      </w:r>
    </w:p>
    <w:p w:rsidR="00B32D69" w:rsidRDefault="00B32D69">
      <w:pPr>
        <w:spacing w:after="0" w:line="240" w:lineRule="auto"/>
        <w:jc w:val="both"/>
        <w:rPr>
          <w:rFonts w:ascii="Times New Roman" w:hAnsi="Times New Roman" w:cs="Times New Roman"/>
          <w:noProof/>
          <w:sz w:val="24"/>
          <w:szCs w:val="24"/>
        </w:rPr>
      </w:pP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 Martinez De Briones (EMPL) considered that the area of ranking of claims is missing in this draft imp</w:t>
      </w:r>
      <w:r>
        <w:rPr>
          <w:rFonts w:ascii="Times New Roman" w:hAnsi="Times New Roman" w:cs="Times New Roman"/>
          <w:noProof/>
          <w:sz w:val="24"/>
          <w:szCs w:val="24"/>
        </w:rPr>
        <w:t>act assessment. She also underlined the need for better protection of employees. JUST explained that the ranking issue was left to national legislation.</w:t>
      </w:r>
    </w:p>
    <w:p w:rsidR="00B32D69" w:rsidRDefault="00B32D69">
      <w:pPr>
        <w:spacing w:after="0" w:line="240" w:lineRule="auto"/>
        <w:jc w:val="both"/>
        <w:rPr>
          <w:rFonts w:ascii="Times New Roman" w:hAnsi="Times New Roman" w:cs="Times New Roman"/>
          <w:noProof/>
          <w:sz w:val="24"/>
          <w:szCs w:val="24"/>
        </w:rPr>
      </w:pP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 Tsagkris (GROW) raised the issue of early warning provisions for SMEs. Generally it was noted that </w:t>
      </w:r>
      <w:r>
        <w:rPr>
          <w:rFonts w:ascii="Times New Roman" w:hAnsi="Times New Roman" w:cs="Times New Roman"/>
          <w:noProof/>
          <w:sz w:val="24"/>
          <w:szCs w:val="24"/>
        </w:rPr>
        <w:t xml:space="preserve">the costs of restructuring could be prohibitive for the smallest companies, pointing that the "second chance" through liquidation is taking place in the majority of cases rather than restructuring. </w:t>
      </w:r>
    </w:p>
    <w:p w:rsidR="00B32D69" w:rsidRDefault="00B32D69">
      <w:pPr>
        <w:spacing w:after="0" w:line="240" w:lineRule="auto"/>
        <w:jc w:val="both"/>
        <w:rPr>
          <w:rFonts w:ascii="Times New Roman" w:hAnsi="Times New Roman" w:cs="Times New Roman"/>
          <w:b/>
          <w:noProof/>
          <w:sz w:val="24"/>
          <w:szCs w:val="24"/>
        </w:rPr>
      </w:pPr>
    </w:p>
    <w:p w:rsidR="00B32D69" w:rsidRDefault="00FB661A">
      <w:pPr>
        <w:spacing w:after="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Next steps:</w:t>
      </w:r>
    </w:p>
    <w:p w:rsidR="00B32D69" w:rsidRDefault="00FB661A">
      <w:pPr>
        <w:pStyle w:val="ListParagraph"/>
        <w:numPr>
          <w:ilvl w:val="0"/>
          <w:numId w:val="31"/>
        </w:numPr>
        <w:spacing w:after="0" w:line="240" w:lineRule="auto"/>
        <w:jc w:val="both"/>
        <w:rPr>
          <w:rFonts w:ascii="Times New Roman" w:hAnsi="Times New Roman"/>
          <w:noProof/>
          <w:sz w:val="24"/>
          <w:szCs w:val="24"/>
        </w:rPr>
      </w:pPr>
      <w:r>
        <w:rPr>
          <w:rFonts w:ascii="Times New Roman" w:hAnsi="Times New Roman"/>
          <w:noProof/>
          <w:sz w:val="24"/>
          <w:szCs w:val="24"/>
        </w:rPr>
        <w:t xml:space="preserve">The draft impact assessment will be </w:t>
      </w:r>
      <w:r>
        <w:rPr>
          <w:rFonts w:ascii="Times New Roman" w:hAnsi="Times New Roman"/>
          <w:noProof/>
          <w:sz w:val="24"/>
          <w:szCs w:val="24"/>
        </w:rPr>
        <w:t>submitted to the RSB in August</w:t>
      </w:r>
    </w:p>
    <w:p w:rsidR="00B32D69" w:rsidRDefault="00FB661A">
      <w:pPr>
        <w:pStyle w:val="ListParagraph"/>
        <w:numPr>
          <w:ilvl w:val="0"/>
          <w:numId w:val="31"/>
        </w:numPr>
        <w:spacing w:after="0" w:line="240" w:lineRule="auto"/>
        <w:jc w:val="both"/>
        <w:rPr>
          <w:rFonts w:ascii="Times New Roman" w:hAnsi="Times New Roman"/>
          <w:noProof/>
          <w:sz w:val="24"/>
          <w:szCs w:val="24"/>
        </w:rPr>
      </w:pPr>
      <w:r>
        <w:rPr>
          <w:rFonts w:ascii="Times New Roman" w:hAnsi="Times New Roman"/>
          <w:noProof/>
          <w:sz w:val="24"/>
          <w:szCs w:val="24"/>
        </w:rPr>
        <w:t>The RSB will meet on 28 September</w:t>
      </w:r>
    </w:p>
    <w:p w:rsidR="00B32D69" w:rsidRDefault="00FB661A">
      <w:pPr>
        <w:pStyle w:val="ListParagraph"/>
        <w:numPr>
          <w:ilvl w:val="0"/>
          <w:numId w:val="31"/>
        </w:numPr>
        <w:spacing w:after="0" w:line="240" w:lineRule="auto"/>
        <w:jc w:val="both"/>
        <w:rPr>
          <w:rFonts w:ascii="Times New Roman" w:hAnsi="Times New Roman"/>
          <w:noProof/>
          <w:sz w:val="24"/>
          <w:szCs w:val="24"/>
        </w:rPr>
      </w:pPr>
      <w:r>
        <w:rPr>
          <w:rFonts w:ascii="Times New Roman" w:hAnsi="Times New Roman"/>
          <w:noProof/>
          <w:sz w:val="24"/>
          <w:szCs w:val="24"/>
        </w:rPr>
        <w:t>The next ISG meeting will take place in the second half of September. The objective of next meeting is to have a look at the proposals and the Communication ahead of the inter-service consult</w:t>
      </w:r>
      <w:r>
        <w:rPr>
          <w:rFonts w:ascii="Times New Roman" w:hAnsi="Times New Roman"/>
          <w:noProof/>
          <w:sz w:val="24"/>
          <w:szCs w:val="24"/>
        </w:rPr>
        <w:t>ation.</w:t>
      </w:r>
    </w:p>
    <w:p w:rsidR="00B32D69" w:rsidRDefault="00B32D69">
      <w:pPr>
        <w:spacing w:after="0" w:line="240" w:lineRule="auto"/>
        <w:jc w:val="both"/>
        <w:rPr>
          <w:rFonts w:ascii="Times New Roman" w:hAnsi="Times New Roman" w:cs="Times New Roman"/>
          <w:noProof/>
          <w:sz w:val="24"/>
          <w:szCs w:val="24"/>
        </w:rPr>
      </w:pPr>
    </w:p>
    <w:p w:rsidR="00B32D69" w:rsidRDefault="00FB661A">
      <w:pPr>
        <w:spacing w:after="0" w:line="240" w:lineRule="auto"/>
        <w:jc w:val="both"/>
        <w:rPr>
          <w:rFonts w:ascii="Times New Roman" w:hAnsi="Times New Roman" w:cs="Times New Roman"/>
          <w:b/>
          <w:caps/>
          <w:noProof/>
          <w:sz w:val="24"/>
          <w:szCs w:val="24"/>
        </w:rPr>
      </w:pPr>
      <w:r>
        <w:rPr>
          <w:rFonts w:ascii="Times New Roman" w:hAnsi="Times New Roman" w:cs="Times New Roman"/>
          <w:b/>
          <w:caps/>
          <w:noProof/>
          <w:sz w:val="24"/>
          <w:szCs w:val="24"/>
        </w:rPr>
        <w:t>4. LIST OF STUDIES relevant for the preparation of the Impact Assessment</w:t>
      </w:r>
    </w:p>
    <w:p w:rsidR="00B32D69" w:rsidRDefault="00B32D69">
      <w:pPr>
        <w:spacing w:after="0" w:line="240" w:lineRule="auto"/>
        <w:jc w:val="both"/>
        <w:rPr>
          <w:rFonts w:ascii="Times New Roman" w:hAnsi="Times New Roman" w:cs="Times New Roman"/>
          <w:b/>
          <w:noProof/>
          <w:color w:val="000000"/>
          <w:sz w:val="24"/>
          <w:szCs w:val="24"/>
        </w:rPr>
      </w:pPr>
    </w:p>
    <w:p w:rsidR="00B32D69" w:rsidRDefault="00FB661A">
      <w:pPr>
        <w:spacing w:after="0" w:line="240" w:lineRule="auto"/>
        <w:jc w:val="both"/>
        <w:rPr>
          <w:rFonts w:ascii="Times New Roman" w:hAnsi="Times New Roman" w:cs="Times New Roman"/>
          <w:b/>
          <w:smallCaps/>
          <w:noProof/>
          <w:color w:val="000000"/>
          <w:sz w:val="24"/>
          <w:szCs w:val="24"/>
        </w:rPr>
      </w:pPr>
      <w:r>
        <w:rPr>
          <w:rFonts w:ascii="Times New Roman" w:hAnsi="Times New Roman" w:cs="Times New Roman"/>
          <w:b/>
          <w:smallCaps/>
          <w:noProof/>
          <w:color w:val="000000"/>
          <w:sz w:val="24"/>
          <w:szCs w:val="24"/>
        </w:rPr>
        <w:t>Forthcoming</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Annual Report on European SMEs (2016): Work Package 1 - Section 'What is the situation as regards the availability of a ´second chance´ for honest </w:t>
      </w:r>
      <w:r>
        <w:rPr>
          <w:rFonts w:ascii="Times New Roman" w:hAnsi="Times New Roman" w:cs="Times New Roman"/>
          <w:noProof/>
          <w:color w:val="000000"/>
          <w:sz w:val="24"/>
          <w:szCs w:val="24"/>
        </w:rPr>
        <w:t>failed/bankrupt entrepreneurs in the EU', DG GROWTH, [forthcoming]</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Rescue of Business in Insolvency Law, European Law Institute (commissioned by DG JUST), [forthcoming]</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'Promoting protection of the right to housing. Homelessness protection in the conte</w:t>
      </w:r>
      <w:r>
        <w:rPr>
          <w:rFonts w:ascii="Times New Roman" w:hAnsi="Times New Roman" w:cs="Times New Roman"/>
          <w:noProof/>
          <w:color w:val="000000"/>
          <w:sz w:val="24"/>
          <w:szCs w:val="24"/>
        </w:rPr>
        <w:t>xt of evictions (Pilot Project)', FEANTSA  [forthcoming]</w:t>
      </w:r>
      <w:r>
        <w:rPr>
          <w:rStyle w:val="FootnoteReference"/>
          <w:rFonts w:ascii="Times New Roman" w:hAnsi="Times New Roman"/>
          <w:noProof/>
          <w:color w:val="000000"/>
          <w:sz w:val="24"/>
          <w:szCs w:val="24"/>
        </w:rPr>
        <w:footnoteReference w:id="208"/>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 Statement of principles for a global approach to multi-creditor workouts, INSOL International, 2</w:t>
      </w:r>
      <w:r>
        <w:rPr>
          <w:rFonts w:ascii="Times New Roman" w:hAnsi="Times New Roman" w:cs="Times New Roman"/>
          <w:noProof/>
          <w:color w:val="000000"/>
          <w:sz w:val="24"/>
          <w:szCs w:val="24"/>
          <w:vertAlign w:val="superscript"/>
        </w:rPr>
        <w:t>nd</w:t>
      </w:r>
      <w:r>
        <w:rPr>
          <w:rFonts w:ascii="Times New Roman" w:hAnsi="Times New Roman" w:cs="Times New Roman"/>
          <w:noProof/>
          <w:color w:val="000000"/>
          <w:sz w:val="24"/>
          <w:szCs w:val="24"/>
        </w:rPr>
        <w:t xml:space="preserve"> ed. [forthcoming]</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Impact assessment study on policy options for a new initiative on minimum st</w:t>
      </w:r>
      <w:r>
        <w:rPr>
          <w:rFonts w:ascii="Times New Roman" w:hAnsi="Times New Roman" w:cs="Times New Roman"/>
          <w:noProof/>
          <w:color w:val="000000"/>
          <w:sz w:val="24"/>
          <w:szCs w:val="24"/>
        </w:rPr>
        <w:t>andards in insolvency and restructuring law, JIIP consortium (commissioned by DG JUST), [forthcoming]</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Flash Eurobarometer 2016, Report Insolvency, [forthcoming]</w:t>
      </w:r>
    </w:p>
    <w:p w:rsidR="00B32D69" w:rsidRDefault="00B32D69">
      <w:pPr>
        <w:spacing w:after="0" w:line="240" w:lineRule="auto"/>
        <w:jc w:val="both"/>
        <w:rPr>
          <w:rFonts w:ascii="Times New Roman" w:hAnsi="Times New Roman" w:cs="Times New Roman"/>
          <w:noProof/>
          <w:color w:val="000000"/>
          <w:sz w:val="24"/>
          <w:szCs w:val="24"/>
        </w:rPr>
      </w:pPr>
    </w:p>
    <w:p w:rsidR="00B32D69" w:rsidRDefault="00FB661A">
      <w:pPr>
        <w:spacing w:after="0" w:line="240" w:lineRule="auto"/>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2016</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Doing Business: Resolving insolvency, World Bank Group (2016)</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Study on 'Harmonising</w:t>
      </w:r>
      <w:r>
        <w:rPr>
          <w:rFonts w:ascii="Times New Roman" w:hAnsi="Times New Roman" w:cs="Times New Roman"/>
          <w:noProof/>
          <w:color w:val="000000"/>
          <w:sz w:val="24"/>
          <w:szCs w:val="24"/>
        </w:rPr>
        <w:t xml:space="preserve"> insolvency law in the Euro Area: rationale, stock taking and challenges. What role for the Eurogroup?', European Parliament, July 2016, PE 574.428 </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Impact Assessment 'A review of the corporate insolvency framework', UK Insolvency Service, 1 March 2016</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w:t>
      </w:r>
      <w:r>
        <w:rPr>
          <w:rFonts w:ascii="Times New Roman" w:hAnsi="Times New Roman" w:cs="Times New Roman"/>
          <w:noProof/>
          <w:color w:val="000000"/>
          <w:sz w:val="24"/>
          <w:szCs w:val="24"/>
        </w:rPr>
        <w:t xml:space="preserve"> SME Performance Review 2015/2016, DG GROWTH, March 2016</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Turnaround Wing Guidelines for Restructuring and Turnaround Professionals, INSOL Europe, March 2016</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Report on 'Potential economic gains from reforming insolvency law in Europe’, AFME, Frontier Ec</w:t>
      </w:r>
      <w:r>
        <w:rPr>
          <w:rFonts w:ascii="Times New Roman" w:hAnsi="Times New Roman" w:cs="Times New Roman"/>
          <w:noProof/>
          <w:color w:val="000000"/>
          <w:sz w:val="24"/>
          <w:szCs w:val="24"/>
        </w:rPr>
        <w:t>onomics and Weil Gotshal &amp; Manges LLP, February 2016</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Study on 'A new approach to business failure and insolvency. Comparative legal analysis of Member States’ relevant provisions and practices', University of Leeds (commissioned by DG JUST), January 2016</w:t>
      </w:r>
      <w:r>
        <w:rPr>
          <w:rFonts w:ascii="Times New Roman" w:hAnsi="Times New Roman" w:cs="Times New Roman"/>
          <w:noProof/>
          <w:color w:val="000000"/>
          <w:sz w:val="24"/>
          <w:szCs w:val="24"/>
        </w:rPr>
        <w:t>.</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w:t>
      </w:r>
      <w:r>
        <w:rPr>
          <w:rFonts w:ascii="Times New Roman" w:hAnsi="Times New Roman" w:cs="Times New Roman"/>
          <w:noProof/>
          <w:sz w:val="24"/>
          <w:szCs w:val="24"/>
        </w:rPr>
        <w:t xml:space="preserve">Study on 'Consumer vulnerability across key markets in the European Union', London Economics, VVA Consulting and IPSOS Mori consortium (commissioned by DG JUST), January </w:t>
      </w:r>
      <w:r>
        <w:rPr>
          <w:rFonts w:ascii="Times New Roman" w:hAnsi="Times New Roman" w:cs="Times New Roman"/>
          <w:noProof/>
          <w:color w:val="000000"/>
          <w:sz w:val="24"/>
          <w:szCs w:val="24"/>
        </w:rPr>
        <w:t>2016</w:t>
      </w:r>
    </w:p>
    <w:p w:rsidR="00B32D69" w:rsidRDefault="00B32D69">
      <w:pPr>
        <w:spacing w:after="0" w:line="240" w:lineRule="auto"/>
        <w:jc w:val="both"/>
        <w:rPr>
          <w:rFonts w:ascii="Times New Roman" w:hAnsi="Times New Roman" w:cs="Times New Roman"/>
          <w:noProof/>
          <w:color w:val="000000"/>
          <w:sz w:val="24"/>
          <w:szCs w:val="24"/>
        </w:rPr>
      </w:pPr>
    </w:p>
    <w:p w:rsidR="00B32D69" w:rsidRDefault="00FB661A">
      <w:pPr>
        <w:spacing w:after="0" w:line="240" w:lineRule="auto"/>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2015</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Doing Business: Resolving insolvency, World Bank Group (2015)</w:t>
      </w:r>
    </w:p>
    <w:p w:rsidR="00B32D69" w:rsidRDefault="00FB661A">
      <w:pPr>
        <w:spacing w:after="0" w:line="240" w:lineRule="auto"/>
        <w:jc w:val="both"/>
        <w:rPr>
          <w:rFonts w:ascii="Times New Roman" w:hAnsi="Times New Roman" w:cs="Times New Roman"/>
          <w:noProof/>
          <w:color w:val="000000"/>
          <w:sz w:val="24"/>
          <w:szCs w:val="24"/>
          <w:lang w:val="es-ES"/>
        </w:rPr>
      </w:pPr>
      <w:r>
        <w:rPr>
          <w:rFonts w:ascii="Times New Roman" w:hAnsi="Times New Roman" w:cs="Times New Roman"/>
          <w:noProof/>
          <w:color w:val="000000"/>
          <w:sz w:val="24"/>
          <w:szCs w:val="24"/>
          <w:lang w:val="es-ES"/>
        </w:rPr>
        <w:t xml:space="preserve">- </w:t>
      </w:r>
      <w:r>
        <w:rPr>
          <w:rFonts w:ascii="Times New Roman" w:hAnsi="Times New Roman" w:cs="Times New Roman"/>
          <w:noProof/>
          <w:color w:val="000000"/>
          <w:sz w:val="24"/>
          <w:szCs w:val="24"/>
          <w:lang w:val="es-ES"/>
        </w:rPr>
        <w:t>'Corporate insolvencies in Europe 2014/15', Creditreform (2015)</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w:t>
      </w:r>
      <w:r>
        <w:rPr>
          <w:rStyle w:val="hps"/>
          <w:rFonts w:ascii="Times New Roman" w:hAnsi="Times New Roman" w:cs="Times New Roman"/>
          <w:noProof/>
          <w:color w:val="222222"/>
          <w:sz w:val="24"/>
          <w:szCs w:val="24"/>
        </w:rPr>
        <w:t>Nordic-Baltic</w:t>
      </w:r>
      <w:r>
        <w:rPr>
          <w:rFonts w:ascii="Times New Roman" w:hAnsi="Times New Roman" w:cs="Times New Roman"/>
          <w:noProof/>
          <w:color w:val="222222"/>
          <w:sz w:val="24"/>
          <w:szCs w:val="24"/>
        </w:rPr>
        <w:t xml:space="preserve"> </w:t>
      </w:r>
      <w:r>
        <w:rPr>
          <w:rStyle w:val="hps"/>
          <w:rFonts w:ascii="Times New Roman" w:hAnsi="Times New Roman" w:cs="Times New Roman"/>
          <w:noProof/>
          <w:color w:val="222222"/>
          <w:sz w:val="24"/>
          <w:szCs w:val="24"/>
        </w:rPr>
        <w:t>Recommendations</w:t>
      </w:r>
      <w:r>
        <w:rPr>
          <w:rFonts w:ascii="Times New Roman" w:hAnsi="Times New Roman" w:cs="Times New Roman"/>
          <w:noProof/>
          <w:color w:val="222222"/>
          <w:sz w:val="24"/>
          <w:szCs w:val="24"/>
        </w:rPr>
        <w:t xml:space="preserve"> </w:t>
      </w:r>
      <w:r>
        <w:rPr>
          <w:rStyle w:val="hps"/>
          <w:rFonts w:ascii="Times New Roman" w:hAnsi="Times New Roman" w:cs="Times New Roman"/>
          <w:noProof/>
          <w:color w:val="222222"/>
          <w:sz w:val="24"/>
          <w:szCs w:val="24"/>
        </w:rPr>
        <w:t>on</w:t>
      </w:r>
      <w:r>
        <w:rPr>
          <w:rFonts w:ascii="Times New Roman" w:hAnsi="Times New Roman" w:cs="Times New Roman"/>
          <w:noProof/>
          <w:color w:val="222222"/>
          <w:sz w:val="24"/>
          <w:szCs w:val="24"/>
        </w:rPr>
        <w:t xml:space="preserve"> </w:t>
      </w:r>
      <w:r>
        <w:rPr>
          <w:rStyle w:val="hps"/>
          <w:rFonts w:ascii="Times New Roman" w:hAnsi="Times New Roman" w:cs="Times New Roman"/>
          <w:noProof/>
          <w:color w:val="222222"/>
          <w:sz w:val="24"/>
          <w:szCs w:val="24"/>
        </w:rPr>
        <w:t>Insolvency</w:t>
      </w:r>
      <w:r>
        <w:rPr>
          <w:rFonts w:ascii="Times New Roman" w:hAnsi="Times New Roman" w:cs="Times New Roman"/>
          <w:noProof/>
          <w:color w:val="222222"/>
          <w:sz w:val="24"/>
          <w:szCs w:val="24"/>
        </w:rPr>
        <w:t xml:space="preserve"> </w:t>
      </w:r>
      <w:r>
        <w:rPr>
          <w:rStyle w:val="hps"/>
          <w:rFonts w:ascii="Times New Roman" w:hAnsi="Times New Roman" w:cs="Times New Roman"/>
          <w:noProof/>
          <w:color w:val="222222"/>
          <w:sz w:val="24"/>
          <w:szCs w:val="24"/>
        </w:rPr>
        <w:t>Law, revised</w:t>
      </w:r>
      <w:r>
        <w:rPr>
          <w:rFonts w:ascii="Times New Roman" w:hAnsi="Times New Roman" w:cs="Times New Roman"/>
          <w:noProof/>
          <w:color w:val="222222"/>
          <w:sz w:val="24"/>
          <w:szCs w:val="24"/>
        </w:rPr>
        <w:t xml:space="preserve"> </w:t>
      </w:r>
      <w:r>
        <w:rPr>
          <w:rStyle w:val="hps"/>
          <w:rFonts w:ascii="Times New Roman" w:hAnsi="Times New Roman" w:cs="Times New Roman"/>
          <w:noProof/>
          <w:color w:val="222222"/>
          <w:sz w:val="24"/>
          <w:szCs w:val="24"/>
        </w:rPr>
        <w:t>version of 15 December</w:t>
      </w:r>
      <w:r>
        <w:rPr>
          <w:rFonts w:ascii="Times New Roman" w:hAnsi="Times New Roman" w:cs="Times New Roman"/>
          <w:noProof/>
          <w:color w:val="222222"/>
          <w:sz w:val="24"/>
          <w:szCs w:val="24"/>
        </w:rPr>
        <w:t xml:space="preserve"> </w:t>
      </w:r>
      <w:r>
        <w:rPr>
          <w:rStyle w:val="hps"/>
          <w:rFonts w:ascii="Times New Roman" w:hAnsi="Times New Roman" w:cs="Times New Roman"/>
          <w:noProof/>
          <w:color w:val="222222"/>
          <w:sz w:val="24"/>
          <w:szCs w:val="24"/>
        </w:rPr>
        <w:t>2015</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'Upgrading the Single Market: more opportunities for people and business', European Commission, COM(201</w:t>
      </w:r>
      <w:r>
        <w:rPr>
          <w:rFonts w:ascii="Times New Roman" w:hAnsi="Times New Roman" w:cs="Times New Roman"/>
          <w:noProof/>
          <w:color w:val="000000"/>
          <w:sz w:val="24"/>
          <w:szCs w:val="24"/>
        </w:rPr>
        <w:t>5) 550 final, 28 October 2015</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Feedback Statement on the Green Paper 'Building a Capital Markets Union', SWD(2015) 184 final, 30 September 2015</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Economic Analysis accompanying the Action Plan on Building a Capital Markets Union, SWD(2015) 183 final, 30 </w:t>
      </w:r>
      <w:r>
        <w:rPr>
          <w:rFonts w:ascii="Times New Roman" w:hAnsi="Times New Roman" w:cs="Times New Roman"/>
          <w:noProof/>
          <w:color w:val="000000"/>
          <w:sz w:val="24"/>
          <w:szCs w:val="24"/>
        </w:rPr>
        <w:t>September 2015</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'The Economic Impact of Rescue and Recovery Frameworks in the EU', Commission Staff Discussion Paper (n°4), September 2015</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Euro Area Policies – Selected Issues, IMF Country Report No. 15/204, July 2015</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Euro Area Policies – Selected Iss</w:t>
      </w:r>
      <w:r>
        <w:rPr>
          <w:rFonts w:ascii="Times New Roman" w:hAnsi="Times New Roman" w:cs="Times New Roman"/>
          <w:noProof/>
          <w:color w:val="000000"/>
          <w:sz w:val="24"/>
          <w:szCs w:val="24"/>
        </w:rPr>
        <w:t>ues, IMF Country Report No. 15/205, July 2015</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'Tackling Small and Medium Sized Enterprise Problem Loans in Europe', IMF Staff Discussion Note, March 2015</w:t>
      </w:r>
    </w:p>
    <w:p w:rsidR="00B32D69" w:rsidRDefault="00B32D69">
      <w:pPr>
        <w:spacing w:after="0" w:line="240" w:lineRule="auto"/>
        <w:jc w:val="both"/>
        <w:rPr>
          <w:rFonts w:ascii="Times New Roman" w:hAnsi="Times New Roman" w:cs="Times New Roman"/>
          <w:noProof/>
          <w:color w:val="000000"/>
          <w:sz w:val="24"/>
          <w:szCs w:val="24"/>
        </w:rPr>
      </w:pPr>
    </w:p>
    <w:p w:rsidR="00B32D69" w:rsidRDefault="00FB661A">
      <w:pPr>
        <w:spacing w:after="0" w:line="240" w:lineRule="auto"/>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2014</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Doing Business: Resolving insolvency, World Bank Group, 2014</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Economic Review for the Europ</w:t>
      </w:r>
      <w:r>
        <w:rPr>
          <w:rFonts w:ascii="Times New Roman" w:hAnsi="Times New Roman" w:cs="Times New Roman"/>
          <w:noProof/>
          <w:color w:val="000000"/>
          <w:sz w:val="24"/>
          <w:szCs w:val="24"/>
        </w:rPr>
        <w:t>ean Union, OECD, 2014</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Study on 'Bankruptcy and second chance for honest bankrupt Entrepreneurs', ECORYS (commissioned by DG Enterprise &amp; Industry), November 2014</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Study on a new approach to business failure and insolvency – Comparative legal analysis of</w:t>
      </w:r>
      <w:r>
        <w:rPr>
          <w:rFonts w:ascii="Times New Roman" w:hAnsi="Times New Roman" w:cs="Times New Roman"/>
          <w:noProof/>
          <w:color w:val="000000"/>
          <w:sz w:val="24"/>
          <w:szCs w:val="24"/>
        </w:rPr>
        <w:t xml:space="preserve"> the Member States' relevant provisions and practices, INSOL Europe </w:t>
      </w:r>
      <w:r>
        <w:rPr>
          <w:rFonts w:ascii="Times New Roman" w:hAnsi="Times New Roman" w:cs="Times New Roman"/>
          <w:noProof/>
          <w:sz w:val="24"/>
          <w:szCs w:val="24"/>
        </w:rPr>
        <w:t>(commissioned by DG JUST)</w:t>
      </w:r>
      <w:r>
        <w:rPr>
          <w:rFonts w:ascii="Times New Roman" w:hAnsi="Times New Roman" w:cs="Times New Roman"/>
          <w:noProof/>
          <w:color w:val="000000"/>
          <w:sz w:val="24"/>
          <w:szCs w:val="24"/>
        </w:rPr>
        <w:t>, May 2014</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Impact Assessment accompanying the Commission proposal of the Directive of the European Parliament and of the Council on single-member private liabili</w:t>
      </w:r>
      <w:r>
        <w:rPr>
          <w:rFonts w:ascii="Times New Roman" w:hAnsi="Times New Roman" w:cs="Times New Roman"/>
          <w:noProof/>
          <w:color w:val="000000"/>
          <w:sz w:val="24"/>
          <w:szCs w:val="24"/>
        </w:rPr>
        <w:t>ty companies, COM SWD(2014) 124 final, 9 April 2014</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Impact Assessment accompanying the Commission Recommendation on a New Approach to Business Failure and Insolvency, SWD(2014) 61 final, 12 March 2014.</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Study on 'Consumer Protection Aspects of Financial</w:t>
      </w:r>
      <w:r>
        <w:rPr>
          <w:rFonts w:ascii="Times New Roman" w:hAnsi="Times New Roman" w:cs="Times New Roman"/>
          <w:noProof/>
          <w:color w:val="000000"/>
          <w:sz w:val="24"/>
          <w:szCs w:val="24"/>
        </w:rPr>
        <w:t xml:space="preserve"> Services', European Parliament, February 2014, PE 507.463</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Report on 'The treatment of the insolvency of natural persons', World Bank, January 2014</w:t>
      </w:r>
    </w:p>
    <w:p w:rsidR="00B32D69" w:rsidRDefault="00B32D69">
      <w:pPr>
        <w:spacing w:after="0" w:line="240" w:lineRule="auto"/>
        <w:jc w:val="both"/>
        <w:rPr>
          <w:rFonts w:ascii="Times New Roman" w:hAnsi="Times New Roman" w:cs="Times New Roman"/>
          <w:noProof/>
          <w:color w:val="000000"/>
          <w:sz w:val="24"/>
          <w:szCs w:val="24"/>
        </w:rPr>
      </w:pPr>
    </w:p>
    <w:p w:rsidR="00B32D69" w:rsidRDefault="00FB661A">
      <w:pPr>
        <w:spacing w:after="0" w:line="240" w:lineRule="auto"/>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2013</w:t>
      </w:r>
    </w:p>
    <w:p w:rsidR="00B32D69" w:rsidRDefault="00FB661A">
      <w:pPr>
        <w:autoSpaceDE w:val="0"/>
        <w:autoSpaceDN w:val="0"/>
        <w:adjustRightInd w:val="0"/>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Study on 'The over-indebtedness of European households: updated mapping of the situation, nature a</w:t>
      </w:r>
      <w:r>
        <w:rPr>
          <w:rFonts w:ascii="Times New Roman" w:hAnsi="Times New Roman" w:cs="Times New Roman"/>
          <w:noProof/>
          <w:color w:val="000000"/>
          <w:sz w:val="24"/>
          <w:szCs w:val="24"/>
        </w:rPr>
        <w:t>nd causes, effects and initiatives for alleviating its impact', Civic Consulting (commissioned by DG SANCO), December 2013</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Report on 'Overindebtedness of European households: updated mapping of the situation, nature and causes, effects and initiatives, f</w:t>
      </w:r>
      <w:r>
        <w:rPr>
          <w:rFonts w:ascii="Times New Roman" w:hAnsi="Times New Roman" w:cs="Times New Roman"/>
          <w:noProof/>
          <w:color w:val="000000"/>
          <w:sz w:val="24"/>
          <w:szCs w:val="24"/>
        </w:rPr>
        <w:t>or alleviating its impact', Civic Consulting (commissioned by DG SANCO), December 2013</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Selected Issues, IMF Country Report No. 13/299, September 2013</w:t>
      </w: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 xml:space="preserve">- </w:t>
      </w:r>
      <w:r>
        <w:rPr>
          <w:rFonts w:ascii="Times New Roman" w:hAnsi="Times New Roman" w:cs="Times New Roman"/>
          <w:noProof/>
          <w:sz w:val="24"/>
          <w:szCs w:val="24"/>
        </w:rPr>
        <w:t xml:space="preserve">Study on 'The functioning of consumer credit market in Europe, IPSOS and London Economics </w:t>
      </w:r>
      <w:r>
        <w:rPr>
          <w:rFonts w:ascii="Times New Roman" w:hAnsi="Times New Roman" w:cs="Times New Roman"/>
          <w:noProof/>
          <w:color w:val="000000"/>
          <w:sz w:val="24"/>
          <w:szCs w:val="24"/>
        </w:rPr>
        <w:t>(commissione</w:t>
      </w:r>
      <w:r>
        <w:rPr>
          <w:rFonts w:ascii="Times New Roman" w:hAnsi="Times New Roman" w:cs="Times New Roman"/>
          <w:noProof/>
          <w:color w:val="000000"/>
          <w:sz w:val="24"/>
          <w:szCs w:val="24"/>
        </w:rPr>
        <w:t>d by</w:t>
      </w:r>
      <w:r>
        <w:rPr>
          <w:rFonts w:ascii="Times New Roman" w:hAnsi="Times New Roman" w:cs="Times New Roman"/>
          <w:noProof/>
          <w:sz w:val="24"/>
          <w:szCs w:val="24"/>
        </w:rPr>
        <w:t xml:space="preserve"> Executive Agency for Health and Consumers (EAHC) on behalf of</w:t>
      </w:r>
      <w:r>
        <w:rPr>
          <w:rFonts w:ascii="Times New Roman" w:hAnsi="Times New Roman" w:cs="Times New Roman"/>
          <w:noProof/>
          <w:color w:val="000000"/>
          <w:sz w:val="24"/>
          <w:szCs w:val="24"/>
        </w:rPr>
        <w:t xml:space="preserve"> DG SANCO)</w:t>
      </w:r>
      <w:r>
        <w:rPr>
          <w:rFonts w:ascii="Times New Roman" w:hAnsi="Times New Roman" w:cs="Times New Roman"/>
          <w:noProof/>
          <w:sz w:val="24"/>
          <w:szCs w:val="24"/>
        </w:rPr>
        <w:t>, July 2013</w:t>
      </w: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'Unlocking funding for European investment and growth. An industry survey of obstacles in the European funding markets and potential solutions', Oliver Wyman </w:t>
      </w:r>
      <w:r>
        <w:rPr>
          <w:rFonts w:ascii="Times New Roman" w:hAnsi="Times New Roman" w:cs="Times New Roman"/>
          <w:noProof/>
          <w:sz w:val="24"/>
          <w:szCs w:val="24"/>
        </w:rPr>
        <w:t>(commissioned by AFME),June 2013</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Study on 'Directors' Duties and Liabilities', London School of Economics (commissioned by DG MARKT), April 2013</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'Dealing with Private Debt Distress in the Wake of the European Financial Crisis: A Review of the Economics</w:t>
      </w:r>
      <w:r>
        <w:rPr>
          <w:rFonts w:ascii="Times New Roman" w:hAnsi="Times New Roman" w:cs="Times New Roman"/>
          <w:noProof/>
          <w:color w:val="000000"/>
          <w:sz w:val="24"/>
          <w:szCs w:val="24"/>
        </w:rPr>
        <w:t xml:space="preserve"> and Legal Toolbox', IMF Working Paper No. 13/44, February 2013</w:t>
      </w: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'Measureable Results! Doing Business Project Encourages Economies to Reform Insolvency Frameworks', IFC World Bank Group, January 2013</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UNCITRAL Legislative Guide on Insolvency Law, Part </w:t>
      </w:r>
      <w:r>
        <w:rPr>
          <w:rFonts w:ascii="Times New Roman" w:hAnsi="Times New Roman" w:cs="Times New Roman"/>
          <w:noProof/>
          <w:color w:val="000000"/>
          <w:sz w:val="24"/>
          <w:szCs w:val="24"/>
        </w:rPr>
        <w:t>Four: Directors' obligations in the period approaching insolvency (2013)</w:t>
      </w:r>
    </w:p>
    <w:p w:rsidR="00B32D69" w:rsidRDefault="00B32D69">
      <w:pPr>
        <w:autoSpaceDE w:val="0"/>
        <w:autoSpaceDN w:val="0"/>
        <w:adjustRightInd w:val="0"/>
        <w:spacing w:after="0" w:line="240" w:lineRule="auto"/>
        <w:jc w:val="both"/>
        <w:rPr>
          <w:rFonts w:ascii="Times New Roman" w:hAnsi="Times New Roman" w:cs="Times New Roman"/>
          <w:noProof/>
          <w:color w:val="000000"/>
          <w:sz w:val="24"/>
          <w:szCs w:val="24"/>
        </w:rPr>
      </w:pPr>
    </w:p>
    <w:p w:rsidR="00B32D69" w:rsidRDefault="00FB661A">
      <w:pPr>
        <w:spacing w:after="0" w:line="240" w:lineRule="auto"/>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2012</w:t>
      </w: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 xml:space="preserve">- </w:t>
      </w:r>
      <w:r>
        <w:rPr>
          <w:rFonts w:ascii="Times New Roman" w:hAnsi="Times New Roman" w:cs="Times New Roman"/>
          <w:noProof/>
          <w:sz w:val="24"/>
          <w:szCs w:val="24"/>
        </w:rPr>
        <w:t>Report on the application of Council Regulation (EC) No 1346/2000 of 29 May 2000 on insolvency proceedings, COM(2012)743, December 2012</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rPr>
        <w:t>- Impact Assessment accompanying the Re</w:t>
      </w:r>
      <w:r>
        <w:rPr>
          <w:rFonts w:ascii="Times New Roman" w:hAnsi="Times New Roman" w:cs="Times New Roman"/>
          <w:noProof/>
          <w:sz w:val="24"/>
          <w:szCs w:val="24"/>
        </w:rPr>
        <w:t>vision of Regulation (EC) No 1346/2000 on insolvency proceedings, SWD(2012) 416 final, 12 December 2012</w:t>
      </w:r>
    </w:p>
    <w:p w:rsidR="00B32D69" w:rsidRDefault="00FB661A">
      <w:pPr>
        <w:spacing w:after="0" w:line="240" w:lineRule="auto"/>
        <w:jc w:val="both"/>
        <w:rPr>
          <w:rStyle w:val="Hyperlink"/>
          <w:rFonts w:ascii="Times New Roman" w:hAnsi="Times New Roman" w:cs="Times New Roman"/>
          <w:noProof/>
          <w:color w:val="000000"/>
          <w:sz w:val="24"/>
          <w:szCs w:val="24"/>
        </w:rPr>
      </w:pPr>
      <w:r>
        <w:rPr>
          <w:rFonts w:ascii="Times New Roman" w:hAnsi="Times New Roman" w:cs="Times New Roman"/>
          <w:noProof/>
          <w:sz w:val="24"/>
          <w:szCs w:val="24"/>
        </w:rPr>
        <w:t>- 'Di</w:t>
      </w:r>
      <w:r>
        <w:rPr>
          <w:rFonts w:ascii="Times New Roman" w:hAnsi="Times New Roman" w:cs="Times New Roman"/>
          <w:noProof/>
          <w:color w:val="000000"/>
          <w:sz w:val="24"/>
          <w:szCs w:val="24"/>
        </w:rPr>
        <w:t>rectors' duties and liabilities in the EU', European Commission, DG MARKT, December 2012</w:t>
      </w: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Study on 'Means to protect consumers in financial diffic</w:t>
      </w:r>
      <w:r>
        <w:rPr>
          <w:rFonts w:ascii="Times New Roman" w:hAnsi="Times New Roman" w:cs="Times New Roman"/>
          <w:noProof/>
          <w:sz w:val="24"/>
          <w:szCs w:val="24"/>
        </w:rPr>
        <w:t>ulty: Personal bankruptcy, datio in solutum of mortgages, and restrictions on debt collection abusive practices', London Economics (commissioned by DG MARKT), December 2012</w:t>
      </w: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Global Principles for Cooperation in International Cases (‘Global Principles’), A</w:t>
      </w:r>
      <w:r>
        <w:rPr>
          <w:rFonts w:ascii="Times New Roman" w:hAnsi="Times New Roman" w:cs="Times New Roman"/>
          <w:noProof/>
          <w:sz w:val="24"/>
          <w:szCs w:val="24"/>
        </w:rPr>
        <w:t>merican Law Institute (ALI) and International Insolvency Institute (III), June 2012</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'Out-of-court Debt Restructuring, World Bank Studies No. 66232, January 2012</w:t>
      </w:r>
    </w:p>
    <w:p w:rsidR="00B32D69" w:rsidRDefault="00B32D69">
      <w:pPr>
        <w:spacing w:after="0" w:line="240" w:lineRule="auto"/>
        <w:jc w:val="both"/>
        <w:rPr>
          <w:rFonts w:ascii="Times New Roman" w:hAnsi="Times New Roman" w:cs="Times New Roman"/>
          <w:noProof/>
          <w:sz w:val="24"/>
          <w:szCs w:val="24"/>
        </w:rPr>
      </w:pPr>
    </w:p>
    <w:p w:rsidR="00B32D69" w:rsidRDefault="00FB661A">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2011</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Preliminary Report to the Insolvency Service into Outcomes in Company Voluntary Arran</w:t>
      </w:r>
      <w:r>
        <w:rPr>
          <w:rFonts w:ascii="Times New Roman" w:hAnsi="Times New Roman" w:cs="Times New Roman"/>
          <w:noProof/>
          <w:color w:val="000000"/>
          <w:sz w:val="24"/>
          <w:szCs w:val="24"/>
        </w:rPr>
        <w:t>gements, Prof. Adrian Walters and Dr Sandra Frisby, March 2011</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rPr>
        <w:t xml:space="preserve">- </w:t>
      </w:r>
      <w:r>
        <w:rPr>
          <w:rFonts w:ascii="Times New Roman" w:hAnsi="Times New Roman" w:cs="Times New Roman"/>
          <w:noProof/>
          <w:color w:val="000000"/>
          <w:sz w:val="24"/>
          <w:szCs w:val="24"/>
        </w:rPr>
        <w:t>'Business Dynamics: Start</w:t>
      </w:r>
      <w:r>
        <w:rPr>
          <w:rFonts w:ascii="Cambria Math" w:hAnsi="Cambria Math" w:cs="Cambria Math"/>
          <w:noProof/>
          <w:color w:val="000000"/>
          <w:sz w:val="24"/>
          <w:szCs w:val="24"/>
        </w:rPr>
        <w:t>‐</w:t>
      </w:r>
      <w:r>
        <w:rPr>
          <w:rFonts w:ascii="Times New Roman" w:hAnsi="Times New Roman" w:cs="Times New Roman"/>
          <w:noProof/>
          <w:color w:val="000000"/>
          <w:sz w:val="24"/>
          <w:szCs w:val="24"/>
        </w:rPr>
        <w:t xml:space="preserve">ups, Business Transfers and Bankruptcy. The economic impact of legal and administrative procedures for licensing, business transfers and bankruptcy on </w:t>
      </w:r>
      <w:r>
        <w:rPr>
          <w:rFonts w:ascii="Times New Roman" w:hAnsi="Times New Roman" w:cs="Times New Roman"/>
          <w:noProof/>
          <w:color w:val="000000"/>
          <w:sz w:val="24"/>
          <w:szCs w:val="24"/>
        </w:rPr>
        <w:t>entrepreneurship in Europe', European Commission, DG Enterprise and Industry, January 2011</w:t>
      </w: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'Harmonisation of insolvency law at EU level with respect of opening of proceedings, claims filing and verification and reorganisation plans', </w:t>
      </w:r>
      <w:r>
        <w:rPr>
          <w:rFonts w:ascii="Times New Roman" w:hAnsi="Times New Roman" w:cs="Times New Roman"/>
          <w:noProof/>
          <w:color w:val="000000"/>
          <w:sz w:val="24"/>
          <w:szCs w:val="24"/>
        </w:rPr>
        <w:t xml:space="preserve">European Parliament </w:t>
      </w:r>
      <w:r>
        <w:rPr>
          <w:rFonts w:ascii="Times New Roman" w:hAnsi="Times New Roman" w:cs="Times New Roman"/>
          <w:noProof/>
          <w:color w:val="000000"/>
          <w:sz w:val="24"/>
          <w:szCs w:val="24"/>
        </w:rPr>
        <w:t>Briefing Note 2011</w:t>
      </w:r>
      <w:r>
        <w:rPr>
          <w:rFonts w:ascii="Times New Roman" w:hAnsi="Times New Roman" w:cs="Times New Roman"/>
          <w:noProof/>
          <w:sz w:val="24"/>
          <w:szCs w:val="24"/>
        </w:rPr>
        <w:t>, PE 432.766</w:t>
      </w: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'Harmonisation of insolvency law at EU level: Avoidance actions and rules on contracts', </w:t>
      </w:r>
      <w:r>
        <w:rPr>
          <w:rFonts w:ascii="Times New Roman" w:hAnsi="Times New Roman" w:cs="Times New Roman"/>
          <w:noProof/>
          <w:color w:val="000000"/>
          <w:sz w:val="24"/>
          <w:szCs w:val="24"/>
        </w:rPr>
        <w:t>European Parliament Briefing Note 2011</w:t>
      </w:r>
      <w:r>
        <w:rPr>
          <w:rFonts w:ascii="Times New Roman" w:hAnsi="Times New Roman" w:cs="Times New Roman"/>
          <w:noProof/>
          <w:sz w:val="24"/>
          <w:szCs w:val="24"/>
        </w:rPr>
        <w:t>, PE 432.767</w:t>
      </w:r>
    </w:p>
    <w:p w:rsidR="00B32D69" w:rsidRDefault="00B32D69">
      <w:pPr>
        <w:spacing w:after="0" w:line="240" w:lineRule="auto"/>
        <w:jc w:val="both"/>
        <w:rPr>
          <w:rFonts w:ascii="Times New Roman" w:hAnsi="Times New Roman" w:cs="Times New Roman"/>
          <w:noProof/>
          <w:color w:val="000000"/>
          <w:sz w:val="24"/>
          <w:szCs w:val="24"/>
        </w:rPr>
      </w:pPr>
    </w:p>
    <w:p w:rsidR="00B32D69" w:rsidRDefault="00FB661A">
      <w:pPr>
        <w:spacing w:after="0" w:line="240" w:lineRule="auto"/>
        <w:jc w:val="both"/>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2010</w:t>
      </w:r>
    </w:p>
    <w:p w:rsidR="00B32D69" w:rsidRDefault="00FB661A">
      <w:pPr>
        <w:spacing w:after="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‘Harmonisation of insolvency law at EU level’, European Parliament Study, 2</w:t>
      </w:r>
      <w:r>
        <w:rPr>
          <w:rFonts w:ascii="Times New Roman" w:hAnsi="Times New Roman" w:cs="Times New Roman"/>
          <w:noProof/>
          <w:color w:val="000000"/>
          <w:sz w:val="24"/>
          <w:szCs w:val="24"/>
        </w:rPr>
        <w:t>010, PE 419.633</w:t>
      </w: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'Household Indebtedness in the EU', European Parliament Briefing paper 2010, PE 433.453</w:t>
      </w: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'Internationalisation of European SMEs', DG Enterprise and Industry, 2010</w:t>
      </w: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'Financial exclusion in the EU, New evidence from the EU-SILC special mo</w:t>
      </w:r>
      <w:r>
        <w:rPr>
          <w:rFonts w:ascii="Times New Roman" w:hAnsi="Times New Roman" w:cs="Times New Roman"/>
          <w:noProof/>
          <w:sz w:val="24"/>
          <w:szCs w:val="24"/>
        </w:rPr>
        <w:t>dule', DG Employment, Social Affairs and Equal Opportunities, November 2010</w:t>
      </w:r>
    </w:p>
    <w:p w:rsidR="00B32D69" w:rsidRDefault="00B32D69">
      <w:pPr>
        <w:spacing w:after="0" w:line="240" w:lineRule="auto"/>
        <w:jc w:val="both"/>
        <w:rPr>
          <w:rFonts w:ascii="Times New Roman" w:hAnsi="Times New Roman" w:cs="Times New Roman"/>
          <w:noProof/>
          <w:sz w:val="24"/>
          <w:szCs w:val="24"/>
        </w:rPr>
      </w:pPr>
    </w:p>
    <w:p w:rsidR="00B32D69" w:rsidRDefault="00FB661A">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2007</w:t>
      </w: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'Bankruptcy Codes and Innovation', CEPR Discussion Paper No. DP6307, May 2007</w:t>
      </w:r>
    </w:p>
    <w:p w:rsidR="00B32D69" w:rsidRDefault="00B32D69">
      <w:pPr>
        <w:spacing w:after="0" w:line="240" w:lineRule="auto"/>
        <w:jc w:val="both"/>
        <w:rPr>
          <w:rFonts w:ascii="Times New Roman" w:hAnsi="Times New Roman" w:cs="Times New Roman"/>
          <w:noProof/>
          <w:sz w:val="24"/>
          <w:szCs w:val="24"/>
        </w:rPr>
      </w:pPr>
    </w:p>
    <w:p w:rsidR="00B32D69" w:rsidRDefault="00FB661A">
      <w:pP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2006</w:t>
      </w:r>
    </w:p>
    <w:p w:rsidR="00B32D69" w:rsidRDefault="00FB661A">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'The stigma of failure: An International Comparison of Failure Tolerance and Second </w:t>
      </w:r>
      <w:r>
        <w:rPr>
          <w:rFonts w:ascii="Times New Roman" w:hAnsi="Times New Roman" w:cs="Times New Roman"/>
          <w:noProof/>
          <w:sz w:val="24"/>
          <w:szCs w:val="24"/>
        </w:rPr>
        <w:t>chancing', Centre for Business Research, University of Cambridge, Working Paper No. 334, December 2006</w:t>
      </w:r>
    </w:p>
    <w:p w:rsidR="00B32D69" w:rsidRDefault="00B32D69">
      <w:pPr>
        <w:spacing w:after="0" w:line="240" w:lineRule="auto"/>
        <w:jc w:val="both"/>
        <w:rPr>
          <w:rFonts w:ascii="Times New Roman" w:hAnsi="Times New Roman" w:cs="Times New Roman"/>
          <w:noProof/>
          <w:sz w:val="24"/>
          <w:szCs w:val="24"/>
        </w:rPr>
      </w:pPr>
    </w:p>
    <w:p w:rsidR="00B32D69" w:rsidRDefault="00B32D69">
      <w:pPr>
        <w:spacing w:after="0" w:line="240" w:lineRule="auto"/>
        <w:jc w:val="both"/>
        <w:rPr>
          <w:rFonts w:ascii="Times New Roman" w:hAnsi="Times New Roman" w:cs="Times New Roman"/>
          <w:noProof/>
          <w:sz w:val="24"/>
          <w:szCs w:val="24"/>
        </w:rPr>
      </w:pPr>
    </w:p>
    <w:p w:rsidR="00B32D69" w:rsidRDefault="00B32D69">
      <w:pPr>
        <w:spacing w:after="0" w:line="240" w:lineRule="auto"/>
        <w:jc w:val="both"/>
        <w:rPr>
          <w:rFonts w:ascii="Times New Roman" w:hAnsi="Times New Roman" w:cs="Times New Roman"/>
          <w:noProof/>
          <w:sz w:val="24"/>
          <w:szCs w:val="24"/>
        </w:rPr>
      </w:pPr>
    </w:p>
    <w:p w:rsidR="00B32D69" w:rsidRDefault="00FB661A">
      <w:pPr>
        <w:rPr>
          <w:noProof/>
        </w:rPr>
      </w:pPr>
      <w:r>
        <w:rPr>
          <w:noProof/>
        </w:rPr>
        <w:br w:type="page"/>
      </w:r>
    </w:p>
    <w:p w:rsidR="00B32D69" w:rsidRDefault="00FB661A">
      <w:pPr>
        <w:spacing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t>ANNEX 2</w:t>
      </w:r>
    </w:p>
    <w:p w:rsidR="00B32D69" w:rsidRDefault="00FB661A">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Summary of consultations of stakeholders, including the outcome of the public consultation on an effective insolvency framework within the </w:t>
      </w:r>
      <w:r>
        <w:rPr>
          <w:rFonts w:ascii="Times New Roman" w:hAnsi="Times New Roman" w:cs="Times New Roman"/>
          <w:b/>
          <w:noProof/>
          <w:sz w:val="24"/>
          <w:szCs w:val="24"/>
        </w:rPr>
        <w:t>EU</w:t>
      </w:r>
    </w:p>
    <w:p w:rsidR="00B32D69" w:rsidRDefault="00FB661A">
      <w:pPr>
        <w:spacing w:line="240" w:lineRule="auto"/>
        <w:jc w:val="both"/>
        <w:rPr>
          <w:rFonts w:ascii="Times New Roman" w:hAnsi="Times New Roman" w:cs="Times New Roman"/>
          <w:b/>
          <w:noProof/>
          <w:sz w:val="24"/>
          <w:szCs w:val="24"/>
        </w:rPr>
      </w:pPr>
      <w:bookmarkStart w:id="73" w:name="ref_TOC"/>
      <w:r>
        <w:rPr>
          <w:rFonts w:ascii="Times New Roman" w:hAnsi="Times New Roman" w:cs="Times New Roman"/>
          <w:b/>
          <w:noProof/>
          <w:sz w:val="24"/>
          <w:szCs w:val="24"/>
        </w:rPr>
        <w:t>Table of Contents</w:t>
      </w:r>
    </w:p>
    <w:bookmarkEnd w:id="73"/>
    <w:p w:rsidR="00B32D69" w:rsidRDefault="00FB661A">
      <w:pPr>
        <w:pStyle w:val="TOC1"/>
        <w:rPr>
          <w:rFonts w:asciiTheme="minorHAnsi" w:eastAsiaTheme="minorEastAsia" w:hAnsiTheme="minorHAnsi"/>
          <w:b w:val="0"/>
          <w:caps/>
          <w:lang w:eastAsia="en-GB"/>
        </w:rPr>
      </w:pPr>
      <w:r>
        <w:rPr>
          <w:rStyle w:val="Strong"/>
          <w:b/>
          <w:sz w:val="24"/>
        </w:rPr>
        <w:fldChar w:fldCharType="begin"/>
      </w:r>
      <w:r>
        <w:rPr>
          <w:rStyle w:val="Strong"/>
          <w:sz w:val="24"/>
        </w:rPr>
        <w:instrText xml:space="preserve"> TOC \o "1-4" \f </w:instrText>
      </w:r>
      <w:r>
        <w:rPr>
          <w:rStyle w:val="Strong"/>
          <w:b/>
          <w:sz w:val="24"/>
        </w:rPr>
        <w:fldChar w:fldCharType="separate"/>
      </w:r>
      <w:r>
        <w:t>1.</w:t>
      </w:r>
      <w:r>
        <w:rPr>
          <w:rFonts w:asciiTheme="minorHAnsi" w:eastAsiaTheme="minorEastAsia" w:hAnsiTheme="minorHAnsi"/>
          <w:b w:val="0"/>
          <w:lang w:eastAsia="en-GB"/>
        </w:rPr>
        <w:tab/>
      </w:r>
      <w:r>
        <w:t>LIST OF MOST IMPORTANT CONSULTATIONS</w:t>
      </w:r>
      <w:r>
        <w:tab/>
      </w:r>
      <w:r>
        <w:fldChar w:fldCharType="begin"/>
      </w:r>
      <w:r>
        <w:instrText xml:space="preserve"> PAGEREF _Toc463280363 \h </w:instrText>
      </w:r>
      <w:r>
        <w:fldChar w:fldCharType="separate"/>
      </w:r>
      <w:r>
        <w:t>118</w:t>
      </w:r>
      <w:r>
        <w:fldChar w:fldCharType="end"/>
      </w:r>
    </w:p>
    <w:p w:rsidR="00B32D69" w:rsidRDefault="00FB661A">
      <w:pPr>
        <w:pStyle w:val="TOC1"/>
        <w:rPr>
          <w:rFonts w:asciiTheme="minorHAnsi" w:eastAsiaTheme="minorEastAsia" w:hAnsiTheme="minorHAnsi"/>
          <w:b w:val="0"/>
          <w:caps/>
          <w:lang w:eastAsia="en-GB"/>
        </w:rPr>
      </w:pPr>
      <w:r>
        <w:t>2.</w:t>
      </w:r>
      <w:r>
        <w:rPr>
          <w:rFonts w:asciiTheme="minorHAnsi" w:eastAsiaTheme="minorEastAsia" w:hAnsiTheme="minorHAnsi"/>
          <w:b w:val="0"/>
          <w:lang w:eastAsia="en-GB"/>
        </w:rPr>
        <w:tab/>
      </w:r>
      <w:r>
        <w:t>MAIN FINDINGS</w:t>
      </w:r>
      <w:r>
        <w:tab/>
      </w:r>
      <w:r>
        <w:fldChar w:fldCharType="begin"/>
      </w:r>
      <w:r>
        <w:instrText xml:space="preserve"> PAGEREF _Toc463280364 \h </w:instrText>
      </w:r>
      <w:r>
        <w:fldChar w:fldCharType="separate"/>
      </w:r>
      <w:r>
        <w:t>119</w:t>
      </w:r>
      <w:r>
        <w:fldChar w:fldCharType="end"/>
      </w:r>
    </w:p>
    <w:p w:rsidR="00B32D69" w:rsidRDefault="00FB661A">
      <w:pPr>
        <w:pStyle w:val="TOC2"/>
        <w:tabs>
          <w:tab w:val="left" w:pos="660"/>
        </w:tabs>
        <w:rPr>
          <w:rFonts w:eastAsiaTheme="minorEastAsia"/>
          <w:b w:val="0"/>
          <w:lang w:eastAsia="en-GB"/>
        </w:rPr>
      </w:pPr>
      <w:r>
        <w:rPr>
          <w:iCs/>
        </w:rPr>
        <w:t>2.1.</w:t>
      </w:r>
      <w:r>
        <w:rPr>
          <w:rFonts w:eastAsiaTheme="minorEastAsia"/>
          <w:b w:val="0"/>
          <w:lang w:eastAsia="en-GB"/>
        </w:rPr>
        <w:tab/>
      </w:r>
      <w:r>
        <w:rPr>
          <w:iCs/>
        </w:rPr>
        <w:t>General attitude towards the initiative</w:t>
      </w:r>
      <w:r>
        <w:tab/>
      </w:r>
      <w:r>
        <w:fldChar w:fldCharType="begin"/>
      </w:r>
      <w:r>
        <w:instrText xml:space="preserve"> PAGEREF _Toc463280365 \h </w:instrText>
      </w:r>
      <w:r>
        <w:fldChar w:fldCharType="separate"/>
      </w:r>
      <w:r>
        <w:t>119</w:t>
      </w:r>
      <w:r>
        <w:fldChar w:fldCharType="end"/>
      </w:r>
    </w:p>
    <w:p w:rsidR="00B32D69" w:rsidRDefault="00FB661A">
      <w:pPr>
        <w:pStyle w:val="TOC2"/>
        <w:tabs>
          <w:tab w:val="left" w:pos="660"/>
        </w:tabs>
        <w:rPr>
          <w:rFonts w:eastAsiaTheme="minorEastAsia"/>
          <w:b w:val="0"/>
          <w:lang w:eastAsia="en-GB"/>
        </w:rPr>
      </w:pPr>
      <w:r>
        <w:rPr>
          <w:iCs/>
        </w:rPr>
        <w:t>2.2.</w:t>
      </w:r>
      <w:r>
        <w:rPr>
          <w:rFonts w:eastAsiaTheme="minorEastAsia"/>
          <w:b w:val="0"/>
          <w:lang w:eastAsia="en-GB"/>
        </w:rPr>
        <w:tab/>
      </w:r>
      <w:r>
        <w:rPr>
          <w:iCs/>
        </w:rPr>
        <w:t>The affectation of internal Market by current rules</w:t>
      </w:r>
      <w:r>
        <w:tab/>
      </w:r>
      <w:r>
        <w:fldChar w:fldCharType="begin"/>
      </w:r>
      <w:r>
        <w:instrText xml:space="preserve"> PAGEREF _Toc463280366 \</w:instrText>
      </w:r>
      <w:r>
        <w:instrText xml:space="preserve">h </w:instrText>
      </w:r>
      <w:r>
        <w:fldChar w:fldCharType="separate"/>
      </w:r>
      <w:r>
        <w:t>124</w:t>
      </w:r>
      <w:r>
        <w:fldChar w:fldCharType="end"/>
      </w:r>
    </w:p>
    <w:p w:rsidR="00B32D69" w:rsidRDefault="00FB661A">
      <w:pPr>
        <w:pStyle w:val="TOC2"/>
        <w:tabs>
          <w:tab w:val="left" w:pos="660"/>
        </w:tabs>
        <w:rPr>
          <w:rFonts w:eastAsiaTheme="minorEastAsia"/>
          <w:b w:val="0"/>
          <w:lang w:eastAsia="en-GB"/>
        </w:rPr>
      </w:pPr>
      <w:r>
        <w:rPr>
          <w:iCs/>
        </w:rPr>
        <w:t>2.3.</w:t>
      </w:r>
      <w:r>
        <w:rPr>
          <w:rFonts w:eastAsiaTheme="minorEastAsia"/>
          <w:b w:val="0"/>
          <w:lang w:eastAsia="en-GB"/>
        </w:rPr>
        <w:tab/>
      </w:r>
      <w:r>
        <w:rPr>
          <w:iCs/>
        </w:rPr>
        <w:t>Impact of the proposed measures on the creation of new companies</w:t>
      </w:r>
      <w:r>
        <w:tab/>
      </w:r>
      <w:r>
        <w:fldChar w:fldCharType="begin"/>
      </w:r>
      <w:r>
        <w:instrText xml:space="preserve"> PAGEREF _Toc463280367 \h </w:instrText>
      </w:r>
      <w:r>
        <w:fldChar w:fldCharType="separate"/>
      </w:r>
      <w:r>
        <w:t>127</w:t>
      </w:r>
      <w:r>
        <w:fldChar w:fldCharType="end"/>
      </w:r>
    </w:p>
    <w:p w:rsidR="00B32D69" w:rsidRDefault="00FB661A">
      <w:pPr>
        <w:pStyle w:val="TOC2"/>
        <w:tabs>
          <w:tab w:val="left" w:pos="660"/>
        </w:tabs>
        <w:rPr>
          <w:rFonts w:eastAsiaTheme="minorEastAsia"/>
          <w:b w:val="0"/>
          <w:lang w:eastAsia="en-GB"/>
        </w:rPr>
      </w:pPr>
      <w:r>
        <w:t>2.4.</w:t>
      </w:r>
      <w:r>
        <w:rPr>
          <w:rFonts w:eastAsiaTheme="minorEastAsia"/>
          <w:b w:val="0"/>
          <w:lang w:eastAsia="en-GB"/>
        </w:rPr>
        <w:tab/>
      </w:r>
      <w:r>
        <w:t xml:space="preserve">Impact of </w:t>
      </w:r>
      <w:r>
        <w:t>the proposed measures on the increase of recovery rates of debts</w:t>
      </w:r>
      <w:r>
        <w:tab/>
      </w:r>
      <w:r>
        <w:fldChar w:fldCharType="begin"/>
      </w:r>
      <w:r>
        <w:instrText xml:space="preserve"> PAGEREF _Toc463280368 \h </w:instrText>
      </w:r>
      <w:r>
        <w:fldChar w:fldCharType="separate"/>
      </w:r>
      <w:r>
        <w:t>128</w:t>
      </w:r>
      <w:r>
        <w:fldChar w:fldCharType="end"/>
      </w:r>
    </w:p>
    <w:p w:rsidR="00B32D69" w:rsidRDefault="00FB661A">
      <w:pPr>
        <w:pStyle w:val="TOC2"/>
        <w:tabs>
          <w:tab w:val="left" w:pos="660"/>
        </w:tabs>
        <w:rPr>
          <w:rFonts w:eastAsiaTheme="minorEastAsia"/>
          <w:b w:val="0"/>
          <w:lang w:eastAsia="en-GB"/>
        </w:rPr>
      </w:pPr>
      <w:r>
        <w:rPr>
          <w:lang w:val="en-US"/>
        </w:rPr>
        <w:t>2.5.</w:t>
      </w:r>
      <w:r>
        <w:rPr>
          <w:rFonts w:eastAsiaTheme="minorEastAsia"/>
          <w:b w:val="0"/>
          <w:lang w:eastAsia="en-GB"/>
        </w:rPr>
        <w:tab/>
      </w:r>
      <w:r>
        <w:rPr>
          <w:lang w:val="en-US"/>
        </w:rPr>
        <w:t>The impact on the problem of non-performing loans</w:t>
      </w:r>
      <w:r>
        <w:tab/>
      </w:r>
      <w:r>
        <w:fldChar w:fldCharType="begin"/>
      </w:r>
      <w:r>
        <w:instrText xml:space="preserve"> PAGEREF _Toc463280369 \h </w:instrText>
      </w:r>
      <w:r>
        <w:fldChar w:fldCharType="separate"/>
      </w:r>
      <w:r>
        <w:t>129</w:t>
      </w:r>
      <w:r>
        <w:fldChar w:fldCharType="end"/>
      </w:r>
    </w:p>
    <w:p w:rsidR="00B32D69" w:rsidRDefault="00FB661A">
      <w:pPr>
        <w:pStyle w:val="TOC2"/>
        <w:tabs>
          <w:tab w:val="left" w:pos="660"/>
        </w:tabs>
        <w:rPr>
          <w:rFonts w:eastAsiaTheme="minorEastAsia"/>
          <w:b w:val="0"/>
          <w:lang w:eastAsia="en-GB"/>
        </w:rPr>
      </w:pPr>
      <w:r>
        <w:t>2.6.</w:t>
      </w:r>
      <w:r>
        <w:rPr>
          <w:rFonts w:eastAsiaTheme="minorEastAsia"/>
          <w:b w:val="0"/>
          <w:lang w:eastAsia="en-GB"/>
        </w:rPr>
        <w:tab/>
      </w:r>
      <w:r>
        <w:t>Cross-border element and its impact on restructuring</w:t>
      </w:r>
      <w:r>
        <w:tab/>
      </w:r>
      <w:r>
        <w:fldChar w:fldCharType="begin"/>
      </w:r>
      <w:r>
        <w:instrText xml:space="preserve"> PAGEREF _Toc463280370 \h </w:instrText>
      </w:r>
      <w:r>
        <w:fldChar w:fldCharType="separate"/>
      </w:r>
      <w:r>
        <w:t>130</w:t>
      </w:r>
      <w:r>
        <w:fldChar w:fldCharType="end"/>
      </w:r>
    </w:p>
    <w:p w:rsidR="00B32D69" w:rsidRDefault="00FB661A">
      <w:pPr>
        <w:pStyle w:val="TOC2"/>
        <w:tabs>
          <w:tab w:val="left" w:pos="660"/>
        </w:tabs>
        <w:rPr>
          <w:rFonts w:eastAsiaTheme="minorEastAsia"/>
          <w:b w:val="0"/>
          <w:lang w:eastAsia="en-GB"/>
        </w:rPr>
      </w:pPr>
      <w:r>
        <w:rPr>
          <w:iCs/>
        </w:rPr>
        <w:t>2.7.</w:t>
      </w:r>
      <w:r>
        <w:rPr>
          <w:rFonts w:eastAsiaTheme="minorEastAsia"/>
          <w:b w:val="0"/>
          <w:lang w:eastAsia="en-GB"/>
        </w:rPr>
        <w:tab/>
      </w:r>
      <w:r>
        <w:rPr>
          <w:iCs/>
        </w:rPr>
        <w:t>The characteristics of an appropriat</w:t>
      </w:r>
      <w:r>
        <w:rPr>
          <w:iCs/>
        </w:rPr>
        <w:t>e restructuring framework at EU level</w:t>
      </w:r>
      <w:r>
        <w:tab/>
      </w:r>
      <w:r>
        <w:fldChar w:fldCharType="begin"/>
      </w:r>
      <w:r>
        <w:instrText xml:space="preserve"> PAGEREF _Toc463280371 \h </w:instrText>
      </w:r>
      <w:r>
        <w:fldChar w:fldCharType="separate"/>
      </w:r>
      <w:r>
        <w:t>131</w:t>
      </w:r>
      <w:r>
        <w:fldChar w:fldCharType="end"/>
      </w:r>
    </w:p>
    <w:p w:rsidR="00B32D69" w:rsidRDefault="00FB661A">
      <w:pPr>
        <w:pStyle w:val="TOC3"/>
        <w:tabs>
          <w:tab w:val="left" w:pos="1100"/>
          <w:tab w:val="right" w:leader="dot" w:pos="9062"/>
        </w:tabs>
        <w:rPr>
          <w:rFonts w:eastAsiaTheme="minorEastAsia"/>
          <w:noProof/>
          <w:lang w:eastAsia="en-GB"/>
        </w:rPr>
      </w:pPr>
      <w:r>
        <w:rPr>
          <w:rFonts w:ascii="Times New Roman" w:hAnsi="Times New Roman" w:cs="Times New Roman"/>
          <w:iCs/>
          <w:noProof/>
        </w:rPr>
        <w:t>2.7.1.</w:t>
      </w:r>
      <w:r>
        <w:rPr>
          <w:rFonts w:eastAsiaTheme="minorEastAsia"/>
          <w:noProof/>
          <w:lang w:eastAsia="en-GB"/>
        </w:rPr>
        <w:tab/>
      </w:r>
      <w:r>
        <w:rPr>
          <w:rFonts w:ascii="Times New Roman" w:hAnsi="Times New Roman" w:cs="Times New Roman"/>
          <w:iCs/>
          <w:noProof/>
        </w:rPr>
        <w:t>Situation of debtors</w:t>
      </w:r>
      <w:r>
        <w:rPr>
          <w:noProof/>
        </w:rPr>
        <w:tab/>
      </w:r>
      <w:r>
        <w:rPr>
          <w:noProof/>
        </w:rPr>
        <w:fldChar w:fldCharType="begin"/>
      </w:r>
      <w:r>
        <w:rPr>
          <w:noProof/>
        </w:rPr>
        <w:instrText xml:space="preserve"> PAGEREF _Toc463280372 \h </w:instrText>
      </w:r>
      <w:r>
        <w:rPr>
          <w:noProof/>
        </w:rPr>
      </w:r>
      <w:r>
        <w:rPr>
          <w:noProof/>
        </w:rPr>
        <w:fldChar w:fldCharType="separate"/>
      </w:r>
      <w:r>
        <w:rPr>
          <w:noProof/>
        </w:rPr>
        <w:t>131</w:t>
      </w:r>
      <w:r>
        <w:rPr>
          <w:noProof/>
        </w:rPr>
        <w:fldChar w:fldCharType="end"/>
      </w:r>
    </w:p>
    <w:p w:rsidR="00B32D69" w:rsidRDefault="00FB661A">
      <w:pPr>
        <w:pStyle w:val="TOC3"/>
        <w:tabs>
          <w:tab w:val="left" w:pos="1100"/>
          <w:tab w:val="right" w:leader="dot" w:pos="9062"/>
        </w:tabs>
        <w:rPr>
          <w:rFonts w:eastAsiaTheme="minorEastAsia"/>
          <w:noProof/>
          <w:lang w:eastAsia="en-GB"/>
        </w:rPr>
      </w:pPr>
      <w:r>
        <w:rPr>
          <w:rFonts w:ascii="Times New Roman" w:hAnsi="Times New Roman" w:cs="Times New Roman"/>
          <w:noProof/>
        </w:rPr>
        <w:t>2.7.2.</w:t>
      </w:r>
      <w:r>
        <w:rPr>
          <w:rFonts w:eastAsiaTheme="minorEastAsia"/>
          <w:noProof/>
          <w:lang w:eastAsia="en-GB"/>
        </w:rPr>
        <w:tab/>
      </w:r>
      <w:r>
        <w:rPr>
          <w:rFonts w:ascii="Times New Roman" w:hAnsi="Times New Roman" w:cs="Times New Roman"/>
          <w:noProof/>
        </w:rPr>
        <w:t>Involvement of national courts</w:t>
      </w:r>
      <w:r>
        <w:rPr>
          <w:noProof/>
        </w:rPr>
        <w:tab/>
      </w:r>
      <w:r>
        <w:rPr>
          <w:noProof/>
        </w:rPr>
        <w:fldChar w:fldCharType="begin"/>
      </w:r>
      <w:r>
        <w:rPr>
          <w:noProof/>
        </w:rPr>
        <w:instrText xml:space="preserve"> PAGEREF _Toc463280373 \h </w:instrText>
      </w:r>
      <w:r>
        <w:rPr>
          <w:noProof/>
        </w:rPr>
      </w:r>
      <w:r>
        <w:rPr>
          <w:noProof/>
        </w:rPr>
        <w:fldChar w:fldCharType="separate"/>
      </w:r>
      <w:r>
        <w:rPr>
          <w:noProof/>
        </w:rPr>
        <w:t>133</w:t>
      </w:r>
      <w:r>
        <w:rPr>
          <w:noProof/>
        </w:rPr>
        <w:fldChar w:fldCharType="end"/>
      </w:r>
    </w:p>
    <w:p w:rsidR="00B32D69" w:rsidRDefault="00FB661A">
      <w:pPr>
        <w:pStyle w:val="TOC3"/>
        <w:tabs>
          <w:tab w:val="left" w:pos="1100"/>
          <w:tab w:val="right" w:leader="dot" w:pos="9062"/>
        </w:tabs>
        <w:rPr>
          <w:rFonts w:eastAsiaTheme="minorEastAsia"/>
          <w:noProof/>
          <w:lang w:eastAsia="en-GB"/>
        </w:rPr>
      </w:pPr>
      <w:r>
        <w:rPr>
          <w:rFonts w:ascii="Times New Roman" w:hAnsi="Times New Roman" w:cs="Times New Roman"/>
          <w:noProof/>
        </w:rPr>
        <w:t>2.7.3.</w:t>
      </w:r>
      <w:r>
        <w:rPr>
          <w:rFonts w:eastAsiaTheme="minorEastAsia"/>
          <w:noProof/>
          <w:lang w:eastAsia="en-GB"/>
        </w:rPr>
        <w:tab/>
      </w:r>
      <w:r>
        <w:rPr>
          <w:rFonts w:ascii="Times New Roman" w:hAnsi="Times New Roman" w:cs="Times New Roman"/>
          <w:noProof/>
        </w:rPr>
        <w:t>Publicity related to proceedings</w:t>
      </w:r>
      <w:r>
        <w:rPr>
          <w:noProof/>
        </w:rPr>
        <w:tab/>
      </w:r>
      <w:r>
        <w:rPr>
          <w:noProof/>
        </w:rPr>
        <w:fldChar w:fldCharType="begin"/>
      </w:r>
      <w:r>
        <w:rPr>
          <w:noProof/>
        </w:rPr>
        <w:instrText xml:space="preserve"> PAGEREF _Toc463280374 \h </w:instrText>
      </w:r>
      <w:r>
        <w:rPr>
          <w:noProof/>
        </w:rPr>
      </w:r>
      <w:r>
        <w:rPr>
          <w:noProof/>
        </w:rPr>
        <w:fldChar w:fldCharType="separate"/>
      </w:r>
      <w:r>
        <w:rPr>
          <w:noProof/>
        </w:rPr>
        <w:t>134</w:t>
      </w:r>
      <w:r>
        <w:rPr>
          <w:noProof/>
        </w:rPr>
        <w:fldChar w:fldCharType="end"/>
      </w:r>
    </w:p>
    <w:p w:rsidR="00B32D69" w:rsidRDefault="00FB661A">
      <w:pPr>
        <w:pStyle w:val="TOC3"/>
        <w:tabs>
          <w:tab w:val="left" w:pos="1100"/>
          <w:tab w:val="right" w:leader="dot" w:pos="9062"/>
        </w:tabs>
        <w:rPr>
          <w:rFonts w:eastAsiaTheme="minorEastAsia"/>
          <w:noProof/>
          <w:lang w:eastAsia="en-GB"/>
        </w:rPr>
      </w:pPr>
      <w:r>
        <w:rPr>
          <w:rFonts w:ascii="Times New Roman" w:hAnsi="Times New Roman" w:cs="Times New Roman"/>
          <w:noProof/>
        </w:rPr>
        <w:t>2.7.4.</w:t>
      </w:r>
      <w:r>
        <w:rPr>
          <w:rFonts w:eastAsiaTheme="minorEastAsia"/>
          <w:noProof/>
          <w:lang w:eastAsia="en-GB"/>
        </w:rPr>
        <w:tab/>
      </w:r>
      <w:r>
        <w:rPr>
          <w:rFonts w:ascii="Times New Roman" w:hAnsi="Times New Roman" w:cs="Times New Roman"/>
          <w:noProof/>
        </w:rPr>
        <w:t>'Debtor-in-possession arrangements’</w:t>
      </w:r>
      <w:r>
        <w:rPr>
          <w:noProof/>
        </w:rPr>
        <w:tab/>
      </w:r>
      <w:r>
        <w:rPr>
          <w:noProof/>
        </w:rPr>
        <w:fldChar w:fldCharType="begin"/>
      </w:r>
      <w:r>
        <w:rPr>
          <w:noProof/>
        </w:rPr>
        <w:instrText xml:space="preserve"> PAGEREF _Toc463280376 \h </w:instrText>
      </w:r>
      <w:r>
        <w:rPr>
          <w:noProof/>
        </w:rPr>
      </w:r>
      <w:r>
        <w:rPr>
          <w:noProof/>
        </w:rPr>
        <w:fldChar w:fldCharType="separate"/>
      </w:r>
      <w:r>
        <w:rPr>
          <w:noProof/>
        </w:rPr>
        <w:t>134</w:t>
      </w:r>
      <w:r>
        <w:rPr>
          <w:noProof/>
        </w:rPr>
        <w:fldChar w:fldCharType="end"/>
      </w:r>
    </w:p>
    <w:p w:rsidR="00B32D69" w:rsidRDefault="00FB661A">
      <w:pPr>
        <w:pStyle w:val="TOC3"/>
        <w:tabs>
          <w:tab w:val="left" w:pos="1100"/>
          <w:tab w:val="right" w:leader="dot" w:pos="9062"/>
        </w:tabs>
        <w:rPr>
          <w:rFonts w:eastAsiaTheme="minorEastAsia"/>
          <w:noProof/>
          <w:lang w:eastAsia="en-GB"/>
        </w:rPr>
      </w:pPr>
      <w:r>
        <w:rPr>
          <w:rFonts w:ascii="Times New Roman" w:hAnsi="Times New Roman" w:cs="Times New Roman"/>
          <w:noProof/>
        </w:rPr>
        <w:t>2.7.5.</w:t>
      </w:r>
      <w:r>
        <w:rPr>
          <w:rFonts w:eastAsiaTheme="minorEastAsia"/>
          <w:noProof/>
          <w:lang w:eastAsia="en-GB"/>
        </w:rPr>
        <w:tab/>
      </w:r>
      <w:r>
        <w:rPr>
          <w:rFonts w:ascii="Times New Roman" w:hAnsi="Times New Roman" w:cs="Times New Roman"/>
          <w:noProof/>
        </w:rPr>
        <w:t>Enforcement actions – stay and its duration</w:t>
      </w:r>
      <w:r>
        <w:rPr>
          <w:noProof/>
        </w:rPr>
        <w:tab/>
      </w:r>
      <w:r>
        <w:rPr>
          <w:noProof/>
        </w:rPr>
        <w:fldChar w:fldCharType="begin"/>
      </w:r>
      <w:r>
        <w:rPr>
          <w:noProof/>
        </w:rPr>
        <w:instrText xml:space="preserve"> PAGEREF _Toc463280377 \h </w:instrText>
      </w:r>
      <w:r>
        <w:rPr>
          <w:noProof/>
        </w:rPr>
      </w:r>
      <w:r>
        <w:rPr>
          <w:noProof/>
        </w:rPr>
        <w:fldChar w:fldCharType="separate"/>
      </w:r>
      <w:r>
        <w:rPr>
          <w:noProof/>
        </w:rPr>
        <w:t>136</w:t>
      </w:r>
      <w:r>
        <w:rPr>
          <w:noProof/>
        </w:rPr>
        <w:fldChar w:fldCharType="end"/>
      </w:r>
    </w:p>
    <w:p w:rsidR="00B32D69" w:rsidRDefault="00FB661A">
      <w:pPr>
        <w:pStyle w:val="TOC3"/>
        <w:tabs>
          <w:tab w:val="left" w:pos="1100"/>
          <w:tab w:val="right" w:leader="dot" w:pos="9062"/>
        </w:tabs>
        <w:rPr>
          <w:rFonts w:eastAsiaTheme="minorEastAsia"/>
          <w:noProof/>
          <w:lang w:eastAsia="en-GB"/>
        </w:rPr>
      </w:pPr>
      <w:r>
        <w:rPr>
          <w:rFonts w:ascii="Times New Roman" w:hAnsi="Times New Roman" w:cs="Times New Roman"/>
          <w:noProof/>
        </w:rPr>
        <w:t>2.7.6.</w:t>
      </w:r>
      <w:r>
        <w:rPr>
          <w:rFonts w:eastAsiaTheme="minorEastAsia"/>
          <w:noProof/>
          <w:lang w:eastAsia="en-GB"/>
        </w:rPr>
        <w:tab/>
      </w:r>
      <w:r>
        <w:rPr>
          <w:rFonts w:ascii="Times New Roman" w:hAnsi="Times New Roman" w:cs="Times New Roman"/>
          <w:noProof/>
        </w:rPr>
        <w:t>Creditors' rights - ‘cross-class cra</w:t>
      </w:r>
      <w:r>
        <w:rPr>
          <w:rFonts w:ascii="Times New Roman" w:hAnsi="Times New Roman" w:cs="Times New Roman"/>
          <w:noProof/>
        </w:rPr>
        <w:t>m down’ (i.e. the confirmation of the restructuring plan supported by some classes of creditors in spite of the objections of some other classes of creditors)</w:t>
      </w:r>
      <w:r>
        <w:rPr>
          <w:noProof/>
        </w:rPr>
        <w:tab/>
      </w:r>
      <w:r>
        <w:rPr>
          <w:noProof/>
        </w:rPr>
        <w:fldChar w:fldCharType="begin"/>
      </w:r>
      <w:r>
        <w:rPr>
          <w:noProof/>
        </w:rPr>
        <w:instrText xml:space="preserve"> PAGEREF _Toc463280378 \h </w:instrText>
      </w:r>
      <w:r>
        <w:rPr>
          <w:noProof/>
        </w:rPr>
      </w:r>
      <w:r>
        <w:rPr>
          <w:noProof/>
        </w:rPr>
        <w:fldChar w:fldCharType="separate"/>
      </w:r>
      <w:r>
        <w:rPr>
          <w:noProof/>
        </w:rPr>
        <w:t>138</w:t>
      </w:r>
      <w:r>
        <w:rPr>
          <w:noProof/>
        </w:rPr>
        <w:fldChar w:fldCharType="end"/>
      </w:r>
    </w:p>
    <w:p w:rsidR="00B32D69" w:rsidRDefault="00FB661A">
      <w:pPr>
        <w:pStyle w:val="TOC3"/>
        <w:tabs>
          <w:tab w:val="left" w:pos="1100"/>
          <w:tab w:val="right" w:leader="dot" w:pos="9062"/>
        </w:tabs>
        <w:rPr>
          <w:rFonts w:eastAsiaTheme="minorEastAsia"/>
          <w:noProof/>
          <w:lang w:eastAsia="en-GB"/>
        </w:rPr>
      </w:pPr>
      <w:r>
        <w:rPr>
          <w:rFonts w:ascii="Times New Roman" w:hAnsi="Times New Roman" w:cs="Times New Roman"/>
          <w:noProof/>
        </w:rPr>
        <w:t>2.7.7.</w:t>
      </w:r>
      <w:r>
        <w:rPr>
          <w:rFonts w:eastAsiaTheme="minorEastAsia"/>
          <w:noProof/>
          <w:lang w:eastAsia="en-GB"/>
        </w:rPr>
        <w:tab/>
      </w:r>
      <w:r>
        <w:rPr>
          <w:rFonts w:ascii="Times New Roman" w:hAnsi="Times New Roman" w:cs="Times New Roman"/>
          <w:noProof/>
        </w:rPr>
        <w:t>Protection of new financing</w:t>
      </w:r>
      <w:r>
        <w:rPr>
          <w:noProof/>
        </w:rPr>
        <w:tab/>
      </w:r>
      <w:r>
        <w:rPr>
          <w:noProof/>
        </w:rPr>
        <w:fldChar w:fldCharType="begin"/>
      </w:r>
      <w:r>
        <w:rPr>
          <w:noProof/>
        </w:rPr>
        <w:instrText xml:space="preserve"> PAGEREF _Toc463280379 \h </w:instrText>
      </w:r>
      <w:r>
        <w:rPr>
          <w:noProof/>
        </w:rPr>
      </w:r>
      <w:r>
        <w:rPr>
          <w:noProof/>
        </w:rPr>
        <w:fldChar w:fldCharType="separate"/>
      </w:r>
      <w:r>
        <w:rPr>
          <w:noProof/>
        </w:rPr>
        <w:t>139</w:t>
      </w:r>
      <w:r>
        <w:rPr>
          <w:noProof/>
        </w:rPr>
        <w:fldChar w:fldCharType="end"/>
      </w:r>
    </w:p>
    <w:p w:rsidR="00B32D69" w:rsidRDefault="00FB661A">
      <w:pPr>
        <w:pStyle w:val="TOC3"/>
        <w:tabs>
          <w:tab w:val="left" w:pos="1100"/>
          <w:tab w:val="right" w:leader="dot" w:pos="9062"/>
        </w:tabs>
        <w:rPr>
          <w:rFonts w:eastAsiaTheme="minorEastAsia"/>
          <w:noProof/>
          <w:lang w:eastAsia="en-GB"/>
        </w:rPr>
      </w:pPr>
      <w:r>
        <w:rPr>
          <w:rFonts w:ascii="Times New Roman" w:hAnsi="Times New Roman" w:cs="Times New Roman"/>
          <w:noProof/>
        </w:rPr>
        <w:t>2.7.8.</w:t>
      </w:r>
      <w:r>
        <w:rPr>
          <w:rFonts w:eastAsiaTheme="minorEastAsia"/>
          <w:noProof/>
          <w:lang w:eastAsia="en-GB"/>
        </w:rPr>
        <w:tab/>
      </w:r>
      <w:r>
        <w:rPr>
          <w:rFonts w:ascii="Times New Roman" w:hAnsi="Times New Roman" w:cs="Times New Roman"/>
          <w:noProof/>
        </w:rPr>
        <w:t>Role of directors in preventing insolvencies</w:t>
      </w:r>
      <w:r>
        <w:rPr>
          <w:noProof/>
        </w:rPr>
        <w:tab/>
      </w:r>
      <w:r>
        <w:rPr>
          <w:noProof/>
        </w:rPr>
        <w:fldChar w:fldCharType="begin"/>
      </w:r>
      <w:r>
        <w:rPr>
          <w:noProof/>
        </w:rPr>
        <w:instrText xml:space="preserve"> PAGEREF _Toc463280380 \h </w:instrText>
      </w:r>
      <w:r>
        <w:rPr>
          <w:noProof/>
        </w:rPr>
      </w:r>
      <w:r>
        <w:rPr>
          <w:noProof/>
        </w:rPr>
        <w:fldChar w:fldCharType="separate"/>
      </w:r>
      <w:r>
        <w:rPr>
          <w:noProof/>
        </w:rPr>
        <w:t>140</w:t>
      </w:r>
      <w:r>
        <w:rPr>
          <w:noProof/>
        </w:rPr>
        <w:fldChar w:fldCharType="end"/>
      </w:r>
    </w:p>
    <w:p w:rsidR="00B32D69" w:rsidRDefault="00FB661A">
      <w:pPr>
        <w:pStyle w:val="TOC3"/>
        <w:tabs>
          <w:tab w:val="left" w:pos="1100"/>
          <w:tab w:val="right" w:leader="dot" w:pos="9062"/>
        </w:tabs>
        <w:rPr>
          <w:rFonts w:eastAsiaTheme="minorEastAsia"/>
          <w:noProof/>
          <w:lang w:eastAsia="en-GB"/>
        </w:rPr>
      </w:pPr>
      <w:r>
        <w:rPr>
          <w:rFonts w:ascii="Times New Roman" w:hAnsi="Times New Roman" w:cs="Times New Roman"/>
          <w:noProof/>
        </w:rPr>
        <w:t>2.7.9.</w:t>
      </w:r>
      <w:r>
        <w:rPr>
          <w:rFonts w:eastAsiaTheme="minorEastAsia"/>
          <w:noProof/>
          <w:lang w:eastAsia="en-GB"/>
        </w:rPr>
        <w:tab/>
      </w:r>
      <w:r>
        <w:rPr>
          <w:rFonts w:ascii="Times New Roman" w:hAnsi="Times New Roman" w:cs="Times New Roman"/>
          <w:noProof/>
        </w:rPr>
        <w:t>Role of Member States in preventing insolvencies</w:t>
      </w:r>
      <w:r>
        <w:rPr>
          <w:noProof/>
        </w:rPr>
        <w:tab/>
      </w:r>
      <w:r>
        <w:rPr>
          <w:noProof/>
        </w:rPr>
        <w:fldChar w:fldCharType="begin"/>
      </w:r>
      <w:r>
        <w:rPr>
          <w:noProof/>
        </w:rPr>
        <w:instrText xml:space="preserve"> PAGEREF _Toc463280381 \h </w:instrText>
      </w:r>
      <w:r>
        <w:rPr>
          <w:noProof/>
        </w:rPr>
      </w:r>
      <w:r>
        <w:rPr>
          <w:noProof/>
        </w:rPr>
        <w:fldChar w:fldCharType="separate"/>
      </w:r>
      <w:r>
        <w:rPr>
          <w:noProof/>
        </w:rPr>
        <w:t>141</w:t>
      </w:r>
      <w:r>
        <w:rPr>
          <w:noProof/>
        </w:rPr>
        <w:fldChar w:fldCharType="end"/>
      </w:r>
    </w:p>
    <w:p w:rsidR="00B32D69" w:rsidRDefault="00FB661A">
      <w:pPr>
        <w:pStyle w:val="TOC3"/>
        <w:tabs>
          <w:tab w:val="left" w:pos="1100"/>
          <w:tab w:val="right" w:leader="dot" w:pos="9062"/>
        </w:tabs>
        <w:rPr>
          <w:rFonts w:eastAsiaTheme="minorEastAsia"/>
          <w:noProof/>
          <w:lang w:eastAsia="en-GB"/>
        </w:rPr>
      </w:pPr>
      <w:r>
        <w:rPr>
          <w:rFonts w:ascii="Times New Roman" w:hAnsi="Times New Roman" w:cs="Times New Roman"/>
          <w:noProof/>
        </w:rPr>
        <w:t>2.7.10.</w:t>
      </w:r>
      <w:r>
        <w:rPr>
          <w:rFonts w:eastAsiaTheme="minorEastAsia"/>
          <w:noProof/>
          <w:lang w:eastAsia="en-GB"/>
        </w:rPr>
        <w:tab/>
      </w:r>
      <w:r>
        <w:rPr>
          <w:rFonts w:ascii="Times New Roman" w:hAnsi="Times New Roman" w:cs="Times New Roman"/>
          <w:noProof/>
        </w:rPr>
        <w:t>Avoidance actions</w:t>
      </w:r>
      <w:r>
        <w:rPr>
          <w:noProof/>
        </w:rPr>
        <w:tab/>
      </w:r>
      <w:r>
        <w:rPr>
          <w:noProof/>
        </w:rPr>
        <w:fldChar w:fldCharType="begin"/>
      </w:r>
      <w:r>
        <w:rPr>
          <w:noProof/>
        </w:rPr>
        <w:instrText xml:space="preserve"> PAGEREF _Toc463280382 \h </w:instrText>
      </w:r>
      <w:r>
        <w:rPr>
          <w:noProof/>
        </w:rPr>
      </w:r>
      <w:r>
        <w:rPr>
          <w:noProof/>
        </w:rPr>
        <w:fldChar w:fldCharType="separate"/>
      </w:r>
      <w:r>
        <w:rPr>
          <w:noProof/>
        </w:rPr>
        <w:t>141</w:t>
      </w:r>
      <w:r>
        <w:rPr>
          <w:noProof/>
        </w:rPr>
        <w:fldChar w:fldCharType="end"/>
      </w:r>
    </w:p>
    <w:p w:rsidR="00B32D69" w:rsidRDefault="00FB661A">
      <w:pPr>
        <w:pStyle w:val="TOC3"/>
        <w:tabs>
          <w:tab w:val="left" w:pos="1100"/>
          <w:tab w:val="right" w:leader="dot" w:pos="9062"/>
        </w:tabs>
        <w:rPr>
          <w:rFonts w:eastAsiaTheme="minorEastAsia"/>
          <w:noProof/>
          <w:lang w:eastAsia="en-GB"/>
        </w:rPr>
      </w:pPr>
      <w:r>
        <w:rPr>
          <w:rFonts w:ascii="Times New Roman" w:hAnsi="Times New Roman" w:cs="Times New Roman"/>
          <w:noProof/>
        </w:rPr>
        <w:t>2.7.11.</w:t>
      </w:r>
      <w:r>
        <w:rPr>
          <w:rFonts w:eastAsiaTheme="minorEastAsia"/>
          <w:noProof/>
          <w:lang w:eastAsia="en-GB"/>
        </w:rPr>
        <w:tab/>
      </w:r>
      <w:r>
        <w:rPr>
          <w:rFonts w:ascii="Times New Roman" w:hAnsi="Times New Roman" w:cs="Times New Roman"/>
          <w:noProof/>
        </w:rPr>
        <w:t>Insolvency practitioners</w:t>
      </w:r>
      <w:r>
        <w:rPr>
          <w:noProof/>
        </w:rPr>
        <w:tab/>
      </w:r>
      <w:r>
        <w:rPr>
          <w:noProof/>
        </w:rPr>
        <w:fldChar w:fldCharType="begin"/>
      </w:r>
      <w:r>
        <w:rPr>
          <w:noProof/>
        </w:rPr>
        <w:instrText xml:space="preserve"> PAGEREF _Toc463280383 \h </w:instrText>
      </w:r>
      <w:r>
        <w:rPr>
          <w:noProof/>
        </w:rPr>
      </w:r>
      <w:r>
        <w:rPr>
          <w:noProof/>
        </w:rPr>
        <w:fldChar w:fldCharType="separate"/>
      </w:r>
      <w:r>
        <w:rPr>
          <w:noProof/>
        </w:rPr>
        <w:t>142</w:t>
      </w:r>
      <w:r>
        <w:rPr>
          <w:noProof/>
        </w:rPr>
        <w:fldChar w:fldCharType="end"/>
      </w:r>
    </w:p>
    <w:p w:rsidR="00B32D69" w:rsidRDefault="00FB661A">
      <w:pPr>
        <w:pStyle w:val="TOC2"/>
        <w:tabs>
          <w:tab w:val="left" w:pos="660"/>
        </w:tabs>
        <w:rPr>
          <w:rFonts w:eastAsiaTheme="minorEastAsia"/>
          <w:b w:val="0"/>
          <w:lang w:eastAsia="en-GB"/>
        </w:rPr>
      </w:pPr>
      <w:r>
        <w:rPr>
          <w:lang w:val="en-US"/>
        </w:rPr>
        <w:t>2.8.</w:t>
      </w:r>
      <w:r>
        <w:rPr>
          <w:rFonts w:eastAsiaTheme="minorEastAsia"/>
          <w:b w:val="0"/>
          <w:lang w:eastAsia="en-GB"/>
        </w:rPr>
        <w:tab/>
      </w:r>
      <w:r>
        <w:rPr>
          <w:lang w:val="en-US"/>
        </w:rPr>
        <w:t>Second chance – debt discharge for natural persons</w:t>
      </w:r>
      <w:r>
        <w:tab/>
      </w:r>
      <w:r>
        <w:fldChar w:fldCharType="begin"/>
      </w:r>
      <w:r>
        <w:instrText xml:space="preserve"> PAGE</w:instrText>
      </w:r>
      <w:r>
        <w:instrText xml:space="preserve">REF _Toc463280389 \h </w:instrText>
      </w:r>
      <w:r>
        <w:fldChar w:fldCharType="separate"/>
      </w:r>
      <w:r>
        <w:t>143</w:t>
      </w:r>
      <w:r>
        <w:fldChar w:fldCharType="end"/>
      </w:r>
    </w:p>
    <w:p w:rsidR="00B32D69" w:rsidRDefault="00FB661A">
      <w:pPr>
        <w:pStyle w:val="TOC3"/>
        <w:tabs>
          <w:tab w:val="left" w:pos="1100"/>
          <w:tab w:val="right" w:leader="dot" w:pos="9062"/>
        </w:tabs>
        <w:rPr>
          <w:rFonts w:eastAsiaTheme="minorEastAsia"/>
          <w:noProof/>
          <w:lang w:eastAsia="en-GB"/>
        </w:rPr>
      </w:pPr>
      <w:r>
        <w:rPr>
          <w:rFonts w:ascii="Times New Roman" w:hAnsi="Times New Roman" w:cs="Times New Roman"/>
          <w:noProof/>
        </w:rPr>
        <w:t>2.8.1.</w:t>
      </w:r>
      <w:r>
        <w:rPr>
          <w:rFonts w:eastAsiaTheme="minorEastAsia"/>
          <w:noProof/>
          <w:lang w:eastAsia="en-GB"/>
        </w:rPr>
        <w:tab/>
      </w:r>
      <w:r>
        <w:rPr>
          <w:rFonts w:ascii="Times New Roman" w:hAnsi="Times New Roman" w:cs="Times New Roman"/>
          <w:noProof/>
        </w:rPr>
        <w:t>General considerations</w:t>
      </w:r>
      <w:r>
        <w:rPr>
          <w:noProof/>
        </w:rPr>
        <w:tab/>
      </w:r>
      <w:r>
        <w:rPr>
          <w:noProof/>
        </w:rPr>
        <w:fldChar w:fldCharType="begin"/>
      </w:r>
      <w:r>
        <w:rPr>
          <w:noProof/>
        </w:rPr>
        <w:instrText xml:space="preserve"> PAGEREF _Toc463280390 \h </w:instrText>
      </w:r>
      <w:r>
        <w:rPr>
          <w:noProof/>
        </w:rPr>
      </w:r>
      <w:r>
        <w:rPr>
          <w:noProof/>
        </w:rPr>
        <w:fldChar w:fldCharType="separate"/>
      </w:r>
      <w:r>
        <w:rPr>
          <w:noProof/>
        </w:rPr>
        <w:t>144</w:t>
      </w:r>
      <w:r>
        <w:rPr>
          <w:noProof/>
        </w:rPr>
        <w:fldChar w:fldCharType="end"/>
      </w:r>
    </w:p>
    <w:p w:rsidR="00B32D69" w:rsidRDefault="00FB661A">
      <w:pPr>
        <w:pStyle w:val="TOC3"/>
        <w:tabs>
          <w:tab w:val="left" w:pos="1100"/>
          <w:tab w:val="right" w:leader="dot" w:pos="9062"/>
        </w:tabs>
        <w:rPr>
          <w:rFonts w:eastAsiaTheme="minorEastAsia"/>
          <w:noProof/>
          <w:lang w:eastAsia="en-GB"/>
        </w:rPr>
      </w:pPr>
      <w:r>
        <w:rPr>
          <w:rFonts w:ascii="Times New Roman" w:hAnsi="Times New Roman" w:cs="Times New Roman"/>
          <w:noProof/>
        </w:rPr>
        <w:t>2.8.2.</w:t>
      </w:r>
      <w:r>
        <w:rPr>
          <w:rFonts w:eastAsiaTheme="minorEastAsia"/>
          <w:noProof/>
          <w:lang w:eastAsia="en-GB"/>
        </w:rPr>
        <w:tab/>
      </w:r>
      <w:r>
        <w:rPr>
          <w:rFonts w:ascii="Times New Roman" w:hAnsi="Times New Roman" w:cs="Times New Roman"/>
          <w:noProof/>
        </w:rPr>
        <w:t xml:space="preserve">Affectation of the Internal </w:t>
      </w:r>
      <w:r>
        <w:rPr>
          <w:rFonts w:ascii="Times New Roman" w:hAnsi="Times New Roman" w:cs="Times New Roman"/>
          <w:noProof/>
        </w:rPr>
        <w:t>Market</w:t>
      </w:r>
      <w:r>
        <w:rPr>
          <w:noProof/>
        </w:rPr>
        <w:tab/>
      </w:r>
      <w:r>
        <w:rPr>
          <w:noProof/>
        </w:rPr>
        <w:fldChar w:fldCharType="begin"/>
      </w:r>
      <w:r>
        <w:rPr>
          <w:noProof/>
        </w:rPr>
        <w:instrText xml:space="preserve"> PAGEREF _Toc463280391 \h </w:instrText>
      </w:r>
      <w:r>
        <w:rPr>
          <w:noProof/>
        </w:rPr>
      </w:r>
      <w:r>
        <w:rPr>
          <w:noProof/>
        </w:rPr>
        <w:fldChar w:fldCharType="separate"/>
      </w:r>
      <w:r>
        <w:rPr>
          <w:noProof/>
        </w:rPr>
        <w:t>145</w:t>
      </w:r>
      <w:r>
        <w:rPr>
          <w:noProof/>
        </w:rPr>
        <w:fldChar w:fldCharType="end"/>
      </w:r>
    </w:p>
    <w:p w:rsidR="00B32D69" w:rsidRDefault="00FB661A">
      <w:pPr>
        <w:pStyle w:val="TOC3"/>
        <w:tabs>
          <w:tab w:val="left" w:pos="1100"/>
          <w:tab w:val="right" w:leader="dot" w:pos="9062"/>
        </w:tabs>
        <w:rPr>
          <w:rFonts w:eastAsiaTheme="minorEastAsia"/>
          <w:noProof/>
          <w:lang w:eastAsia="en-GB"/>
        </w:rPr>
      </w:pPr>
      <w:r>
        <w:rPr>
          <w:rFonts w:ascii="Times New Roman" w:hAnsi="Times New Roman" w:cs="Times New Roman"/>
          <w:noProof/>
        </w:rPr>
        <w:t>2.8.3.</w:t>
      </w:r>
      <w:r>
        <w:rPr>
          <w:rFonts w:eastAsiaTheme="minorEastAsia"/>
          <w:noProof/>
          <w:lang w:eastAsia="en-GB"/>
        </w:rPr>
        <w:tab/>
      </w:r>
      <w:r>
        <w:rPr>
          <w:rFonts w:ascii="Times New Roman" w:hAnsi="Times New Roman" w:cs="Times New Roman"/>
          <w:noProof/>
        </w:rPr>
        <w:t>Advice to debtors</w:t>
      </w:r>
      <w:r>
        <w:rPr>
          <w:noProof/>
        </w:rPr>
        <w:tab/>
      </w:r>
      <w:r>
        <w:rPr>
          <w:noProof/>
        </w:rPr>
        <w:fldChar w:fldCharType="begin"/>
      </w:r>
      <w:r>
        <w:rPr>
          <w:noProof/>
        </w:rPr>
        <w:instrText xml:space="preserve"> PAGEREF _Toc463280392 \h </w:instrText>
      </w:r>
      <w:r>
        <w:rPr>
          <w:noProof/>
        </w:rPr>
      </w:r>
      <w:r>
        <w:rPr>
          <w:noProof/>
        </w:rPr>
        <w:fldChar w:fldCharType="separate"/>
      </w:r>
      <w:r>
        <w:rPr>
          <w:noProof/>
        </w:rPr>
        <w:t>145</w:t>
      </w:r>
      <w:r>
        <w:rPr>
          <w:noProof/>
        </w:rPr>
        <w:fldChar w:fldCharType="end"/>
      </w:r>
    </w:p>
    <w:p w:rsidR="00B32D69" w:rsidRDefault="00FB661A">
      <w:pPr>
        <w:pStyle w:val="TOC3"/>
        <w:tabs>
          <w:tab w:val="left" w:pos="1100"/>
          <w:tab w:val="right" w:leader="dot" w:pos="9062"/>
        </w:tabs>
        <w:rPr>
          <w:rFonts w:eastAsiaTheme="minorEastAsia"/>
          <w:noProof/>
          <w:lang w:eastAsia="en-GB"/>
        </w:rPr>
      </w:pPr>
      <w:r>
        <w:rPr>
          <w:rFonts w:ascii="Times New Roman" w:hAnsi="Times New Roman" w:cs="Times New Roman"/>
          <w:noProof/>
        </w:rPr>
        <w:t>2.8.4.</w:t>
      </w:r>
      <w:r>
        <w:rPr>
          <w:rFonts w:eastAsiaTheme="minorEastAsia"/>
          <w:noProof/>
          <w:lang w:eastAsia="en-GB"/>
        </w:rPr>
        <w:tab/>
      </w:r>
      <w:r>
        <w:rPr>
          <w:rFonts w:ascii="Times New Roman" w:hAnsi="Times New Roman" w:cs="Times New Roman"/>
          <w:noProof/>
        </w:rPr>
        <w:t>Discharge of debts</w:t>
      </w:r>
      <w:r>
        <w:rPr>
          <w:noProof/>
        </w:rPr>
        <w:tab/>
      </w:r>
      <w:r>
        <w:rPr>
          <w:noProof/>
        </w:rPr>
        <w:fldChar w:fldCharType="begin"/>
      </w:r>
      <w:r>
        <w:rPr>
          <w:noProof/>
        </w:rPr>
        <w:instrText xml:space="preserve"> PAGEREF _Toc463280393 \h </w:instrText>
      </w:r>
      <w:r>
        <w:rPr>
          <w:noProof/>
        </w:rPr>
      </w:r>
      <w:r>
        <w:rPr>
          <w:noProof/>
        </w:rPr>
        <w:fldChar w:fldCharType="separate"/>
      </w:r>
      <w:r>
        <w:rPr>
          <w:noProof/>
        </w:rPr>
        <w:t>146</w:t>
      </w:r>
      <w:r>
        <w:rPr>
          <w:noProof/>
        </w:rPr>
        <w:fldChar w:fldCharType="end"/>
      </w:r>
    </w:p>
    <w:p w:rsidR="00B32D69" w:rsidRDefault="00FB661A">
      <w:pPr>
        <w:pStyle w:val="TOC4"/>
        <w:tabs>
          <w:tab w:val="clear" w:pos="9071"/>
          <w:tab w:val="left" w:pos="1320"/>
          <w:tab w:val="right" w:leader="dot" w:pos="9062"/>
        </w:tabs>
        <w:rPr>
          <w:rFonts w:eastAsiaTheme="minorEastAsia"/>
          <w:noProof/>
          <w:sz w:val="22"/>
          <w:szCs w:val="22"/>
          <w:lang w:eastAsia="en-GB"/>
        </w:rPr>
      </w:pPr>
      <w:r>
        <w:rPr>
          <w:noProof/>
        </w:rPr>
        <w:t>2.8.4.1.</w:t>
      </w:r>
      <w:r>
        <w:rPr>
          <w:rFonts w:eastAsiaTheme="minorEastAsia"/>
          <w:noProof/>
          <w:sz w:val="22"/>
          <w:szCs w:val="22"/>
          <w:lang w:eastAsia="en-GB"/>
        </w:rPr>
        <w:tab/>
      </w:r>
      <w:r>
        <w:rPr>
          <w:noProof/>
        </w:rPr>
        <w:t>Entry conditions for the discharge procedure</w:t>
      </w:r>
      <w:r>
        <w:rPr>
          <w:noProof/>
        </w:rPr>
        <w:tab/>
      </w:r>
      <w:r>
        <w:rPr>
          <w:noProof/>
        </w:rPr>
        <w:fldChar w:fldCharType="begin"/>
      </w:r>
      <w:r>
        <w:rPr>
          <w:noProof/>
        </w:rPr>
        <w:instrText xml:space="preserve"> PAGEREF _Toc463280394 \h </w:instrText>
      </w:r>
      <w:r>
        <w:rPr>
          <w:noProof/>
        </w:rPr>
      </w:r>
      <w:r>
        <w:rPr>
          <w:noProof/>
        </w:rPr>
        <w:fldChar w:fldCharType="separate"/>
      </w:r>
      <w:r>
        <w:rPr>
          <w:noProof/>
        </w:rPr>
        <w:t>147</w:t>
      </w:r>
      <w:r>
        <w:rPr>
          <w:noProof/>
        </w:rPr>
        <w:fldChar w:fldCharType="end"/>
      </w:r>
    </w:p>
    <w:p w:rsidR="00B32D69" w:rsidRDefault="00FB661A">
      <w:pPr>
        <w:pStyle w:val="TOC4"/>
        <w:tabs>
          <w:tab w:val="clear" w:pos="9071"/>
          <w:tab w:val="left" w:pos="1320"/>
          <w:tab w:val="right" w:leader="dot" w:pos="9062"/>
        </w:tabs>
        <w:rPr>
          <w:rFonts w:eastAsiaTheme="minorEastAsia"/>
          <w:noProof/>
          <w:sz w:val="22"/>
          <w:szCs w:val="22"/>
          <w:lang w:eastAsia="en-GB"/>
        </w:rPr>
      </w:pPr>
      <w:r>
        <w:rPr>
          <w:noProof/>
        </w:rPr>
        <w:t>2.8.4.2</w:t>
      </w:r>
      <w:r>
        <w:rPr>
          <w:noProof/>
        </w:rPr>
        <w:t>.</w:t>
      </w:r>
      <w:r>
        <w:rPr>
          <w:rFonts w:eastAsiaTheme="minorEastAsia"/>
          <w:noProof/>
          <w:sz w:val="22"/>
          <w:szCs w:val="22"/>
          <w:lang w:eastAsia="en-GB"/>
        </w:rPr>
        <w:tab/>
      </w:r>
      <w:r>
        <w:rPr>
          <w:noProof/>
        </w:rPr>
        <w:t>Discharge period</w:t>
      </w:r>
      <w:r>
        <w:rPr>
          <w:noProof/>
        </w:rPr>
        <w:tab/>
      </w:r>
      <w:r>
        <w:rPr>
          <w:noProof/>
        </w:rPr>
        <w:fldChar w:fldCharType="begin"/>
      </w:r>
      <w:r>
        <w:rPr>
          <w:noProof/>
        </w:rPr>
        <w:instrText xml:space="preserve"> PAGEREF _Toc463280396 \h </w:instrText>
      </w:r>
      <w:r>
        <w:rPr>
          <w:noProof/>
        </w:rPr>
      </w:r>
      <w:r>
        <w:rPr>
          <w:noProof/>
        </w:rPr>
        <w:fldChar w:fldCharType="separate"/>
      </w:r>
      <w:r>
        <w:rPr>
          <w:noProof/>
        </w:rPr>
        <w:t>148</w:t>
      </w:r>
      <w:r>
        <w:rPr>
          <w:noProof/>
        </w:rPr>
        <w:fldChar w:fldCharType="end"/>
      </w:r>
    </w:p>
    <w:p w:rsidR="00B32D69" w:rsidRDefault="00FB661A">
      <w:pPr>
        <w:pStyle w:val="TOC4"/>
        <w:tabs>
          <w:tab w:val="clear" w:pos="9071"/>
          <w:tab w:val="left" w:pos="1320"/>
          <w:tab w:val="right" w:leader="dot" w:pos="9062"/>
        </w:tabs>
        <w:rPr>
          <w:rFonts w:eastAsiaTheme="minorEastAsia"/>
          <w:noProof/>
          <w:sz w:val="22"/>
          <w:szCs w:val="22"/>
          <w:lang w:eastAsia="en-GB"/>
        </w:rPr>
      </w:pPr>
      <w:r>
        <w:rPr>
          <w:noProof/>
        </w:rPr>
        <w:t>2.8.4.3.</w:t>
      </w:r>
      <w:r>
        <w:rPr>
          <w:rFonts w:eastAsiaTheme="minorEastAsia"/>
          <w:noProof/>
          <w:sz w:val="22"/>
          <w:szCs w:val="22"/>
          <w:lang w:eastAsia="en-GB"/>
        </w:rPr>
        <w:tab/>
      </w:r>
      <w:r>
        <w:rPr>
          <w:noProof/>
        </w:rPr>
        <w:t>Exclusion from discharge</w:t>
      </w:r>
      <w:r>
        <w:rPr>
          <w:noProof/>
        </w:rPr>
        <w:tab/>
      </w:r>
      <w:r>
        <w:rPr>
          <w:noProof/>
        </w:rPr>
        <w:fldChar w:fldCharType="begin"/>
      </w:r>
      <w:r>
        <w:rPr>
          <w:noProof/>
        </w:rPr>
        <w:instrText xml:space="preserve"> PAGEREF _Toc463280407 \h </w:instrText>
      </w:r>
      <w:r>
        <w:rPr>
          <w:noProof/>
        </w:rPr>
      </w:r>
      <w:r>
        <w:rPr>
          <w:noProof/>
        </w:rPr>
        <w:fldChar w:fldCharType="separate"/>
      </w:r>
      <w:r>
        <w:rPr>
          <w:noProof/>
        </w:rPr>
        <w:t>149</w:t>
      </w:r>
      <w:r>
        <w:rPr>
          <w:noProof/>
        </w:rPr>
        <w:fldChar w:fldCharType="end"/>
      </w:r>
    </w:p>
    <w:p w:rsidR="00B32D69" w:rsidRDefault="00FB661A">
      <w:pPr>
        <w:pStyle w:val="TOC2"/>
        <w:tabs>
          <w:tab w:val="left" w:pos="660"/>
        </w:tabs>
        <w:rPr>
          <w:rFonts w:eastAsiaTheme="minorEastAsia"/>
          <w:b w:val="0"/>
          <w:lang w:eastAsia="en-GB"/>
        </w:rPr>
      </w:pPr>
      <w:r>
        <w:t>2.9.</w:t>
      </w:r>
      <w:r>
        <w:rPr>
          <w:rFonts w:eastAsiaTheme="minorEastAsia"/>
          <w:b w:val="0"/>
          <w:lang w:eastAsia="en-GB"/>
        </w:rPr>
        <w:tab/>
      </w:r>
      <w:r>
        <w:t>Ou</w:t>
      </w:r>
      <w:r>
        <w:t>tside restructuring framework and second chance</w:t>
      </w:r>
      <w:r>
        <w:tab/>
      </w:r>
      <w:r>
        <w:fldChar w:fldCharType="begin"/>
      </w:r>
      <w:r>
        <w:instrText xml:space="preserve"> PAGEREF _Toc463280408 \h </w:instrText>
      </w:r>
      <w:r>
        <w:fldChar w:fldCharType="separate"/>
      </w:r>
      <w:r>
        <w:t>149</w:t>
      </w:r>
      <w:r>
        <w:fldChar w:fldCharType="end"/>
      </w:r>
    </w:p>
    <w:p w:rsidR="00B32D69" w:rsidRDefault="00FB661A">
      <w:pPr>
        <w:pStyle w:val="TOC3"/>
        <w:tabs>
          <w:tab w:val="right" w:leader="dot" w:pos="9062"/>
        </w:tabs>
        <w:rPr>
          <w:rFonts w:eastAsiaTheme="minorEastAsia"/>
          <w:noProof/>
          <w:lang w:eastAsia="en-GB"/>
        </w:rPr>
      </w:pPr>
      <w:r>
        <w:rPr>
          <w:rFonts w:ascii="Times New Roman" w:hAnsi="Times New Roman" w:cs="Times New Roman"/>
          <w:noProof/>
        </w:rPr>
        <w:t>2.9.1. Duration of insolvency proceedings</w:t>
      </w:r>
      <w:r>
        <w:rPr>
          <w:noProof/>
        </w:rPr>
        <w:tab/>
      </w:r>
      <w:r>
        <w:rPr>
          <w:noProof/>
        </w:rPr>
        <w:fldChar w:fldCharType="begin"/>
      </w:r>
      <w:r>
        <w:rPr>
          <w:noProof/>
        </w:rPr>
        <w:instrText xml:space="preserve"> PAGEREF _Toc463280409 \h </w:instrText>
      </w:r>
      <w:r>
        <w:rPr>
          <w:noProof/>
        </w:rPr>
      </w:r>
      <w:r>
        <w:rPr>
          <w:noProof/>
        </w:rPr>
        <w:fldChar w:fldCharType="separate"/>
      </w:r>
      <w:r>
        <w:rPr>
          <w:noProof/>
        </w:rPr>
        <w:t>150</w:t>
      </w:r>
      <w:r>
        <w:rPr>
          <w:noProof/>
        </w:rPr>
        <w:fldChar w:fldCharType="end"/>
      </w:r>
    </w:p>
    <w:p w:rsidR="00B32D69" w:rsidRDefault="00FB661A">
      <w:pPr>
        <w:pStyle w:val="TOC3"/>
        <w:tabs>
          <w:tab w:val="right" w:leader="dot" w:pos="9062"/>
        </w:tabs>
        <w:rPr>
          <w:rFonts w:eastAsiaTheme="minorEastAsia"/>
          <w:noProof/>
          <w:lang w:eastAsia="en-GB"/>
        </w:rPr>
      </w:pPr>
      <w:r>
        <w:rPr>
          <w:rFonts w:ascii="Times New Roman" w:hAnsi="Times New Roman" w:cs="Times New Roman"/>
          <w:noProof/>
        </w:rPr>
        <w:t>2.9.2. Directors' disqualification</w:t>
      </w:r>
      <w:r>
        <w:rPr>
          <w:noProof/>
        </w:rPr>
        <w:tab/>
      </w:r>
      <w:r>
        <w:rPr>
          <w:noProof/>
        </w:rPr>
        <w:fldChar w:fldCharType="begin"/>
      </w:r>
      <w:r>
        <w:rPr>
          <w:noProof/>
        </w:rPr>
        <w:instrText xml:space="preserve"> PAGEREF _Toc463280410 \h </w:instrText>
      </w:r>
      <w:r>
        <w:rPr>
          <w:noProof/>
        </w:rPr>
      </w:r>
      <w:r>
        <w:rPr>
          <w:noProof/>
        </w:rPr>
        <w:fldChar w:fldCharType="separate"/>
      </w:r>
      <w:r>
        <w:rPr>
          <w:noProof/>
        </w:rPr>
        <w:t>151</w:t>
      </w:r>
      <w:r>
        <w:rPr>
          <w:noProof/>
        </w:rPr>
        <w:fldChar w:fldCharType="end"/>
      </w:r>
    </w:p>
    <w:p w:rsidR="00B32D69" w:rsidRDefault="00FB661A">
      <w:pPr>
        <w:pStyle w:val="TOC2"/>
        <w:tabs>
          <w:tab w:val="left" w:pos="660"/>
        </w:tabs>
        <w:rPr>
          <w:rFonts w:eastAsiaTheme="minorEastAsia"/>
          <w:b w:val="0"/>
          <w:lang w:eastAsia="en-GB"/>
        </w:rPr>
      </w:pPr>
      <w:r>
        <w:t>2.10.</w:t>
      </w:r>
      <w:r>
        <w:rPr>
          <w:rFonts w:eastAsiaTheme="minorEastAsia"/>
          <w:b w:val="0"/>
          <w:lang w:eastAsia="en-GB"/>
        </w:rPr>
        <w:tab/>
      </w:r>
      <w:r>
        <w:t>Stakeholder suggestions which were not taken on board by the initiative</w:t>
      </w:r>
      <w:r>
        <w:tab/>
      </w:r>
      <w:r>
        <w:fldChar w:fldCharType="begin"/>
      </w:r>
      <w:r>
        <w:instrText xml:space="preserve"> PAGEREF _Toc463280411 \h </w:instrText>
      </w:r>
      <w:r>
        <w:fldChar w:fldCharType="separate"/>
      </w:r>
      <w:r>
        <w:t>152</w:t>
      </w:r>
      <w:r>
        <w:fldChar w:fldCharType="end"/>
      </w:r>
    </w:p>
    <w:p w:rsidR="00B32D69" w:rsidRDefault="00FB661A">
      <w:pPr>
        <w:spacing w:line="240" w:lineRule="auto"/>
        <w:jc w:val="both"/>
        <w:rPr>
          <w:rStyle w:val="Strong"/>
          <w:rFonts w:ascii="Times New Roman" w:hAnsi="Times New Roman" w:cs="Times New Roman"/>
          <w:noProof/>
          <w:sz w:val="24"/>
          <w:szCs w:val="24"/>
        </w:rPr>
      </w:pPr>
      <w:r>
        <w:rPr>
          <w:rStyle w:val="Strong"/>
          <w:rFonts w:ascii="Times New Roman" w:hAnsi="Times New Roman" w:cs="Times New Roman"/>
          <w:b w:val="0"/>
          <w:caps/>
          <w:noProof/>
          <w:sz w:val="24"/>
          <w:szCs w:val="24"/>
        </w:rPr>
        <w:fldChar w:fldCharType="end"/>
      </w:r>
    </w:p>
    <w:p w:rsidR="00B32D69" w:rsidRDefault="00FB661A">
      <w:pPr>
        <w:pStyle w:val="ManualHeading1"/>
        <w:rPr>
          <w:rStyle w:val="Strong"/>
          <w:b/>
          <w:noProof/>
        </w:rPr>
      </w:pPr>
      <w:bookmarkStart w:id="74" w:name="_Toc463280363"/>
      <w:r>
        <w:rPr>
          <w:rStyle w:val="Strong"/>
          <w:noProof/>
        </w:rPr>
        <w:t>1.</w:t>
      </w:r>
      <w:r>
        <w:rPr>
          <w:rStyle w:val="Strong"/>
          <w:noProof/>
        </w:rPr>
        <w:tab/>
        <w:t>LIST OF MOST IMPORTANT CONSULTATIONS</w:t>
      </w:r>
      <w:bookmarkEnd w:id="74"/>
    </w:p>
    <w:p w:rsidR="00B32D69" w:rsidRDefault="00B32D69">
      <w:pPr>
        <w:spacing w:line="240" w:lineRule="auto"/>
        <w:jc w:val="both"/>
        <w:rPr>
          <w:rFonts w:ascii="Times New Roman" w:hAnsi="Times New Roman" w:cs="Times New Roman"/>
          <w:noProof/>
          <w:sz w:val="24"/>
          <w:szCs w:val="24"/>
        </w:rPr>
      </w:pP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Commission has consulted stakeholders in many different ways. Below a list of the most important consultations</w:t>
      </w:r>
      <w:r>
        <w:rPr>
          <w:rFonts w:ascii="Times New Roman" w:hAnsi="Times New Roman" w:cs="Times New Roman"/>
          <w:noProof/>
          <w:sz w:val="24"/>
          <w:szCs w:val="24"/>
        </w:rPr>
        <w:t>:</w:t>
      </w:r>
    </w:p>
    <w:p w:rsidR="00B32D69" w:rsidRDefault="00FB661A">
      <w:pPr>
        <w:pStyle w:val="ListParagraph"/>
        <w:numPr>
          <w:ilvl w:val="0"/>
          <w:numId w:val="59"/>
        </w:num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Public consultation</w:t>
      </w:r>
      <w:r>
        <w:rPr>
          <w:rFonts w:ascii="Times New Roman" w:hAnsi="Times New Roman" w:cs="Times New Roman"/>
          <w:noProof/>
          <w:sz w:val="24"/>
          <w:szCs w:val="24"/>
        </w:rPr>
        <w:t>, which was launched on 23 March 2016 and ended on 14 June 2016. It received more than 260 contributions from 27 MS and the country with the most overall contributions was Germany followed by UK, Belgium and Lithuania. Approximately 30% of replies were mad</w:t>
      </w:r>
      <w:r>
        <w:rPr>
          <w:rFonts w:ascii="Times New Roman" w:hAnsi="Times New Roman" w:cs="Times New Roman"/>
          <w:noProof/>
          <w:sz w:val="24"/>
          <w:szCs w:val="24"/>
        </w:rPr>
        <w:t>e on behalf of insolvency and legal practitioners, while the rest were mainly from companies and business support organisations, credit and financial institutions, debt collection and marketing information services, trade associations, consumer organisatio</w:t>
      </w:r>
      <w:r>
        <w:rPr>
          <w:rFonts w:ascii="Times New Roman" w:hAnsi="Times New Roman" w:cs="Times New Roman"/>
          <w:noProof/>
          <w:sz w:val="24"/>
          <w:szCs w:val="24"/>
        </w:rPr>
        <w:t xml:space="preserve">ns, Trade Unions, academics and judges. In addition, replies were received from the public authorities of 18 Member States. </w:t>
      </w:r>
    </w:p>
    <w:p w:rsidR="00B32D69" w:rsidRDefault="00B32D69">
      <w:pPr>
        <w:pStyle w:val="ListParagraph"/>
        <w:spacing w:line="240" w:lineRule="auto"/>
        <w:jc w:val="both"/>
        <w:rPr>
          <w:rFonts w:ascii="Times New Roman" w:hAnsi="Times New Roman" w:cs="Times New Roman"/>
          <w:noProof/>
          <w:sz w:val="24"/>
          <w:szCs w:val="24"/>
        </w:rPr>
      </w:pPr>
    </w:p>
    <w:p w:rsidR="00B32D69" w:rsidRDefault="00FB661A">
      <w:pPr>
        <w:pStyle w:val="ListParagraph"/>
        <w:numPr>
          <w:ilvl w:val="0"/>
          <w:numId w:val="59"/>
        </w:num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Dedicated meetings with Member States</w:t>
      </w:r>
      <w:r>
        <w:rPr>
          <w:rFonts w:ascii="Times New Roman" w:hAnsi="Times New Roman" w:cs="Times New Roman"/>
          <w:noProof/>
          <w:sz w:val="24"/>
          <w:szCs w:val="24"/>
        </w:rPr>
        <w:t xml:space="preserve"> (on 29 June 2016 and on 7 September 2016).</w:t>
      </w:r>
    </w:p>
    <w:p w:rsidR="00B32D69" w:rsidRDefault="00B32D69">
      <w:pPr>
        <w:pStyle w:val="ListParagraph"/>
        <w:spacing w:line="240" w:lineRule="auto"/>
        <w:jc w:val="both"/>
        <w:rPr>
          <w:rFonts w:ascii="Times New Roman" w:hAnsi="Times New Roman" w:cs="Times New Roman"/>
          <w:noProof/>
          <w:sz w:val="24"/>
          <w:szCs w:val="24"/>
        </w:rPr>
      </w:pPr>
    </w:p>
    <w:p w:rsidR="00B32D69" w:rsidRDefault="00FB661A">
      <w:pPr>
        <w:pStyle w:val="ListParagraph"/>
        <w:numPr>
          <w:ilvl w:val="0"/>
          <w:numId w:val="59"/>
        </w:num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Dedicated meetings with stakeholders</w:t>
      </w:r>
      <w:r>
        <w:rPr>
          <w:rFonts w:ascii="Times New Roman" w:hAnsi="Times New Roman" w:cs="Times New Roman"/>
          <w:noProof/>
          <w:sz w:val="24"/>
          <w:szCs w:val="24"/>
        </w:rPr>
        <w:t xml:space="preserve"> (on 7 April</w:t>
      </w:r>
      <w:r>
        <w:rPr>
          <w:rFonts w:ascii="Times New Roman" w:hAnsi="Times New Roman" w:cs="Times New Roman"/>
          <w:noProof/>
          <w:sz w:val="24"/>
          <w:szCs w:val="24"/>
        </w:rPr>
        <w:t xml:space="preserve"> 2016, 27 May 2016 and on 18 July 2016). An informal "Sounding Board" composed of selected stakeholders with particular interest in issues of debt restructuring and business failure was created. When creating this group of stakeholders we tried to identify</w:t>
      </w:r>
      <w:r>
        <w:rPr>
          <w:rFonts w:ascii="Times New Roman" w:hAnsi="Times New Roman" w:cs="Times New Roman"/>
          <w:noProof/>
          <w:sz w:val="24"/>
          <w:szCs w:val="24"/>
        </w:rPr>
        <w:t xml:space="preserve"> the widest possible representation across EU or worldwide with a view to share their views on the initiative. The main participants were:</w:t>
      </w:r>
    </w:p>
    <w:p w:rsidR="00B32D69" w:rsidRDefault="00FB661A">
      <w:pPr>
        <w:pStyle w:val="ListParagraph"/>
        <w:numPr>
          <w:ilvl w:val="1"/>
          <w:numId w:val="59"/>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from the financial sector: AFME</w:t>
      </w:r>
      <w:r>
        <w:rPr>
          <w:rStyle w:val="FootnoteReference"/>
          <w:rFonts w:ascii="Times New Roman" w:hAnsi="Times New Roman"/>
          <w:noProof/>
          <w:sz w:val="24"/>
          <w:szCs w:val="24"/>
        </w:rPr>
        <w:footnoteReference w:id="209"/>
      </w:r>
      <w:r>
        <w:rPr>
          <w:rFonts w:ascii="Times New Roman" w:hAnsi="Times New Roman" w:cs="Times New Roman"/>
          <w:noProof/>
          <w:sz w:val="24"/>
          <w:szCs w:val="24"/>
        </w:rPr>
        <w:t>, EBF</w:t>
      </w:r>
      <w:r>
        <w:rPr>
          <w:rStyle w:val="FootnoteReference"/>
          <w:rFonts w:ascii="Times New Roman" w:hAnsi="Times New Roman"/>
          <w:noProof/>
          <w:sz w:val="24"/>
          <w:szCs w:val="24"/>
        </w:rPr>
        <w:footnoteReference w:id="210"/>
      </w:r>
      <w:r>
        <w:rPr>
          <w:rFonts w:ascii="Times New Roman" w:hAnsi="Times New Roman" w:cs="Times New Roman"/>
          <w:noProof/>
          <w:sz w:val="24"/>
          <w:szCs w:val="24"/>
        </w:rPr>
        <w:t>, Invest Europe; EMF-ECBC</w:t>
      </w:r>
      <w:r>
        <w:rPr>
          <w:rStyle w:val="FootnoteReference"/>
          <w:rFonts w:ascii="Times New Roman" w:hAnsi="Times New Roman"/>
          <w:noProof/>
          <w:sz w:val="24"/>
          <w:szCs w:val="24"/>
        </w:rPr>
        <w:footnoteReference w:id="211"/>
      </w:r>
      <w:r>
        <w:rPr>
          <w:rFonts w:ascii="Times New Roman" w:hAnsi="Times New Roman" w:cs="Times New Roman"/>
          <w:noProof/>
          <w:sz w:val="24"/>
          <w:szCs w:val="24"/>
        </w:rPr>
        <w:t>, EFIN</w:t>
      </w:r>
      <w:r>
        <w:rPr>
          <w:rStyle w:val="FootnoteReference"/>
          <w:rFonts w:ascii="Times New Roman" w:hAnsi="Times New Roman"/>
          <w:noProof/>
          <w:sz w:val="24"/>
          <w:szCs w:val="24"/>
        </w:rPr>
        <w:footnoteReference w:id="212"/>
      </w:r>
      <w:r>
        <w:rPr>
          <w:rFonts w:ascii="Times New Roman" w:hAnsi="Times New Roman" w:cs="Times New Roman"/>
          <w:noProof/>
          <w:sz w:val="24"/>
          <w:szCs w:val="24"/>
        </w:rPr>
        <w:t>;</w:t>
      </w:r>
    </w:p>
    <w:p w:rsidR="00B32D69" w:rsidRDefault="00FB661A">
      <w:pPr>
        <w:pStyle w:val="ListParagraph"/>
        <w:numPr>
          <w:ilvl w:val="1"/>
          <w:numId w:val="59"/>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from the business and trade sector: </w:t>
      </w:r>
      <w:r>
        <w:rPr>
          <w:rFonts w:ascii="Times New Roman" w:hAnsi="Times New Roman" w:cs="Times New Roman"/>
          <w:noProof/>
          <w:sz w:val="24"/>
          <w:szCs w:val="24"/>
        </w:rPr>
        <w:t>BusinessEurope, BDI</w:t>
      </w:r>
      <w:r>
        <w:rPr>
          <w:rStyle w:val="FootnoteReference"/>
          <w:rFonts w:ascii="Times New Roman" w:hAnsi="Times New Roman"/>
          <w:noProof/>
          <w:sz w:val="24"/>
          <w:szCs w:val="24"/>
        </w:rPr>
        <w:footnoteReference w:id="213"/>
      </w:r>
      <w:r>
        <w:rPr>
          <w:rFonts w:ascii="Times New Roman" w:hAnsi="Times New Roman" w:cs="Times New Roman"/>
          <w:noProof/>
          <w:sz w:val="24"/>
          <w:szCs w:val="24"/>
        </w:rPr>
        <w:t>, EuroChambers</w:t>
      </w:r>
      <w:r>
        <w:rPr>
          <w:rStyle w:val="FootnoteReference"/>
          <w:rFonts w:ascii="Times New Roman" w:hAnsi="Times New Roman"/>
          <w:noProof/>
          <w:sz w:val="24"/>
          <w:szCs w:val="24"/>
        </w:rPr>
        <w:footnoteReference w:id="214"/>
      </w:r>
      <w:r>
        <w:rPr>
          <w:rFonts w:ascii="Times New Roman" w:hAnsi="Times New Roman" w:cs="Times New Roman"/>
          <w:noProof/>
          <w:sz w:val="24"/>
          <w:szCs w:val="24"/>
        </w:rPr>
        <w:t>;</w:t>
      </w:r>
    </w:p>
    <w:p w:rsidR="00B32D69" w:rsidRDefault="00FB661A">
      <w:pPr>
        <w:pStyle w:val="ListParagraph"/>
        <w:spacing w:line="240" w:lineRule="auto"/>
        <w:ind w:left="2835"/>
        <w:jc w:val="both"/>
        <w:rPr>
          <w:rFonts w:ascii="Times New Roman" w:hAnsi="Times New Roman" w:cs="Times New Roman"/>
          <w:noProof/>
          <w:sz w:val="24"/>
          <w:szCs w:val="24"/>
        </w:rPr>
      </w:pPr>
      <w:r>
        <w:rPr>
          <w:rFonts w:ascii="Times New Roman" w:hAnsi="Times New Roman" w:cs="Times New Roman"/>
          <w:noProof/>
          <w:sz w:val="24"/>
          <w:szCs w:val="24"/>
        </w:rPr>
        <w:t>specifically for SMEs: UEAPME</w:t>
      </w:r>
      <w:r>
        <w:rPr>
          <w:rStyle w:val="FootnoteReference"/>
          <w:rFonts w:ascii="Times New Roman" w:hAnsi="Times New Roman"/>
          <w:noProof/>
          <w:sz w:val="24"/>
          <w:szCs w:val="24"/>
        </w:rPr>
        <w:footnoteReference w:id="215"/>
      </w:r>
      <w:r>
        <w:rPr>
          <w:rFonts w:ascii="Times New Roman" w:hAnsi="Times New Roman" w:cs="Times New Roman"/>
          <w:noProof/>
          <w:sz w:val="24"/>
          <w:szCs w:val="24"/>
        </w:rPr>
        <w:t>, ESBA</w:t>
      </w:r>
      <w:r>
        <w:rPr>
          <w:rStyle w:val="FootnoteReference"/>
          <w:rFonts w:ascii="Times New Roman" w:hAnsi="Times New Roman"/>
          <w:noProof/>
          <w:sz w:val="24"/>
          <w:szCs w:val="24"/>
        </w:rPr>
        <w:footnoteReference w:id="216"/>
      </w:r>
      <w:r>
        <w:rPr>
          <w:rFonts w:ascii="Times New Roman" w:hAnsi="Times New Roman" w:cs="Times New Roman"/>
          <w:noProof/>
          <w:sz w:val="24"/>
          <w:szCs w:val="24"/>
        </w:rPr>
        <w:t>, Independent Retail Europe;</w:t>
      </w:r>
    </w:p>
    <w:p w:rsidR="00B32D69" w:rsidRDefault="00FB661A">
      <w:pPr>
        <w:pStyle w:val="ListParagraph"/>
        <w:numPr>
          <w:ilvl w:val="1"/>
          <w:numId w:val="59"/>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social or economic interest organisations:</w:t>
      </w:r>
    </w:p>
    <w:p w:rsidR="00B32D69" w:rsidRDefault="00FB661A">
      <w:pPr>
        <w:pStyle w:val="ListParagraph"/>
        <w:numPr>
          <w:ilvl w:val="3"/>
          <w:numId w:val="59"/>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for workers', employees: ETUC</w:t>
      </w:r>
      <w:r>
        <w:rPr>
          <w:rStyle w:val="FootnoteReference"/>
          <w:rFonts w:ascii="Times New Roman" w:hAnsi="Times New Roman"/>
          <w:noProof/>
          <w:sz w:val="24"/>
          <w:szCs w:val="24"/>
        </w:rPr>
        <w:footnoteReference w:id="217"/>
      </w:r>
      <w:r>
        <w:rPr>
          <w:rFonts w:ascii="Times New Roman" w:hAnsi="Times New Roman" w:cs="Times New Roman"/>
          <w:noProof/>
          <w:sz w:val="24"/>
          <w:szCs w:val="24"/>
        </w:rPr>
        <w:t>, UNI Europa</w:t>
      </w:r>
    </w:p>
    <w:p w:rsidR="00B32D69" w:rsidRDefault="00FB661A">
      <w:pPr>
        <w:pStyle w:val="ListParagraph"/>
        <w:numPr>
          <w:ilvl w:val="3"/>
          <w:numId w:val="59"/>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for consumers: BEUC</w:t>
      </w:r>
    </w:p>
    <w:p w:rsidR="00B32D69" w:rsidRDefault="00FB661A">
      <w:pPr>
        <w:pStyle w:val="ListParagraph"/>
        <w:numPr>
          <w:ilvl w:val="1"/>
          <w:numId w:val="59"/>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Practitioners with interest in the field of ins</w:t>
      </w:r>
      <w:r>
        <w:rPr>
          <w:rFonts w:ascii="Times New Roman" w:hAnsi="Times New Roman" w:cs="Times New Roman"/>
          <w:noProof/>
          <w:sz w:val="24"/>
          <w:szCs w:val="24"/>
        </w:rPr>
        <w:t>olvency: ACCA</w:t>
      </w:r>
      <w:r>
        <w:rPr>
          <w:rStyle w:val="FootnoteReference"/>
          <w:rFonts w:ascii="Times New Roman" w:hAnsi="Times New Roman"/>
          <w:noProof/>
          <w:sz w:val="24"/>
          <w:szCs w:val="24"/>
        </w:rPr>
        <w:footnoteReference w:id="218"/>
      </w:r>
      <w:r>
        <w:rPr>
          <w:rFonts w:ascii="Times New Roman" w:hAnsi="Times New Roman" w:cs="Times New Roman"/>
          <w:noProof/>
          <w:sz w:val="24"/>
          <w:szCs w:val="24"/>
        </w:rPr>
        <w:t>, FEE</w:t>
      </w:r>
      <w:r>
        <w:rPr>
          <w:rStyle w:val="FootnoteReference"/>
          <w:rFonts w:ascii="Times New Roman" w:hAnsi="Times New Roman"/>
          <w:noProof/>
          <w:sz w:val="24"/>
          <w:szCs w:val="24"/>
        </w:rPr>
        <w:footnoteReference w:id="219"/>
      </w:r>
      <w:r>
        <w:rPr>
          <w:rFonts w:ascii="Times New Roman" w:hAnsi="Times New Roman" w:cs="Times New Roman"/>
          <w:noProof/>
          <w:sz w:val="24"/>
          <w:szCs w:val="24"/>
        </w:rPr>
        <w:t>, IBA</w:t>
      </w:r>
      <w:r>
        <w:rPr>
          <w:rStyle w:val="FootnoteReference"/>
          <w:rFonts w:ascii="Times New Roman" w:hAnsi="Times New Roman"/>
          <w:noProof/>
          <w:sz w:val="24"/>
          <w:szCs w:val="24"/>
        </w:rPr>
        <w:footnoteReference w:id="220"/>
      </w:r>
      <w:r>
        <w:rPr>
          <w:rFonts w:ascii="Times New Roman" w:hAnsi="Times New Roman" w:cs="Times New Roman"/>
          <w:noProof/>
          <w:sz w:val="24"/>
          <w:szCs w:val="24"/>
        </w:rPr>
        <w:t>, CCBE</w:t>
      </w:r>
      <w:r>
        <w:rPr>
          <w:rStyle w:val="FootnoteReference"/>
          <w:rFonts w:ascii="Times New Roman" w:hAnsi="Times New Roman"/>
          <w:noProof/>
          <w:sz w:val="24"/>
          <w:szCs w:val="24"/>
        </w:rPr>
        <w:footnoteReference w:id="221"/>
      </w:r>
      <w:r>
        <w:rPr>
          <w:rFonts w:ascii="Times New Roman" w:hAnsi="Times New Roman" w:cs="Times New Roman"/>
          <w:noProof/>
          <w:sz w:val="24"/>
          <w:szCs w:val="24"/>
        </w:rPr>
        <w:t>, UIA</w:t>
      </w:r>
      <w:r>
        <w:rPr>
          <w:rStyle w:val="FootnoteReference"/>
          <w:rFonts w:ascii="Times New Roman" w:hAnsi="Times New Roman"/>
          <w:noProof/>
          <w:sz w:val="24"/>
          <w:szCs w:val="24"/>
        </w:rPr>
        <w:footnoteReference w:id="222"/>
      </w:r>
      <w:r>
        <w:rPr>
          <w:rFonts w:ascii="Times New Roman" w:hAnsi="Times New Roman" w:cs="Times New Roman"/>
          <w:noProof/>
          <w:sz w:val="24"/>
          <w:szCs w:val="24"/>
        </w:rPr>
        <w:t>, INSOL Europe;</w:t>
      </w:r>
    </w:p>
    <w:p w:rsidR="00B32D69" w:rsidRDefault="00FB661A">
      <w:pPr>
        <w:pStyle w:val="ListParagraph"/>
        <w:numPr>
          <w:ilvl w:val="1"/>
          <w:numId w:val="59"/>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think-tanks: FDC</w:t>
      </w:r>
      <w:r>
        <w:rPr>
          <w:rStyle w:val="FootnoteReference"/>
          <w:rFonts w:ascii="Times New Roman" w:hAnsi="Times New Roman"/>
          <w:noProof/>
          <w:sz w:val="24"/>
          <w:szCs w:val="24"/>
        </w:rPr>
        <w:footnoteReference w:id="223"/>
      </w:r>
    </w:p>
    <w:p w:rsidR="00B32D69" w:rsidRDefault="00FB661A">
      <w:pPr>
        <w:pStyle w:val="ListParagraph"/>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addition, bilateral meetings with specific stakeholders were held during the consultation period. These included among others meetings with the Nordic-Baltic Insolvency Network, Tr</w:t>
      </w:r>
      <w:r>
        <w:rPr>
          <w:rFonts w:ascii="Times New Roman" w:hAnsi="Times New Roman" w:cs="Times New Roman"/>
          <w:noProof/>
          <w:sz w:val="24"/>
          <w:szCs w:val="24"/>
        </w:rPr>
        <w:t>ans Europe Experts, with Verband Insolvenzverwalter Deutschlands (VID), with the National Bank of Austria, with Managed Funds Association (MFA), with INSOL International, with Droit et Croissance, with FENCA</w:t>
      </w:r>
      <w:r>
        <w:rPr>
          <w:rStyle w:val="FootnoteReference"/>
          <w:rFonts w:ascii="Times New Roman" w:hAnsi="Times New Roman"/>
          <w:noProof/>
          <w:sz w:val="24"/>
          <w:szCs w:val="24"/>
        </w:rPr>
        <w:footnoteReference w:id="224"/>
      </w:r>
      <w:r>
        <w:rPr>
          <w:rFonts w:ascii="Times New Roman" w:hAnsi="Times New Roman" w:cs="Times New Roman"/>
          <w:noProof/>
          <w:sz w:val="24"/>
          <w:szCs w:val="24"/>
        </w:rPr>
        <w:t>, with the German Insurance Association.</w:t>
      </w:r>
    </w:p>
    <w:p w:rsidR="00B32D69" w:rsidRDefault="00B32D69">
      <w:pPr>
        <w:pStyle w:val="ListParagraph"/>
        <w:spacing w:line="240" w:lineRule="auto"/>
        <w:jc w:val="both"/>
        <w:rPr>
          <w:rFonts w:ascii="Times New Roman" w:hAnsi="Times New Roman" w:cs="Times New Roman"/>
          <w:noProof/>
          <w:sz w:val="24"/>
          <w:szCs w:val="24"/>
        </w:rPr>
      </w:pPr>
    </w:p>
    <w:p w:rsidR="00B32D69" w:rsidRDefault="00FB661A">
      <w:pPr>
        <w:pStyle w:val="ListParagraph"/>
        <w:numPr>
          <w:ilvl w:val="0"/>
          <w:numId w:val="59"/>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Expert</w:t>
      </w:r>
      <w:r>
        <w:rPr>
          <w:rFonts w:ascii="Times New Roman" w:hAnsi="Times New Roman" w:cs="Times New Roman"/>
          <w:noProof/>
          <w:sz w:val="24"/>
          <w:szCs w:val="24"/>
        </w:rPr>
        <w:t xml:space="preserve"> group meetings (on 13 January 2016, 19 February 2016, 28-29 April 2016, 24-25 May 2016, 14-15 June 2016 and on 11 July 2016.) The expert group on restructuring and insolvency law was created in the end of November 2015 and the detailed list of experts cou</w:t>
      </w:r>
      <w:r>
        <w:rPr>
          <w:rFonts w:ascii="Times New Roman" w:hAnsi="Times New Roman" w:cs="Times New Roman"/>
          <w:noProof/>
          <w:sz w:val="24"/>
          <w:szCs w:val="24"/>
        </w:rPr>
        <w:t>ld be found on the Register of Commission expert groups (</w:t>
      </w:r>
      <w:hyperlink r:id="rId32" w:history="1">
        <w:r>
          <w:rPr>
            <w:rStyle w:val="Hyperlink"/>
            <w:noProof/>
            <w:sz w:val="24"/>
            <w:szCs w:val="24"/>
          </w:rPr>
          <w:t>http://ec.europa.eu/transparency/regexpert/index.cfm?do=groupDetail.groupDetail&amp;groupID=33</w:t>
        </w:r>
        <w:r>
          <w:rPr>
            <w:rStyle w:val="Hyperlink"/>
            <w:noProof/>
            <w:sz w:val="24"/>
            <w:szCs w:val="24"/>
          </w:rPr>
          <w:t>62</w:t>
        </w:r>
      </w:hyperlink>
      <w:r>
        <w:rPr>
          <w:rFonts w:ascii="Times New Roman" w:hAnsi="Times New Roman" w:cs="Times New Roman"/>
          <w:noProof/>
          <w:sz w:val="24"/>
          <w:szCs w:val="24"/>
        </w:rPr>
        <w:t xml:space="preserve">). </w:t>
      </w:r>
    </w:p>
    <w:p w:rsidR="00B32D69" w:rsidRDefault="00B32D69">
      <w:pPr>
        <w:pStyle w:val="ListParagraph"/>
        <w:spacing w:line="240" w:lineRule="auto"/>
        <w:jc w:val="both"/>
        <w:rPr>
          <w:rFonts w:ascii="Times New Roman" w:hAnsi="Times New Roman" w:cs="Times New Roman"/>
          <w:noProof/>
          <w:sz w:val="24"/>
          <w:szCs w:val="24"/>
        </w:rPr>
      </w:pPr>
    </w:p>
    <w:p w:rsidR="00B32D69" w:rsidRDefault="00FB661A">
      <w:pPr>
        <w:pStyle w:val="ListParagraph"/>
        <w:numPr>
          <w:ilvl w:val="0"/>
          <w:numId w:val="59"/>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Conference on the convergence of insolvency frameworks within the European Union organised under the auspices of the Slovak Presidency on 12 July 2016. It was consisted of three main panels; on a new approach to business failure and insolvency and w</w:t>
      </w:r>
      <w:r>
        <w:rPr>
          <w:rFonts w:ascii="Times New Roman" w:hAnsi="Times New Roman" w:cs="Times New Roman"/>
          <w:noProof/>
          <w:sz w:val="24"/>
          <w:szCs w:val="24"/>
        </w:rPr>
        <w:t>hat can be improved following the 2014 Recommendation, how to create an appropriate insolvency framework beyond the scope of the 2014 Recommendation and on second chance for entrepreneurs and consumers.</w:t>
      </w:r>
    </w:p>
    <w:p w:rsidR="00B32D69" w:rsidRDefault="00FB661A">
      <w:pPr>
        <w:pStyle w:val="ManualHeading1"/>
        <w:rPr>
          <w:noProof/>
        </w:rPr>
      </w:pPr>
      <w:bookmarkStart w:id="75" w:name="_Toc463280364"/>
      <w:r>
        <w:rPr>
          <w:noProof/>
        </w:rPr>
        <w:t>2.</w:t>
      </w:r>
      <w:r>
        <w:rPr>
          <w:noProof/>
        </w:rPr>
        <w:tab/>
      </w:r>
      <w:r>
        <w:rPr>
          <w:rStyle w:val="Strong"/>
          <w:noProof/>
        </w:rPr>
        <w:t>MAIN FINDINGS</w:t>
      </w:r>
      <w:bookmarkEnd w:id="75"/>
    </w:p>
    <w:p w:rsidR="00B32D69" w:rsidRDefault="00FB661A">
      <w:pPr>
        <w:pStyle w:val="ManualHeading2"/>
        <w:rPr>
          <w:rStyle w:val="Emphasis"/>
          <w:i w:val="0"/>
          <w:noProof/>
        </w:rPr>
      </w:pPr>
      <w:bookmarkStart w:id="76" w:name="_Toc463280365"/>
      <w:r>
        <w:rPr>
          <w:rStyle w:val="Emphasis"/>
          <w:noProof/>
        </w:rPr>
        <w:t>2.1.</w:t>
      </w:r>
      <w:r>
        <w:rPr>
          <w:rStyle w:val="Emphasis"/>
          <w:noProof/>
        </w:rPr>
        <w:tab/>
        <w:t>General attitude towards the in</w:t>
      </w:r>
      <w:r>
        <w:rPr>
          <w:rStyle w:val="Emphasis"/>
          <w:noProof/>
        </w:rPr>
        <w:t>itiative</w:t>
      </w:r>
      <w:bookmarkEnd w:id="76"/>
    </w:p>
    <w:p w:rsidR="00B32D69" w:rsidRDefault="00B32D69">
      <w:pPr>
        <w:spacing w:line="240" w:lineRule="auto"/>
        <w:jc w:val="both"/>
        <w:rPr>
          <w:rFonts w:ascii="Times New Roman" w:hAnsi="Times New Roman" w:cs="Times New Roman"/>
          <w:noProof/>
          <w:sz w:val="24"/>
          <w:szCs w:val="24"/>
        </w:rPr>
      </w:pP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Most of the stakeholders supported the adoption of preventive measures to enable the restructuring of viable businesses as well as measures to increase the recovery rates of debt in insolvency in order to achieve an appropriate insolvency framewo</w:t>
      </w:r>
      <w:r>
        <w:rPr>
          <w:rFonts w:ascii="Times New Roman" w:hAnsi="Times New Roman" w:cs="Times New Roman"/>
          <w:noProof/>
          <w:sz w:val="24"/>
          <w:szCs w:val="24"/>
        </w:rPr>
        <w:t>rk within the EU. The provisions related to second chance were more controversial, but the majority</w:t>
      </w:r>
      <w:r>
        <w:rPr>
          <w:rFonts w:ascii="Times New Roman" w:hAnsi="Times New Roman" w:cs="Times New Roman"/>
          <w:noProof/>
          <w:sz w:val="24"/>
          <w:szCs w:val="24"/>
          <w:lang w:val="en-US"/>
        </w:rPr>
        <w:t xml:space="preserve"> considered that</w:t>
      </w:r>
      <w:r>
        <w:rPr>
          <w:rFonts w:ascii="Times New Roman" w:hAnsi="Times New Roman" w:cs="Times New Roman"/>
          <w:noProof/>
          <w:sz w:val="24"/>
          <w:szCs w:val="24"/>
        </w:rPr>
        <w:t xml:space="preserve"> measures ensuring the discharge of debts for entrepreneurs (individuals) would be necessary for an appropriate insolvency framework within the EU. Moreover, although most of the stakeholders and Member States acknowledged the importance of discharge for c</w:t>
      </w:r>
      <w:r>
        <w:rPr>
          <w:rFonts w:ascii="Times New Roman" w:hAnsi="Times New Roman" w:cs="Times New Roman"/>
          <w:noProof/>
          <w:sz w:val="24"/>
          <w:szCs w:val="24"/>
        </w:rPr>
        <w:t>onsumers, many of them preferred that mandatory rules on consumer insolvency should not be included in this instrument.</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majority of those consulted were in favour of a minimum harmonisation entailing high-level principles that would help introducing a </w:t>
      </w:r>
      <w:r>
        <w:rPr>
          <w:rFonts w:ascii="Times New Roman" w:hAnsi="Times New Roman" w:cs="Times New Roman"/>
          <w:noProof/>
          <w:sz w:val="24"/>
          <w:szCs w:val="24"/>
        </w:rPr>
        <w:t>level playing field across the Europe for investors and entrepreneurs; they supported the objective to shift the focus of insolvency proceedings away from liquidation in such a way that viable businesses are encouraged to implement quick and cost-effective</w:t>
      </w:r>
      <w:r>
        <w:rPr>
          <w:rFonts w:ascii="Times New Roman" w:hAnsi="Times New Roman" w:cs="Times New Roman"/>
          <w:noProof/>
          <w:sz w:val="24"/>
          <w:szCs w:val="24"/>
        </w:rPr>
        <w:t xml:space="preserve"> restructuring measures at an early stage.</w:t>
      </w:r>
    </w:p>
    <w:p w:rsidR="00B32D69" w:rsidRDefault="00FB661A">
      <w:pPr>
        <w:spacing w:line="240" w:lineRule="auto"/>
        <w:jc w:val="both"/>
        <w:rPr>
          <w:rFonts w:ascii="Times New Roman" w:hAnsi="Times New Roman" w:cs="Times New Roman"/>
          <w:b/>
          <w:noProof/>
          <w:sz w:val="24"/>
          <w:szCs w:val="24"/>
        </w:rPr>
      </w:pPr>
      <w:r>
        <w:rPr>
          <w:rFonts w:ascii="Times New Roman" w:hAnsi="Times New Roman" w:cs="Times New Roman"/>
          <w:noProof/>
          <w:sz w:val="24"/>
          <w:szCs w:val="24"/>
        </w:rPr>
        <w:t>Other measures such as measures ensuring the enforcement of claims and measures governing employees' rights in insolvency did not gain much support as being appropriate for insolvency framework at EU level</w:t>
      </w:r>
      <w:r>
        <w:rPr>
          <w:rFonts w:ascii="Times New Roman" w:hAnsi="Times New Roman" w:cs="Times New Roman"/>
          <w:noProof/>
          <w:sz w:val="24"/>
          <w:szCs w:val="24"/>
          <w:lang w:val="en-US"/>
        </w:rPr>
        <w:t>.</w:t>
      </w:r>
      <w:r>
        <w:rPr>
          <w:rFonts w:ascii="Times New Roman" w:hAnsi="Times New Roman" w:cs="Times New Roman"/>
          <w:noProof/>
          <w:sz w:val="24"/>
          <w:szCs w:val="24"/>
        </w:rPr>
        <w:t xml:space="preserve"> </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All t</w:t>
      </w:r>
      <w:r>
        <w:rPr>
          <w:rFonts w:ascii="Times New Roman" w:hAnsi="Times New Roman" w:cs="Times New Roman"/>
          <w:noProof/>
          <w:sz w:val="24"/>
          <w:szCs w:val="24"/>
        </w:rPr>
        <w:t>he Member States agreed on the necessity of preventive measures enabling restructuring of viable businesses. While some of them were more open to a well targeted harmonisation, the majority of them were cautious about the harmonisation related to insolvenc</w:t>
      </w:r>
      <w:r>
        <w:rPr>
          <w:rFonts w:ascii="Times New Roman" w:hAnsi="Times New Roman" w:cs="Times New Roman"/>
          <w:noProof/>
          <w:sz w:val="24"/>
          <w:szCs w:val="24"/>
        </w:rPr>
        <w:t>y, restructuring and second chance, opting for high-level principles, where obstacles to the functioning of Internal Market are identified. In particular, some were more reluctant (FI, CZ, SE), while others either did not see the need (since introduced ref</w:t>
      </w:r>
      <w:r>
        <w:rPr>
          <w:rFonts w:ascii="Times New Roman" w:hAnsi="Times New Roman" w:cs="Times New Roman"/>
          <w:noProof/>
          <w:sz w:val="24"/>
          <w:szCs w:val="24"/>
        </w:rPr>
        <w:t xml:space="preserve">orms – PL), or were afraid of many unintended interactions with other areas of law (DE) as well as with well-working systems and local cultures and policies. Wider diversity of views and reluctance was </w:t>
      </w:r>
      <w:r>
        <w:rPr>
          <w:rFonts w:ascii="Times New Roman" w:hAnsi="Times New Roman" w:cs="Times New Roman"/>
          <w:noProof/>
          <w:sz w:val="24"/>
          <w:szCs w:val="24"/>
          <w:lang w:val="en-US"/>
        </w:rPr>
        <w:t>observed with regard to discharge periods and the cond</w:t>
      </w:r>
      <w:r>
        <w:rPr>
          <w:rFonts w:ascii="Times New Roman" w:hAnsi="Times New Roman" w:cs="Times New Roman"/>
          <w:noProof/>
          <w:sz w:val="24"/>
          <w:szCs w:val="24"/>
          <w:lang w:val="en-US"/>
        </w:rPr>
        <w:t>itions for discharge.</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to the stakeholders, business organisations, professionals' associations, financial institutions, consumer organisations, Trade Unions and academics were in general supportive of minimum harmonised rules on early restructuring and </w:t>
      </w:r>
      <w:r>
        <w:rPr>
          <w:rFonts w:ascii="Times New Roman" w:hAnsi="Times New Roman" w:cs="Times New Roman"/>
          <w:noProof/>
          <w:sz w:val="24"/>
          <w:szCs w:val="24"/>
        </w:rPr>
        <w:t>a second chance approach and welcomed the idea of an efficient and (cost)-effective EU insolvency framework for saving viable businesses. They believed that any intervention at EU level should be sensitive to national specificities, as well as existing Mem</w:t>
      </w:r>
      <w:r>
        <w:rPr>
          <w:rFonts w:ascii="Times New Roman" w:hAnsi="Times New Roman" w:cs="Times New Roman"/>
          <w:noProof/>
          <w:sz w:val="24"/>
          <w:szCs w:val="24"/>
        </w:rPr>
        <w:t>ber State legislation and strike a right balance among the interests of different stakeholders. More particular, they gave attention to early warning mechanisms, early restructuring, court involvement and publicity requirements when rights of third parties</w:t>
      </w:r>
      <w:r>
        <w:rPr>
          <w:rFonts w:ascii="Times New Roman" w:hAnsi="Times New Roman" w:cs="Times New Roman"/>
          <w:noProof/>
          <w:sz w:val="24"/>
          <w:szCs w:val="24"/>
        </w:rPr>
        <w:t xml:space="preserve"> are affected, protection of financing, short moratorium periods, reducing the cost and length of proceedings, protection of security and property rights, sufficient qualified and regulated professionals and enhanced judicial system. The banking industry a</w:t>
      </w:r>
      <w:r>
        <w:rPr>
          <w:rFonts w:ascii="Times New Roman" w:hAnsi="Times New Roman" w:cs="Times New Roman"/>
          <w:noProof/>
          <w:sz w:val="24"/>
          <w:szCs w:val="24"/>
        </w:rPr>
        <w:t>lso stressed the importance of protecting collateral and the cost of credit and financing. Consumer organisations underlined the need of early detection of financial difficulties, access to free or low-cost debt advice and discharge for natural persons. Tr</w:t>
      </w:r>
      <w:r>
        <w:rPr>
          <w:rFonts w:ascii="Times New Roman" w:hAnsi="Times New Roman" w:cs="Times New Roman"/>
          <w:noProof/>
          <w:sz w:val="24"/>
          <w:szCs w:val="24"/>
        </w:rPr>
        <w:t>ade Unions stressed that employees' interests, consultation and priority ranking rights should not be overruled. As to discharge, some stakeholders (mainly the banking sector) were of the view that consumer discharge should be dealt separately.</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Also the ex</w:t>
      </w:r>
      <w:r>
        <w:rPr>
          <w:rFonts w:ascii="Times New Roman" w:hAnsi="Times New Roman" w:cs="Times New Roman"/>
          <w:noProof/>
          <w:sz w:val="24"/>
          <w:szCs w:val="24"/>
        </w:rPr>
        <w:t>perts advised the Commission to focus on business restructuring and make the Recommendation more workable. The opinions were divided as whether the future legal instrument should be more detailed or more principle based.</w:t>
      </w:r>
    </w:p>
    <w:p w:rsidR="00B32D69" w:rsidRDefault="00FB661A">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Views of main stakeholders</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Accordin</w:t>
      </w:r>
      <w:r>
        <w:rPr>
          <w:rFonts w:ascii="Times New Roman" w:hAnsi="Times New Roman" w:cs="Times New Roman"/>
          <w:noProof/>
          <w:sz w:val="24"/>
          <w:szCs w:val="24"/>
        </w:rPr>
        <w:t>g to the position papers received during the public consultation, the position of the main European stakeholders is summarised below:</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BUSINESSEUROPE</w:t>
      </w:r>
      <w:r>
        <w:rPr>
          <w:rFonts w:ascii="Times New Roman" w:hAnsi="Times New Roman" w:cs="Times New Roman"/>
          <w:noProof/>
          <w:sz w:val="24"/>
          <w:szCs w:val="24"/>
        </w:rPr>
        <w:t xml:space="preserve"> is generally supportive of a second chance approach to insolvency in the EU by ensuring minimum standards f</w:t>
      </w:r>
      <w:r>
        <w:rPr>
          <w:rFonts w:ascii="Times New Roman" w:hAnsi="Times New Roman" w:cs="Times New Roman"/>
          <w:noProof/>
          <w:sz w:val="24"/>
          <w:szCs w:val="24"/>
        </w:rPr>
        <w:t>or pre-insolvency (early restructuring) and recovery proceedings. It is essential to provide early warning systems, preserve the ability of the company going through a restructuring procedure to keep its business, protect new financing, promote specialisat</w:t>
      </w:r>
      <w:r>
        <w:rPr>
          <w:rFonts w:ascii="Times New Roman" w:hAnsi="Times New Roman" w:cs="Times New Roman"/>
          <w:noProof/>
          <w:sz w:val="24"/>
          <w:szCs w:val="24"/>
        </w:rPr>
        <w:t>ion of courts and training of judges and provide minimum standards for insolvency practitioners (e.g. Code of Ethics). In addition, consideration should be given to clarifying certain criteria for identifying 'honesty’, promoting access to assistance and i</w:t>
      </w:r>
      <w:r>
        <w:rPr>
          <w:rFonts w:ascii="Times New Roman" w:hAnsi="Times New Roman" w:cs="Times New Roman"/>
          <w:noProof/>
          <w:sz w:val="24"/>
          <w:szCs w:val="24"/>
        </w:rPr>
        <w:t>nformation tools as well as to alternative out-of-court means and digitalisation. However, Businesseurope is of the view that there should be no harmonisation of the classes of creditors and that consumer insolvency should be dealt separately.</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Association </w:t>
      </w:r>
      <w:r>
        <w:rPr>
          <w:rFonts w:ascii="Times New Roman" w:hAnsi="Times New Roman" w:cs="Times New Roman"/>
          <w:b/>
          <w:noProof/>
          <w:sz w:val="24"/>
          <w:szCs w:val="24"/>
        </w:rPr>
        <w:t>of Chartered Certified Accountants (ACCA)</w:t>
      </w:r>
      <w:r>
        <w:rPr>
          <w:rFonts w:ascii="Times New Roman" w:hAnsi="Times New Roman" w:cs="Times New Roman"/>
          <w:noProof/>
          <w:sz w:val="24"/>
          <w:szCs w:val="24"/>
        </w:rPr>
        <w:t xml:space="preserve"> welcomes the initiative of the European Commission to introduce minimum standards in the EU in relation to restructuring and insolvency, but underlines the dangers of changing well-working regimes. ACCA is in gener</w:t>
      </w:r>
      <w:r>
        <w:rPr>
          <w:rFonts w:ascii="Times New Roman" w:hAnsi="Times New Roman" w:cs="Times New Roman"/>
          <w:noProof/>
          <w:sz w:val="24"/>
          <w:szCs w:val="24"/>
        </w:rPr>
        <w:t>al in favour of introducing an effective and efficient framework for preventive restructuring measures in EU. Particularly, they opt for a framework entailing the possibility to file early, less court involvement and publicity, protection of secured credit</w:t>
      </w:r>
      <w:r>
        <w:rPr>
          <w:rFonts w:ascii="Times New Roman" w:hAnsi="Times New Roman" w:cs="Times New Roman"/>
          <w:noProof/>
          <w:sz w:val="24"/>
          <w:szCs w:val="24"/>
        </w:rPr>
        <w:t>ors, protection of financing (no abusing) and sufficient qualified and regulated professionals. Finally, artificial distinctions between entrepreneurs and consumers in relation to discharge are not encouraged.</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European Banking Federation (EBF)</w:t>
      </w:r>
      <w:r>
        <w:rPr>
          <w:rFonts w:ascii="Times New Roman" w:hAnsi="Times New Roman" w:cs="Times New Roman"/>
          <w:noProof/>
          <w:sz w:val="24"/>
          <w:szCs w:val="24"/>
        </w:rPr>
        <w:t xml:space="preserve"> fully embrac</w:t>
      </w:r>
      <w:r>
        <w:rPr>
          <w:rFonts w:ascii="Times New Roman" w:hAnsi="Times New Roman" w:cs="Times New Roman"/>
          <w:noProof/>
          <w:sz w:val="24"/>
          <w:szCs w:val="24"/>
        </w:rPr>
        <w:t>es the Commission's intention to introduce preventive measures developing a new approach to business restructuring in EU. It is however of key importance that the future legislative initiative would be well balanced in catering to the needs of both credito</w:t>
      </w:r>
      <w:r>
        <w:rPr>
          <w:rFonts w:ascii="Times New Roman" w:hAnsi="Times New Roman" w:cs="Times New Roman"/>
          <w:noProof/>
          <w:sz w:val="24"/>
          <w:szCs w:val="24"/>
        </w:rPr>
        <w:t>rs as well as present and future debtors. In particular, EBF supports involvement of creditors in the restructuring plan and in the assessment of viability of the debtor, enhanced access to information for creditors, reasonable time limits for judicial res</w:t>
      </w:r>
      <w:r>
        <w:rPr>
          <w:rFonts w:ascii="Times New Roman" w:hAnsi="Times New Roman" w:cs="Times New Roman"/>
          <w:noProof/>
          <w:sz w:val="24"/>
          <w:szCs w:val="24"/>
        </w:rPr>
        <w:t xml:space="preserve">tructuring procedures, super senior rank priority for new financing as long as is agreed in the restructuring plan and confirmed by the Court, EU common standards for claim statements' time limits, harmonisation of certain aspects on avoidance actions and </w:t>
      </w:r>
      <w:r>
        <w:rPr>
          <w:rFonts w:ascii="Times New Roman" w:hAnsi="Times New Roman" w:cs="Times New Roman"/>
          <w:noProof/>
          <w:sz w:val="24"/>
          <w:szCs w:val="24"/>
        </w:rPr>
        <w:t>strengthening the enforcement framework. Moreover, EBF welcomes the introduction of minimum standardized rules on the qualification of insolvency practitioners and measures laying down obligations for directors’ of distressed companies. Concerns are expres</w:t>
      </w:r>
      <w:r>
        <w:rPr>
          <w:rFonts w:ascii="Times New Roman" w:hAnsi="Times New Roman" w:cs="Times New Roman"/>
          <w:noProof/>
          <w:sz w:val="24"/>
          <w:szCs w:val="24"/>
        </w:rPr>
        <w:t xml:space="preserve">sed to a full discharge for entrepreneurs without the additional requirement of paying certain amount of the debt. Finally, they consider that consumers' insolvency should be dealt separately.  </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European Federation for the Factoring and Commercial Finance </w:t>
      </w:r>
      <w:r>
        <w:rPr>
          <w:rFonts w:ascii="Times New Roman" w:hAnsi="Times New Roman" w:cs="Times New Roman"/>
          <w:b/>
          <w:noProof/>
          <w:sz w:val="24"/>
          <w:szCs w:val="24"/>
        </w:rPr>
        <w:t>Industry (EUF)</w:t>
      </w:r>
      <w:r>
        <w:rPr>
          <w:rFonts w:ascii="Times New Roman" w:hAnsi="Times New Roman" w:cs="Times New Roman"/>
          <w:noProof/>
          <w:sz w:val="24"/>
          <w:szCs w:val="24"/>
        </w:rPr>
        <w:t xml:space="preserve"> supports the idea of an efficient and (cost)-effective EU insolvency framework allowing for early restructuring, increasing the recovery rates and ensuring the enforcement of debts. Moreover, EUF underlines that the diversity of rules in sev</w:t>
      </w:r>
      <w:r>
        <w:rPr>
          <w:rFonts w:ascii="Times New Roman" w:hAnsi="Times New Roman" w:cs="Times New Roman"/>
          <w:noProof/>
          <w:sz w:val="24"/>
          <w:szCs w:val="24"/>
        </w:rPr>
        <w:t xml:space="preserve">eral aspects related to insolvency and restructuring proceedings constitutes a barrier to the functioning of the Internal Market and increases the costs for creditors (e.g. costs for participating in cross-border insolvency proceedings, costs of assessing </w:t>
      </w:r>
      <w:r>
        <w:rPr>
          <w:rFonts w:ascii="Times New Roman" w:hAnsi="Times New Roman" w:cs="Times New Roman"/>
          <w:noProof/>
          <w:sz w:val="24"/>
          <w:szCs w:val="24"/>
        </w:rPr>
        <w:t>the risk of default) and for SMEs (e.g. they are dicincentivised to start restructuring at an early stage). Harmonisation of measures related to claw-back, interim financing, and avoidance actions would increase legal certainty. Finally, EUF is of the view</w:t>
      </w:r>
      <w:r>
        <w:rPr>
          <w:rFonts w:ascii="Times New Roman" w:hAnsi="Times New Roman" w:cs="Times New Roman"/>
          <w:noProof/>
          <w:sz w:val="24"/>
          <w:szCs w:val="24"/>
        </w:rPr>
        <w:t xml:space="preserve"> that there should not be a full discharge available for entrepreneurs. </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European Financial Inclusion Network (EFIN)</w:t>
      </w:r>
      <w:r>
        <w:rPr>
          <w:rFonts w:ascii="Times New Roman" w:hAnsi="Times New Roman" w:cs="Times New Roman"/>
          <w:noProof/>
          <w:sz w:val="24"/>
          <w:szCs w:val="24"/>
        </w:rPr>
        <w:t xml:space="preserve"> believes that preventive measures for enabling restructuring of viable businesses and measures to ensure the discharge of debts are key iss</w:t>
      </w:r>
      <w:r>
        <w:rPr>
          <w:rFonts w:ascii="Times New Roman" w:hAnsi="Times New Roman" w:cs="Times New Roman"/>
          <w:noProof/>
          <w:sz w:val="24"/>
          <w:szCs w:val="24"/>
        </w:rPr>
        <w:t>ues for an efficient insolvency framework in the EU and for achieving better recovery rates. Such framework should entail an early detection of financial difficulties, access to free debt advice, the possibility of a moratorium and of a cross-class cram do</w:t>
      </w:r>
      <w:r>
        <w:rPr>
          <w:rFonts w:ascii="Times New Roman" w:hAnsi="Times New Roman" w:cs="Times New Roman"/>
          <w:noProof/>
          <w:sz w:val="24"/>
          <w:szCs w:val="24"/>
        </w:rPr>
        <w:t>wn as well as discharge for entrepreneurs and consumers. The concept of ‘honesty’ is also essential and should not be abused and the principle of dignity should be central. Finally, they suggest the introduction of a calculation method for a minimum cost o</w:t>
      </w:r>
      <w:r>
        <w:rPr>
          <w:rFonts w:ascii="Times New Roman" w:hAnsi="Times New Roman" w:cs="Times New Roman"/>
          <w:noProof/>
          <w:sz w:val="24"/>
          <w:szCs w:val="24"/>
        </w:rPr>
        <w:t>f living (e.g. reference budget) with the agreement of all stakeholders at a national level.</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European Association of Certified Turnaround Professionals (EACTP)</w:t>
      </w:r>
      <w:r>
        <w:rPr>
          <w:rFonts w:ascii="Times New Roman" w:hAnsi="Times New Roman" w:cs="Times New Roman"/>
          <w:noProof/>
          <w:sz w:val="24"/>
          <w:szCs w:val="24"/>
        </w:rPr>
        <w:t xml:space="preserve"> strongly supports Commission's Recommendation on a new approach to business failure and insolven</w:t>
      </w:r>
      <w:r>
        <w:rPr>
          <w:rFonts w:ascii="Times New Roman" w:hAnsi="Times New Roman" w:cs="Times New Roman"/>
          <w:noProof/>
          <w:sz w:val="24"/>
          <w:szCs w:val="24"/>
        </w:rPr>
        <w:t>cy. They underline that the overall aim of a preventive restructuring framework should be to fully turnaround the business allowing for an operational restructuring. They are in favour of introducing incentives for business to take early action for restruc</w:t>
      </w:r>
      <w:r>
        <w:rPr>
          <w:rFonts w:ascii="Times New Roman" w:hAnsi="Times New Roman" w:cs="Times New Roman"/>
          <w:noProof/>
          <w:sz w:val="24"/>
          <w:szCs w:val="24"/>
        </w:rPr>
        <w:t xml:space="preserve">turing, protecting 'bridge' financing and granting a temporary stay (having also a designated court different from the insolvency court). They also support establishing professional standards for insolvency practitioners, mediators etc. </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European Mortgage </w:t>
      </w:r>
      <w:r>
        <w:rPr>
          <w:rFonts w:ascii="Times New Roman" w:hAnsi="Times New Roman" w:cs="Times New Roman"/>
          <w:b/>
          <w:noProof/>
          <w:sz w:val="24"/>
          <w:szCs w:val="24"/>
        </w:rPr>
        <w:t>Federation-European Covered Bond Council (EMF-ECBC)</w:t>
      </w:r>
      <w:r>
        <w:rPr>
          <w:rFonts w:ascii="Times New Roman" w:hAnsi="Times New Roman" w:cs="Times New Roman"/>
          <w:noProof/>
          <w:sz w:val="24"/>
          <w:szCs w:val="24"/>
        </w:rPr>
        <w:t xml:space="preserve"> supports the efforts to ensure the existence of effective insolvency frameworks for business in EU. However, any intervention at EU level should be sensitive to national specificities, as well as existing</w:t>
      </w:r>
      <w:r>
        <w:rPr>
          <w:rFonts w:ascii="Times New Roman" w:hAnsi="Times New Roman" w:cs="Times New Roman"/>
          <w:noProof/>
          <w:sz w:val="24"/>
          <w:szCs w:val="24"/>
        </w:rPr>
        <w:t xml:space="preserve"> Member State legislation. EMF-ECBC stresses that differences between Member States’ insolvency frameworks can act as an obstacle to the free movement of capital, goods and services and the functioning of Internal Market. They express concerns regarding li</w:t>
      </w:r>
      <w:r>
        <w:rPr>
          <w:rFonts w:ascii="Times New Roman" w:hAnsi="Times New Roman" w:cs="Times New Roman"/>
          <w:noProof/>
          <w:sz w:val="24"/>
          <w:szCs w:val="24"/>
        </w:rPr>
        <w:t>miting the enforcement of claims over the collateral underlining potential implications to capital bank requirements. Although they recognise that second chance entails benefits for the wider economy, they advocate that a debt discharge should be available</w:t>
      </w:r>
      <w:r>
        <w:rPr>
          <w:rFonts w:ascii="Times New Roman" w:hAnsi="Times New Roman" w:cs="Times New Roman"/>
          <w:noProof/>
          <w:sz w:val="24"/>
          <w:szCs w:val="24"/>
        </w:rPr>
        <w:t xml:space="preserve"> only when a certain amount of a debt is repaid in order to avoid moral hazard and promote responsible entrepreneurship. Finally, they strongly believe that measures to ensure discharge of debt for consumers should not form part of the efforts of this cons</w:t>
      </w:r>
      <w:r>
        <w:rPr>
          <w:rFonts w:ascii="Times New Roman" w:hAnsi="Times New Roman" w:cs="Times New Roman"/>
          <w:noProof/>
          <w:sz w:val="24"/>
          <w:szCs w:val="24"/>
        </w:rPr>
        <w:t>ultation to create an efficient insolvency framework for businesses and it should be dealt separately.</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Independent Retail Europe</w:t>
      </w:r>
      <w:r>
        <w:rPr>
          <w:rFonts w:ascii="Times New Roman" w:hAnsi="Times New Roman" w:cs="Times New Roman"/>
          <w:noProof/>
          <w:sz w:val="24"/>
          <w:szCs w:val="24"/>
        </w:rPr>
        <w:t xml:space="preserve"> supports maximum harmonisation of EU insolvency rules, as this would provide businesses operating cross-border (and providing c</w:t>
      </w:r>
      <w:r>
        <w:rPr>
          <w:rFonts w:ascii="Times New Roman" w:hAnsi="Times New Roman" w:cs="Times New Roman"/>
          <w:noProof/>
          <w:sz w:val="24"/>
          <w:szCs w:val="24"/>
        </w:rPr>
        <w:t xml:space="preserve">redit cross-border) with maximum levels of legal certainty, investor protection and cost savings. Independent Retail Europe particularly underlines the importance of protection (absolute priority ranking) of financing for SMEs under restructuring, in case </w:t>
      </w:r>
      <w:r>
        <w:rPr>
          <w:rFonts w:ascii="Times New Roman" w:hAnsi="Times New Roman" w:cs="Times New Roman"/>
          <w:noProof/>
          <w:sz w:val="24"/>
          <w:szCs w:val="24"/>
        </w:rPr>
        <w:t>of recovery proceedings, as well as protection of security and property rights. Harmonisation should also help with reducing the costs and the length of the cross-border proceedings and simplify the formal requirements. It would be also beneficial to intro</w:t>
      </w:r>
      <w:r>
        <w:rPr>
          <w:rFonts w:ascii="Times New Roman" w:hAnsi="Times New Roman" w:cs="Times New Roman"/>
          <w:noProof/>
          <w:sz w:val="24"/>
          <w:szCs w:val="24"/>
        </w:rPr>
        <w:t>duce general principles for defining the viability of a debtor. Moreover, discharge periods should allow an entrepreneur to return to economic life in a reasonable timeframe; a set of objective criteria should be developed to determine when a facilitated d</w:t>
      </w:r>
      <w:r>
        <w:rPr>
          <w:rFonts w:ascii="Times New Roman" w:hAnsi="Times New Roman" w:cs="Times New Roman"/>
          <w:noProof/>
          <w:sz w:val="24"/>
          <w:szCs w:val="24"/>
        </w:rPr>
        <w:t>ischarge should be allowed in order to avoid moral hazard as well as fraudulent bankruptcies (taking also into account the risk of the chosen business). Finally, they stressed the knock-off effect that insolvencies of independent retailers have for the wid</w:t>
      </w:r>
      <w:r>
        <w:rPr>
          <w:rFonts w:ascii="Times New Roman" w:hAnsi="Times New Roman" w:cs="Times New Roman"/>
          <w:noProof/>
          <w:sz w:val="24"/>
          <w:szCs w:val="24"/>
        </w:rPr>
        <w:t xml:space="preserve">er independent group (double punishment) and advocated that the group, with the agreement of the independent retailer should be able to intervene in a restructuring process, including, if necessary, the buy- out of the point of sale. </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EUROCHAMBERS</w:t>
      </w:r>
      <w:r>
        <w:rPr>
          <w:rFonts w:ascii="Times New Roman" w:hAnsi="Times New Roman" w:cs="Times New Roman"/>
          <w:noProof/>
          <w:sz w:val="24"/>
          <w:szCs w:val="24"/>
        </w:rPr>
        <w:t xml:space="preserve"> stresses</w:t>
      </w:r>
      <w:r>
        <w:rPr>
          <w:rFonts w:ascii="Times New Roman" w:hAnsi="Times New Roman" w:cs="Times New Roman"/>
          <w:noProof/>
          <w:sz w:val="24"/>
          <w:szCs w:val="24"/>
        </w:rPr>
        <w:t xml:space="preserve"> that effective national insolvency systems are crucial for business and underlines the increasing risks for payment recovery in cross-border businesses. Insolvency frameworks that allow for early access to restructuring, strengthening the position of secu</w:t>
      </w:r>
      <w:r>
        <w:rPr>
          <w:rFonts w:ascii="Times New Roman" w:hAnsi="Times New Roman" w:cs="Times New Roman"/>
          <w:noProof/>
          <w:sz w:val="24"/>
          <w:szCs w:val="24"/>
        </w:rPr>
        <w:t>red creditors and introducing flexible and less costly out-of-court procedures would reduce the overall default rates. However, EUROCHAMBERS is not convinced that there is a clear justification for EU competence for harmonisation in this area, but efficien</w:t>
      </w:r>
      <w:r>
        <w:rPr>
          <w:rFonts w:ascii="Times New Roman" w:hAnsi="Times New Roman" w:cs="Times New Roman"/>
          <w:noProof/>
          <w:sz w:val="24"/>
          <w:szCs w:val="24"/>
        </w:rPr>
        <w:t>cy in insolvency laws should be rather achieved through guidance and pressure from the European semester process. EUROCHAMBERS supports the idea of introducing interconnected insolvency registers that would include information for creditors as well as suff</w:t>
      </w:r>
      <w:r>
        <w:rPr>
          <w:rFonts w:ascii="Times New Roman" w:hAnsi="Times New Roman" w:cs="Times New Roman"/>
          <w:noProof/>
          <w:sz w:val="24"/>
          <w:szCs w:val="24"/>
        </w:rPr>
        <w:t>icient information available online on all applicable legal frameworks. Finally, they encourage initiatives for professional support including mentoring, training and advising entrepreneurs in financial distress and believe that both consumers and entrepre</w:t>
      </w:r>
      <w:r>
        <w:rPr>
          <w:rFonts w:ascii="Times New Roman" w:hAnsi="Times New Roman" w:cs="Times New Roman"/>
          <w:noProof/>
          <w:sz w:val="24"/>
          <w:szCs w:val="24"/>
        </w:rPr>
        <w:t>neurs should have the possibility to restructure debts under certain conditions.</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European Trade Union Confederation (ETUC)</w:t>
      </w:r>
      <w:r>
        <w:rPr>
          <w:rFonts w:ascii="Times New Roman" w:hAnsi="Times New Roman" w:cs="Times New Roman"/>
          <w:noProof/>
          <w:sz w:val="24"/>
          <w:szCs w:val="24"/>
        </w:rPr>
        <w:t xml:space="preserve"> underlines the importance of protecting employees' rights in insolvency. They stress the severe direct and indirect effects of insolv</w:t>
      </w:r>
      <w:r>
        <w:rPr>
          <w:rFonts w:ascii="Times New Roman" w:hAnsi="Times New Roman" w:cs="Times New Roman"/>
          <w:noProof/>
          <w:sz w:val="24"/>
          <w:szCs w:val="24"/>
        </w:rPr>
        <w:t>ency for employment and for economy in general, due to the knock-off effect. They are generally in favour of preventative restructuring of viable businesses and a second chance approach as described in the Insolvency Recommendation, but they also express s</w:t>
      </w:r>
      <w:r>
        <w:rPr>
          <w:rFonts w:ascii="Times New Roman" w:hAnsi="Times New Roman" w:cs="Times New Roman"/>
          <w:noProof/>
          <w:sz w:val="24"/>
          <w:szCs w:val="24"/>
        </w:rPr>
        <w:t xml:space="preserve">trong concerns regarding certain elements. Particularly, ETUC is concerned to ensure that there is no erosion of existing employee protections, as currently laid down in EU legislation, no alteration of the preferential creditor status of employees and no </w:t>
      </w:r>
      <w:r>
        <w:rPr>
          <w:rFonts w:ascii="Times New Roman" w:hAnsi="Times New Roman" w:cs="Times New Roman"/>
          <w:noProof/>
          <w:sz w:val="24"/>
          <w:szCs w:val="24"/>
        </w:rPr>
        <w:t>misuse about early filing or abuse of second chance with letter box practices. In addition, ETUC states that Member States should be encouraged to set up early warning and advice systems to businesses and also stresses the fundamental issue of consultation</w:t>
      </w:r>
      <w:r>
        <w:rPr>
          <w:rFonts w:ascii="Times New Roman" w:hAnsi="Times New Roman" w:cs="Times New Roman"/>
          <w:noProof/>
          <w:sz w:val="24"/>
          <w:szCs w:val="24"/>
        </w:rPr>
        <w:t xml:space="preserve"> and information of workers. Moreover, they are in favour of establishing a common definition for insolvency, including a reasonable chance of viability test for entry in restructuring, enhancing the rights of employees to be heard and ensuring transparenc</w:t>
      </w:r>
      <w:r>
        <w:rPr>
          <w:rFonts w:ascii="Times New Roman" w:hAnsi="Times New Roman" w:cs="Times New Roman"/>
          <w:noProof/>
          <w:sz w:val="24"/>
          <w:szCs w:val="24"/>
        </w:rPr>
        <w:t>y and external supervision. Furthermore, ETUC fully supports the improvement of supervision of directors’ duties and liability as well as the establishment of minimum standards for Insolvency Practitioners as an aid to increasing the efficiency and effecti</w:t>
      </w:r>
      <w:r>
        <w:rPr>
          <w:rFonts w:ascii="Times New Roman" w:hAnsi="Times New Roman" w:cs="Times New Roman"/>
          <w:noProof/>
          <w:sz w:val="24"/>
          <w:szCs w:val="24"/>
        </w:rPr>
        <w:t>veness of insolvency proceedings. Finally, ETUC is reluctant to a full discharge of debts after a relatively short period of time and is in favour of more stringent rules for dishonest entrepreneurs.</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European Association of Craft, Small and Medium-Sized En</w:t>
      </w:r>
      <w:r>
        <w:rPr>
          <w:rFonts w:ascii="Times New Roman" w:hAnsi="Times New Roman" w:cs="Times New Roman"/>
          <w:b/>
          <w:noProof/>
          <w:sz w:val="24"/>
          <w:szCs w:val="24"/>
        </w:rPr>
        <w:t>terprises (EUAPME)</w:t>
      </w:r>
      <w:r>
        <w:rPr>
          <w:rFonts w:ascii="Times New Roman" w:hAnsi="Times New Roman" w:cs="Times New Roman"/>
          <w:noProof/>
          <w:sz w:val="24"/>
          <w:szCs w:val="24"/>
        </w:rPr>
        <w:t xml:space="preserve"> emphasises that preventive measures that enable viable business to restructure should be a primary consideration for an appropriate insolvency framework in the EU, taking though into account the coherence of the national legal systems an</w:t>
      </w:r>
      <w:r>
        <w:rPr>
          <w:rFonts w:ascii="Times New Roman" w:hAnsi="Times New Roman" w:cs="Times New Roman"/>
          <w:noProof/>
          <w:sz w:val="24"/>
          <w:szCs w:val="24"/>
        </w:rPr>
        <w:t>d different policies. Particularly, measures ensuring the viability of a debtor, offering assistance for debtors in financial difficulties, raising the degree of recovery rates and improving the efficiency of procedures are crucial. A fair balance of debto</w:t>
      </w:r>
      <w:r>
        <w:rPr>
          <w:rFonts w:ascii="Times New Roman" w:hAnsi="Times New Roman" w:cs="Times New Roman"/>
          <w:noProof/>
          <w:sz w:val="24"/>
          <w:szCs w:val="24"/>
        </w:rPr>
        <w:t>rs' and creditors' interests is needed and companies should be better directed to appropriate proceedings. Insolvency proceedings should be more efficient, quicker, fairer and more cost-effective, particularly for SMEs. In addition, restructuring proceedin</w:t>
      </w:r>
      <w:r>
        <w:rPr>
          <w:rFonts w:ascii="Times New Roman" w:hAnsi="Times New Roman" w:cs="Times New Roman"/>
          <w:noProof/>
          <w:sz w:val="24"/>
          <w:szCs w:val="24"/>
        </w:rPr>
        <w:t>gs should entail the involvement of the court and supervision when creditors' rights are affected, the possibility of a moratorium when it is absolute necessary and cram-down under conditions. However, no interference with ranking of creditors should be fo</w:t>
      </w:r>
      <w:r>
        <w:rPr>
          <w:rFonts w:ascii="Times New Roman" w:hAnsi="Times New Roman" w:cs="Times New Roman"/>
          <w:noProof/>
          <w:sz w:val="24"/>
          <w:szCs w:val="24"/>
        </w:rPr>
        <w:t>reseen. Finally, with regard to discharge, indebted honest individuals should be offered a second chance and access to free or low cost advice, accompanied with adequate safeguards in order to prevent misuse.</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INSOL Europe</w:t>
      </w:r>
      <w:r>
        <w:rPr>
          <w:rFonts w:ascii="Times New Roman" w:hAnsi="Times New Roman" w:cs="Times New Roman"/>
          <w:noProof/>
          <w:sz w:val="24"/>
          <w:szCs w:val="24"/>
        </w:rPr>
        <w:t xml:space="preserve"> agrees that some level of harmonis</w:t>
      </w:r>
      <w:r>
        <w:rPr>
          <w:rFonts w:ascii="Times New Roman" w:hAnsi="Times New Roman" w:cs="Times New Roman"/>
          <w:noProof/>
          <w:sz w:val="24"/>
          <w:szCs w:val="24"/>
        </w:rPr>
        <w:t>ation of preventive measures is desirable and particularly, issues such as rules on the opening of insolvency proceedings, reorganisation plans, avoidance actions, ipso facto clauses and directors liability are important topics apt for harmonisation. INSOL</w:t>
      </w:r>
      <w:r>
        <w:rPr>
          <w:rFonts w:ascii="Times New Roman" w:hAnsi="Times New Roman" w:cs="Times New Roman"/>
          <w:noProof/>
          <w:sz w:val="24"/>
          <w:szCs w:val="24"/>
        </w:rPr>
        <w:t xml:space="preserve"> Europe also advocates for a European Rescue Plan that can be adopted of groups of companies which have opened insolvency proceedings in more than one EU jurisdictions. Moreover, they mention that both measures to protect new financing and measures to prom</w:t>
      </w:r>
      <w:r>
        <w:rPr>
          <w:rFonts w:ascii="Times New Roman" w:hAnsi="Times New Roman" w:cs="Times New Roman"/>
          <w:noProof/>
          <w:sz w:val="24"/>
          <w:szCs w:val="24"/>
        </w:rPr>
        <w:t xml:space="preserve">ote assistance to financially distressed debtors are important and they stress the necessity of introducing minimum standards on avoidance actions. In addition, the availability of debtor-in -possession proceedings is encouraged, but effective supervision </w:t>
      </w:r>
      <w:r>
        <w:rPr>
          <w:rFonts w:ascii="Times New Roman" w:hAnsi="Times New Roman" w:cs="Times New Roman"/>
          <w:noProof/>
          <w:sz w:val="24"/>
          <w:szCs w:val="24"/>
        </w:rPr>
        <w:t>when creditors are stayed from enforcing their rights is advisable.  Furthermore, majorities of creditors should not be able to bind creditors with differing interests, but the court should decide about overruling such vote. They also advocate that a commo</w:t>
      </w:r>
      <w:r>
        <w:rPr>
          <w:rFonts w:ascii="Times New Roman" w:hAnsi="Times New Roman" w:cs="Times New Roman"/>
          <w:noProof/>
          <w:sz w:val="24"/>
          <w:szCs w:val="24"/>
        </w:rPr>
        <w:t xml:space="preserve">n definition of insolvency in the context of the opening of the proceedings is not necessary and they stress that the distinctive criterion between claims which predate the insolvency proceedings and claims which occur during insolvency proceedings should </w:t>
      </w:r>
      <w:r>
        <w:rPr>
          <w:rFonts w:ascii="Times New Roman" w:hAnsi="Times New Roman" w:cs="Times New Roman"/>
          <w:noProof/>
          <w:sz w:val="24"/>
          <w:szCs w:val="24"/>
        </w:rPr>
        <w:t>be harmonized. Nevertheless, they are not in favour of statutory rules on assessment of a debtors' viability or any minimum standards on IPs, judges, courts and ranking of claims. Finally, the opportunity for honest individuals to obtain a discharge should</w:t>
      </w:r>
      <w:r>
        <w:rPr>
          <w:rFonts w:ascii="Times New Roman" w:hAnsi="Times New Roman" w:cs="Times New Roman"/>
          <w:noProof/>
          <w:sz w:val="24"/>
          <w:szCs w:val="24"/>
        </w:rPr>
        <w:t xml:space="preserve"> be given to both consumers and entrepreneurs under the same conditions and access to cheap or low cost advice should be available for SMEs and individuals.</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Federation of European Business Information Services (FEBIS)</w:t>
      </w:r>
      <w:r>
        <w:rPr>
          <w:rFonts w:ascii="Times New Roman" w:hAnsi="Times New Roman" w:cs="Times New Roman"/>
          <w:noProof/>
          <w:sz w:val="24"/>
          <w:szCs w:val="24"/>
        </w:rPr>
        <w:t xml:space="preserve"> supports that minimum standards on pre</w:t>
      </w:r>
      <w:r>
        <w:rPr>
          <w:rFonts w:ascii="Times New Roman" w:hAnsi="Times New Roman" w:cs="Times New Roman"/>
          <w:noProof/>
          <w:sz w:val="24"/>
          <w:szCs w:val="24"/>
        </w:rPr>
        <w:t>ventive measures to enable the restructuring of viable business, measures to increase the recovery rates of debts in insolvency and measures ensuring the enforcement of debts should be  taken to achieve an appropriate insolvency framework in the EU. They a</w:t>
      </w:r>
      <w:r>
        <w:rPr>
          <w:rFonts w:ascii="Times New Roman" w:hAnsi="Times New Roman" w:cs="Times New Roman"/>
          <w:noProof/>
          <w:sz w:val="24"/>
          <w:szCs w:val="24"/>
        </w:rPr>
        <w:t xml:space="preserve">re in favour of early warning systems, publicity, court involvement, short stay provisions and discharge for all honest individuals with stricter conditions applicable for entrepreneurs. In addition, they stressed the important role of suppliers providing </w:t>
      </w:r>
      <w:r>
        <w:rPr>
          <w:rFonts w:ascii="Times New Roman" w:hAnsi="Times New Roman" w:cs="Times New Roman"/>
          <w:noProof/>
          <w:sz w:val="24"/>
          <w:szCs w:val="24"/>
        </w:rPr>
        <w:t>credit and the necessity to reduce cascade bankruptcies. Finally, they advocate for a better access to finance, enhancing information requirements for SMEs and introducing common accounting standards.</w:t>
      </w:r>
    </w:p>
    <w:p w:rsidR="00B32D69" w:rsidRDefault="00FB661A">
      <w:pPr>
        <w:pStyle w:val="ManualHeading2"/>
        <w:rPr>
          <w:rStyle w:val="Emphasis"/>
          <w:i w:val="0"/>
          <w:noProof/>
        </w:rPr>
      </w:pPr>
      <w:bookmarkStart w:id="77" w:name="_Toc463280366"/>
      <w:r>
        <w:rPr>
          <w:rStyle w:val="Emphasis"/>
          <w:noProof/>
        </w:rPr>
        <w:t>2.2.</w:t>
      </w:r>
      <w:r>
        <w:rPr>
          <w:rStyle w:val="Emphasis"/>
          <w:noProof/>
        </w:rPr>
        <w:tab/>
        <w:t>The affectation of internal Market by current rule</w:t>
      </w:r>
      <w:r>
        <w:rPr>
          <w:rStyle w:val="Emphasis"/>
          <w:noProof/>
        </w:rPr>
        <w:t>s</w:t>
      </w:r>
      <w:bookmarkEnd w:id="77"/>
    </w:p>
    <w:p w:rsidR="00B32D69" w:rsidRDefault="00B32D69">
      <w:pPr>
        <w:pStyle w:val="ListParagraph"/>
        <w:spacing w:line="240" w:lineRule="auto"/>
        <w:ind w:left="760"/>
        <w:rPr>
          <w:rFonts w:ascii="Times New Roman" w:hAnsi="Times New Roman" w:cs="Times New Roman"/>
          <w:noProof/>
          <w:sz w:val="24"/>
          <w:szCs w:val="24"/>
        </w:rPr>
      </w:pPr>
    </w:p>
    <w:p w:rsidR="00B32D69" w:rsidRDefault="00FB661A">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lang w:eastAsia="en-GB"/>
        </w:rPr>
        <w:drawing>
          <wp:inline distT="0" distB="0" distL="0" distR="0">
            <wp:extent cx="5711281" cy="3947795"/>
            <wp:effectExtent l="0" t="0" r="22860" b="1460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rFonts w:ascii="Times New Roman" w:hAnsi="Times New Roman" w:cs="Times New Roman"/>
          <w:b/>
          <w:noProof/>
          <w:sz w:val="24"/>
          <w:szCs w:val="24"/>
        </w:rPr>
        <w:t xml:space="preserve"> </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vast majority of those consulted in the public consultation believed that existing differences between the laws of the Member States in all the areas mentioned in the chart above affect the functioning of the Internal Market. Particularly, almost</w:t>
      </w:r>
      <w:r>
        <w:rPr>
          <w:rFonts w:ascii="Times New Roman" w:hAnsi="Times New Roman" w:cs="Times New Roman"/>
          <w:noProof/>
          <w:sz w:val="24"/>
          <w:szCs w:val="24"/>
        </w:rPr>
        <w:t xml:space="preserve"> half of them indicate that differences in the areas of preventive measures and measures increasing the recovery of debts affect to a large or a considerable extent the functioning of the Internal Market. Very few claimed that divergence in the laws of the</w:t>
      </w:r>
      <w:r>
        <w:rPr>
          <w:rFonts w:ascii="Times New Roman" w:hAnsi="Times New Roman" w:cs="Times New Roman"/>
          <w:noProof/>
          <w:sz w:val="24"/>
          <w:szCs w:val="24"/>
        </w:rPr>
        <w:t xml:space="preserve"> Member States in those areas does not pose any barriers to the functioning of the Internal Market.</w:t>
      </w:r>
    </w:p>
    <w:p w:rsidR="00B32D69" w:rsidRDefault="00FB661A">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public consultation and the dedicated stakeholders meetings, all the stakeholders agreed that timely access to preventive (restructuring) proceedings</w:t>
      </w:r>
      <w:r>
        <w:rPr>
          <w:rFonts w:ascii="Times New Roman" w:hAnsi="Times New Roman" w:cs="Times New Roman"/>
          <w:noProof/>
          <w:sz w:val="24"/>
          <w:szCs w:val="24"/>
        </w:rPr>
        <w:t xml:space="preserve"> is a key issue in order to avert the insolvency of economically viable business. The majority was in favour of a minimum broad standards harmonisation, whilst allowing Member States flexibility as to how those standards are applied in practice, without af</w:t>
      </w:r>
      <w:r>
        <w:rPr>
          <w:rFonts w:ascii="Times New Roman" w:hAnsi="Times New Roman" w:cs="Times New Roman"/>
          <w:noProof/>
          <w:sz w:val="24"/>
          <w:szCs w:val="24"/>
        </w:rPr>
        <w:t>fecting adversely any well-working regimes. In addition, they raised several points where more targeted harmonisation would be useful.</w:t>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In the public consultation, the majority of respondents outlined that a minimum harmonisation of a preventive framework would be helpful providing for consistency, predictability and motivating investment and cross-border transactions. In particular, they </w:t>
      </w:r>
      <w:r>
        <w:rPr>
          <w:rFonts w:ascii="Times New Roman" w:hAnsi="Times New Roman" w:cs="Times New Roman"/>
          <w:noProof/>
          <w:sz w:val="24"/>
          <w:szCs w:val="24"/>
        </w:rPr>
        <w:t xml:space="preserve">argued that: </w:t>
      </w:r>
    </w:p>
    <w:p w:rsidR="00B32D69" w:rsidRDefault="00B32D69">
      <w:pPr>
        <w:autoSpaceDE w:val="0"/>
        <w:autoSpaceDN w:val="0"/>
        <w:adjustRightInd w:val="0"/>
        <w:spacing w:after="0" w:line="240" w:lineRule="auto"/>
        <w:contextualSpacing/>
        <w:jc w:val="both"/>
        <w:rPr>
          <w:rFonts w:ascii="Times New Roman" w:hAnsi="Times New Roman" w:cs="Times New Roman"/>
          <w:noProof/>
          <w:sz w:val="24"/>
          <w:szCs w:val="24"/>
        </w:rPr>
      </w:pPr>
    </w:p>
    <w:p w:rsidR="00B32D69" w:rsidRDefault="00FB661A">
      <w:pPr>
        <w:pStyle w:val="ListParagraph"/>
        <w:numPr>
          <w:ilvl w:val="0"/>
          <w:numId w:val="35"/>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differences between Member States insolvency frameworks can affect exports, imports, investment, cross-border lending and cross-border company groupings.</w:t>
      </w:r>
    </w:p>
    <w:p w:rsidR="00B32D69" w:rsidRDefault="00FB661A">
      <w:pPr>
        <w:pStyle w:val="ListParagraph"/>
        <w:numPr>
          <w:ilvl w:val="0"/>
          <w:numId w:val="36"/>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unpredictability of insolvency proceedings makes it difficult for creditors to </w:t>
      </w:r>
      <w:r>
        <w:rPr>
          <w:rFonts w:ascii="Times New Roman" w:hAnsi="Times New Roman" w:cs="Times New Roman"/>
          <w:noProof/>
          <w:sz w:val="24"/>
          <w:szCs w:val="24"/>
        </w:rPr>
        <w:t>recover value from distressed debts, which contributes to high levels of non-performing loans. The latter weight on a bank’s balance sheet and as a consequence may lead to constrains in its lending activities.</w:t>
      </w:r>
      <w:r>
        <w:rPr>
          <w:rStyle w:val="FootnoteReference"/>
          <w:rFonts w:ascii="Times New Roman" w:hAnsi="Times New Roman"/>
          <w:noProof/>
          <w:sz w:val="24"/>
          <w:szCs w:val="24"/>
        </w:rPr>
        <w:t xml:space="preserve"> </w:t>
      </w:r>
      <w:r>
        <w:rPr>
          <w:rStyle w:val="FootnoteReference"/>
          <w:rFonts w:ascii="Times New Roman" w:hAnsi="Times New Roman"/>
          <w:noProof/>
          <w:sz w:val="24"/>
          <w:szCs w:val="24"/>
        </w:rPr>
        <w:footnoteReference w:id="225"/>
      </w:r>
      <w:r>
        <w:rPr>
          <w:rFonts w:ascii="Times New Roman" w:hAnsi="Times New Roman" w:cs="Times New Roman"/>
          <w:noProof/>
          <w:sz w:val="24"/>
          <w:szCs w:val="24"/>
        </w:rPr>
        <w:t xml:space="preserve"> </w:t>
      </w:r>
    </w:p>
    <w:p w:rsidR="00B32D69" w:rsidRDefault="00FB661A">
      <w:pPr>
        <w:pStyle w:val="ListParagraph"/>
        <w:numPr>
          <w:ilvl w:val="0"/>
          <w:numId w:val="36"/>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Divergences in the laws of the Member State</w:t>
      </w:r>
      <w:r>
        <w:rPr>
          <w:rFonts w:ascii="Times New Roman" w:hAnsi="Times New Roman" w:cs="Times New Roman"/>
          <w:noProof/>
          <w:sz w:val="24"/>
          <w:szCs w:val="24"/>
        </w:rPr>
        <w:t>s raise the cost of financing leading to a fractured Internal Market.</w:t>
      </w:r>
    </w:p>
    <w:p w:rsidR="00B32D69" w:rsidRDefault="00FB661A">
      <w:pPr>
        <w:pStyle w:val="ListParagraph"/>
        <w:numPr>
          <w:ilvl w:val="0"/>
          <w:numId w:val="35"/>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Harmonisation of business failures processing rules may help to encourage an environment in the EU where investors, funds, banks and other stakeholders will be motivated to support relev</w:t>
      </w:r>
      <w:r>
        <w:rPr>
          <w:rFonts w:ascii="Times New Roman" w:hAnsi="Times New Roman" w:cs="Times New Roman"/>
          <w:noProof/>
          <w:sz w:val="24"/>
          <w:szCs w:val="24"/>
        </w:rPr>
        <w:t xml:space="preserve">ant European distressed companies and help them survive and thrive. </w:t>
      </w:r>
    </w:p>
    <w:p w:rsidR="00B32D69" w:rsidRDefault="00FB661A">
      <w:pPr>
        <w:pStyle w:val="ListParagraph"/>
        <w:numPr>
          <w:ilvl w:val="0"/>
          <w:numId w:val="35"/>
        </w:numPr>
        <w:spacing w:line="240" w:lineRule="auto"/>
        <w:jc w:val="both"/>
        <w:rPr>
          <w:rStyle w:val="FootnoteReference"/>
          <w:rFonts w:ascii="Times New Roman" w:hAnsi="Times New Roman"/>
          <w:noProof/>
          <w:sz w:val="24"/>
          <w:szCs w:val="24"/>
        </w:rPr>
      </w:pPr>
      <w:r>
        <w:rPr>
          <w:rFonts w:ascii="Times New Roman" w:hAnsi="Times New Roman" w:cs="Times New Roman"/>
          <w:noProof/>
          <w:sz w:val="24"/>
          <w:szCs w:val="24"/>
        </w:rPr>
        <w:t xml:space="preserve">Investors primarily want certainty of treatment and consistency of application in insolvency. Differences in insolvency regimes may increase uncertainty for investors as well as the cost </w:t>
      </w:r>
      <w:r>
        <w:rPr>
          <w:rFonts w:ascii="Times New Roman" w:hAnsi="Times New Roman" w:cs="Times New Roman"/>
          <w:noProof/>
          <w:sz w:val="24"/>
          <w:szCs w:val="24"/>
        </w:rPr>
        <w:t>of assessment of risks; it can become a deterrent to cross-border corporate investment, since the difficulties of establishing the value of distressed debt may increase the cost at which investors are willing to invest, or even it could discourage investor</w:t>
      </w:r>
      <w:r>
        <w:rPr>
          <w:rFonts w:ascii="Times New Roman" w:hAnsi="Times New Roman" w:cs="Times New Roman"/>
          <w:noProof/>
          <w:sz w:val="24"/>
          <w:szCs w:val="24"/>
        </w:rPr>
        <w:t>s from establishing their business activities in other Member States.</w:t>
      </w:r>
      <w:r>
        <w:rPr>
          <w:rStyle w:val="FootnoteReference"/>
          <w:rFonts w:ascii="Times New Roman" w:hAnsi="Times New Roman"/>
          <w:noProof/>
          <w:sz w:val="24"/>
          <w:szCs w:val="24"/>
        </w:rPr>
        <w:t xml:space="preserve"> </w:t>
      </w:r>
      <w:r>
        <w:rPr>
          <w:rStyle w:val="FootnoteReference"/>
          <w:rFonts w:ascii="Times New Roman" w:hAnsi="Times New Roman"/>
          <w:noProof/>
          <w:sz w:val="24"/>
          <w:szCs w:val="24"/>
        </w:rPr>
        <w:footnoteReference w:id="226"/>
      </w:r>
    </w:p>
    <w:p w:rsidR="00B32D69" w:rsidRDefault="00FB661A">
      <w:pPr>
        <w:pStyle w:val="ListParagraph"/>
        <w:numPr>
          <w:ilvl w:val="0"/>
          <w:numId w:val="35"/>
        </w:numPr>
        <w:spacing w:line="240" w:lineRule="auto"/>
        <w:jc w:val="both"/>
        <w:rPr>
          <w:rStyle w:val="FootnoteReference"/>
          <w:rFonts w:ascii="Times New Roman" w:hAnsi="Times New Roman"/>
          <w:noProof/>
          <w:sz w:val="24"/>
          <w:szCs w:val="24"/>
        </w:rPr>
      </w:pPr>
      <w:r>
        <w:rPr>
          <w:rStyle w:val="FootnoteReference"/>
          <w:rFonts w:ascii="Times New Roman" w:hAnsi="Times New Roman"/>
          <w:noProof/>
          <w:sz w:val="24"/>
          <w:szCs w:val="24"/>
        </w:rPr>
        <w:t xml:space="preserve">Forum shopping and COMI shifts </w:t>
      </w:r>
      <w:r>
        <w:rPr>
          <w:rFonts w:ascii="Times New Roman" w:hAnsi="Times New Roman" w:cs="Times New Roman"/>
          <w:noProof/>
          <w:sz w:val="24"/>
          <w:szCs w:val="24"/>
        </w:rPr>
        <w:t>usually reflect the availability of preventive measures. SMEs are less able to do so.</w:t>
      </w:r>
      <w:r>
        <w:rPr>
          <w:rStyle w:val="FootnoteReference"/>
          <w:rFonts w:ascii="Times New Roman" w:hAnsi="Times New Roman"/>
          <w:noProof/>
          <w:sz w:val="24"/>
          <w:szCs w:val="24"/>
        </w:rPr>
        <w:footnoteReference w:id="227"/>
      </w:r>
      <w:r>
        <w:rPr>
          <w:rFonts w:ascii="Times New Roman" w:hAnsi="Times New Roman" w:cs="Times New Roman"/>
          <w:noProof/>
          <w:sz w:val="24"/>
          <w:szCs w:val="24"/>
        </w:rPr>
        <w:t xml:space="preserve"> Costs from shifting of activities.</w:t>
      </w:r>
      <w:r>
        <w:rPr>
          <w:rStyle w:val="FootnoteReference"/>
          <w:rFonts w:ascii="Times New Roman" w:hAnsi="Times New Roman"/>
          <w:noProof/>
          <w:sz w:val="24"/>
          <w:szCs w:val="24"/>
        </w:rPr>
        <w:footnoteReference w:id="228"/>
      </w:r>
    </w:p>
    <w:p w:rsidR="00B32D69" w:rsidRDefault="00FB661A">
      <w:pPr>
        <w:pStyle w:val="ListParagraph"/>
        <w:numPr>
          <w:ilvl w:val="0"/>
          <w:numId w:val="35"/>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Approximation of preventive me</w:t>
      </w:r>
      <w:r>
        <w:rPr>
          <w:rFonts w:ascii="Times New Roman" w:hAnsi="Times New Roman" w:cs="Times New Roman"/>
          <w:noProof/>
          <w:sz w:val="24"/>
          <w:szCs w:val="24"/>
          <w:lang w:val="en-US"/>
        </w:rPr>
        <w:t>asures would reduce the regulatory arbitrage, preventing the debtors from relocating their center of interest to countries with a more favourable insolvency regime and file there for bankruptcy (“bankruptcy tourism”).</w:t>
      </w:r>
      <w:r>
        <w:rPr>
          <w:rStyle w:val="FootnoteReference"/>
          <w:rFonts w:ascii="Times New Roman" w:hAnsi="Times New Roman"/>
          <w:noProof/>
          <w:sz w:val="24"/>
          <w:szCs w:val="24"/>
          <w:lang w:val="en-US"/>
        </w:rPr>
        <w:footnoteReference w:id="229"/>
      </w:r>
    </w:p>
    <w:p w:rsidR="00B32D69" w:rsidRDefault="00FB661A">
      <w:pPr>
        <w:pStyle w:val="ListParagraph"/>
        <w:numPr>
          <w:ilvl w:val="0"/>
          <w:numId w:val="35"/>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National differences encourage rogue </w:t>
      </w:r>
      <w:r>
        <w:rPr>
          <w:rFonts w:ascii="Times New Roman" w:hAnsi="Times New Roman" w:cs="Times New Roman"/>
          <w:noProof/>
          <w:sz w:val="24"/>
          <w:szCs w:val="24"/>
        </w:rPr>
        <w:t>businesses to strategically establish their registered offices in Member States with "lax" legislation with a view to gain a competitive advantage over other national undertakings. The problem is particularly acute for letterbox companies.</w:t>
      </w:r>
      <w:r>
        <w:rPr>
          <w:rStyle w:val="FootnoteReference"/>
          <w:rFonts w:ascii="Times New Roman" w:hAnsi="Times New Roman"/>
          <w:noProof/>
          <w:sz w:val="24"/>
          <w:szCs w:val="24"/>
        </w:rPr>
        <w:footnoteReference w:id="230"/>
      </w:r>
    </w:p>
    <w:p w:rsidR="00B32D69" w:rsidRDefault="00FB661A">
      <w:pPr>
        <w:pStyle w:val="ListParagraph"/>
        <w:widowControl w:val="0"/>
        <w:numPr>
          <w:ilvl w:val="0"/>
          <w:numId w:val="35"/>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It would allow </w:t>
      </w:r>
      <w:r>
        <w:rPr>
          <w:rFonts w:ascii="Times New Roman" w:hAnsi="Times New Roman" w:cs="Times New Roman"/>
          <w:noProof/>
          <w:sz w:val="24"/>
          <w:szCs w:val="24"/>
          <w:lang w:val="en-US"/>
        </w:rPr>
        <w:t>for more efficient evaluation of the likely outcome of all affected parties, speeding the means for a solution as well as providing greater clarity around valuations at various layers of the capital structure, resulting in an efficient means of risk assess</w:t>
      </w:r>
      <w:r>
        <w:rPr>
          <w:rFonts w:ascii="Times New Roman" w:hAnsi="Times New Roman" w:cs="Times New Roman"/>
          <w:noProof/>
          <w:sz w:val="24"/>
          <w:szCs w:val="24"/>
          <w:lang w:val="en-US"/>
        </w:rPr>
        <w:t>ment and valuation.</w:t>
      </w:r>
      <w:r>
        <w:rPr>
          <w:rStyle w:val="FootnoteReference"/>
          <w:rFonts w:ascii="Times New Roman" w:hAnsi="Times New Roman"/>
          <w:noProof/>
          <w:sz w:val="24"/>
          <w:szCs w:val="24"/>
          <w:lang w:val="en-US"/>
        </w:rPr>
        <w:footnoteReference w:id="231"/>
      </w:r>
    </w:p>
    <w:p w:rsidR="00B32D69" w:rsidRDefault="00FB661A">
      <w:pPr>
        <w:pStyle w:val="ListParagraph"/>
        <w:widowControl w:val="0"/>
        <w:numPr>
          <w:ilvl w:val="0"/>
          <w:numId w:val="35"/>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It would cut down on legal fees and other expenses, the need to forum shop and move corporate headquarters to enable a viable and speedy restructuring.</w:t>
      </w:r>
    </w:p>
    <w:p w:rsidR="00B32D69" w:rsidRDefault="00FB661A">
      <w:pPr>
        <w:pStyle w:val="ListParagraph"/>
        <w:numPr>
          <w:ilvl w:val="0"/>
          <w:numId w:val="35"/>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Debt discharge after a period will allow entrepreneurs second chances and provide a</w:t>
      </w:r>
      <w:r>
        <w:rPr>
          <w:rFonts w:ascii="Times New Roman" w:hAnsi="Times New Roman" w:cs="Times New Roman"/>
          <w:noProof/>
          <w:sz w:val="24"/>
          <w:szCs w:val="24"/>
        </w:rPr>
        <w:t xml:space="preserve"> driver for growth. This should be tempered by ensuring disincentives for dishonest conduct.</w:t>
      </w:r>
      <w:r>
        <w:rPr>
          <w:rStyle w:val="FootnoteReference"/>
          <w:rFonts w:ascii="Times New Roman" w:hAnsi="Times New Roman"/>
          <w:noProof/>
          <w:sz w:val="24"/>
          <w:szCs w:val="24"/>
        </w:rPr>
        <w:footnoteReference w:id="232"/>
      </w:r>
    </w:p>
    <w:p w:rsidR="00B32D69" w:rsidRDefault="00FB661A">
      <w:pPr>
        <w:pStyle w:val="ListParagraph"/>
        <w:numPr>
          <w:ilvl w:val="0"/>
          <w:numId w:val="35"/>
        </w:numPr>
        <w:autoSpaceDE w:val="0"/>
        <w:autoSpaceDN w:val="0"/>
        <w:adjustRightInd w:val="0"/>
        <w:spacing w:after="0" w:line="240" w:lineRule="auto"/>
        <w:jc w:val="both"/>
        <w:rPr>
          <w:rStyle w:val="FootnoteReference"/>
          <w:rFonts w:ascii="Times New Roman" w:hAnsi="Times New Roman"/>
          <w:noProof/>
          <w:sz w:val="24"/>
          <w:szCs w:val="24"/>
        </w:rPr>
      </w:pPr>
      <w:r>
        <w:rPr>
          <w:rFonts w:ascii="Times New Roman" w:hAnsi="Times New Roman" w:cs="Times New Roman"/>
          <w:noProof/>
          <w:sz w:val="24"/>
          <w:szCs w:val="24"/>
        </w:rPr>
        <w:t>Second time entrepreneurs are more successful and operate for longer than start-ups.</w:t>
      </w:r>
    </w:p>
    <w:p w:rsidR="00B32D69" w:rsidRDefault="00FB661A">
      <w:pPr>
        <w:pStyle w:val="ListParagraph"/>
        <w:numPr>
          <w:ilvl w:val="0"/>
          <w:numId w:val="36"/>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Currently, there is a wide disparity within the EU Member States both as rega</w:t>
      </w:r>
      <w:r>
        <w:rPr>
          <w:rFonts w:ascii="Times New Roman" w:hAnsi="Times New Roman" w:cs="Times New Roman"/>
          <w:noProof/>
          <w:sz w:val="24"/>
          <w:szCs w:val="24"/>
        </w:rPr>
        <w:t>rds availability of appropriate rescue tools and, should rescue not be possible, effectiveness of the individual insolvency regimes and thus outcomes for stakeholders. There is anecdotal evidence of centre of main interests shift at the time of failure (fo</w:t>
      </w:r>
      <w:r>
        <w:rPr>
          <w:rFonts w:ascii="Times New Roman" w:hAnsi="Times New Roman" w:cs="Times New Roman"/>
          <w:noProof/>
          <w:sz w:val="24"/>
          <w:szCs w:val="24"/>
        </w:rPr>
        <w:t>r example from Germany or Spain to UK).</w:t>
      </w:r>
      <w:r>
        <w:rPr>
          <w:rStyle w:val="FootnoteReference"/>
          <w:rFonts w:ascii="Times New Roman" w:hAnsi="Times New Roman"/>
          <w:noProof/>
          <w:sz w:val="24"/>
          <w:szCs w:val="24"/>
        </w:rPr>
        <w:footnoteReference w:id="233"/>
      </w:r>
    </w:p>
    <w:p w:rsidR="00B32D69" w:rsidRDefault="00FB661A">
      <w:pPr>
        <w:pStyle w:val="ListParagraph"/>
        <w:numPr>
          <w:ilvl w:val="0"/>
          <w:numId w:val="36"/>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are examples where one members of a group of companies has filed for insolvency because of strict legal requirements in the relevant Member State which has pushed the parent company into insolvency proceedings</w:t>
      </w:r>
      <w:r>
        <w:rPr>
          <w:rFonts w:ascii="Times New Roman" w:hAnsi="Times New Roman" w:cs="Times New Roman"/>
          <w:noProof/>
          <w:sz w:val="24"/>
          <w:szCs w:val="24"/>
        </w:rPr>
        <w:t xml:space="preserve"> in another Member State when a restructuring might otherwise have been possible.</w:t>
      </w:r>
      <w:r>
        <w:rPr>
          <w:rStyle w:val="FootnoteReference"/>
          <w:rFonts w:ascii="Times New Roman" w:hAnsi="Times New Roman"/>
          <w:noProof/>
          <w:sz w:val="24"/>
          <w:szCs w:val="24"/>
        </w:rPr>
        <w:footnoteReference w:id="234"/>
      </w:r>
    </w:p>
    <w:p w:rsidR="00B32D69" w:rsidRDefault="00FB661A">
      <w:pPr>
        <w:pStyle w:val="BodyText"/>
        <w:contextualSpacing/>
        <w:rPr>
          <w:noProof/>
        </w:rPr>
      </w:pPr>
      <w:r>
        <w:rPr>
          <w:noProof/>
        </w:rPr>
        <w:t>However, some concerns were expressed whether a harmonisation in the above-mentioned areas is necessary and whether the above-mentioned differences have a direct effect on t</w:t>
      </w:r>
      <w:r>
        <w:rPr>
          <w:noProof/>
        </w:rPr>
        <w:t>he Internal Market:</w:t>
      </w:r>
    </w:p>
    <w:p w:rsidR="00B32D69" w:rsidRDefault="00B32D69">
      <w:pPr>
        <w:pStyle w:val="BodyText"/>
        <w:contextualSpacing/>
        <w:rPr>
          <w:noProof/>
        </w:rPr>
      </w:pPr>
    </w:p>
    <w:p w:rsidR="00B32D69" w:rsidRDefault="00FB661A">
      <w:pPr>
        <w:pStyle w:val="BodyText"/>
        <w:numPr>
          <w:ilvl w:val="0"/>
          <w:numId w:val="34"/>
        </w:numPr>
        <w:spacing w:after="240" w:line="240" w:lineRule="auto"/>
        <w:contextualSpacing/>
        <w:jc w:val="both"/>
        <w:rPr>
          <w:noProof/>
        </w:rPr>
      </w:pPr>
      <w:r>
        <w:rPr>
          <w:noProof/>
        </w:rPr>
        <w:t xml:space="preserve">A partial harmonisation may undermine the operation of the regime altogether as many aspects of a restructuring are interlinked with the formal insolvency processes or with other areas of law (company law, contract law, employment, </w:t>
      </w:r>
      <w:r>
        <w:rPr>
          <w:noProof/>
        </w:rPr>
        <w:t>labour law, tax law). This may have a limiting effect on the impact of any new measures.</w:t>
      </w:r>
    </w:p>
    <w:p w:rsidR="00B32D69" w:rsidRDefault="00FB661A">
      <w:pPr>
        <w:pStyle w:val="BodyText"/>
        <w:numPr>
          <w:ilvl w:val="0"/>
          <w:numId w:val="34"/>
        </w:numPr>
        <w:spacing w:after="240" w:line="240" w:lineRule="auto"/>
        <w:ind w:left="714" w:hanging="357"/>
        <w:contextualSpacing/>
        <w:jc w:val="both"/>
        <w:rPr>
          <w:noProof/>
        </w:rPr>
      </w:pPr>
      <w:r>
        <w:rPr>
          <w:noProof/>
        </w:rPr>
        <w:t xml:space="preserve">Some of the differences in approach to certain aspects of national insolvency are driven by national social and political considerations and therefore are not readily </w:t>
      </w:r>
      <w:r>
        <w:rPr>
          <w:noProof/>
        </w:rPr>
        <w:t>conducive to being harmonised across the EU socio-economic constructs and cultural differences make certainty and consistency difficult.</w:t>
      </w:r>
    </w:p>
    <w:p w:rsidR="00B32D69" w:rsidRDefault="00FB661A">
      <w:pPr>
        <w:pStyle w:val="BodyText"/>
        <w:numPr>
          <w:ilvl w:val="0"/>
          <w:numId w:val="34"/>
        </w:numPr>
        <w:spacing w:after="240" w:line="240" w:lineRule="auto"/>
        <w:ind w:left="714" w:hanging="357"/>
        <w:contextualSpacing/>
        <w:jc w:val="both"/>
        <w:rPr>
          <w:noProof/>
        </w:rPr>
      </w:pPr>
      <w:r>
        <w:rPr>
          <w:noProof/>
        </w:rPr>
        <w:t>An approach that might weaken the well-functioning approaches in some countries would not be welcome.</w:t>
      </w:r>
    </w:p>
    <w:p w:rsidR="00B32D69" w:rsidRDefault="00FB661A">
      <w:pPr>
        <w:pStyle w:val="BodyText"/>
        <w:numPr>
          <w:ilvl w:val="0"/>
          <w:numId w:val="34"/>
        </w:numPr>
        <w:spacing w:after="240" w:line="240" w:lineRule="auto"/>
        <w:ind w:left="714" w:hanging="357"/>
        <w:contextualSpacing/>
        <w:jc w:val="both"/>
        <w:rPr>
          <w:noProof/>
        </w:rPr>
      </w:pPr>
      <w:r>
        <w:rPr>
          <w:noProof/>
        </w:rPr>
        <w:t>Some insolvency p</w:t>
      </w:r>
      <w:r>
        <w:rPr>
          <w:noProof/>
        </w:rPr>
        <w:t>ractitioners mentioned that investment decisions of enterprises as well as decisions about cross-border transactions are not entirely depended on different features of insolvency law in a specific Member State. The level of risk depends mainly on the finan</w:t>
      </w:r>
      <w:r>
        <w:rPr>
          <w:noProof/>
        </w:rPr>
        <w:t>cial situation of the respective business partner and – if this risk is realised – the efficiency of the applicable insolvency law. The differences in insolvency laws will need to be taken into account when carrying out any risk analysis, but will not nece</w:t>
      </w:r>
      <w:r>
        <w:rPr>
          <w:noProof/>
        </w:rPr>
        <w:t>ssarily be a key focus or determining factor for investors, creditors or debtors.</w:t>
      </w:r>
    </w:p>
    <w:p w:rsidR="00B32D69" w:rsidRDefault="00FB661A">
      <w:pPr>
        <w:pStyle w:val="BodyText"/>
        <w:widowControl w:val="0"/>
        <w:numPr>
          <w:ilvl w:val="0"/>
          <w:numId w:val="34"/>
        </w:numPr>
        <w:autoSpaceDE w:val="0"/>
        <w:autoSpaceDN w:val="0"/>
        <w:adjustRightInd w:val="0"/>
        <w:spacing w:after="0" w:line="240" w:lineRule="auto"/>
        <w:ind w:left="714" w:hanging="357"/>
        <w:contextualSpacing/>
        <w:jc w:val="both"/>
        <w:rPr>
          <w:noProof/>
          <w:lang w:val="en-US"/>
        </w:rPr>
      </w:pPr>
      <w:r>
        <w:rPr>
          <w:noProof/>
        </w:rPr>
        <w:t>Certain measures notably those governing employees’ rights are likely to be rather political and polarising measures and therefore difficult to amend on EU level (e.g. In Fra</w:t>
      </w:r>
      <w:r>
        <w:rPr>
          <w:noProof/>
        </w:rPr>
        <w:t>nce, saving employment is the second priority of French insolvency law, after continuation of activity (first priority) but before settlement of liabilities (third priority).</w:t>
      </w:r>
    </w:p>
    <w:p w:rsidR="00B32D69" w:rsidRDefault="00FB661A">
      <w:pPr>
        <w:pStyle w:val="ListParagraph"/>
        <w:numPr>
          <w:ilvl w:val="0"/>
          <w:numId w:val="34"/>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Differences in the laws of the Member State may only affect the administration an</w:t>
      </w:r>
      <w:r>
        <w:rPr>
          <w:rFonts w:ascii="Times New Roman" w:hAnsi="Times New Roman" w:cs="Times New Roman"/>
          <w:noProof/>
          <w:sz w:val="24"/>
          <w:szCs w:val="24"/>
        </w:rPr>
        <w:t>d the cost of the proceedings.</w:t>
      </w:r>
      <w:r>
        <w:rPr>
          <w:rStyle w:val="FootnoteReference"/>
          <w:rFonts w:ascii="Times New Roman" w:hAnsi="Times New Roman"/>
          <w:noProof/>
          <w:sz w:val="24"/>
          <w:szCs w:val="24"/>
        </w:rPr>
        <w:footnoteReference w:id="235"/>
      </w:r>
    </w:p>
    <w:p w:rsidR="00B32D69" w:rsidRDefault="00FB661A">
      <w:pPr>
        <w:pStyle w:val="ListParagraph"/>
        <w:numPr>
          <w:ilvl w:val="0"/>
          <w:numId w:val="34"/>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Differences in existing regimes are not necessarily problematic in practice, but can be seen as offering a greater variety of options for debtors who operate across borders. For example, English schemes of arrangement have b</w:t>
      </w:r>
      <w:r>
        <w:rPr>
          <w:rFonts w:ascii="Times New Roman" w:hAnsi="Times New Roman" w:cs="Times New Roman"/>
          <w:noProof/>
          <w:sz w:val="24"/>
          <w:szCs w:val="24"/>
        </w:rPr>
        <w:t>een used as a solution for restructuring non-UK companies.</w:t>
      </w:r>
      <w:r>
        <w:rPr>
          <w:rStyle w:val="FootnoteReference"/>
          <w:rFonts w:ascii="Times New Roman" w:hAnsi="Times New Roman"/>
          <w:noProof/>
          <w:sz w:val="24"/>
          <w:szCs w:val="24"/>
        </w:rPr>
        <w:footnoteReference w:id="236"/>
      </w:r>
    </w:p>
    <w:p w:rsidR="00B32D69" w:rsidRDefault="00B32D69">
      <w:pPr>
        <w:pStyle w:val="ListParagraph"/>
        <w:numPr>
          <w:ilvl w:val="0"/>
          <w:numId w:val="34"/>
        </w:numPr>
        <w:spacing w:line="240" w:lineRule="auto"/>
        <w:jc w:val="both"/>
        <w:rPr>
          <w:rFonts w:ascii="Times New Roman" w:hAnsi="Times New Roman" w:cs="Times New Roman"/>
          <w:noProof/>
          <w:sz w:val="24"/>
          <w:szCs w:val="24"/>
        </w:rPr>
      </w:pPr>
    </w:p>
    <w:p w:rsidR="00B32D69" w:rsidRDefault="00FB661A">
      <w:pPr>
        <w:pStyle w:val="ManualHeading2"/>
        <w:rPr>
          <w:rStyle w:val="Emphasis"/>
          <w:i w:val="0"/>
          <w:noProof/>
        </w:rPr>
      </w:pPr>
      <w:bookmarkStart w:id="78" w:name="_Toc463280367"/>
      <w:r>
        <w:rPr>
          <w:rStyle w:val="Emphasis"/>
          <w:noProof/>
        </w:rPr>
        <w:t>2.3.</w:t>
      </w:r>
      <w:r>
        <w:rPr>
          <w:rStyle w:val="Emphasis"/>
          <w:noProof/>
        </w:rPr>
        <w:tab/>
        <w:t>Impact of the proposed measures on the creation of new companies</w:t>
      </w:r>
      <w:bookmarkEnd w:id="78"/>
    </w:p>
    <w:p w:rsidR="00B32D69" w:rsidRDefault="00B32D69">
      <w:pPr>
        <w:pStyle w:val="ListParagraph"/>
        <w:spacing w:line="240" w:lineRule="auto"/>
        <w:ind w:left="760"/>
        <w:rPr>
          <w:rFonts w:ascii="Times New Roman" w:hAnsi="Times New Roman" w:cs="Times New Roman"/>
          <w:noProof/>
          <w:sz w:val="24"/>
          <w:szCs w:val="24"/>
        </w:rPr>
      </w:pPr>
    </w:p>
    <w:p w:rsidR="00B32D69" w:rsidRDefault="00FB661A">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lang w:eastAsia="en-GB"/>
        </w:rPr>
        <w:drawing>
          <wp:inline distT="0" distB="0" distL="0" distR="0">
            <wp:extent cx="5709037" cy="3053300"/>
            <wp:effectExtent l="0" t="0" r="25400" b="1397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majority of those consulted in the public consultation, stressed that all the measures mentioned above have an impact </w:t>
      </w:r>
      <w:r>
        <w:rPr>
          <w:rFonts w:ascii="Times New Roman" w:hAnsi="Times New Roman" w:cs="Times New Roman"/>
          <w:noProof/>
          <w:sz w:val="24"/>
          <w:szCs w:val="24"/>
          <w:lang w:val="en-US"/>
        </w:rPr>
        <w:t>on the creation and operations of newly established companies. Particularly, more than one third believed that preventive measures to enable restructuring of viable business, measures to increase the recovery of debts in insolvency and ensure enforcement o</w:t>
      </w:r>
      <w:r>
        <w:rPr>
          <w:rFonts w:ascii="Times New Roman" w:hAnsi="Times New Roman" w:cs="Times New Roman"/>
          <w:noProof/>
          <w:sz w:val="24"/>
          <w:szCs w:val="24"/>
          <w:lang w:val="en-US"/>
        </w:rPr>
        <w:t>f debts as well as measures to ensure discharge for entrepreneurs affect to a large or a considerable extent the creation and operations of newly established companies.</w:t>
      </w:r>
    </w:p>
    <w:p w:rsidR="00B32D69" w:rsidRDefault="00FB661A">
      <w:pPr>
        <w:pStyle w:val="ListParagraph"/>
        <w:widowControl w:val="0"/>
        <w:numPr>
          <w:ilvl w:val="0"/>
          <w:numId w:val="37"/>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On the one hand, the impact of the measures mentioned above was deemed considerable for</w:t>
      </w:r>
      <w:r>
        <w:rPr>
          <w:rFonts w:ascii="Times New Roman" w:hAnsi="Times New Roman" w:cs="Times New Roman"/>
          <w:noProof/>
          <w:sz w:val="24"/>
          <w:szCs w:val="24"/>
          <w:lang w:val="en-US"/>
        </w:rPr>
        <w:t xml:space="preserve"> start-ups since access to credit can be facilitated. Providers of equity and debt capital to new and growing businesses will be more willing to invest when their rights are clear and there is predictability and transparency of the process especially for m</w:t>
      </w:r>
      <w:r>
        <w:rPr>
          <w:rFonts w:ascii="Times New Roman" w:hAnsi="Times New Roman" w:cs="Times New Roman"/>
          <w:noProof/>
          <w:sz w:val="24"/>
          <w:szCs w:val="24"/>
          <w:lang w:val="en-US"/>
        </w:rPr>
        <w:t>easures that affect debt enforcement. At the same time, it may be easier for business to obtain funding where there is an effective regime across EU for creditor' rights and enforcement of debts.</w:t>
      </w:r>
      <w:r>
        <w:rPr>
          <w:rStyle w:val="FootnoteReference"/>
          <w:rFonts w:ascii="Times New Roman" w:hAnsi="Times New Roman"/>
          <w:noProof/>
          <w:sz w:val="24"/>
          <w:szCs w:val="24"/>
          <w:lang w:val="en-US"/>
        </w:rPr>
        <w:footnoteReference w:id="237"/>
      </w:r>
      <w:r>
        <w:rPr>
          <w:rFonts w:ascii="Times New Roman" w:hAnsi="Times New Roman" w:cs="Times New Roman"/>
          <w:noProof/>
          <w:sz w:val="24"/>
          <w:szCs w:val="24"/>
          <w:lang w:val="en-US"/>
        </w:rPr>
        <w:t xml:space="preserve"> </w:t>
      </w:r>
    </w:p>
    <w:p w:rsidR="00B32D69" w:rsidRDefault="00FB661A">
      <w:pPr>
        <w:pStyle w:val="ListParagraph"/>
        <w:numPr>
          <w:ilvl w:val="0"/>
          <w:numId w:val="37"/>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On the other hand, although the possibility to restructure</w:t>
      </w:r>
      <w:r>
        <w:rPr>
          <w:rFonts w:ascii="Times New Roman" w:hAnsi="Times New Roman" w:cs="Times New Roman"/>
          <w:noProof/>
          <w:sz w:val="24"/>
          <w:szCs w:val="24"/>
          <w:lang w:val="en-US"/>
        </w:rPr>
        <w:t xml:space="preserve"> viable business may have an impact on new companies providing for incentives and confidence to entrepreneurs</w:t>
      </w:r>
      <w:r>
        <w:rPr>
          <w:rStyle w:val="FootnoteReference"/>
          <w:rFonts w:ascii="Times New Roman" w:hAnsi="Times New Roman"/>
          <w:noProof/>
          <w:sz w:val="24"/>
          <w:szCs w:val="24"/>
          <w:lang w:val="en-US"/>
        </w:rPr>
        <w:footnoteReference w:id="238"/>
      </w:r>
      <w:r>
        <w:rPr>
          <w:rFonts w:ascii="Times New Roman" w:hAnsi="Times New Roman" w:cs="Times New Roman"/>
          <w:noProof/>
          <w:sz w:val="24"/>
          <w:szCs w:val="24"/>
          <w:lang w:val="en-US"/>
        </w:rPr>
        <w:t>, it was largely supported that, at the time of establishing a start-up, no significant focus is placed on insolvency regime (except maybe for cer</w:t>
      </w:r>
      <w:r>
        <w:rPr>
          <w:rFonts w:ascii="Times New Roman" w:hAnsi="Times New Roman" w:cs="Times New Roman"/>
          <w:noProof/>
          <w:sz w:val="24"/>
          <w:szCs w:val="24"/>
          <w:lang w:val="en-US"/>
        </w:rPr>
        <w:t>tain considerations of personal liability or very strict discharge regimes), as the possibility of failure is not largely considered by entrepreneurs;</w:t>
      </w:r>
      <w:r>
        <w:rPr>
          <w:rFonts w:ascii="Times New Roman" w:hAnsi="Times New Roman" w:cs="Times New Roman"/>
          <w:noProof/>
          <w:sz w:val="24"/>
          <w:szCs w:val="24"/>
        </w:rPr>
        <w:t xml:space="preserve"> newly formed businesses take into account a variety of different considerations (commercial, financial, o</w:t>
      </w:r>
      <w:r>
        <w:rPr>
          <w:rFonts w:ascii="Times New Roman" w:hAnsi="Times New Roman" w:cs="Times New Roman"/>
          <w:noProof/>
          <w:sz w:val="24"/>
          <w:szCs w:val="24"/>
        </w:rPr>
        <w:t>perational, legal and regulatory) in order to decide in which jurisdiction operations should be located and operate from, but rarely in the areas mentioned above, apart from exceptional cases (e.g. where a new company is used in a restructuring solution fo</w:t>
      </w:r>
      <w:r>
        <w:rPr>
          <w:rFonts w:ascii="Times New Roman" w:hAnsi="Times New Roman" w:cs="Times New Roman"/>
          <w:noProof/>
          <w:sz w:val="24"/>
          <w:szCs w:val="24"/>
        </w:rPr>
        <w:t>r an existing company/special purpose vehicles).</w:t>
      </w:r>
      <w:r>
        <w:rPr>
          <w:rStyle w:val="FootnoteReference"/>
          <w:rFonts w:ascii="Times New Roman" w:hAnsi="Times New Roman"/>
          <w:noProof/>
          <w:sz w:val="24"/>
          <w:szCs w:val="24"/>
        </w:rPr>
        <w:footnoteReference w:id="239"/>
      </w:r>
    </w:p>
    <w:p w:rsidR="00B32D69" w:rsidRDefault="00B32D69">
      <w:pPr>
        <w:pStyle w:val="ListParagraph"/>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pStyle w:val="ListParagraph"/>
        <w:numPr>
          <w:ilvl w:val="0"/>
          <w:numId w:val="37"/>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Other stakeholders were of the view that all the measures mentioned above can have an impact on start-ups in the sense that due to their limited ‘financial buffer’ they are more vulnerable to knock-off ef</w:t>
      </w:r>
      <w:r>
        <w:rPr>
          <w:rFonts w:ascii="Times New Roman" w:hAnsi="Times New Roman" w:cs="Times New Roman"/>
          <w:noProof/>
          <w:sz w:val="24"/>
          <w:szCs w:val="24"/>
        </w:rPr>
        <w:t>fects.</w:t>
      </w:r>
      <w:r>
        <w:rPr>
          <w:rStyle w:val="FootnoteReference"/>
          <w:rFonts w:ascii="Times New Roman" w:hAnsi="Times New Roman"/>
          <w:noProof/>
          <w:sz w:val="24"/>
          <w:szCs w:val="24"/>
        </w:rPr>
        <w:footnoteReference w:id="240"/>
      </w:r>
    </w:p>
    <w:p w:rsidR="00B32D69" w:rsidRDefault="00B32D69">
      <w:pPr>
        <w:pStyle w:val="ListParagraph"/>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Other issues that according to the stakeholders may have an impact on saving viable businesses:</w:t>
      </w:r>
    </w:p>
    <w:p w:rsidR="00B32D69" w:rsidRDefault="00FB661A">
      <w:pPr>
        <w:pStyle w:val="ListParagraph"/>
        <w:numPr>
          <w:ilvl w:val="0"/>
          <w:numId w:val="53"/>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cost of restructuring</w:t>
      </w:r>
    </w:p>
    <w:p w:rsidR="00B32D69" w:rsidRDefault="00FB661A">
      <w:pPr>
        <w:pStyle w:val="ListParagraph"/>
        <w:numPr>
          <w:ilvl w:val="0"/>
          <w:numId w:val="53"/>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availability/range of recognised informal measures</w:t>
      </w:r>
    </w:p>
    <w:p w:rsidR="00B32D69" w:rsidRDefault="00FB661A">
      <w:pPr>
        <w:pStyle w:val="ListParagraph"/>
        <w:numPr>
          <w:ilvl w:val="0"/>
          <w:numId w:val="53"/>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court system in terms of speed, cost and specialisation</w:t>
      </w:r>
    </w:p>
    <w:p w:rsidR="00B32D69" w:rsidRDefault="00FB661A">
      <w:pPr>
        <w:pStyle w:val="ListParagraph"/>
        <w:numPr>
          <w:ilvl w:val="0"/>
          <w:numId w:val="53"/>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abilit</w:t>
      </w:r>
      <w:r>
        <w:rPr>
          <w:rFonts w:ascii="Times New Roman" w:hAnsi="Times New Roman" w:cs="Times New Roman"/>
          <w:noProof/>
          <w:sz w:val="24"/>
          <w:szCs w:val="24"/>
        </w:rPr>
        <w:t>y of qualified and regulated insolvency processionals to lead the restructure/ business rescue</w:t>
      </w:r>
    </w:p>
    <w:p w:rsidR="00B32D69" w:rsidRDefault="00FB661A">
      <w:pPr>
        <w:pStyle w:val="ListParagraph"/>
        <w:numPr>
          <w:ilvl w:val="0"/>
          <w:numId w:val="53"/>
        </w:numPr>
        <w:autoSpaceDE w:val="0"/>
        <w:autoSpaceDN w:val="0"/>
        <w:adjustRightInd w:val="0"/>
        <w:spacing w:after="0" w:line="240" w:lineRule="auto"/>
        <w:jc w:val="both"/>
        <w:rPr>
          <w:rStyle w:val="Emphasis"/>
          <w:rFonts w:ascii="Times New Roman" w:hAnsi="Times New Roman" w:cs="Times New Roman"/>
          <w:i w:val="0"/>
          <w:iCs w:val="0"/>
          <w:noProof/>
          <w:sz w:val="24"/>
          <w:szCs w:val="24"/>
        </w:rPr>
      </w:pPr>
      <w:r>
        <w:rPr>
          <w:rFonts w:ascii="Times New Roman" w:hAnsi="Times New Roman" w:cs="Times New Roman"/>
          <w:noProof/>
          <w:sz w:val="24"/>
          <w:szCs w:val="24"/>
        </w:rPr>
        <w:t>The broader business environment and regulatory regime</w:t>
      </w:r>
    </w:p>
    <w:p w:rsidR="00B32D69" w:rsidRDefault="00FB661A">
      <w:pPr>
        <w:pStyle w:val="ManualHeading2"/>
        <w:rPr>
          <w:rStyle w:val="Emphasis"/>
          <w:i w:val="0"/>
          <w:iCs w:val="0"/>
          <w:noProof/>
        </w:rPr>
      </w:pPr>
      <w:bookmarkStart w:id="79" w:name="_Toc463280368"/>
      <w:r>
        <w:rPr>
          <w:rStyle w:val="Emphasis"/>
          <w:noProof/>
        </w:rPr>
        <w:t>2.4.</w:t>
      </w:r>
      <w:r>
        <w:rPr>
          <w:rStyle w:val="Emphasis"/>
          <w:noProof/>
        </w:rPr>
        <w:tab/>
        <w:t>Impact of the proposed measures on the increase of recovery rates of debts</w:t>
      </w:r>
      <w:bookmarkEnd w:id="79"/>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When asked which measures</w:t>
      </w:r>
      <w:r>
        <w:rPr>
          <w:rFonts w:ascii="Times New Roman" w:hAnsi="Times New Roman" w:cs="Times New Roman"/>
          <w:noProof/>
          <w:sz w:val="24"/>
          <w:szCs w:val="24"/>
          <w:lang w:val="en-US"/>
        </w:rPr>
        <w:t xml:space="preserve"> would contribute to increasing the recovery rates of debts, the respondents to the public consultation replied as follows:</w:t>
      </w:r>
    </w:p>
    <w:p w:rsidR="00B32D69" w:rsidRDefault="00FB661A">
      <w:pPr>
        <w:spacing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eastAsia="en-GB"/>
        </w:rPr>
        <w:drawing>
          <wp:inline distT="0" distB="0" distL="0" distR="0">
            <wp:extent cx="5718502" cy="4039870"/>
            <wp:effectExtent l="0" t="0" r="22225" b="2413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widowControl w:val="0"/>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More than 40% of the respondents supported that all the measures mentioned above would contribute to increasing the recovery rate</w:t>
      </w:r>
      <w:r>
        <w:rPr>
          <w:rFonts w:ascii="Times New Roman" w:hAnsi="Times New Roman" w:cs="Times New Roman"/>
          <w:noProof/>
          <w:sz w:val="24"/>
          <w:szCs w:val="24"/>
          <w:lang w:val="en-US"/>
        </w:rPr>
        <w:t>s of debts. Minimum standards on insolvency practitioners/mediators/supervisors, minimum harmonized rules on avoidance actions, specializations of judges and the length of insolvency proceedings were deemed as more important.</w:t>
      </w:r>
      <w:r>
        <w:rPr>
          <w:rFonts w:ascii="Times New Roman" w:hAnsi="Times New Roman" w:cs="Times New Roman"/>
          <w:noProof/>
          <w:sz w:val="24"/>
          <w:szCs w:val="24"/>
          <w:vertAlign w:val="superscript"/>
          <w:lang w:val="en-US"/>
        </w:rPr>
        <w:footnoteReference w:id="241"/>
      </w:r>
    </w:p>
    <w:p w:rsidR="00B32D69" w:rsidRDefault="00B32D69">
      <w:pPr>
        <w:widowControl w:val="0"/>
        <w:autoSpaceDE w:val="0"/>
        <w:autoSpaceDN w:val="0"/>
        <w:adjustRightInd w:val="0"/>
        <w:spacing w:after="0" w:line="240" w:lineRule="auto"/>
        <w:jc w:val="both"/>
        <w:rPr>
          <w:rFonts w:ascii="Times New Roman" w:hAnsi="Times New Roman" w:cs="Times New Roman"/>
          <w:noProof/>
          <w:color w:val="333333"/>
          <w:sz w:val="24"/>
          <w:szCs w:val="24"/>
          <w:lang w:val="en-US"/>
        </w:rPr>
      </w:pPr>
    </w:p>
    <w:p w:rsidR="00B32D69" w:rsidRDefault="00FB661A">
      <w:pPr>
        <w:widowControl w:val="0"/>
        <w:autoSpaceDE w:val="0"/>
        <w:autoSpaceDN w:val="0"/>
        <w:adjustRightInd w:val="0"/>
        <w:spacing w:after="0" w:line="240" w:lineRule="auto"/>
        <w:jc w:val="both"/>
        <w:rPr>
          <w:rFonts w:ascii="Times New Roman" w:hAnsi="Times New Roman" w:cs="Times New Roman"/>
          <w:noProof/>
          <w:color w:val="333333"/>
          <w:sz w:val="24"/>
          <w:szCs w:val="24"/>
          <w:lang w:val="en-US"/>
        </w:rPr>
      </w:pPr>
      <w:r>
        <w:rPr>
          <w:rFonts w:ascii="Times New Roman" w:hAnsi="Times New Roman" w:cs="Times New Roman"/>
          <w:noProof/>
          <w:color w:val="333333"/>
          <w:sz w:val="24"/>
          <w:szCs w:val="24"/>
          <w:lang w:val="en-US"/>
        </w:rPr>
        <w:t>It was also stated that:</w:t>
      </w:r>
    </w:p>
    <w:p w:rsidR="00B32D69" w:rsidRDefault="00B32D69">
      <w:pPr>
        <w:widowControl w:val="0"/>
        <w:autoSpaceDE w:val="0"/>
        <w:autoSpaceDN w:val="0"/>
        <w:adjustRightInd w:val="0"/>
        <w:spacing w:after="0" w:line="240" w:lineRule="auto"/>
        <w:jc w:val="both"/>
        <w:rPr>
          <w:rFonts w:ascii="Times New Roman" w:hAnsi="Times New Roman" w:cs="Times New Roman"/>
          <w:noProof/>
          <w:color w:val="333333"/>
          <w:sz w:val="24"/>
          <w:szCs w:val="24"/>
          <w:lang w:val="en-US"/>
        </w:rPr>
      </w:pPr>
    </w:p>
    <w:p w:rsidR="00B32D69" w:rsidRDefault="00FB661A">
      <w:pPr>
        <w:widowControl w:val="0"/>
        <w:numPr>
          <w:ilvl w:val="0"/>
          <w:numId w:val="57"/>
        </w:numPr>
        <w:autoSpaceDE w:val="0"/>
        <w:autoSpaceDN w:val="0"/>
        <w:adjustRightInd w:val="0"/>
        <w:spacing w:after="0" w:line="240" w:lineRule="auto"/>
        <w:contextualSpacing/>
        <w:jc w:val="both"/>
        <w:rPr>
          <w:rFonts w:ascii="Times New Roman" w:hAnsi="Times New Roman" w:cs="Times New Roman"/>
          <w:noProof/>
          <w:color w:val="333333"/>
          <w:sz w:val="24"/>
          <w:szCs w:val="24"/>
          <w:lang w:val="en-US"/>
        </w:rPr>
      </w:pPr>
      <w:r>
        <w:rPr>
          <w:rFonts w:ascii="Times New Roman" w:hAnsi="Times New Roman" w:cs="Times New Roman"/>
          <w:noProof/>
          <w:color w:val="333333"/>
          <w:sz w:val="24"/>
          <w:szCs w:val="24"/>
          <w:lang w:val="en-US"/>
        </w:rPr>
        <w:t>Other factors (such as the speed of access to the courts, the predictability of outcome in litigation and the expertise and innovation of insolvency practitioners) are more likely to have an impact on recovery.</w:t>
      </w:r>
      <w:r>
        <w:rPr>
          <w:rFonts w:ascii="Times New Roman" w:hAnsi="Times New Roman" w:cs="Times New Roman"/>
          <w:noProof/>
          <w:color w:val="333333"/>
          <w:sz w:val="24"/>
          <w:szCs w:val="24"/>
          <w:vertAlign w:val="superscript"/>
          <w:lang w:val="en-US"/>
        </w:rPr>
        <w:footnoteReference w:id="242"/>
      </w:r>
    </w:p>
    <w:p w:rsidR="00B32D69" w:rsidRDefault="00FB661A">
      <w:pPr>
        <w:widowControl w:val="0"/>
        <w:numPr>
          <w:ilvl w:val="0"/>
          <w:numId w:val="57"/>
        </w:numPr>
        <w:autoSpaceDE w:val="0"/>
        <w:autoSpaceDN w:val="0"/>
        <w:adjustRightInd w:val="0"/>
        <w:spacing w:after="0" w:line="240" w:lineRule="auto"/>
        <w:contextualSpacing/>
        <w:jc w:val="both"/>
        <w:rPr>
          <w:rFonts w:ascii="Times New Roman" w:hAnsi="Times New Roman" w:cs="Times New Roman"/>
          <w:noProof/>
          <w:color w:val="333333"/>
          <w:sz w:val="24"/>
          <w:szCs w:val="24"/>
          <w:lang w:val="en-US"/>
        </w:rPr>
      </w:pPr>
      <w:r>
        <w:rPr>
          <w:rFonts w:ascii="Times New Roman" w:hAnsi="Times New Roman" w:cs="Times New Roman"/>
          <w:noProof/>
          <w:color w:val="333333"/>
          <w:sz w:val="24"/>
          <w:szCs w:val="24"/>
          <w:lang w:val="en-US"/>
        </w:rPr>
        <w:t xml:space="preserve">Although </w:t>
      </w:r>
      <w:r>
        <w:rPr>
          <w:rFonts w:ascii="Times New Roman" w:hAnsi="Times New Roman" w:cs="Times New Roman"/>
          <w:noProof/>
          <w:sz w:val="24"/>
          <w:szCs w:val="24"/>
          <w:lang w:val="en-US"/>
        </w:rPr>
        <w:t>several of the measures mentioned m</w:t>
      </w:r>
      <w:r>
        <w:rPr>
          <w:rFonts w:ascii="Times New Roman" w:hAnsi="Times New Roman" w:cs="Times New Roman"/>
          <w:noProof/>
          <w:sz w:val="24"/>
          <w:szCs w:val="24"/>
          <w:lang w:val="en-US"/>
        </w:rPr>
        <w:t>ay be necessary to obtain a higher debt recovery rate, there is no need to set minimum standards under European law.</w:t>
      </w:r>
      <w:r>
        <w:rPr>
          <w:rFonts w:ascii="Times New Roman" w:hAnsi="Times New Roman" w:cs="Times New Roman"/>
          <w:noProof/>
          <w:sz w:val="24"/>
          <w:szCs w:val="24"/>
          <w:vertAlign w:val="superscript"/>
          <w:lang w:val="en-US"/>
        </w:rPr>
        <w:footnoteReference w:id="243"/>
      </w:r>
    </w:p>
    <w:p w:rsidR="00B32D69" w:rsidRDefault="00B32D69">
      <w:pPr>
        <w:widowControl w:val="0"/>
        <w:autoSpaceDE w:val="0"/>
        <w:autoSpaceDN w:val="0"/>
        <w:adjustRightInd w:val="0"/>
        <w:spacing w:after="0" w:line="240" w:lineRule="auto"/>
        <w:ind w:left="720"/>
        <w:contextualSpacing/>
        <w:jc w:val="both"/>
        <w:rPr>
          <w:rFonts w:ascii="Times New Roman" w:hAnsi="Times New Roman" w:cs="Times New Roman"/>
          <w:noProof/>
          <w:color w:val="333333"/>
          <w:sz w:val="24"/>
          <w:szCs w:val="24"/>
          <w:lang w:val="en-US"/>
        </w:rPr>
      </w:pPr>
    </w:p>
    <w:p w:rsidR="00B32D69" w:rsidRDefault="00FB661A">
      <w:pPr>
        <w:pStyle w:val="ManualHeading2"/>
        <w:rPr>
          <w:noProof/>
          <w:lang w:val="en-US"/>
        </w:rPr>
      </w:pPr>
      <w:bookmarkStart w:id="80" w:name="_Toc463280369"/>
      <w:r>
        <w:rPr>
          <w:noProof/>
        </w:rPr>
        <w:t>2.5.</w:t>
      </w:r>
      <w:r>
        <w:rPr>
          <w:noProof/>
        </w:rPr>
        <w:tab/>
      </w:r>
      <w:r>
        <w:rPr>
          <w:noProof/>
          <w:lang w:val="en-US"/>
        </w:rPr>
        <w:t>The impact on the problem of non-performing loans</w:t>
      </w:r>
      <w:bookmarkEnd w:id="80"/>
    </w:p>
    <w:p w:rsidR="00B32D69" w:rsidRDefault="00B32D69">
      <w:pPr>
        <w:spacing w:line="240" w:lineRule="auto"/>
        <w:rPr>
          <w:rFonts w:ascii="Times New Roman" w:hAnsi="Times New Roman" w:cs="Times New Roman"/>
          <w:noProof/>
          <w:sz w:val="24"/>
          <w:szCs w:val="24"/>
          <w:lang w:val="en-US"/>
        </w:rPr>
      </w:pP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When asked about which measures would contribute to reducing the problem of non-performing loans, the respondents to the public consultation replied as follows: </w:t>
      </w:r>
    </w:p>
    <w:p w:rsidR="00B32D69" w:rsidRDefault="00FB661A">
      <w:pPr>
        <w:spacing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eastAsia="en-GB"/>
        </w:rPr>
        <w:drawing>
          <wp:inline distT="0" distB="0" distL="0" distR="0">
            <wp:extent cx="5718502" cy="3234690"/>
            <wp:effectExtent l="0" t="25400" r="22225"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majority of those consulted agreed that measures enabling the rescue of viable companies</w:t>
      </w:r>
      <w:r>
        <w:rPr>
          <w:rFonts w:ascii="Times New Roman" w:hAnsi="Times New Roman" w:cs="Times New Roman"/>
          <w:noProof/>
          <w:sz w:val="24"/>
          <w:szCs w:val="24"/>
          <w:lang w:val="en-US"/>
        </w:rPr>
        <w:t xml:space="preserve"> are essential for mitigating the problem of non-performing loans, while less were of the view that measures to improve the effectiveness of insolvency proceedings can also contribute to reducing the problem of non-performing loans.</w:t>
      </w:r>
    </w:p>
    <w:p w:rsidR="00B32D69" w:rsidRDefault="00FB661A">
      <w:pPr>
        <w:pStyle w:val="ListParagraph"/>
        <w:numPr>
          <w:ilvl w:val="0"/>
          <w:numId w:val="23"/>
        </w:num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It was in general stres</w:t>
      </w:r>
      <w:r>
        <w:rPr>
          <w:rFonts w:ascii="Times New Roman" w:hAnsi="Times New Roman" w:cs="Times New Roman"/>
          <w:noProof/>
          <w:sz w:val="24"/>
          <w:szCs w:val="24"/>
          <w:lang w:val="en-US"/>
        </w:rPr>
        <w:t>sed that the problem of NPLs can be dealt more effectively in a system providing for realistic possibilities of an effective restructuring and debt enforcement on the one hand and a prompt discharge of what is not realistically recoverable on the other han</w:t>
      </w:r>
      <w:r>
        <w:rPr>
          <w:rFonts w:ascii="Times New Roman" w:hAnsi="Times New Roman" w:cs="Times New Roman"/>
          <w:noProof/>
          <w:sz w:val="24"/>
          <w:szCs w:val="24"/>
          <w:lang w:val="en-US"/>
        </w:rPr>
        <w:t>d.</w:t>
      </w:r>
    </w:p>
    <w:p w:rsidR="00B32D69" w:rsidRDefault="00FB661A">
      <w:pPr>
        <w:pStyle w:val="ListParagraph"/>
        <w:numPr>
          <w:ilvl w:val="0"/>
          <w:numId w:val="23"/>
        </w:num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Effective insolvency legislation promotes efficient management of non-payments.</w:t>
      </w:r>
      <w:r>
        <w:rPr>
          <w:rStyle w:val="FootnoteReference"/>
          <w:rFonts w:ascii="Times New Roman" w:hAnsi="Times New Roman"/>
          <w:noProof/>
          <w:sz w:val="24"/>
          <w:szCs w:val="24"/>
          <w:lang w:val="en-US"/>
        </w:rPr>
        <w:footnoteReference w:id="244"/>
      </w:r>
    </w:p>
    <w:p w:rsidR="00B32D69" w:rsidRDefault="00FB661A">
      <w:pPr>
        <w:pStyle w:val="ListParagraph"/>
        <w:numPr>
          <w:ilvl w:val="0"/>
          <w:numId w:val="23"/>
        </w:num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More particularly, it was supported that early restructuring measures result in better recovery for lenders since they can allow rescued companies to repay their loans (at </w:t>
      </w:r>
      <w:r>
        <w:rPr>
          <w:rFonts w:ascii="Times New Roman" w:hAnsi="Times New Roman" w:cs="Times New Roman"/>
          <w:noProof/>
          <w:sz w:val="24"/>
          <w:szCs w:val="24"/>
          <w:lang w:val="en-US"/>
        </w:rPr>
        <w:t>least in part) and to continue to make a positive contribution to the economy.</w:t>
      </w:r>
      <w:r>
        <w:rPr>
          <w:rStyle w:val="FootnoteReference"/>
          <w:rFonts w:ascii="Times New Roman" w:hAnsi="Times New Roman"/>
          <w:noProof/>
          <w:sz w:val="24"/>
          <w:szCs w:val="24"/>
          <w:lang w:val="en-US"/>
        </w:rPr>
        <w:footnoteReference w:id="245"/>
      </w:r>
      <w:r>
        <w:rPr>
          <w:rFonts w:ascii="Times New Roman" w:hAnsi="Times New Roman" w:cs="Times New Roman"/>
          <w:noProof/>
          <w:sz w:val="24"/>
          <w:szCs w:val="24"/>
          <w:lang w:val="en-US"/>
        </w:rPr>
        <w:t xml:space="preserve"> </w:t>
      </w:r>
    </w:p>
    <w:p w:rsidR="00B32D69" w:rsidRDefault="00FB661A">
      <w:pPr>
        <w:pStyle w:val="ListParagraph"/>
        <w:numPr>
          <w:ilvl w:val="0"/>
          <w:numId w:val="23"/>
        </w:num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Timely resort to restructuring well serves the objectives of recovery rates and NPLs.</w:t>
      </w:r>
      <w:r>
        <w:rPr>
          <w:rStyle w:val="FootnoteReference"/>
          <w:rFonts w:ascii="Times New Roman" w:hAnsi="Times New Roman"/>
          <w:noProof/>
          <w:sz w:val="24"/>
          <w:szCs w:val="24"/>
          <w:lang w:val="en-US"/>
        </w:rPr>
        <w:footnoteReference w:id="246"/>
      </w:r>
    </w:p>
    <w:p w:rsidR="00B32D69" w:rsidRDefault="00FB661A">
      <w:pPr>
        <w:pStyle w:val="ListParagraph"/>
        <w:numPr>
          <w:ilvl w:val="0"/>
          <w:numId w:val="23"/>
        </w:num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Creditors and investors' certainty concerning legal outcomes particularly as to the enfo</w:t>
      </w:r>
      <w:r>
        <w:rPr>
          <w:rFonts w:ascii="Times New Roman" w:hAnsi="Times New Roman" w:cs="Times New Roman"/>
          <w:noProof/>
          <w:sz w:val="24"/>
          <w:szCs w:val="24"/>
          <w:lang w:val="en-US"/>
        </w:rPr>
        <w:t>rceability of the loans and the effectiveness of the restructuring initiatives will lead to the efficient resolution of NPLs in Europe.</w:t>
      </w:r>
      <w:r>
        <w:rPr>
          <w:rStyle w:val="FootnoteReference"/>
          <w:rFonts w:ascii="Times New Roman" w:hAnsi="Times New Roman"/>
          <w:noProof/>
          <w:sz w:val="24"/>
          <w:szCs w:val="24"/>
          <w:lang w:val="en-US"/>
        </w:rPr>
        <w:footnoteReference w:id="247"/>
      </w:r>
    </w:p>
    <w:p w:rsidR="00B32D69" w:rsidRDefault="00FB661A">
      <w:pPr>
        <w:pStyle w:val="ListParagraph"/>
        <w:numPr>
          <w:ilvl w:val="0"/>
          <w:numId w:val="23"/>
        </w:num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One of the primary factors for commencing enforcement action is the possibility of a quick enforcement and a degree of </w:t>
      </w:r>
      <w:r>
        <w:rPr>
          <w:rFonts w:ascii="Times New Roman" w:hAnsi="Times New Roman" w:cs="Times New Roman"/>
          <w:noProof/>
          <w:sz w:val="24"/>
          <w:szCs w:val="24"/>
          <w:lang w:val="en-US"/>
        </w:rPr>
        <w:t>certainty on the process and outcome.</w:t>
      </w:r>
      <w:r>
        <w:rPr>
          <w:rStyle w:val="FootnoteReference"/>
          <w:rFonts w:ascii="Times New Roman" w:hAnsi="Times New Roman"/>
          <w:noProof/>
          <w:sz w:val="24"/>
          <w:szCs w:val="24"/>
          <w:lang w:val="en-US"/>
        </w:rPr>
        <w:footnoteReference w:id="248"/>
      </w:r>
    </w:p>
    <w:p w:rsidR="00B32D69" w:rsidRDefault="00FB661A">
      <w:pPr>
        <w:pStyle w:val="ListParagraph"/>
        <w:numPr>
          <w:ilvl w:val="0"/>
          <w:numId w:val="23"/>
        </w:num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Consideration should be given not to impede efficient enforceability of the collateral, because in case a default the collateral backing the credit is deemed as a central element.</w:t>
      </w:r>
      <w:r>
        <w:rPr>
          <w:rStyle w:val="FootnoteReference"/>
          <w:rFonts w:ascii="Times New Roman" w:hAnsi="Times New Roman"/>
          <w:noProof/>
          <w:sz w:val="24"/>
          <w:szCs w:val="24"/>
          <w:lang w:val="en-US"/>
        </w:rPr>
        <w:footnoteReference w:id="249"/>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Other measures mentioned:</w:t>
      </w:r>
    </w:p>
    <w:p w:rsidR="00B32D69" w:rsidRDefault="00FB661A">
      <w:pPr>
        <w:pStyle w:val="ListParagraph"/>
        <w:widowControl w:val="0"/>
        <w:numPr>
          <w:ilvl w:val="0"/>
          <w:numId w:val="44"/>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b/>
          <w:noProof/>
          <w:sz w:val="24"/>
          <w:szCs w:val="24"/>
          <w:lang w:val="en-US"/>
        </w:rPr>
        <w:t xml:space="preserve">Consumer </w:t>
      </w:r>
      <w:r>
        <w:rPr>
          <w:rFonts w:ascii="Times New Roman" w:hAnsi="Times New Roman" w:cs="Times New Roman"/>
          <w:b/>
          <w:noProof/>
          <w:sz w:val="24"/>
          <w:szCs w:val="24"/>
          <w:lang w:val="en-US"/>
        </w:rPr>
        <w:t>and family organisations</w:t>
      </w:r>
      <w:r>
        <w:rPr>
          <w:rFonts w:ascii="Times New Roman" w:hAnsi="Times New Roman" w:cs="Times New Roman"/>
          <w:noProof/>
          <w:sz w:val="24"/>
          <w:szCs w:val="24"/>
          <w:lang w:val="en-US"/>
        </w:rPr>
        <w:t xml:space="preserve"> supported limiting the cost of debt collection to reflect the ‘real costs’ and promote a non-profit model for debt collection and debt advice companies.</w:t>
      </w:r>
    </w:p>
    <w:p w:rsidR="00B32D69" w:rsidRDefault="00FB661A">
      <w:pPr>
        <w:pStyle w:val="ListParagraph"/>
        <w:widowControl w:val="0"/>
        <w:numPr>
          <w:ilvl w:val="0"/>
          <w:numId w:val="44"/>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w:t>
      </w:r>
      <w:r>
        <w:rPr>
          <w:rFonts w:ascii="Times New Roman" w:hAnsi="Times New Roman" w:cs="Times New Roman"/>
          <w:b/>
          <w:noProof/>
          <w:sz w:val="24"/>
          <w:szCs w:val="24"/>
          <w:lang w:val="en-US"/>
        </w:rPr>
        <w:t>European banking sector</w:t>
      </w:r>
      <w:r>
        <w:rPr>
          <w:rFonts w:ascii="Times New Roman" w:hAnsi="Times New Roman" w:cs="Times New Roman"/>
          <w:noProof/>
          <w:sz w:val="24"/>
          <w:szCs w:val="24"/>
          <w:lang w:val="en-US"/>
        </w:rPr>
        <w:t xml:space="preserve"> would welcome strengthening the enforcement framework and protecting secured creditors. In particular, </w:t>
      </w:r>
      <w:r>
        <w:rPr>
          <w:rFonts w:ascii="Times New Roman" w:hAnsi="Times New Roman" w:cs="Times New Roman"/>
          <w:noProof/>
          <w:sz w:val="24"/>
          <w:szCs w:val="24"/>
        </w:rPr>
        <w:t>the adoption of harmonised enabling certain creditors’ claims, at least those secured by a pledge, to be satisfied before the enforcement of contracts u</w:t>
      </w:r>
      <w:r>
        <w:rPr>
          <w:rFonts w:ascii="Times New Roman" w:hAnsi="Times New Roman" w:cs="Times New Roman"/>
          <w:noProof/>
          <w:sz w:val="24"/>
          <w:szCs w:val="24"/>
        </w:rPr>
        <w:t xml:space="preserve">nder insolvency proceedings </w:t>
      </w:r>
      <w:r>
        <w:rPr>
          <w:rFonts w:ascii="Times New Roman" w:hAnsi="Times New Roman" w:cs="Times New Roman"/>
          <w:noProof/>
          <w:sz w:val="24"/>
          <w:szCs w:val="24"/>
          <w:lang w:val="en-US"/>
        </w:rPr>
        <w:t>would</w:t>
      </w:r>
      <w:r>
        <w:rPr>
          <w:rFonts w:ascii="Times New Roman" w:hAnsi="Times New Roman" w:cs="Times New Roman"/>
          <w:noProof/>
          <w:sz w:val="24"/>
          <w:szCs w:val="24"/>
        </w:rPr>
        <w:t xml:space="preserve"> effectively enhance the lenders’ recovery ratio or at least prevent excessive credit deterioration. Moreover, it was suggested that the context of ordinary enforcement procedures should allow the direct/automatic enforceme</w:t>
      </w:r>
      <w:r>
        <w:rPr>
          <w:rFonts w:ascii="Times New Roman" w:hAnsi="Times New Roman" w:cs="Times New Roman"/>
          <w:noProof/>
          <w:sz w:val="24"/>
          <w:szCs w:val="24"/>
        </w:rPr>
        <w:t xml:space="preserve">nt of the claims or part of the claims that have not been objected by the debtor, without any court preliminary consent. Finally, it was advocated to enlarge the scope of the Collateral Directive to include also unlisted financial instruments (e.g. shares </w:t>
      </w:r>
      <w:r>
        <w:rPr>
          <w:rFonts w:ascii="Times New Roman" w:hAnsi="Times New Roman" w:cs="Times New Roman"/>
          <w:noProof/>
          <w:sz w:val="24"/>
          <w:szCs w:val="24"/>
        </w:rPr>
        <w:t>of private companies).</w:t>
      </w:r>
      <w:r>
        <w:rPr>
          <w:rStyle w:val="FootnoteReference"/>
          <w:rFonts w:ascii="Times New Roman" w:hAnsi="Times New Roman"/>
          <w:noProof/>
          <w:sz w:val="24"/>
          <w:szCs w:val="24"/>
        </w:rPr>
        <w:footnoteReference w:id="250"/>
      </w:r>
    </w:p>
    <w:p w:rsidR="00B32D69" w:rsidRDefault="00B32D69">
      <w:pPr>
        <w:spacing w:line="240" w:lineRule="auto"/>
        <w:jc w:val="both"/>
        <w:rPr>
          <w:rFonts w:ascii="Times New Roman" w:hAnsi="Times New Roman" w:cs="Times New Roman"/>
          <w:b/>
          <w:noProof/>
          <w:sz w:val="24"/>
          <w:szCs w:val="24"/>
          <w:lang w:val="en-US"/>
        </w:rPr>
      </w:pPr>
    </w:p>
    <w:p w:rsidR="00B32D69" w:rsidRDefault="00FB661A">
      <w:pPr>
        <w:pStyle w:val="ManualHeading2"/>
        <w:rPr>
          <w:noProof/>
        </w:rPr>
      </w:pPr>
      <w:bookmarkStart w:id="81" w:name="_Toc463280370"/>
      <w:r>
        <w:rPr>
          <w:noProof/>
        </w:rPr>
        <w:t>2.6.</w:t>
      </w:r>
      <w:r>
        <w:rPr>
          <w:noProof/>
        </w:rPr>
        <w:tab/>
      </w:r>
      <w:r>
        <w:rPr>
          <w:rStyle w:val="Emphasis"/>
          <w:noProof/>
        </w:rPr>
        <w:t>Cross-border element and its impact on restructuring</w:t>
      </w:r>
      <w:bookmarkEnd w:id="81"/>
    </w:p>
    <w:p w:rsidR="00B32D69" w:rsidRDefault="00B32D69">
      <w:pPr>
        <w:widowControl w:val="0"/>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widowControl w:val="0"/>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majority of the participants to the public consultation recognised that, as opposed to a purely national situation, the restructuring of a business is very significantl</w:t>
      </w:r>
      <w:r>
        <w:rPr>
          <w:rFonts w:ascii="Times New Roman" w:hAnsi="Times New Roman" w:cs="Times New Roman"/>
          <w:noProof/>
          <w:sz w:val="24"/>
          <w:szCs w:val="24"/>
          <w:lang w:val="en-US"/>
        </w:rPr>
        <w:t>y or significantly affected when creditors are situated in a different Member State(s) than their debtors. On the contrary, very few stated that there is no impact at all.</w:t>
      </w:r>
    </w:p>
    <w:p w:rsidR="00B32D69" w:rsidRDefault="00B32D69">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widowControl w:val="0"/>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Particularly, the majority of the stakeholders mentioned that:</w:t>
      </w:r>
    </w:p>
    <w:p w:rsidR="00B32D69" w:rsidRDefault="00B32D69">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pStyle w:val="ListParagraph"/>
        <w:widowControl w:val="0"/>
        <w:numPr>
          <w:ilvl w:val="0"/>
          <w:numId w:val="38"/>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There are higher co</w:t>
      </w:r>
      <w:r>
        <w:rPr>
          <w:rFonts w:ascii="Times New Roman" w:hAnsi="Times New Roman" w:cs="Times New Roman"/>
          <w:noProof/>
          <w:sz w:val="24"/>
          <w:szCs w:val="24"/>
          <w:lang w:val="en-US"/>
        </w:rPr>
        <w:t>sts and risks for creditors (especially unsophisticated and small ones) participating in cross-border restructuring process (language barrier, professional guidance, possible fees/costs) compared to a purely national situation.</w:t>
      </w:r>
      <w:r>
        <w:rPr>
          <w:rStyle w:val="FootnoteReference"/>
          <w:rFonts w:ascii="Times New Roman" w:hAnsi="Times New Roman"/>
          <w:noProof/>
          <w:sz w:val="24"/>
          <w:szCs w:val="24"/>
          <w:lang w:val="en-US"/>
        </w:rPr>
        <w:footnoteReference w:id="251"/>
      </w:r>
    </w:p>
    <w:p w:rsidR="00B32D69" w:rsidRDefault="00FB661A">
      <w:pPr>
        <w:pStyle w:val="ListParagraph"/>
        <w:widowControl w:val="0"/>
        <w:numPr>
          <w:ilvl w:val="0"/>
          <w:numId w:val="38"/>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Where creditors are situate</w:t>
      </w:r>
      <w:r>
        <w:rPr>
          <w:rFonts w:ascii="Times New Roman" w:hAnsi="Times New Roman" w:cs="Times New Roman"/>
          <w:noProof/>
          <w:sz w:val="24"/>
          <w:szCs w:val="24"/>
        </w:rPr>
        <w:t xml:space="preserve">d in a different Member State from the debtor, a restructuring will be more complex </w:t>
      </w:r>
      <w:r>
        <w:rPr>
          <w:rFonts w:ascii="Times New Roman" w:hAnsi="Times New Roman" w:cs="Times New Roman"/>
          <w:noProof/>
          <w:sz w:val="24"/>
          <w:szCs w:val="24"/>
          <w:lang w:val="en-US"/>
        </w:rPr>
        <w:t xml:space="preserve">due to various legal uncertainties (such as specificities of the legal regime, including the different treatment of securities in rem, multiple and competing requirements, </w:t>
      </w:r>
      <w:r>
        <w:rPr>
          <w:rFonts w:ascii="Times New Roman" w:hAnsi="Times New Roman" w:cs="Times New Roman"/>
          <w:noProof/>
          <w:sz w:val="24"/>
          <w:szCs w:val="24"/>
          <w:lang w:val="en-US"/>
        </w:rPr>
        <w:t>different time limits).</w:t>
      </w:r>
      <w:r>
        <w:rPr>
          <w:rStyle w:val="FootnoteReference"/>
          <w:rFonts w:ascii="Times New Roman" w:hAnsi="Times New Roman"/>
          <w:noProof/>
          <w:sz w:val="24"/>
          <w:szCs w:val="24"/>
          <w:lang w:val="en-US"/>
        </w:rPr>
        <w:footnoteReference w:id="252"/>
      </w:r>
    </w:p>
    <w:p w:rsidR="00B32D69" w:rsidRDefault="00FB661A">
      <w:pPr>
        <w:pStyle w:val="ListParagraph"/>
        <w:widowControl w:val="0"/>
        <w:numPr>
          <w:ilvl w:val="0"/>
          <w:numId w:val="38"/>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Variations in the requirements between jurisdictions mean that considerable extra costs would have to be incurred by creditors in order to fully understand the process and debtor and creditor rights; this would make it both slower </w:t>
      </w:r>
      <w:r>
        <w:rPr>
          <w:rFonts w:ascii="Times New Roman" w:hAnsi="Times New Roman" w:cs="Times New Roman"/>
          <w:noProof/>
          <w:sz w:val="24"/>
          <w:szCs w:val="24"/>
          <w:lang w:val="en-US"/>
        </w:rPr>
        <w:t>and harder for an external creditor to effectively participate in supporting a debtor.</w:t>
      </w:r>
      <w:r>
        <w:rPr>
          <w:rStyle w:val="FootnoteReference"/>
          <w:rFonts w:ascii="Times New Roman" w:hAnsi="Times New Roman"/>
          <w:noProof/>
          <w:sz w:val="24"/>
          <w:szCs w:val="24"/>
          <w:lang w:val="en-US"/>
        </w:rPr>
        <w:footnoteReference w:id="253"/>
      </w:r>
    </w:p>
    <w:p w:rsidR="00B32D69" w:rsidRDefault="00FB661A">
      <w:pPr>
        <w:pStyle w:val="ListParagraph"/>
        <w:widowControl w:val="0"/>
        <w:numPr>
          <w:ilvl w:val="0"/>
          <w:numId w:val="38"/>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w:t>
      </w:r>
      <w:r>
        <w:rPr>
          <w:rFonts w:ascii="Times New Roman" w:hAnsi="Times New Roman" w:cs="Times New Roman"/>
          <w:noProof/>
          <w:sz w:val="24"/>
          <w:szCs w:val="24"/>
        </w:rPr>
        <w:t>he difficulty to properly assess the consequences of a crisis, given the lack of harmonized minimum standards on debt enforcement and debt recovery procedures, makes i</w:t>
      </w:r>
      <w:r>
        <w:rPr>
          <w:rFonts w:ascii="Times New Roman" w:hAnsi="Times New Roman" w:cs="Times New Roman"/>
          <w:noProof/>
          <w:sz w:val="24"/>
          <w:szCs w:val="24"/>
        </w:rPr>
        <w:t>t less secure for credit institutions and other investors to invest in other Member States.</w:t>
      </w:r>
    </w:p>
    <w:p w:rsidR="00B32D69" w:rsidRDefault="00B32D69">
      <w:pPr>
        <w:pStyle w:val="ListParagraph"/>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widowControl w:val="0"/>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Other stakeholders argued that:</w:t>
      </w:r>
    </w:p>
    <w:p w:rsidR="00B32D69" w:rsidRDefault="00B32D69">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pStyle w:val="ListParagraph"/>
        <w:widowControl w:val="0"/>
        <w:numPr>
          <w:ilvl w:val="0"/>
          <w:numId w:val="45"/>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Creditor engagement is usually mainly driven by the likely outcome and individual effect on creditors. </w:t>
      </w:r>
    </w:p>
    <w:p w:rsidR="00B32D69" w:rsidRDefault="00FB661A">
      <w:pPr>
        <w:pStyle w:val="ListParagraph"/>
        <w:widowControl w:val="0"/>
        <w:numPr>
          <w:ilvl w:val="0"/>
          <w:numId w:val="45"/>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There can be problems in r</w:t>
      </w:r>
      <w:r>
        <w:rPr>
          <w:rFonts w:ascii="Times New Roman" w:hAnsi="Times New Roman" w:cs="Times New Roman"/>
          <w:noProof/>
          <w:sz w:val="24"/>
          <w:szCs w:val="24"/>
          <w:lang w:val="en-US"/>
        </w:rPr>
        <w:t>elation to proceedings which are outside of the scope of European Regulation on insolvency.</w:t>
      </w:r>
    </w:p>
    <w:p w:rsidR="00B32D69" w:rsidRDefault="00FB661A">
      <w:pPr>
        <w:pStyle w:val="ListParagraph"/>
        <w:widowControl w:val="0"/>
        <w:numPr>
          <w:ilvl w:val="0"/>
          <w:numId w:val="45"/>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overall impact on the restructuring is likely to be low; other than the practical issues of locating and notifying creditors and assessing claims, there is </w:t>
      </w:r>
      <w:r>
        <w:rPr>
          <w:rFonts w:ascii="Times New Roman" w:hAnsi="Times New Roman" w:cs="Times New Roman"/>
          <w:noProof/>
          <w:sz w:val="24"/>
          <w:szCs w:val="24"/>
          <w:lang w:val="en-US"/>
        </w:rPr>
        <w:t>little impact.</w:t>
      </w:r>
    </w:p>
    <w:p w:rsidR="00B32D69" w:rsidRDefault="00FB661A">
      <w:pPr>
        <w:pStyle w:val="ListParagraph"/>
        <w:widowControl w:val="0"/>
        <w:numPr>
          <w:ilvl w:val="0"/>
          <w:numId w:val="45"/>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It is more likely to have an impact on SMEs, </w:t>
      </w:r>
      <w:r>
        <w:rPr>
          <w:rFonts w:ascii="Times New Roman" w:hAnsi="Times New Roman" w:cs="Times New Roman"/>
          <w:noProof/>
          <w:sz w:val="24"/>
          <w:szCs w:val="24"/>
        </w:rPr>
        <w:t>where creditors are more likely to have relatively low stakes. For such creditors, the need to access advice on a restructuring in another Member State, to enable them to participate in that restr</w:t>
      </w:r>
      <w:r>
        <w:rPr>
          <w:rFonts w:ascii="Times New Roman" w:hAnsi="Times New Roman" w:cs="Times New Roman"/>
          <w:noProof/>
          <w:sz w:val="24"/>
          <w:szCs w:val="24"/>
        </w:rPr>
        <w:t>ucturing, may not be cost effective given the likely level of any recovery.</w:t>
      </w:r>
      <w:r>
        <w:rPr>
          <w:rStyle w:val="FootnoteReference"/>
          <w:rFonts w:ascii="Times New Roman" w:hAnsi="Times New Roman"/>
          <w:noProof/>
          <w:sz w:val="24"/>
          <w:szCs w:val="24"/>
          <w:lang w:val="en-US"/>
        </w:rPr>
        <w:footnoteReference w:id="254"/>
      </w:r>
    </w:p>
    <w:p w:rsidR="00B32D69" w:rsidRDefault="00FB661A">
      <w:pPr>
        <w:pStyle w:val="ManualHeading2"/>
        <w:rPr>
          <w:noProof/>
        </w:rPr>
      </w:pPr>
      <w:bookmarkStart w:id="82" w:name="_Toc463280371"/>
      <w:r>
        <w:rPr>
          <w:noProof/>
        </w:rPr>
        <w:t>2.7.</w:t>
      </w:r>
      <w:r>
        <w:rPr>
          <w:noProof/>
        </w:rPr>
        <w:tab/>
      </w:r>
      <w:r>
        <w:rPr>
          <w:rStyle w:val="Emphasis"/>
          <w:noProof/>
        </w:rPr>
        <w:t>The characteristics of an appropriate restructuring framework at EU level</w:t>
      </w:r>
      <w:bookmarkEnd w:id="82"/>
    </w:p>
    <w:p w:rsidR="00B32D69" w:rsidRDefault="00FB661A">
      <w:pPr>
        <w:pStyle w:val="ManualHeading3"/>
        <w:rPr>
          <w:rStyle w:val="SubtleEmphasis"/>
          <w:i/>
          <w:noProof/>
          <w:color w:val="auto"/>
        </w:rPr>
      </w:pPr>
      <w:bookmarkStart w:id="83" w:name="_Toc463280372"/>
      <w:r>
        <w:rPr>
          <w:rStyle w:val="SubtleEmphasis"/>
          <w:noProof/>
        </w:rPr>
        <w:t>2.7.1.</w:t>
      </w:r>
      <w:r>
        <w:rPr>
          <w:rStyle w:val="SubtleEmphasis"/>
          <w:noProof/>
        </w:rPr>
        <w:tab/>
      </w:r>
      <w:r>
        <w:rPr>
          <w:rStyle w:val="SubtleEmphasis"/>
          <w:noProof/>
          <w:color w:val="auto"/>
        </w:rPr>
        <w:t>Situation of debtors</w:t>
      </w:r>
      <w:bookmarkEnd w:id="83"/>
      <w:r>
        <w:rPr>
          <w:rStyle w:val="SubtleEmphasis"/>
          <w:noProof/>
          <w:color w:val="auto"/>
        </w:rPr>
        <w:t xml:space="preserve"> </w:t>
      </w:r>
    </w:p>
    <w:p w:rsidR="00B32D69" w:rsidRDefault="00B32D69">
      <w:pPr>
        <w:spacing w:line="240" w:lineRule="auto"/>
        <w:jc w:val="both"/>
        <w:rPr>
          <w:rFonts w:ascii="Times New Roman" w:hAnsi="Times New Roman" w:cs="Times New Roman"/>
          <w:noProof/>
          <w:sz w:val="24"/>
          <w:szCs w:val="24"/>
        </w:rPr>
      </w:pP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In the performed public consultation, the majority of the respondents were in favour of having the possibility of </w:t>
      </w:r>
      <w:r>
        <w:rPr>
          <w:rFonts w:ascii="Times New Roman" w:hAnsi="Times New Roman" w:cs="Times New Roman"/>
          <w:b/>
          <w:noProof/>
          <w:sz w:val="24"/>
          <w:szCs w:val="24"/>
          <w:lang w:val="en-US"/>
        </w:rPr>
        <w:t>early restructuring</w:t>
      </w:r>
      <w:r>
        <w:rPr>
          <w:rFonts w:ascii="Times New Roman" w:hAnsi="Times New Roman" w:cs="Times New Roman"/>
          <w:noProof/>
          <w:sz w:val="24"/>
          <w:szCs w:val="24"/>
          <w:lang w:val="en-US"/>
        </w:rPr>
        <w:t xml:space="preserve"> (before the debtor is insolvent, but where there is a likelihood of imminent insolvency),</w:t>
      </w:r>
      <w:r>
        <w:rPr>
          <w:rFonts w:ascii="Times New Roman" w:hAnsi="Times New Roman" w:cs="Times New Roman"/>
          <w:noProof/>
          <w:sz w:val="24"/>
          <w:szCs w:val="24"/>
          <w:vertAlign w:val="superscript"/>
          <w:lang w:val="en-US"/>
        </w:rPr>
        <w:footnoteReference w:id="255"/>
      </w:r>
      <w:r>
        <w:rPr>
          <w:rFonts w:ascii="Times New Roman" w:hAnsi="Times New Roman" w:cs="Times New Roman"/>
          <w:noProof/>
          <w:sz w:val="24"/>
          <w:szCs w:val="24"/>
          <w:lang w:val="en-US"/>
        </w:rPr>
        <w:t xml:space="preserve"> less stressed that restructurin</w:t>
      </w:r>
      <w:r>
        <w:rPr>
          <w:rFonts w:ascii="Times New Roman" w:hAnsi="Times New Roman" w:cs="Times New Roman"/>
          <w:noProof/>
          <w:sz w:val="24"/>
          <w:szCs w:val="24"/>
          <w:lang w:val="en-US"/>
        </w:rPr>
        <w:t>g should be available at any time</w:t>
      </w:r>
      <w:r>
        <w:rPr>
          <w:rFonts w:ascii="Times New Roman" w:hAnsi="Times New Roman" w:cs="Times New Roman"/>
          <w:noProof/>
          <w:sz w:val="24"/>
          <w:szCs w:val="24"/>
          <w:vertAlign w:val="superscript"/>
          <w:lang w:val="en-US"/>
        </w:rPr>
        <w:footnoteReference w:id="256"/>
      </w:r>
      <w:r>
        <w:rPr>
          <w:rFonts w:ascii="Times New Roman" w:hAnsi="Times New Roman" w:cs="Times New Roman"/>
          <w:noProof/>
          <w:sz w:val="24"/>
          <w:szCs w:val="24"/>
          <w:lang w:val="en-US"/>
        </w:rPr>
        <w:t>, while very few were of the view that only already insolvent debtors should be eligible for restructuring.</w:t>
      </w:r>
      <w:r>
        <w:rPr>
          <w:rFonts w:ascii="Times New Roman" w:hAnsi="Times New Roman" w:cs="Times New Roman"/>
          <w:noProof/>
          <w:sz w:val="24"/>
          <w:szCs w:val="24"/>
          <w:vertAlign w:val="superscript"/>
          <w:lang w:val="en-US"/>
        </w:rPr>
        <w:footnoteReference w:id="257"/>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particular, the majority of stakeholders stressed that it is fundamental that both the failing viability of th</w:t>
      </w:r>
      <w:r>
        <w:rPr>
          <w:rFonts w:ascii="Times New Roman" w:hAnsi="Times New Roman" w:cs="Times New Roman"/>
          <w:noProof/>
          <w:sz w:val="24"/>
          <w:szCs w:val="24"/>
          <w:lang w:val="en-US"/>
        </w:rPr>
        <w:t>e debtor is identified in sufficient time before collapse, so that restructuring can be put in place, but also that its future viability can be assessed. Moreover, it was clearly mentioned that adequate safeguards should be ensured in order to avoid abuses</w:t>
      </w:r>
      <w:r>
        <w:rPr>
          <w:rFonts w:ascii="Times New Roman" w:hAnsi="Times New Roman" w:cs="Times New Roman"/>
          <w:noProof/>
          <w:sz w:val="24"/>
          <w:szCs w:val="24"/>
          <w:lang w:val="en-US"/>
        </w:rPr>
        <w:t>, such as delaying the onset of insolvency where there is no chance of a successful rescue.</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In the public consultation and the dedicated staleholders' meetings, the </w:t>
      </w:r>
      <w:r>
        <w:rPr>
          <w:rFonts w:ascii="Times New Roman" w:eastAsia="Calibri" w:hAnsi="Times New Roman" w:cs="Times New Roman"/>
          <w:b/>
          <w:noProof/>
          <w:sz w:val="24"/>
          <w:szCs w:val="24"/>
        </w:rPr>
        <w:t>business sector</w:t>
      </w:r>
      <w:r>
        <w:rPr>
          <w:rFonts w:ascii="Times New Roman" w:eastAsia="Calibri" w:hAnsi="Times New Roman" w:cs="Times New Roman"/>
          <w:noProof/>
          <w:sz w:val="24"/>
          <w:szCs w:val="24"/>
        </w:rPr>
        <w:t xml:space="preserve"> (Eurochambers, Independent Retail Europe, EUAPME) was strongly in favour of</w:t>
      </w:r>
      <w:r>
        <w:rPr>
          <w:rFonts w:ascii="Times New Roman" w:eastAsia="Calibri" w:hAnsi="Times New Roman" w:cs="Times New Roman"/>
          <w:noProof/>
          <w:sz w:val="24"/>
          <w:szCs w:val="24"/>
        </w:rPr>
        <w:t xml:space="preserve"> early restructuring for viable businesses when there is a likelihood of insolvency and they underlined the importance for early warning tools. Some business organisations (Independent Retail Europe, EUAPME) also stressed that models for restructuring plan</w:t>
      </w:r>
      <w:r>
        <w:rPr>
          <w:rFonts w:ascii="Times New Roman" w:eastAsia="Calibri" w:hAnsi="Times New Roman" w:cs="Times New Roman"/>
          <w:noProof/>
          <w:sz w:val="24"/>
          <w:szCs w:val="24"/>
        </w:rPr>
        <w:t xml:space="preserve">s could be used as a starting point in order to reduce costs for SMEs, as long as they are optional   and flexible. </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Legal </w:t>
      </w:r>
      <w:r>
        <w:rPr>
          <w:rFonts w:ascii="Times New Roman" w:eastAsia="Calibri" w:hAnsi="Times New Roman" w:cs="Times New Roman"/>
          <w:b/>
          <w:noProof/>
          <w:sz w:val="24"/>
          <w:szCs w:val="24"/>
        </w:rPr>
        <w:t>practitioners</w:t>
      </w:r>
      <w:r>
        <w:rPr>
          <w:rFonts w:ascii="Times New Roman" w:eastAsia="Calibri" w:hAnsi="Times New Roman" w:cs="Times New Roman"/>
          <w:noProof/>
          <w:sz w:val="24"/>
          <w:szCs w:val="24"/>
        </w:rPr>
        <w:t xml:space="preserve">, insolvency practitioners and </w:t>
      </w:r>
      <w:r>
        <w:rPr>
          <w:rFonts w:ascii="Times New Roman" w:eastAsia="Calibri" w:hAnsi="Times New Roman" w:cs="Times New Roman"/>
          <w:b/>
          <w:noProof/>
          <w:sz w:val="24"/>
          <w:szCs w:val="24"/>
        </w:rPr>
        <w:t>academics</w:t>
      </w:r>
      <w:r>
        <w:rPr>
          <w:rFonts w:ascii="Times New Roman" w:eastAsia="Calibri" w:hAnsi="Times New Roman" w:cs="Times New Roman"/>
          <w:noProof/>
          <w:sz w:val="24"/>
          <w:szCs w:val="24"/>
        </w:rPr>
        <w:t xml:space="preserve"> were in favour of early restructuring for viable debtors, when there is a likel</w:t>
      </w:r>
      <w:r>
        <w:rPr>
          <w:rFonts w:ascii="Times New Roman" w:eastAsia="Calibri" w:hAnsi="Times New Roman" w:cs="Times New Roman"/>
          <w:noProof/>
          <w:sz w:val="24"/>
          <w:szCs w:val="24"/>
        </w:rPr>
        <w:t>ihood of insolvency, including when the viability of the business is threatened due to over-indebtedness. They were also in favour of early warning mechanisms and facilitating access to advice. As for the model restructuring plans, although some profession</w:t>
      </w:r>
      <w:r>
        <w:rPr>
          <w:rFonts w:ascii="Times New Roman" w:eastAsia="Calibri" w:hAnsi="Times New Roman" w:cs="Times New Roman"/>
          <w:noProof/>
          <w:sz w:val="24"/>
          <w:szCs w:val="24"/>
        </w:rPr>
        <w:t xml:space="preserve">als (ACCA) expressed feasibility concerns, others (CCBE, ELI) were in favour. </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w:t>
      </w:r>
      <w:r>
        <w:rPr>
          <w:rFonts w:ascii="Times New Roman" w:eastAsia="Calibri" w:hAnsi="Times New Roman" w:cs="Times New Roman"/>
          <w:b/>
          <w:noProof/>
          <w:sz w:val="24"/>
          <w:szCs w:val="24"/>
        </w:rPr>
        <w:t>financial sector</w:t>
      </w:r>
      <w:r>
        <w:rPr>
          <w:rFonts w:ascii="Times New Roman" w:eastAsia="Calibri" w:hAnsi="Times New Roman" w:cs="Times New Roman"/>
          <w:noProof/>
          <w:sz w:val="24"/>
          <w:szCs w:val="24"/>
        </w:rPr>
        <w:t xml:space="preserve"> supported the idea of and advocated for more efficient alert mechanisms, such as tax and social security authorities flagging a negative development of a bu</w:t>
      </w:r>
      <w:r>
        <w:rPr>
          <w:rFonts w:ascii="Times New Roman" w:eastAsia="Calibri" w:hAnsi="Times New Roman" w:cs="Times New Roman"/>
          <w:noProof/>
          <w:sz w:val="24"/>
          <w:szCs w:val="24"/>
        </w:rPr>
        <w:t>siness.</w:t>
      </w:r>
    </w:p>
    <w:p w:rsidR="00B32D69" w:rsidRDefault="00FB661A">
      <w:pPr>
        <w:spacing w:before="240" w:after="240" w:line="240" w:lineRule="auto"/>
        <w:jc w:val="both"/>
        <w:rPr>
          <w:rFonts w:ascii="Times New Roman" w:hAnsi="Times New Roman" w:cs="Times New Roman"/>
          <w:noProof/>
          <w:sz w:val="24"/>
          <w:szCs w:val="24"/>
          <w:lang w:val="en-US"/>
        </w:rPr>
      </w:pPr>
      <w:r>
        <w:rPr>
          <w:rFonts w:ascii="Times New Roman" w:eastAsia="Calibri" w:hAnsi="Times New Roman" w:cs="Times New Roman"/>
          <w:b/>
          <w:noProof/>
          <w:sz w:val="24"/>
          <w:szCs w:val="24"/>
        </w:rPr>
        <w:t>Trade Unions</w:t>
      </w:r>
      <w:r>
        <w:rPr>
          <w:rFonts w:ascii="Times New Roman" w:eastAsia="Calibri" w:hAnsi="Times New Roman" w:cs="Times New Roman"/>
          <w:noProof/>
          <w:sz w:val="24"/>
          <w:szCs w:val="24"/>
        </w:rPr>
        <w:t xml:space="preserve"> agreed that an early restructuring framework should be available to viable debtors in financial difficulties when there is a likelihood of insolvency. However, they reminded of abusive practices by which insolvency proceedings, and in particular restructu</w:t>
      </w:r>
      <w:r>
        <w:rPr>
          <w:rFonts w:ascii="Times New Roman" w:eastAsia="Calibri" w:hAnsi="Times New Roman" w:cs="Times New Roman"/>
          <w:noProof/>
          <w:sz w:val="24"/>
          <w:szCs w:val="24"/>
        </w:rPr>
        <w:t>ring, are deliberately used to evade responsibilities under labour law. An easier access to preventive restructuring framework should be counterbalanced by safeguards against 'tactical insolvencies', for the protection of employees’ rights. Additionally, t</w:t>
      </w:r>
      <w:r>
        <w:rPr>
          <w:rFonts w:ascii="Times New Roman" w:eastAsia="Calibri" w:hAnsi="Times New Roman" w:cs="Times New Roman"/>
          <w:noProof/>
          <w:sz w:val="24"/>
          <w:szCs w:val="24"/>
        </w:rPr>
        <w:t xml:space="preserve">hey advocated that the EU labour </w:t>
      </w:r>
      <w:r>
        <w:rPr>
          <w:rFonts w:ascii="Times New Roman" w:eastAsia="Calibri" w:hAnsi="Times New Roman" w:cs="Times New Roman"/>
          <w:i/>
          <w:noProof/>
          <w:sz w:val="24"/>
          <w:szCs w:val="24"/>
        </w:rPr>
        <w:t>acquis</w:t>
      </w:r>
      <w:r>
        <w:rPr>
          <w:rFonts w:ascii="Times New Roman" w:eastAsia="Calibri" w:hAnsi="Times New Roman" w:cs="Times New Roman"/>
          <w:noProof/>
          <w:sz w:val="24"/>
          <w:szCs w:val="24"/>
        </w:rPr>
        <w:t xml:space="preserve"> should not be affected.</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Most </w:t>
      </w:r>
      <w:r>
        <w:rPr>
          <w:rFonts w:ascii="Times New Roman" w:eastAsia="Calibri" w:hAnsi="Times New Roman" w:cs="Times New Roman"/>
          <w:b/>
          <w:noProof/>
          <w:sz w:val="24"/>
          <w:szCs w:val="24"/>
        </w:rPr>
        <w:t>Member States</w:t>
      </w:r>
      <w:r>
        <w:rPr>
          <w:rFonts w:ascii="Times New Roman" w:eastAsia="Calibri" w:hAnsi="Times New Roman" w:cs="Times New Roman"/>
          <w:noProof/>
          <w:sz w:val="24"/>
          <w:szCs w:val="24"/>
        </w:rPr>
        <w:t xml:space="preserve"> supported the idea of early restructuring already at the time of the Recommendation on restructuring and second chance. In the performed public consultation over 50 % of res</w:t>
      </w:r>
      <w:r>
        <w:rPr>
          <w:rFonts w:ascii="Times New Roman" w:eastAsia="Calibri" w:hAnsi="Times New Roman" w:cs="Times New Roman"/>
          <w:noProof/>
          <w:sz w:val="24"/>
          <w:szCs w:val="24"/>
        </w:rPr>
        <w:t>pondents were in favour of early restructuring procedures while 20% believed that restructuring should be available at any time. Member States</w:t>
      </w:r>
      <w:r>
        <w:rPr>
          <w:rFonts w:ascii="Times New Roman" w:eastAsia="Calibri" w:hAnsi="Times New Roman" w:cs="Times New Roman"/>
          <w:noProof/>
          <w:sz w:val="24"/>
          <w:szCs w:val="24"/>
          <w:vertAlign w:val="superscript"/>
        </w:rPr>
        <w:footnoteReference w:id="258"/>
      </w:r>
      <w:r>
        <w:rPr>
          <w:rFonts w:ascii="Times New Roman" w:eastAsia="Calibri" w:hAnsi="Times New Roman" w:cs="Times New Roman"/>
          <w:noProof/>
          <w:sz w:val="24"/>
          <w:szCs w:val="24"/>
        </w:rPr>
        <w:t xml:space="preserve"> agreed on the necessity of preventive measures enabling early restructuring of viable businesses. During the ded</w:t>
      </w:r>
      <w:r>
        <w:rPr>
          <w:rFonts w:ascii="Times New Roman" w:eastAsia="Calibri" w:hAnsi="Times New Roman" w:cs="Times New Roman"/>
          <w:noProof/>
          <w:sz w:val="24"/>
          <w:szCs w:val="24"/>
        </w:rPr>
        <w:t>icated meetings with the Member States, they were of the view that when the viability of the business is threatened due to over-indebtedness, the businesses should have a right to access an early restructuring framework. However, the majority, if not all (</w:t>
      </w:r>
      <w:r>
        <w:rPr>
          <w:rFonts w:ascii="Times New Roman" w:eastAsia="Calibri" w:hAnsi="Times New Roman" w:cs="Times New Roman"/>
          <w:noProof/>
          <w:sz w:val="24"/>
          <w:szCs w:val="24"/>
        </w:rPr>
        <w:t xml:space="preserve">(AT, EE, FI, DE, IE, PL, PT, ES, SE) were opposed to harmonising the definition of insolvency or that of the likelihood of insolvency. </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addition, all the Member States advocated for early warning mechanisms and tools, but there was no consensus regardin</w:t>
      </w:r>
      <w:r>
        <w:rPr>
          <w:rFonts w:ascii="Times New Roman" w:eastAsia="Calibri" w:hAnsi="Times New Roman" w:cs="Times New Roman"/>
          <w:noProof/>
          <w:sz w:val="24"/>
          <w:szCs w:val="24"/>
        </w:rPr>
        <w:t>g the modalities how these systems should be established and operated (whether they should be funded and monitored by the State or by the private market). As for model restructuring plans, although the majority of Member States expressed concerns regarding</w:t>
      </w:r>
      <w:r>
        <w:rPr>
          <w:rFonts w:ascii="Times New Roman" w:eastAsia="Calibri" w:hAnsi="Times New Roman" w:cs="Times New Roman"/>
          <w:noProof/>
          <w:sz w:val="24"/>
          <w:szCs w:val="24"/>
        </w:rPr>
        <w:t xml:space="preserve"> the effectiveness, they were in favour as long as these checklists are optional and flexible.</w:t>
      </w:r>
    </w:p>
    <w:p w:rsidR="00B32D69" w:rsidRDefault="00FB661A">
      <w:p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Closely related to it was the question about a </w:t>
      </w:r>
      <w:r>
        <w:rPr>
          <w:rFonts w:ascii="Times New Roman" w:hAnsi="Times New Roman" w:cs="Times New Roman"/>
          <w:b/>
          <w:noProof/>
          <w:sz w:val="24"/>
          <w:szCs w:val="24"/>
        </w:rPr>
        <w:t>harmonised definition of insolvency or likelihood of insolvency</w:t>
      </w:r>
      <w:r>
        <w:rPr>
          <w:rFonts w:ascii="Times New Roman" w:hAnsi="Times New Roman" w:cs="Times New Roman"/>
          <w:noProof/>
          <w:sz w:val="24"/>
          <w:szCs w:val="24"/>
        </w:rPr>
        <w:t xml:space="preserve">. In the public consultation, </w:t>
      </w:r>
      <w:r>
        <w:rPr>
          <w:rFonts w:ascii="Times New Roman" w:hAnsi="Times New Roman" w:cs="Times New Roman"/>
          <w:noProof/>
          <w:sz w:val="24"/>
          <w:szCs w:val="24"/>
          <w:lang w:val="en-US"/>
        </w:rPr>
        <w:t>two thirds of those c</w:t>
      </w:r>
      <w:r>
        <w:rPr>
          <w:rFonts w:ascii="Times New Roman" w:hAnsi="Times New Roman" w:cs="Times New Roman"/>
          <w:noProof/>
          <w:sz w:val="24"/>
          <w:szCs w:val="24"/>
          <w:lang w:val="en-US"/>
        </w:rPr>
        <w:t>onsulted were in favour of introducing a common definition of insolvency at EU level, particularly with a view to enhance certainty and predictability for firms and investors across the EU and create a level-playing field for cross border insolvency procee</w:t>
      </w:r>
      <w:r>
        <w:rPr>
          <w:rFonts w:ascii="Times New Roman" w:hAnsi="Times New Roman" w:cs="Times New Roman"/>
          <w:noProof/>
          <w:sz w:val="24"/>
          <w:szCs w:val="24"/>
          <w:lang w:val="en-US"/>
        </w:rPr>
        <w:t>dings.</w:t>
      </w:r>
      <w:r>
        <w:rPr>
          <w:rStyle w:val="FootnoteReference"/>
          <w:rFonts w:ascii="Times New Roman" w:hAnsi="Times New Roman"/>
          <w:noProof/>
          <w:sz w:val="24"/>
          <w:szCs w:val="24"/>
          <w:lang w:val="en-US"/>
        </w:rPr>
        <w:footnoteReference w:id="259"/>
      </w:r>
      <w:r>
        <w:rPr>
          <w:rFonts w:ascii="Times New Roman" w:hAnsi="Times New Roman" w:cs="Times New Roman"/>
          <w:noProof/>
          <w:sz w:val="24"/>
          <w:szCs w:val="24"/>
          <w:lang w:val="en-US"/>
        </w:rPr>
        <w:t xml:space="preserve"> The majority of those consulted were of the view that such a definition should include elements of both a cash flow (liquidity) and a balance sheet test.</w:t>
      </w:r>
    </w:p>
    <w:p w:rsidR="00B32D69" w:rsidRDefault="00B32D69">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However, during the dedicated meetings with the stakeholders, it was highlighted by almost al</w:t>
      </w:r>
      <w:r>
        <w:rPr>
          <w:rFonts w:ascii="Times New Roman" w:hAnsi="Times New Roman" w:cs="Times New Roman"/>
          <w:noProof/>
          <w:sz w:val="24"/>
          <w:szCs w:val="24"/>
          <w:lang w:val="en-US"/>
        </w:rPr>
        <w:t xml:space="preserve">l of them that </w:t>
      </w:r>
      <w:r>
        <w:rPr>
          <w:rFonts w:ascii="Times New Roman" w:hAnsi="Times New Roman" w:cs="Times New Roman"/>
          <w:noProof/>
          <w:sz w:val="24"/>
          <w:szCs w:val="24"/>
        </w:rPr>
        <w:t>whilst some minimum standards might be helpful, it is unlikely to agree in practice on a common definition.</w:t>
      </w:r>
      <w:r>
        <w:rPr>
          <w:rStyle w:val="FootnoteReference"/>
          <w:rFonts w:ascii="Times New Roman" w:hAnsi="Times New Roman"/>
          <w:noProof/>
          <w:sz w:val="24"/>
          <w:szCs w:val="24"/>
        </w:rPr>
        <w:footnoteReference w:id="260"/>
      </w:r>
      <w:r>
        <w:rPr>
          <w:rFonts w:ascii="Times New Roman" w:hAnsi="Times New Roman" w:cs="Times New Roman"/>
          <w:noProof/>
          <w:sz w:val="24"/>
          <w:szCs w:val="24"/>
        </w:rPr>
        <w:t xml:space="preserve"> In this context, some stakeholders argued that the consequences of a company meeting the insolvency definition/test are more important than the definition itself, in particular when there are strict requirements for mandatory filing for insolvency.</w:t>
      </w:r>
      <w:r>
        <w:rPr>
          <w:rFonts w:ascii="Times New Roman" w:hAnsi="Times New Roman" w:cs="Times New Roman"/>
          <w:noProof/>
          <w:sz w:val="24"/>
          <w:szCs w:val="24"/>
          <w:vertAlign w:val="superscript"/>
        </w:rPr>
        <w:footnoteReference w:id="261"/>
      </w:r>
      <w:r>
        <w:rPr>
          <w:rFonts w:ascii="Times New Roman" w:hAnsi="Times New Roman" w:cs="Times New Roman"/>
          <w:noProof/>
          <w:sz w:val="24"/>
          <w:szCs w:val="24"/>
        </w:rPr>
        <w:t xml:space="preserve"> Addit</w:t>
      </w:r>
      <w:r>
        <w:rPr>
          <w:rFonts w:ascii="Times New Roman" w:hAnsi="Times New Roman" w:cs="Times New Roman"/>
          <w:noProof/>
          <w:sz w:val="24"/>
          <w:szCs w:val="24"/>
        </w:rPr>
        <w:t xml:space="preserve">ionally, in the public consultation and the informal meetings with the Member States, most of them were not in favour of harmonising these definitions at EU level. </w:t>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Finally, the experts consulted did not reach a consensus on the need to a common definitio</w:t>
      </w:r>
      <w:r>
        <w:rPr>
          <w:rFonts w:ascii="Times New Roman" w:hAnsi="Times New Roman" w:cs="Times New Roman"/>
          <w:noProof/>
          <w:sz w:val="24"/>
          <w:szCs w:val="24"/>
        </w:rPr>
        <w:t>n of insolvency at EU level. The view expressed was that a definition would not be necessary to access early restructuring proceedings. Most of the experts expressed the view that the future initiative should focus more on trigger elements/criteria, especi</w:t>
      </w:r>
      <w:r>
        <w:rPr>
          <w:rFonts w:ascii="Times New Roman" w:hAnsi="Times New Roman" w:cs="Times New Roman"/>
          <w:noProof/>
          <w:sz w:val="24"/>
          <w:szCs w:val="24"/>
        </w:rPr>
        <w:t>ally for early restructuring procedures.</w:t>
      </w:r>
    </w:p>
    <w:p w:rsidR="00B32D69" w:rsidRDefault="00B32D69">
      <w:pPr>
        <w:autoSpaceDE w:val="0"/>
        <w:autoSpaceDN w:val="0"/>
        <w:adjustRightInd w:val="0"/>
        <w:spacing w:after="0" w:line="240" w:lineRule="auto"/>
        <w:contextualSpacing/>
        <w:jc w:val="both"/>
        <w:rPr>
          <w:rFonts w:ascii="Times New Roman" w:hAnsi="Times New Roman" w:cs="Times New Roman"/>
          <w:noProof/>
          <w:sz w:val="24"/>
          <w:szCs w:val="24"/>
        </w:rPr>
      </w:pPr>
    </w:p>
    <w:p w:rsidR="00B32D69" w:rsidRDefault="00FB661A">
      <w:pPr>
        <w:pStyle w:val="ManualHeading3"/>
        <w:rPr>
          <w:noProof/>
        </w:rPr>
      </w:pPr>
      <w:bookmarkStart w:id="84" w:name="_Toc463280373"/>
      <w:r>
        <w:rPr>
          <w:noProof/>
        </w:rPr>
        <w:t>2.7.2.</w:t>
      </w:r>
      <w:r>
        <w:rPr>
          <w:noProof/>
        </w:rPr>
        <w:tab/>
        <w:t>Involvement of national courts</w:t>
      </w:r>
      <w:bookmarkEnd w:id="84"/>
    </w:p>
    <w:p w:rsidR="00B32D69" w:rsidRDefault="00B32D69">
      <w:pPr>
        <w:spacing w:line="240" w:lineRule="auto"/>
        <w:rPr>
          <w:rFonts w:ascii="Times New Roman" w:hAnsi="Times New Roman" w:cs="Times New Roman"/>
          <w:noProof/>
          <w:sz w:val="24"/>
          <w:szCs w:val="24"/>
        </w:rPr>
      </w:pP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Approximately 45% of the respondents to the public consultation supported that some sort of formal procedure (with the involvement of the court or other competent authority) </w:t>
      </w:r>
      <w:r>
        <w:rPr>
          <w:rFonts w:ascii="Times New Roman" w:hAnsi="Times New Roman" w:cs="Times New Roman"/>
          <w:noProof/>
          <w:sz w:val="24"/>
          <w:szCs w:val="24"/>
          <w:lang w:val="en-US"/>
        </w:rPr>
        <w:t>should be opened when a moratorium is granted or in case of a confirmation of a restructuring plan,</w:t>
      </w:r>
      <w:r>
        <w:rPr>
          <w:rFonts w:ascii="Times New Roman" w:hAnsi="Times New Roman" w:cs="Times New Roman"/>
          <w:noProof/>
          <w:sz w:val="24"/>
          <w:szCs w:val="24"/>
          <w:vertAlign w:val="superscript"/>
          <w:lang w:val="en-US"/>
        </w:rPr>
        <w:footnoteReference w:id="262"/>
      </w:r>
      <w:r>
        <w:rPr>
          <w:rFonts w:ascii="Times New Roman" w:hAnsi="Times New Roman" w:cs="Times New Roman"/>
          <w:noProof/>
          <w:sz w:val="24"/>
          <w:szCs w:val="24"/>
          <w:lang w:val="en-US"/>
        </w:rPr>
        <w:t xml:space="preserve"> while 18% were in favour of a rather flexible process without having the involvement of a court as an absolute requirement</w:t>
      </w:r>
      <w:r>
        <w:rPr>
          <w:rFonts w:ascii="Times New Roman" w:hAnsi="Times New Roman" w:cs="Times New Roman"/>
          <w:noProof/>
          <w:sz w:val="24"/>
          <w:szCs w:val="24"/>
          <w:vertAlign w:val="superscript"/>
          <w:lang w:val="en-US"/>
        </w:rPr>
        <w:footnoteReference w:id="263"/>
      </w:r>
      <w:r>
        <w:rPr>
          <w:rFonts w:ascii="Times New Roman" w:hAnsi="Times New Roman" w:cs="Times New Roman"/>
          <w:noProof/>
          <w:sz w:val="24"/>
          <w:szCs w:val="24"/>
          <w:lang w:val="en-US"/>
        </w:rPr>
        <w:t>. In addition, during the ‘Sound</w:t>
      </w:r>
      <w:r>
        <w:rPr>
          <w:rFonts w:ascii="Times New Roman" w:hAnsi="Times New Roman" w:cs="Times New Roman"/>
          <w:noProof/>
          <w:sz w:val="24"/>
          <w:szCs w:val="24"/>
          <w:lang w:val="en-US"/>
        </w:rPr>
        <w:t xml:space="preserve">ing Board’ meetings, the majority of stakeholders in </w:t>
      </w:r>
      <w:r>
        <w:rPr>
          <w:rFonts w:ascii="Times New Roman" w:hAnsi="Times New Roman" w:cs="Times New Roman"/>
          <w:b/>
          <w:noProof/>
          <w:sz w:val="24"/>
          <w:szCs w:val="24"/>
          <w:lang w:val="en-US"/>
        </w:rPr>
        <w:t>business and financial sector</w:t>
      </w:r>
      <w:r>
        <w:rPr>
          <w:rFonts w:ascii="Times New Roman" w:hAnsi="Times New Roman" w:cs="Times New Roman"/>
          <w:noProof/>
          <w:sz w:val="24"/>
          <w:szCs w:val="24"/>
          <w:lang w:val="en-US"/>
        </w:rPr>
        <w:t xml:space="preserve"> as well as </w:t>
      </w:r>
      <w:r>
        <w:rPr>
          <w:rFonts w:ascii="Times New Roman" w:hAnsi="Times New Roman" w:cs="Times New Roman"/>
          <w:b/>
          <w:noProof/>
          <w:sz w:val="24"/>
          <w:szCs w:val="24"/>
          <w:lang w:val="en-US"/>
        </w:rPr>
        <w:t>professionals in the field of restructuring</w:t>
      </w:r>
      <w:r>
        <w:rPr>
          <w:rFonts w:ascii="Times New Roman" w:hAnsi="Times New Roman" w:cs="Times New Roman"/>
          <w:noProof/>
          <w:sz w:val="24"/>
          <w:szCs w:val="24"/>
          <w:lang w:val="en-US"/>
        </w:rPr>
        <w:t xml:space="preserve"> confirmed that less court-driven procedures may make the restructuring process less rigid, costly and time-consuming.</w:t>
      </w:r>
    </w:p>
    <w:p w:rsidR="00B32D69" w:rsidRDefault="00FB661A">
      <w:p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Particularly, the majority argued that as soon as rights of third parties are affected, (e.g. cram- down or moratorium), court involvement should be required to avoid an abuse of process by the debtor (and consenting creditors).</w:t>
      </w:r>
      <w:r>
        <w:rPr>
          <w:rFonts w:ascii="Times New Roman" w:hAnsi="Times New Roman" w:cs="Times New Roman"/>
          <w:noProof/>
          <w:sz w:val="24"/>
          <w:szCs w:val="24"/>
          <w:vertAlign w:val="superscript"/>
          <w:lang w:val="en-US"/>
        </w:rPr>
        <w:footnoteReference w:id="264"/>
      </w:r>
      <w:r>
        <w:rPr>
          <w:rFonts w:ascii="Times New Roman" w:hAnsi="Times New Roman" w:cs="Times New Roman"/>
          <w:noProof/>
          <w:sz w:val="24"/>
          <w:szCs w:val="24"/>
          <w:lang w:val="en-US"/>
        </w:rPr>
        <w:t xml:space="preserve"> </w:t>
      </w:r>
    </w:p>
    <w:p w:rsidR="00B32D69" w:rsidRDefault="00B32D69">
      <w:pPr>
        <w:autoSpaceDE w:val="0"/>
        <w:autoSpaceDN w:val="0"/>
        <w:adjustRightInd w:val="0"/>
        <w:spacing w:after="0" w:line="240" w:lineRule="auto"/>
        <w:contextualSpacing/>
        <w:jc w:val="both"/>
        <w:rPr>
          <w:rFonts w:ascii="Times New Roman" w:hAnsi="Times New Roman" w:cs="Times New Roman"/>
          <w:noProof/>
          <w:sz w:val="24"/>
          <w:szCs w:val="24"/>
        </w:rPr>
      </w:pP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majority of the stak</w:t>
      </w:r>
      <w:r>
        <w:rPr>
          <w:rFonts w:ascii="Times New Roman" w:hAnsi="Times New Roman" w:cs="Times New Roman"/>
          <w:noProof/>
          <w:sz w:val="24"/>
          <w:szCs w:val="24"/>
          <w:lang w:val="en-US"/>
        </w:rPr>
        <w:t>eholders indicated that restructuring measures in which the courts are involved to a lesser degree or not at all should equally be available to all forms of enterprises</w:t>
      </w:r>
      <w:r>
        <w:rPr>
          <w:rStyle w:val="FootnoteReference"/>
          <w:rFonts w:ascii="Times New Roman" w:hAnsi="Times New Roman"/>
          <w:noProof/>
          <w:sz w:val="24"/>
          <w:szCs w:val="24"/>
          <w:lang w:val="en-US"/>
        </w:rPr>
        <w:footnoteReference w:id="265"/>
      </w:r>
      <w:r>
        <w:rPr>
          <w:rFonts w:ascii="Times New Roman" w:hAnsi="Times New Roman" w:cs="Times New Roman"/>
          <w:noProof/>
          <w:sz w:val="24"/>
          <w:szCs w:val="24"/>
          <w:lang w:val="en-US"/>
        </w:rPr>
        <w:t>, with many of them stressing that they should be particularly available to SMEs.</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Other</w:t>
      </w:r>
      <w:r>
        <w:rPr>
          <w:rFonts w:ascii="Times New Roman" w:hAnsi="Times New Roman" w:cs="Times New Roman"/>
          <w:noProof/>
          <w:sz w:val="24"/>
          <w:szCs w:val="24"/>
          <w:lang w:val="en-US"/>
        </w:rPr>
        <w:t xml:space="preserve"> stakeholders argued that:</w:t>
      </w:r>
    </w:p>
    <w:p w:rsidR="00B32D69" w:rsidRDefault="00FB661A">
      <w:pPr>
        <w:numPr>
          <w:ilvl w:val="0"/>
          <w:numId w:val="39"/>
        </w:numPr>
        <w:autoSpaceDE w:val="0"/>
        <w:autoSpaceDN w:val="0"/>
        <w:adjustRightInd w:val="0"/>
        <w:spacing w:after="0" w:line="24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purely consensual restructurings court involvement is not necessary.</w:t>
      </w:r>
    </w:p>
    <w:p w:rsidR="00B32D69" w:rsidRDefault="00FB661A">
      <w:pPr>
        <w:numPr>
          <w:ilvl w:val="0"/>
          <w:numId w:val="39"/>
        </w:num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Flexible out-of-court procedures would be an efficient and viable solution both in terms of success rate and duration.</w:t>
      </w:r>
      <w:r>
        <w:rPr>
          <w:rFonts w:ascii="Times New Roman" w:hAnsi="Times New Roman" w:cs="Times New Roman"/>
          <w:noProof/>
          <w:sz w:val="24"/>
          <w:szCs w:val="24"/>
          <w:vertAlign w:val="superscript"/>
        </w:rPr>
        <w:footnoteReference w:id="266"/>
      </w:r>
    </w:p>
    <w:p w:rsidR="00B32D69" w:rsidRDefault="00B32D69">
      <w:pPr>
        <w:autoSpaceDE w:val="0"/>
        <w:autoSpaceDN w:val="0"/>
        <w:adjustRightInd w:val="0"/>
        <w:spacing w:after="0" w:line="240" w:lineRule="auto"/>
        <w:ind w:left="720"/>
        <w:contextualSpacing/>
        <w:jc w:val="both"/>
        <w:rPr>
          <w:rFonts w:ascii="Times New Roman" w:hAnsi="Times New Roman" w:cs="Times New Roman"/>
          <w:noProof/>
          <w:sz w:val="24"/>
          <w:szCs w:val="24"/>
        </w:rPr>
      </w:pP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Additionally, in the public consulta</w:t>
      </w:r>
      <w:r>
        <w:rPr>
          <w:rFonts w:ascii="Times New Roman" w:hAnsi="Times New Roman" w:cs="Times New Roman"/>
          <w:noProof/>
          <w:sz w:val="24"/>
          <w:szCs w:val="24"/>
          <w:lang w:val="en-US"/>
        </w:rPr>
        <w:t>tion, the majority of the stakeholders indicated that restructuring measures in which the courts are involved to a lesser degree or not at all should equally be available to all forms of enterprises</w:t>
      </w:r>
      <w:r>
        <w:rPr>
          <w:rStyle w:val="FootnoteReference"/>
          <w:rFonts w:ascii="Times New Roman" w:hAnsi="Times New Roman"/>
          <w:noProof/>
          <w:sz w:val="24"/>
          <w:szCs w:val="24"/>
          <w:lang w:val="en-US"/>
        </w:rPr>
        <w:footnoteReference w:id="267"/>
      </w:r>
      <w:r>
        <w:rPr>
          <w:rFonts w:ascii="Times New Roman" w:hAnsi="Times New Roman" w:cs="Times New Roman"/>
          <w:noProof/>
          <w:sz w:val="24"/>
          <w:szCs w:val="24"/>
          <w:lang w:val="en-US"/>
        </w:rPr>
        <w:t xml:space="preserve">, with many of them stressing that they should be </w:t>
      </w:r>
      <w:r>
        <w:rPr>
          <w:rFonts w:ascii="Times New Roman" w:hAnsi="Times New Roman" w:cs="Times New Roman"/>
          <w:noProof/>
          <w:sz w:val="24"/>
          <w:szCs w:val="24"/>
          <w:lang w:val="en-US"/>
        </w:rPr>
        <w:t>particularly available to SMEs.</w:t>
      </w:r>
    </w:p>
    <w:p w:rsidR="00B32D69" w:rsidRDefault="00FB661A">
      <w:pPr>
        <w:pStyle w:val="ManualHeading3"/>
        <w:rPr>
          <w:noProof/>
        </w:rPr>
      </w:pPr>
      <w:bookmarkStart w:id="85" w:name="_Toc463280374"/>
      <w:r>
        <w:rPr>
          <w:noProof/>
        </w:rPr>
        <w:t>2.7.3.</w:t>
      </w:r>
      <w:r>
        <w:rPr>
          <w:noProof/>
        </w:rPr>
        <w:tab/>
        <w:t>Publicity related to proceedings</w:t>
      </w:r>
      <w:bookmarkEnd w:id="85"/>
    </w:p>
    <w:p w:rsidR="00B32D69" w:rsidRDefault="00B32D69">
      <w:pPr>
        <w:widowControl w:val="0"/>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widowControl w:val="0"/>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Some stakeholders were of the view that publicity is only required in case of a moratorium or a confirmation of the plan, while others stated that publicity should not be an absolute </w:t>
      </w:r>
      <w:r>
        <w:rPr>
          <w:rFonts w:ascii="Times New Roman" w:hAnsi="Times New Roman" w:cs="Times New Roman"/>
          <w:noProof/>
          <w:sz w:val="24"/>
          <w:szCs w:val="24"/>
          <w:lang w:val="en-US"/>
        </w:rPr>
        <w:t>requirement.</w:t>
      </w:r>
      <w:r>
        <w:rPr>
          <w:rFonts w:ascii="Times New Roman" w:hAnsi="Times New Roman" w:cs="Times New Roman"/>
          <w:noProof/>
          <w:sz w:val="24"/>
          <w:szCs w:val="24"/>
          <w:vertAlign w:val="superscript"/>
          <w:lang w:val="en-US"/>
        </w:rPr>
        <w:footnoteReference w:id="268"/>
      </w:r>
      <w:r>
        <w:rPr>
          <w:rFonts w:ascii="Times New Roman" w:hAnsi="Times New Roman" w:cs="Times New Roman"/>
          <w:noProof/>
          <w:sz w:val="24"/>
          <w:szCs w:val="24"/>
          <w:lang w:val="en-US"/>
        </w:rPr>
        <w:t xml:space="preserve"> Fewer were of the view that publicity is required as from the beginning of the negotiations on a restructuring plan.</w:t>
      </w:r>
    </w:p>
    <w:p w:rsidR="00B32D69" w:rsidRDefault="00B32D69">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widowControl w:val="0"/>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In the public consultation, it was particularly stated that: </w:t>
      </w:r>
    </w:p>
    <w:p w:rsidR="00B32D69" w:rsidRDefault="00B32D69">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numPr>
          <w:ilvl w:val="0"/>
          <w:numId w:val="46"/>
        </w:num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Publicity should be required when the restructuring measures </w:t>
      </w:r>
      <w:r>
        <w:rPr>
          <w:rFonts w:ascii="Times New Roman" w:hAnsi="Times New Roman" w:cs="Times New Roman"/>
          <w:noProof/>
          <w:sz w:val="24"/>
          <w:szCs w:val="24"/>
          <w:lang w:val="en-US"/>
        </w:rPr>
        <w:t>affect all or the majority of the creditors</w:t>
      </w:r>
      <w:r>
        <w:rPr>
          <w:rFonts w:ascii="Times New Roman" w:hAnsi="Times New Roman" w:cs="Times New Roman"/>
          <w:noProof/>
          <w:sz w:val="24"/>
          <w:szCs w:val="24"/>
        </w:rPr>
        <w:t>.</w:t>
      </w:r>
      <w:r>
        <w:rPr>
          <w:rFonts w:ascii="Times New Roman" w:hAnsi="Times New Roman" w:cs="Times New Roman"/>
          <w:noProof/>
          <w:sz w:val="24"/>
          <w:szCs w:val="24"/>
          <w:vertAlign w:val="superscript"/>
        </w:rPr>
        <w:footnoteReference w:id="269"/>
      </w:r>
    </w:p>
    <w:p w:rsidR="00B32D69" w:rsidRDefault="00FB661A">
      <w:pPr>
        <w:numPr>
          <w:ilvl w:val="0"/>
          <w:numId w:val="46"/>
        </w:num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Notification should be given to all affected stakeholders, but this may be only a limited group of creditors.</w:t>
      </w:r>
      <w:r>
        <w:rPr>
          <w:rFonts w:ascii="Times New Roman" w:hAnsi="Times New Roman" w:cs="Times New Roman"/>
          <w:noProof/>
          <w:sz w:val="24"/>
          <w:szCs w:val="24"/>
          <w:vertAlign w:val="superscript"/>
        </w:rPr>
        <w:footnoteReference w:id="270"/>
      </w:r>
    </w:p>
    <w:p w:rsidR="00B32D69" w:rsidRDefault="00FB661A">
      <w:pPr>
        <w:numPr>
          <w:ilvl w:val="0"/>
          <w:numId w:val="46"/>
        </w:num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For entirely consensual restructurings, which do not rely on stays or court approval, publicity is </w:t>
      </w:r>
      <w:r>
        <w:rPr>
          <w:rFonts w:ascii="Times New Roman" w:hAnsi="Times New Roman" w:cs="Times New Roman"/>
          <w:noProof/>
          <w:sz w:val="24"/>
          <w:szCs w:val="24"/>
        </w:rPr>
        <w:t>not required.</w:t>
      </w:r>
      <w:r>
        <w:rPr>
          <w:rFonts w:ascii="Times New Roman" w:hAnsi="Times New Roman" w:cs="Times New Roman"/>
          <w:noProof/>
          <w:sz w:val="24"/>
          <w:szCs w:val="24"/>
          <w:vertAlign w:val="superscript"/>
        </w:rPr>
        <w:footnoteReference w:id="271"/>
      </w:r>
    </w:p>
    <w:p w:rsidR="00B32D69" w:rsidRDefault="00FB661A">
      <w:pPr>
        <w:widowControl w:val="0"/>
        <w:numPr>
          <w:ilvl w:val="0"/>
          <w:numId w:val="46"/>
        </w:numPr>
        <w:autoSpaceDE w:val="0"/>
        <w:autoSpaceDN w:val="0"/>
        <w:adjustRightInd w:val="0"/>
        <w:spacing w:after="0" w:line="24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Especially for cross-border cases, access to information about restructuring/insolvency proceedings on a timely manner, is crucial for creditors.</w:t>
      </w:r>
    </w:p>
    <w:p w:rsidR="00B32D69" w:rsidRDefault="00FB661A">
      <w:pPr>
        <w:widowControl w:val="0"/>
        <w:numPr>
          <w:ilvl w:val="0"/>
          <w:numId w:val="46"/>
        </w:numPr>
        <w:autoSpaceDE w:val="0"/>
        <w:autoSpaceDN w:val="0"/>
        <w:adjustRightInd w:val="0"/>
        <w:spacing w:after="0" w:line="24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 European register of insolvencies based on existing national registers would be beneficial pa</w:t>
      </w:r>
      <w:r>
        <w:rPr>
          <w:rFonts w:ascii="Times New Roman" w:hAnsi="Times New Roman" w:cs="Times New Roman"/>
          <w:noProof/>
          <w:sz w:val="24"/>
          <w:szCs w:val="24"/>
          <w:lang w:val="en-US"/>
        </w:rPr>
        <w:t>rticularly for cross-border cases, as creditors could be informed about the opening of an insolvency proceedings against their debtor in another Member State.</w:t>
      </w:r>
      <w:r>
        <w:rPr>
          <w:rFonts w:ascii="Times New Roman" w:hAnsi="Times New Roman" w:cs="Times New Roman"/>
          <w:noProof/>
          <w:sz w:val="24"/>
          <w:szCs w:val="24"/>
          <w:vertAlign w:val="superscript"/>
          <w:lang w:val="en-US"/>
        </w:rPr>
        <w:footnoteReference w:id="272"/>
      </w:r>
    </w:p>
    <w:p w:rsidR="00B32D69" w:rsidRDefault="00B32D69">
      <w:pPr>
        <w:widowControl w:val="0"/>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widowControl w:val="0"/>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light of these, the </w:t>
      </w:r>
      <w:r>
        <w:rPr>
          <w:rFonts w:ascii="Times New Roman" w:hAnsi="Times New Roman" w:cs="Times New Roman"/>
          <w:b/>
          <w:noProof/>
          <w:sz w:val="24"/>
          <w:szCs w:val="24"/>
        </w:rPr>
        <w:t>Trade Unions</w:t>
      </w:r>
      <w:r>
        <w:rPr>
          <w:rFonts w:ascii="Times New Roman" w:hAnsi="Times New Roman" w:cs="Times New Roman"/>
          <w:noProof/>
          <w:sz w:val="24"/>
          <w:szCs w:val="24"/>
        </w:rPr>
        <w:t xml:space="preserve"> underlined the importance of consultation and information r</w:t>
      </w:r>
      <w:r>
        <w:rPr>
          <w:rFonts w:ascii="Times New Roman" w:hAnsi="Times New Roman" w:cs="Times New Roman"/>
          <w:noProof/>
          <w:sz w:val="24"/>
          <w:szCs w:val="24"/>
        </w:rPr>
        <w:t xml:space="preserve">ights of the employees at an early stage. </w:t>
      </w:r>
    </w:p>
    <w:p w:rsidR="00B32D69" w:rsidRDefault="00B32D69">
      <w:pPr>
        <w:widowControl w:val="0"/>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widowControl w:val="0"/>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Finally, during the dedicated meetings with the Member States, while some </w:t>
      </w:r>
      <w:r>
        <w:rPr>
          <w:rFonts w:ascii="Times New Roman" w:hAnsi="Times New Roman" w:cs="Times New Roman"/>
          <w:b/>
          <w:noProof/>
          <w:sz w:val="24"/>
          <w:szCs w:val="24"/>
        </w:rPr>
        <w:t>Member States</w:t>
      </w:r>
      <w:r>
        <w:rPr>
          <w:rFonts w:ascii="Times New Roman" w:hAnsi="Times New Roman" w:cs="Times New Roman"/>
          <w:noProof/>
          <w:sz w:val="24"/>
          <w:szCs w:val="24"/>
        </w:rPr>
        <w:t xml:space="preserve"> (UK, DE, IT, FI) mostly favoured transparent procedures and certain publicity, others (NL, BE, ES, FR) stressed the importan</w:t>
      </w:r>
      <w:r>
        <w:rPr>
          <w:rFonts w:ascii="Times New Roman" w:hAnsi="Times New Roman" w:cs="Times New Roman"/>
          <w:noProof/>
          <w:sz w:val="24"/>
          <w:szCs w:val="24"/>
        </w:rPr>
        <w:t>ce of confidential procedures.</w:t>
      </w:r>
    </w:p>
    <w:p w:rsidR="00B32D69" w:rsidRDefault="00B32D69">
      <w:pPr>
        <w:widowControl w:val="0"/>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pStyle w:val="ManualHeading3"/>
        <w:rPr>
          <w:noProof/>
        </w:rPr>
      </w:pPr>
      <w:bookmarkStart w:id="86" w:name="_Toc463253099"/>
      <w:bookmarkStart w:id="87" w:name="_Toc463280239"/>
      <w:bookmarkStart w:id="88" w:name="_Toc463280375"/>
      <w:bookmarkStart w:id="89" w:name="_Toc463280376"/>
      <w:bookmarkEnd w:id="86"/>
      <w:bookmarkEnd w:id="87"/>
      <w:bookmarkEnd w:id="88"/>
      <w:r>
        <w:rPr>
          <w:noProof/>
        </w:rPr>
        <w:t>2.7.4.</w:t>
      </w:r>
      <w:r>
        <w:rPr>
          <w:noProof/>
        </w:rPr>
        <w:tab/>
        <w:t>'Debtor-in-possession arrangements’</w:t>
      </w:r>
      <w:bookmarkEnd w:id="89"/>
    </w:p>
    <w:p w:rsidR="00B32D69" w:rsidRDefault="00B32D69">
      <w:pPr>
        <w:spacing w:line="240" w:lineRule="auto"/>
        <w:jc w:val="both"/>
        <w:rPr>
          <w:rFonts w:ascii="Times New Roman" w:hAnsi="Times New Roman" w:cs="Times New Roman"/>
          <w:noProof/>
          <w:sz w:val="24"/>
          <w:szCs w:val="24"/>
        </w:rPr>
      </w:pP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the public consultation, the vast majority of stakeholders were of the view that debtors in the context of restructuring measures should be allowed to keep control over the day-</w:t>
      </w:r>
      <w:r>
        <w:rPr>
          <w:rFonts w:ascii="Times New Roman" w:hAnsi="Times New Roman" w:cs="Times New Roman"/>
          <w:noProof/>
          <w:sz w:val="24"/>
          <w:szCs w:val="24"/>
          <w:lang w:val="en-US"/>
        </w:rPr>
        <w:t>to-day operations of their business (‘debtor-in-possession arrangements’) with almost two thirds supporting that there should be supervision from a suitably qualified mediator/supervisor/court.</w:t>
      </w:r>
      <w:r>
        <w:rPr>
          <w:rFonts w:ascii="Times New Roman" w:hAnsi="Times New Roman" w:cs="Times New Roman"/>
          <w:noProof/>
          <w:sz w:val="24"/>
          <w:szCs w:val="24"/>
          <w:vertAlign w:val="superscript"/>
          <w:lang w:val="en-US"/>
        </w:rPr>
        <w:footnoteReference w:id="273"/>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Main comments:</w:t>
      </w:r>
    </w:p>
    <w:p w:rsidR="00B32D69" w:rsidRDefault="00FB661A">
      <w:pPr>
        <w:numPr>
          <w:ilvl w:val="0"/>
          <w:numId w:val="47"/>
        </w:numPr>
        <w:spacing w:line="24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debtor-in-possession arrangements prove to</w:t>
      </w:r>
      <w:r>
        <w:rPr>
          <w:rFonts w:ascii="Times New Roman" w:hAnsi="Times New Roman" w:cs="Times New Roman"/>
          <w:noProof/>
          <w:sz w:val="24"/>
          <w:szCs w:val="24"/>
          <w:lang w:val="en-US"/>
        </w:rPr>
        <w:t xml:space="preserve"> be very often the best solution in order for a debtor to preserve the productive capacity of a company; they promote operational efficiencies and realize significant cost savings.</w:t>
      </w:r>
    </w:p>
    <w:p w:rsidR="00B32D69" w:rsidRDefault="00FB661A">
      <w:pPr>
        <w:numPr>
          <w:ilvl w:val="0"/>
          <w:numId w:val="47"/>
        </w:numPr>
        <w:spacing w:line="24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Some form of supervision by a suitably qualified and independent </w:t>
      </w:r>
      <w:r>
        <w:rPr>
          <w:rFonts w:ascii="Times New Roman" w:hAnsi="Times New Roman" w:cs="Times New Roman"/>
          <w:noProof/>
          <w:sz w:val="24"/>
          <w:szCs w:val="24"/>
          <w:lang w:val="en-US"/>
        </w:rPr>
        <w:t>professional would reduce the risk of abuse and provide a transparent and trustful process for creditors.</w:t>
      </w:r>
      <w:r>
        <w:rPr>
          <w:rFonts w:ascii="Times New Roman" w:hAnsi="Times New Roman" w:cs="Times New Roman"/>
          <w:noProof/>
          <w:sz w:val="24"/>
          <w:szCs w:val="24"/>
          <w:vertAlign w:val="superscript"/>
          <w:lang w:val="en-US"/>
        </w:rPr>
        <w:footnoteReference w:id="274"/>
      </w:r>
    </w:p>
    <w:p w:rsidR="00B32D69" w:rsidRDefault="00FB661A">
      <w:pPr>
        <w:numPr>
          <w:ilvl w:val="0"/>
          <w:numId w:val="47"/>
        </w:numPr>
        <w:spacing w:line="24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level of oversight may depend on the nature of restructuring and on the measures requested (</w:t>
      </w:r>
      <w:r>
        <w:rPr>
          <w:rFonts w:ascii="Times New Roman" w:hAnsi="Times New Roman" w:cs="Times New Roman"/>
          <w:noProof/>
          <w:color w:val="333333"/>
          <w:sz w:val="24"/>
          <w:szCs w:val="24"/>
        </w:rPr>
        <w:t>e.g. where the rights of creditors are limited).</w:t>
      </w:r>
      <w:r>
        <w:rPr>
          <w:rFonts w:ascii="Times New Roman" w:hAnsi="Times New Roman" w:cs="Times New Roman"/>
          <w:noProof/>
          <w:sz w:val="24"/>
          <w:szCs w:val="24"/>
          <w:vertAlign w:val="superscript"/>
          <w:lang w:val="en-US"/>
        </w:rPr>
        <w:footnoteReference w:id="275"/>
      </w:r>
    </w:p>
    <w:p w:rsidR="00B32D69" w:rsidRDefault="00FB661A">
      <w:pPr>
        <w:numPr>
          <w:ilvl w:val="0"/>
          <w:numId w:val="47"/>
        </w:numPr>
        <w:spacing w:line="24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 r</w:t>
      </w:r>
      <w:r>
        <w:rPr>
          <w:rFonts w:ascii="Times New Roman" w:hAnsi="Times New Roman" w:cs="Times New Roman"/>
          <w:noProof/>
          <w:sz w:val="24"/>
          <w:szCs w:val="24"/>
          <w:lang w:val="en-US"/>
        </w:rPr>
        <w:t>ange of restructuring measures should be available with options for a debtor to remain in possession or where appropriate have an independent supervisor or the court to assist.</w:t>
      </w:r>
      <w:r>
        <w:rPr>
          <w:rFonts w:ascii="Times New Roman" w:hAnsi="Times New Roman" w:cs="Times New Roman"/>
          <w:noProof/>
          <w:sz w:val="24"/>
          <w:szCs w:val="24"/>
          <w:vertAlign w:val="superscript"/>
          <w:lang w:val="en-US"/>
        </w:rPr>
        <w:footnoteReference w:id="276"/>
      </w:r>
    </w:p>
    <w:p w:rsidR="00B32D69" w:rsidRDefault="00FB661A">
      <w:pPr>
        <w:numPr>
          <w:ilvl w:val="0"/>
          <w:numId w:val="47"/>
        </w:numPr>
        <w:spacing w:line="24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principle, the intervention/supervision of a mediator/supervisor/court shou</w:t>
      </w:r>
      <w:r>
        <w:rPr>
          <w:rFonts w:ascii="Times New Roman" w:hAnsi="Times New Roman" w:cs="Times New Roman"/>
          <w:noProof/>
          <w:sz w:val="24"/>
          <w:szCs w:val="24"/>
          <w:lang w:val="en-US"/>
        </w:rPr>
        <w:t>ld not be mandatory</w:t>
      </w:r>
      <w:r>
        <w:rPr>
          <w:rFonts w:ascii="Times New Roman" w:hAnsi="Times New Roman" w:cs="Times New Roman"/>
          <w:noProof/>
          <w:sz w:val="24"/>
          <w:szCs w:val="24"/>
        </w:rPr>
        <w:t>.</w:t>
      </w:r>
      <w:r>
        <w:rPr>
          <w:rFonts w:ascii="Times New Roman" w:hAnsi="Times New Roman" w:cs="Times New Roman"/>
          <w:noProof/>
          <w:sz w:val="24"/>
          <w:szCs w:val="24"/>
          <w:vertAlign w:val="superscript"/>
        </w:rPr>
        <w:footnoteReference w:id="277"/>
      </w:r>
    </w:p>
    <w:p w:rsidR="00B32D69" w:rsidRDefault="00FB661A">
      <w:pPr>
        <w:numPr>
          <w:ilvl w:val="0"/>
          <w:numId w:val="47"/>
        </w:numPr>
        <w:spacing w:line="24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Once a moratorium is ordered, supervision is necessary.</w:t>
      </w:r>
      <w:r>
        <w:rPr>
          <w:rFonts w:ascii="Times New Roman" w:hAnsi="Times New Roman" w:cs="Times New Roman"/>
          <w:noProof/>
          <w:sz w:val="24"/>
          <w:szCs w:val="24"/>
          <w:vertAlign w:val="superscript"/>
          <w:lang w:val="en-US"/>
        </w:rPr>
        <w:footnoteReference w:id="278"/>
      </w:r>
    </w:p>
    <w:p w:rsidR="00B32D69" w:rsidRDefault="00FB661A">
      <w:pPr>
        <w:numPr>
          <w:ilvl w:val="0"/>
          <w:numId w:val="47"/>
        </w:numPr>
        <w:spacing w:line="24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The debtor-in-possession arrangements are especially needed for SMEs, since it would be very difficult to find proper management for the company. However, it is highly unlikely </w:t>
      </w:r>
      <w:r>
        <w:rPr>
          <w:rFonts w:ascii="Times New Roman" w:hAnsi="Times New Roman" w:cs="Times New Roman"/>
          <w:noProof/>
          <w:sz w:val="24"/>
          <w:szCs w:val="24"/>
        </w:rPr>
        <w:t>that the restructuring would succeed without any supervision or control.</w:t>
      </w:r>
      <w:r>
        <w:rPr>
          <w:rFonts w:ascii="Times New Roman" w:hAnsi="Times New Roman" w:cs="Times New Roman"/>
          <w:noProof/>
          <w:sz w:val="24"/>
          <w:szCs w:val="24"/>
          <w:vertAlign w:val="superscript"/>
        </w:rPr>
        <w:footnoteReference w:id="279"/>
      </w:r>
    </w:p>
    <w:p w:rsidR="00B32D69" w:rsidRDefault="00B32D69">
      <w:pPr>
        <w:spacing w:line="240" w:lineRule="auto"/>
        <w:contextualSpacing/>
        <w:jc w:val="both"/>
        <w:rPr>
          <w:rFonts w:ascii="Times New Roman" w:hAnsi="Times New Roman" w:cs="Times New Roman"/>
          <w:noProof/>
          <w:color w:val="333333"/>
          <w:sz w:val="24"/>
          <w:szCs w:val="24"/>
        </w:rPr>
      </w:pPr>
    </w:p>
    <w:p w:rsidR="00B32D69" w:rsidRDefault="00FB661A">
      <w:pPr>
        <w:spacing w:before="240" w:after="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During the 'Sounding Board' meetings, </w:t>
      </w:r>
      <w:r>
        <w:rPr>
          <w:rFonts w:ascii="Times New Roman" w:eastAsia="Calibri" w:hAnsi="Times New Roman" w:cs="Times New Roman"/>
          <w:b/>
          <w:noProof/>
          <w:color w:val="000000"/>
          <w:sz w:val="24"/>
          <w:szCs w:val="24"/>
        </w:rPr>
        <w:t>business sector and business support organisations</w:t>
      </w:r>
      <w:r>
        <w:rPr>
          <w:rFonts w:ascii="Times New Roman" w:eastAsia="Calibri" w:hAnsi="Times New Roman" w:cs="Times New Roman"/>
          <w:noProof/>
          <w:color w:val="000000"/>
          <w:sz w:val="24"/>
          <w:szCs w:val="24"/>
        </w:rPr>
        <w:t xml:space="preserve"> were strongly in favour of debtor-in-possession arrangements. They particularly underlined t</w:t>
      </w:r>
      <w:r>
        <w:rPr>
          <w:rFonts w:ascii="Times New Roman" w:eastAsia="Calibri" w:hAnsi="Times New Roman" w:cs="Times New Roman"/>
          <w:noProof/>
          <w:color w:val="000000"/>
          <w:sz w:val="24"/>
          <w:szCs w:val="24"/>
        </w:rPr>
        <w:t>hat if the appointment of a supervisor/mediator is optional, this could reduce costs for SMEs. Some of them were also of the view that when rights of third parties are not affected, the decision of the appointment of a supervisor should be confidential.</w:t>
      </w:r>
    </w:p>
    <w:p w:rsidR="00B32D69" w:rsidRDefault="00FB661A">
      <w:pPr>
        <w:spacing w:before="240" w:after="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b/>
          <w:noProof/>
          <w:color w:val="000000"/>
          <w:sz w:val="24"/>
          <w:szCs w:val="24"/>
        </w:rPr>
        <w:t>Pr</w:t>
      </w:r>
      <w:r>
        <w:rPr>
          <w:rFonts w:ascii="Times New Roman" w:eastAsia="Calibri" w:hAnsi="Times New Roman" w:cs="Times New Roman"/>
          <w:b/>
          <w:noProof/>
          <w:color w:val="000000"/>
          <w:sz w:val="24"/>
          <w:szCs w:val="24"/>
        </w:rPr>
        <w:t>actitioners</w:t>
      </w:r>
      <w:r>
        <w:rPr>
          <w:rFonts w:ascii="Times New Roman" w:eastAsia="Calibri" w:hAnsi="Times New Roman" w:cs="Times New Roman"/>
          <w:noProof/>
          <w:color w:val="000000"/>
          <w:sz w:val="24"/>
          <w:szCs w:val="24"/>
        </w:rPr>
        <w:t xml:space="preserve"> were in favour of debtor-in-possession principle with the possibility for appointing a supervisor. They were though reluctant to harmonising the conditions for appointing an insolvency practitioner. </w:t>
      </w:r>
    </w:p>
    <w:p w:rsidR="00B32D69" w:rsidRDefault="00FB661A">
      <w:pPr>
        <w:spacing w:before="240" w:after="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b/>
          <w:noProof/>
          <w:color w:val="000000"/>
          <w:sz w:val="24"/>
          <w:szCs w:val="24"/>
        </w:rPr>
        <w:t>Credit and financial institutions</w:t>
      </w:r>
      <w:r>
        <w:rPr>
          <w:rFonts w:ascii="Times New Roman" w:eastAsia="Calibri" w:hAnsi="Times New Roman" w:cs="Times New Roman"/>
          <w:noProof/>
          <w:color w:val="000000"/>
          <w:sz w:val="24"/>
          <w:szCs w:val="24"/>
        </w:rPr>
        <w:t xml:space="preserve"> were of the view that the debtor should in principle remain in possession and they fully shared the principle according to which the appointment of a mediator in a preventive restructuring framework should not be mandatory, but made by the court on a case</w:t>
      </w:r>
      <w:r>
        <w:rPr>
          <w:rFonts w:ascii="Times New Roman" w:eastAsia="Calibri" w:hAnsi="Times New Roman" w:cs="Times New Roman"/>
          <w:noProof/>
          <w:color w:val="000000"/>
          <w:sz w:val="24"/>
          <w:szCs w:val="24"/>
        </w:rPr>
        <w:t xml:space="preserve"> by-case basis. They also underlined the importance of transparency of information for creditors. </w:t>
      </w:r>
    </w:p>
    <w:p w:rsidR="00B32D69" w:rsidRDefault="00FB661A">
      <w:pPr>
        <w:spacing w:before="240" w:after="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b/>
          <w:noProof/>
          <w:color w:val="000000"/>
          <w:sz w:val="24"/>
          <w:szCs w:val="24"/>
        </w:rPr>
        <w:t>Trade Unions</w:t>
      </w:r>
      <w:r>
        <w:rPr>
          <w:rFonts w:ascii="Times New Roman" w:eastAsia="Calibri" w:hAnsi="Times New Roman" w:cs="Times New Roman"/>
          <w:noProof/>
          <w:color w:val="000000"/>
          <w:sz w:val="24"/>
          <w:szCs w:val="24"/>
        </w:rPr>
        <w:t xml:space="preserve"> supported the debtor-in-possession principle, but underlined that the employees’ rights to information and consultation should not be affected. </w:t>
      </w:r>
    </w:p>
    <w:p w:rsidR="00B32D69" w:rsidRDefault="00B32D69">
      <w:pPr>
        <w:spacing w:line="240" w:lineRule="auto"/>
        <w:contextualSpacing/>
        <w:jc w:val="both"/>
        <w:rPr>
          <w:rFonts w:ascii="Times New Roman" w:eastAsia="Calibri" w:hAnsi="Times New Roman" w:cs="Times New Roman"/>
          <w:noProof/>
          <w:color w:val="000000"/>
          <w:sz w:val="24"/>
          <w:szCs w:val="24"/>
        </w:rPr>
      </w:pPr>
    </w:p>
    <w:p w:rsidR="00B32D69" w:rsidRDefault="00FB661A">
      <w:pPr>
        <w:spacing w:line="240" w:lineRule="auto"/>
        <w:contextualSpacing/>
        <w:jc w:val="both"/>
        <w:rPr>
          <w:rFonts w:ascii="Times New Roman" w:hAnsi="Times New Roman" w:cs="Times New Roman"/>
          <w:noProof/>
          <w:sz w:val="24"/>
          <w:szCs w:val="24"/>
          <w:lang w:val="en-US"/>
        </w:rPr>
      </w:pPr>
      <w:r>
        <w:rPr>
          <w:rFonts w:ascii="Times New Roman" w:eastAsia="Calibri" w:hAnsi="Times New Roman" w:cs="Times New Roman"/>
          <w:noProof/>
          <w:color w:val="000000"/>
          <w:sz w:val="24"/>
          <w:szCs w:val="24"/>
        </w:rPr>
        <w:t xml:space="preserve">From the public consultation and the dedicated meetings with the </w:t>
      </w:r>
      <w:r>
        <w:rPr>
          <w:rFonts w:ascii="Times New Roman" w:eastAsia="Calibri" w:hAnsi="Times New Roman" w:cs="Times New Roman"/>
          <w:b/>
          <w:noProof/>
          <w:color w:val="000000"/>
          <w:sz w:val="24"/>
          <w:szCs w:val="24"/>
        </w:rPr>
        <w:t>Member States</w:t>
      </w:r>
      <w:r>
        <w:rPr>
          <w:rFonts w:ascii="Times New Roman" w:eastAsia="Calibri" w:hAnsi="Times New Roman" w:cs="Times New Roman"/>
          <w:noProof/>
          <w:color w:val="000000"/>
          <w:sz w:val="24"/>
          <w:szCs w:val="24"/>
        </w:rPr>
        <w:t>, almost all of them (AT, BE, EE, DE, EL, HU, IE, FR, FI, IT, LV, LT, PL, SK, SI) were in favour of the debtor remaining in possession, but subject to supervision by a suitably</w:t>
      </w:r>
      <w:r>
        <w:rPr>
          <w:rFonts w:ascii="Times New Roman" w:eastAsia="Calibri" w:hAnsi="Times New Roman" w:cs="Times New Roman"/>
          <w:noProof/>
          <w:color w:val="000000"/>
          <w:sz w:val="24"/>
          <w:szCs w:val="24"/>
        </w:rPr>
        <w:t xml:space="preserve"> qualified mediator/ supervisor/ court. They also agreed that the appointment of a mediator or supervisor (insolvency practitioner) should remain optional, but were not in favour of harmonising the conditions for appointment.  </w:t>
      </w:r>
    </w:p>
    <w:p w:rsidR="00B32D69" w:rsidRDefault="00FB661A">
      <w:pPr>
        <w:pStyle w:val="ManualHeading3"/>
        <w:rPr>
          <w:noProof/>
        </w:rPr>
      </w:pPr>
      <w:bookmarkStart w:id="90" w:name="_Toc463280377"/>
      <w:r>
        <w:rPr>
          <w:noProof/>
        </w:rPr>
        <w:t>2.7.5.</w:t>
      </w:r>
      <w:r>
        <w:rPr>
          <w:noProof/>
        </w:rPr>
        <w:tab/>
        <w:t>Enforcement actions –</w:t>
      </w:r>
      <w:r>
        <w:rPr>
          <w:noProof/>
        </w:rPr>
        <w:t xml:space="preserve"> stay and its duration</w:t>
      </w:r>
      <w:bookmarkEnd w:id="90"/>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public consultation, the majority of those consulted supported that </w:t>
      </w:r>
      <w:r>
        <w:rPr>
          <w:rFonts w:ascii="Times New Roman" w:hAnsi="Times New Roman" w:cs="Times New Roman"/>
          <w:b/>
          <w:noProof/>
          <w:sz w:val="24"/>
          <w:szCs w:val="24"/>
        </w:rPr>
        <w:t>a stay of individual enforcement actions should be available both in formal insolvency proceedings and in preventive/pre-insolvency restructuring procedures</w:t>
      </w:r>
      <w:r>
        <w:rPr>
          <w:rFonts w:ascii="Times New Roman" w:hAnsi="Times New Roman" w:cs="Times New Roman"/>
          <w:noProof/>
          <w:sz w:val="24"/>
          <w:szCs w:val="24"/>
        </w:rPr>
        <w:t>.</w:t>
      </w:r>
      <w:r>
        <w:rPr>
          <w:rFonts w:ascii="Times New Roman" w:hAnsi="Times New Roman" w:cs="Times New Roman"/>
          <w:noProof/>
          <w:sz w:val="24"/>
          <w:szCs w:val="24"/>
          <w:vertAlign w:val="superscript"/>
        </w:rPr>
        <w:footnoteReference w:id="280"/>
      </w:r>
    </w:p>
    <w:p w:rsidR="00B32D69" w:rsidRDefault="00B32D69">
      <w:pPr>
        <w:autoSpaceDE w:val="0"/>
        <w:autoSpaceDN w:val="0"/>
        <w:adjustRightInd w:val="0"/>
        <w:spacing w:after="0" w:line="240" w:lineRule="auto"/>
        <w:ind w:firstLine="720"/>
        <w:jc w:val="both"/>
        <w:rPr>
          <w:rFonts w:ascii="Times New Roman" w:hAnsi="Times New Roman" w:cs="Times New Roman"/>
          <w:noProof/>
          <w:sz w:val="24"/>
          <w:szCs w:val="24"/>
        </w:rPr>
      </w:pPr>
    </w:p>
    <w:p w:rsidR="00B32D69" w:rsidRDefault="00FB661A">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majority underlined that:</w:t>
      </w:r>
    </w:p>
    <w:p w:rsidR="00B32D69" w:rsidRDefault="00FB661A">
      <w:pPr>
        <w:numPr>
          <w:ilvl w:val="0"/>
          <w:numId w:val="54"/>
        </w:num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A stay of individual enforcement actions gives the viable businesses in temporary financial distress a necessary amount of time ('breathing space') to define a restructuring plan and to avoid precipitate creditor action, th</w:t>
      </w:r>
      <w:r>
        <w:rPr>
          <w:rFonts w:ascii="Times New Roman" w:hAnsi="Times New Roman" w:cs="Times New Roman"/>
          <w:noProof/>
          <w:sz w:val="24"/>
          <w:szCs w:val="24"/>
        </w:rPr>
        <w:t>us significantly increasing their chances for a successful restructuring.</w:t>
      </w:r>
      <w:r>
        <w:rPr>
          <w:rFonts w:ascii="Times New Roman" w:hAnsi="Times New Roman" w:cs="Times New Roman"/>
          <w:noProof/>
          <w:sz w:val="24"/>
          <w:szCs w:val="24"/>
          <w:vertAlign w:val="superscript"/>
        </w:rPr>
        <w:footnoteReference w:id="281"/>
      </w:r>
    </w:p>
    <w:p w:rsidR="00B32D69" w:rsidRDefault="00FB661A">
      <w:pPr>
        <w:numPr>
          <w:ilvl w:val="0"/>
          <w:numId w:val="54"/>
        </w:num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It should </w:t>
      </w:r>
      <w:r>
        <w:rPr>
          <w:rFonts w:ascii="Times New Roman" w:hAnsi="Times New Roman" w:cs="Times New Roman"/>
          <w:noProof/>
          <w:sz w:val="24"/>
          <w:szCs w:val="24"/>
          <w:lang w:val="en-US"/>
        </w:rPr>
        <w:t xml:space="preserve">be </w:t>
      </w:r>
      <w:r>
        <w:rPr>
          <w:rFonts w:ascii="Times New Roman" w:hAnsi="Times New Roman" w:cs="Times New Roman"/>
          <w:noProof/>
          <w:sz w:val="24"/>
          <w:szCs w:val="24"/>
        </w:rPr>
        <w:t>ensured that creditors whose rights are stayed are adequately protected; a balance must be found between depriving creditors (especially secured creditors) of their con</w:t>
      </w:r>
      <w:r>
        <w:rPr>
          <w:rFonts w:ascii="Times New Roman" w:hAnsi="Times New Roman" w:cs="Times New Roman"/>
          <w:noProof/>
          <w:sz w:val="24"/>
          <w:szCs w:val="24"/>
        </w:rPr>
        <w:t>tractual or propriety rights, and allowing the debtor breathing space to restructure; adequate safeguards should be put in place (e.g. limited conditions and supervision, possibility for creditors to lift the stay).</w:t>
      </w:r>
      <w:r>
        <w:rPr>
          <w:rFonts w:ascii="Times New Roman" w:hAnsi="Times New Roman" w:cs="Times New Roman"/>
          <w:noProof/>
          <w:sz w:val="24"/>
          <w:szCs w:val="24"/>
          <w:vertAlign w:val="superscript"/>
        </w:rPr>
        <w:footnoteReference w:id="282"/>
      </w:r>
    </w:p>
    <w:p w:rsidR="00B32D69" w:rsidRDefault="00FB661A">
      <w:pPr>
        <w:numPr>
          <w:ilvl w:val="0"/>
          <w:numId w:val="54"/>
        </w:num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A stay should be limited to prevent ind</w:t>
      </w:r>
      <w:r>
        <w:rPr>
          <w:rFonts w:ascii="Times New Roman" w:hAnsi="Times New Roman" w:cs="Times New Roman"/>
          <w:noProof/>
          <w:sz w:val="24"/>
          <w:szCs w:val="24"/>
        </w:rPr>
        <w:t>ividual creditor claims (no general stay)</w:t>
      </w:r>
      <w:r>
        <w:rPr>
          <w:rFonts w:ascii="Times New Roman" w:hAnsi="Times New Roman" w:cs="Times New Roman"/>
          <w:noProof/>
          <w:sz w:val="24"/>
          <w:szCs w:val="24"/>
          <w:lang w:val="en-US"/>
        </w:rPr>
        <w:t>.</w:t>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majority was also in favour of allowing an individual creditor to </w:t>
      </w:r>
      <w:r>
        <w:rPr>
          <w:rFonts w:ascii="Times New Roman" w:hAnsi="Times New Roman" w:cs="Times New Roman"/>
          <w:b/>
          <w:noProof/>
          <w:sz w:val="24"/>
          <w:szCs w:val="24"/>
        </w:rPr>
        <w:t>lift the stay</w:t>
      </w:r>
      <w:r>
        <w:rPr>
          <w:rFonts w:ascii="Times New Roman" w:hAnsi="Times New Roman" w:cs="Times New Roman"/>
          <w:noProof/>
          <w:sz w:val="24"/>
          <w:szCs w:val="24"/>
        </w:rPr>
        <w:t xml:space="preserve"> granted to the debtor, under certain conditions. </w:t>
      </w:r>
      <w:r>
        <w:rPr>
          <w:rFonts w:ascii="Times New Roman" w:hAnsi="Times New Roman" w:cs="Times New Roman"/>
          <w:noProof/>
          <w:sz w:val="24"/>
          <w:szCs w:val="24"/>
          <w:vertAlign w:val="superscript"/>
        </w:rPr>
        <w:footnoteReference w:id="283"/>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They specifically argued that:</w:t>
      </w:r>
    </w:p>
    <w:p w:rsidR="00B32D69" w:rsidRDefault="00B32D69">
      <w:pPr>
        <w:spacing w:line="240" w:lineRule="auto"/>
        <w:contextualSpacing/>
        <w:jc w:val="both"/>
        <w:rPr>
          <w:rFonts w:ascii="Times New Roman" w:hAnsi="Times New Roman" w:cs="Times New Roman"/>
          <w:noProof/>
          <w:sz w:val="24"/>
          <w:szCs w:val="24"/>
        </w:rPr>
      </w:pPr>
    </w:p>
    <w:p w:rsidR="00B32D69" w:rsidRDefault="00FB661A">
      <w:pPr>
        <w:numPr>
          <w:ilvl w:val="0"/>
          <w:numId w:val="48"/>
        </w:num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An individual creditor should be allowed to ask the court to lift the stay in order to reduce the risk connected with commencement of preventive/pre-insolvency procedures in bad faith (e.g. in order to harm creditors' interests, delay enforcement actions).</w:t>
      </w:r>
      <w:r>
        <w:rPr>
          <w:rFonts w:ascii="Times New Roman" w:hAnsi="Times New Roman" w:cs="Times New Roman"/>
          <w:noProof/>
          <w:sz w:val="24"/>
          <w:szCs w:val="24"/>
        </w:rPr>
        <w:t xml:space="preserve"> </w:t>
      </w:r>
    </w:p>
    <w:p w:rsidR="00B32D69" w:rsidRDefault="00FB661A">
      <w:pPr>
        <w:numPr>
          <w:ilvl w:val="0"/>
          <w:numId w:val="48"/>
        </w:num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The creditor should be able to request the stay to be lifted if it can show that it leads to unfair prejudice or abuse against the creditor, or if the creditor would be able to block the restructuring proceedings (i.e. it represents a blocking minority).</w:t>
      </w:r>
      <w:r>
        <w:rPr>
          <w:rFonts w:ascii="Times New Roman" w:hAnsi="Times New Roman" w:cs="Times New Roman"/>
          <w:noProof/>
          <w:sz w:val="24"/>
          <w:szCs w:val="24"/>
          <w:vertAlign w:val="superscript"/>
        </w:rPr>
        <w:footnoteReference w:id="284"/>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Others were of the view that an individual creditor should not be sufficient, but a qualified or a large majority of creditors should be allowed to ask the court to lift the moratorium (e.g. if they prove that the debtor is not negotiating or there are </w:t>
      </w:r>
      <w:r>
        <w:rPr>
          <w:rFonts w:ascii="Times New Roman" w:hAnsi="Times New Roman" w:cs="Times New Roman"/>
          <w:noProof/>
          <w:sz w:val="24"/>
          <w:szCs w:val="24"/>
        </w:rPr>
        <w:t>not any realistic chances of success).</w:t>
      </w:r>
      <w:r>
        <w:rPr>
          <w:rFonts w:ascii="Times New Roman" w:hAnsi="Times New Roman" w:cs="Times New Roman"/>
          <w:noProof/>
          <w:sz w:val="24"/>
          <w:szCs w:val="24"/>
          <w:vertAlign w:val="superscript"/>
        </w:rPr>
        <w:footnoteReference w:id="285"/>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spacing w:line="24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As for its duration, the majority of the stakeholders were of the view that a stay should be granted for a </w:t>
      </w:r>
      <w:r>
        <w:rPr>
          <w:rFonts w:ascii="Times New Roman" w:hAnsi="Times New Roman" w:cs="Times New Roman"/>
          <w:b/>
          <w:noProof/>
          <w:sz w:val="24"/>
          <w:szCs w:val="24"/>
          <w:lang w:val="en-US"/>
        </w:rPr>
        <w:t>maximum of 2-3 months with a possibility of renewal in certain circumstances</w:t>
      </w:r>
      <w:r>
        <w:rPr>
          <w:rFonts w:ascii="Times New Roman" w:hAnsi="Times New Roman" w:cs="Times New Roman"/>
          <w:noProof/>
          <w:sz w:val="24"/>
          <w:szCs w:val="24"/>
          <w:lang w:val="en-US"/>
        </w:rPr>
        <w:t xml:space="preserve">, while others were of the view </w:t>
      </w:r>
      <w:r>
        <w:rPr>
          <w:rFonts w:ascii="Times New Roman" w:hAnsi="Times New Roman" w:cs="Times New Roman"/>
          <w:noProof/>
          <w:sz w:val="24"/>
          <w:szCs w:val="24"/>
          <w:lang w:val="en-US"/>
        </w:rPr>
        <w:t>that the time limit should be set by the court subject to the fulfillment of certain conditions.</w:t>
      </w:r>
    </w:p>
    <w:p w:rsidR="00B32D69" w:rsidRDefault="00B32D69">
      <w:pPr>
        <w:widowControl w:val="0"/>
        <w:autoSpaceDE w:val="0"/>
        <w:autoSpaceDN w:val="0"/>
        <w:adjustRightInd w:val="0"/>
        <w:spacing w:after="0" w:line="240" w:lineRule="auto"/>
        <w:ind w:firstLine="720"/>
        <w:jc w:val="both"/>
        <w:rPr>
          <w:rFonts w:ascii="Times New Roman" w:hAnsi="Times New Roman" w:cs="Times New Roman"/>
          <w:noProof/>
          <w:sz w:val="24"/>
          <w:szCs w:val="24"/>
          <w:lang w:val="en-US"/>
        </w:rPr>
      </w:pPr>
    </w:p>
    <w:p w:rsidR="00B32D69" w:rsidRDefault="00FB661A">
      <w:pPr>
        <w:widowControl w:val="0"/>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majority stated that:</w:t>
      </w:r>
    </w:p>
    <w:p w:rsidR="00B32D69" w:rsidRDefault="00B32D69">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widowControl w:val="0"/>
        <w:numPr>
          <w:ilvl w:val="0"/>
          <w:numId w:val="40"/>
        </w:numPr>
        <w:autoSpaceDE w:val="0"/>
        <w:autoSpaceDN w:val="0"/>
        <w:adjustRightInd w:val="0"/>
        <w:spacing w:after="0" w:line="24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There should be a fair balance between the debtors’ and creditors' rights. Thus, a stay should not be granted for a very long perio</w:t>
      </w:r>
      <w:r>
        <w:rPr>
          <w:rFonts w:ascii="Times New Roman" w:hAnsi="Times New Roman" w:cs="Times New Roman"/>
          <w:noProof/>
          <w:sz w:val="24"/>
          <w:szCs w:val="24"/>
          <w:lang w:val="en-US"/>
        </w:rPr>
        <w:t>d, but for a proportionate and appropriate timeframe in order to contribute to the efficiency of the negotiations.</w:t>
      </w:r>
    </w:p>
    <w:p w:rsidR="00B32D69" w:rsidRDefault="00FB661A">
      <w:pPr>
        <w:widowControl w:val="0"/>
        <w:numPr>
          <w:ilvl w:val="0"/>
          <w:numId w:val="40"/>
        </w:numPr>
        <w:autoSpaceDE w:val="0"/>
        <w:autoSpaceDN w:val="0"/>
        <w:adjustRightInd w:val="0"/>
        <w:spacing w:after="0" w:line="24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Only a fast restructuring ensures the survival of the business operation and longer periods may not lead to better results, but have a negati</w:t>
      </w:r>
      <w:r>
        <w:rPr>
          <w:rFonts w:ascii="Times New Roman" w:hAnsi="Times New Roman" w:cs="Times New Roman"/>
          <w:noProof/>
          <w:sz w:val="24"/>
          <w:szCs w:val="24"/>
          <w:lang w:val="en-US"/>
        </w:rPr>
        <w:t xml:space="preserve">ve impact on the recovery of debt. </w:t>
      </w:r>
      <w:r>
        <w:rPr>
          <w:rFonts w:ascii="Times New Roman" w:hAnsi="Times New Roman" w:cs="Times New Roman"/>
          <w:noProof/>
          <w:sz w:val="24"/>
          <w:szCs w:val="24"/>
          <w:vertAlign w:val="superscript"/>
          <w:lang w:val="en-US"/>
        </w:rPr>
        <w:footnoteReference w:id="286"/>
      </w:r>
    </w:p>
    <w:p w:rsidR="00B32D69" w:rsidRDefault="00FB661A">
      <w:pPr>
        <w:widowControl w:val="0"/>
        <w:numPr>
          <w:ilvl w:val="0"/>
          <w:numId w:val="40"/>
        </w:numPr>
        <w:autoSpaceDE w:val="0"/>
        <w:autoSpaceDN w:val="0"/>
        <w:adjustRightInd w:val="0"/>
        <w:spacing w:after="0" w:line="24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There should be the possibility of renewal or extension, under certain circumstances, (e.g. depending on the level of the complexity of the restructuring or in the event that there are prospects of success).</w:t>
      </w:r>
    </w:p>
    <w:p w:rsidR="00B32D69" w:rsidRDefault="00B32D69">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widowControl w:val="0"/>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According </w:t>
      </w:r>
      <w:r>
        <w:rPr>
          <w:rFonts w:ascii="Times New Roman" w:hAnsi="Times New Roman" w:cs="Times New Roman"/>
          <w:noProof/>
          <w:sz w:val="24"/>
          <w:szCs w:val="24"/>
          <w:lang w:val="en-US"/>
        </w:rPr>
        <w:t xml:space="preserve">to the experience of the majority of insolvency practitioners and legal professionals consulted: </w:t>
      </w:r>
    </w:p>
    <w:p w:rsidR="00B32D69" w:rsidRDefault="00B32D69">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widowControl w:val="0"/>
        <w:numPr>
          <w:ilvl w:val="0"/>
          <w:numId w:val="48"/>
        </w:numPr>
        <w:autoSpaceDE w:val="0"/>
        <w:autoSpaceDN w:val="0"/>
        <w:adjustRightInd w:val="0"/>
        <w:spacing w:after="0" w:line="24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2-3 months is a reasonable and sufficient time, </w:t>
      </w:r>
      <w:r>
        <w:rPr>
          <w:rFonts w:ascii="Times New Roman" w:hAnsi="Times New Roman" w:cs="Times New Roman"/>
          <w:noProof/>
          <w:sz w:val="24"/>
          <w:szCs w:val="24"/>
        </w:rPr>
        <w:t>but there should be the option to extend if there is a reasonable basis (i.e. complexity). Longer stays without a review mechanism would unfairly prejudice the rights of creditors. It is often the case that preliminary negotiations are conducted without re</w:t>
      </w:r>
      <w:r>
        <w:rPr>
          <w:rFonts w:ascii="Times New Roman" w:hAnsi="Times New Roman" w:cs="Times New Roman"/>
          <w:noProof/>
          <w:sz w:val="24"/>
          <w:szCs w:val="24"/>
        </w:rPr>
        <w:t xml:space="preserve">quiring a stay. </w:t>
      </w:r>
      <w:r>
        <w:rPr>
          <w:rFonts w:ascii="Times New Roman" w:hAnsi="Times New Roman" w:cs="Times New Roman"/>
          <w:noProof/>
          <w:sz w:val="24"/>
          <w:szCs w:val="24"/>
          <w:lang w:val="en-US"/>
        </w:rPr>
        <w:t>The longer the period of the process, the lower the chances of a successful restructuring.</w:t>
      </w:r>
    </w:p>
    <w:p w:rsidR="00B32D69" w:rsidRDefault="00B32D69">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widowControl w:val="0"/>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Others were of the view that:</w:t>
      </w:r>
    </w:p>
    <w:p w:rsidR="00B32D69" w:rsidRDefault="00B32D69">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widowControl w:val="0"/>
        <w:numPr>
          <w:ilvl w:val="0"/>
          <w:numId w:val="55"/>
        </w:numPr>
        <w:autoSpaceDE w:val="0"/>
        <w:autoSpaceDN w:val="0"/>
        <w:adjustRightInd w:val="0"/>
        <w:spacing w:after="0" w:line="24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Since there is no one-size-fits-all approach, flexibility is needed as to the time limit.</w:t>
      </w:r>
      <w:r>
        <w:rPr>
          <w:rFonts w:ascii="Times New Roman" w:hAnsi="Times New Roman" w:cs="Times New Roman"/>
          <w:noProof/>
          <w:sz w:val="24"/>
          <w:szCs w:val="24"/>
          <w:vertAlign w:val="superscript"/>
          <w:lang w:val="en-US"/>
        </w:rPr>
        <w:footnoteReference w:id="287"/>
      </w:r>
    </w:p>
    <w:p w:rsidR="00B32D69" w:rsidRDefault="00FB661A">
      <w:pPr>
        <w:widowControl w:val="0"/>
        <w:numPr>
          <w:ilvl w:val="0"/>
          <w:numId w:val="55"/>
        </w:numPr>
        <w:autoSpaceDE w:val="0"/>
        <w:autoSpaceDN w:val="0"/>
        <w:adjustRightInd w:val="0"/>
        <w:spacing w:after="0" w:line="24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period of a stay shoul</w:t>
      </w:r>
      <w:r>
        <w:rPr>
          <w:rFonts w:ascii="Times New Roman" w:hAnsi="Times New Roman" w:cs="Times New Roman"/>
          <w:noProof/>
          <w:sz w:val="24"/>
          <w:szCs w:val="24"/>
          <w:lang w:val="en-US"/>
        </w:rPr>
        <w:t>d depend upon the level of oversight of the debtor's continuing activities by suitably qualified and regulated professional and be subject to appeal to a Court.</w:t>
      </w:r>
      <w:r>
        <w:rPr>
          <w:rFonts w:ascii="Times New Roman" w:hAnsi="Times New Roman" w:cs="Times New Roman"/>
          <w:noProof/>
          <w:sz w:val="24"/>
          <w:szCs w:val="24"/>
          <w:vertAlign w:val="superscript"/>
          <w:lang w:val="en-US"/>
        </w:rPr>
        <w:footnoteReference w:id="288"/>
      </w:r>
    </w:p>
    <w:p w:rsidR="00B32D69" w:rsidRDefault="00B32D69">
      <w:pPr>
        <w:spacing w:line="240" w:lineRule="auto"/>
        <w:contextualSpacing/>
        <w:jc w:val="both"/>
        <w:rPr>
          <w:rFonts w:ascii="Times New Roman" w:hAnsi="Times New Roman" w:cs="Times New Roman"/>
          <w:noProof/>
          <w:sz w:val="24"/>
          <w:szCs w:val="24"/>
        </w:rPr>
      </w:pP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During the ‘Sounding Board’ meetings, </w:t>
      </w:r>
      <w:r>
        <w:rPr>
          <w:rFonts w:ascii="Times New Roman" w:eastAsia="Calibri" w:hAnsi="Times New Roman" w:cs="Times New Roman"/>
          <w:b/>
          <w:noProof/>
          <w:sz w:val="24"/>
          <w:szCs w:val="24"/>
        </w:rPr>
        <w:t>businesses sector</w:t>
      </w:r>
      <w:r>
        <w:rPr>
          <w:rFonts w:ascii="Times New Roman" w:eastAsia="Calibri" w:hAnsi="Times New Roman" w:cs="Times New Roman"/>
          <w:noProof/>
          <w:sz w:val="24"/>
          <w:szCs w:val="24"/>
        </w:rPr>
        <w:t xml:space="preserve"> was in favour of a short limited stay (2-3 months) for individual enforcement actions, while some of them (UEAPME) underlined that a stay should be granted for a period set by the court.</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Financial institutions</w:t>
      </w:r>
      <w:r>
        <w:rPr>
          <w:rFonts w:ascii="Times New Roman" w:eastAsia="Calibri" w:hAnsi="Times New Roman" w:cs="Times New Roman"/>
          <w:noProof/>
          <w:sz w:val="24"/>
          <w:szCs w:val="24"/>
        </w:rPr>
        <w:t xml:space="preserve"> were of the view that a short stay (2-3 month</w:t>
      </w:r>
      <w:r>
        <w:rPr>
          <w:rFonts w:ascii="Times New Roman" w:eastAsia="Calibri" w:hAnsi="Times New Roman" w:cs="Times New Roman"/>
          <w:noProof/>
          <w:sz w:val="24"/>
          <w:szCs w:val="24"/>
        </w:rPr>
        <w:t>s) should not be automatically provided by the court, but only ordered in specific situations, with the possibility to be lifted by the creditors.</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Legal and insolvency practitioners</w:t>
      </w:r>
      <w:r>
        <w:rPr>
          <w:rFonts w:ascii="Times New Roman" w:eastAsia="Calibri" w:hAnsi="Times New Roman" w:cs="Times New Roman"/>
          <w:noProof/>
          <w:sz w:val="24"/>
          <w:szCs w:val="24"/>
        </w:rPr>
        <w:t xml:space="preserve"> were in favour of a short stay of 3-4 months with the possibility of renew</w:t>
      </w:r>
      <w:r>
        <w:rPr>
          <w:rFonts w:ascii="Times New Roman" w:eastAsia="Calibri" w:hAnsi="Times New Roman" w:cs="Times New Roman"/>
          <w:noProof/>
          <w:sz w:val="24"/>
          <w:szCs w:val="24"/>
        </w:rPr>
        <w:t xml:space="preserve">al under certain circumstances and be lifted by the creditors. Some of them (INSOL Europe) underlined that where creditors are stayed from enforcing their rights it is advisable to institute effective supervision. </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Trade Unions</w:t>
      </w:r>
      <w:r>
        <w:rPr>
          <w:rFonts w:ascii="Times New Roman" w:eastAsia="Calibri" w:hAnsi="Times New Roman" w:cs="Times New Roman"/>
          <w:noProof/>
          <w:sz w:val="24"/>
          <w:szCs w:val="24"/>
        </w:rPr>
        <w:t xml:space="preserve"> underlined that employees sh</w:t>
      </w:r>
      <w:r>
        <w:rPr>
          <w:rFonts w:ascii="Times New Roman" w:eastAsia="Calibri" w:hAnsi="Times New Roman" w:cs="Times New Roman"/>
          <w:noProof/>
          <w:sz w:val="24"/>
          <w:szCs w:val="24"/>
        </w:rPr>
        <w:t xml:space="preserve">ould not be treated worse in preventive restructuring scenarios than in case of insolvency proceedings. </w:t>
      </w:r>
    </w:p>
    <w:p w:rsidR="00B32D69" w:rsidRDefault="00FB661A">
      <w:pPr>
        <w:spacing w:line="240" w:lineRule="auto"/>
        <w:jc w:val="both"/>
        <w:rPr>
          <w:rFonts w:ascii="Times New Roman" w:hAnsi="Times New Roman" w:cs="Times New Roman"/>
          <w:b/>
          <w:noProof/>
          <w:sz w:val="24"/>
          <w:szCs w:val="24"/>
          <w:lang w:val="en-US"/>
        </w:rPr>
      </w:pPr>
      <w:r>
        <w:rPr>
          <w:rFonts w:ascii="Times New Roman" w:hAnsi="Times New Roman" w:cs="Times New Roman"/>
          <w:noProof/>
          <w:sz w:val="24"/>
          <w:szCs w:val="24"/>
          <w:lang w:val="en-US"/>
        </w:rPr>
        <w:t xml:space="preserve">From the public consultation and the dedicated meetings with the </w:t>
      </w:r>
      <w:r>
        <w:rPr>
          <w:rFonts w:ascii="Times New Roman" w:hAnsi="Times New Roman" w:cs="Times New Roman"/>
          <w:b/>
          <w:noProof/>
          <w:sz w:val="24"/>
          <w:szCs w:val="24"/>
          <w:lang w:val="en-US"/>
        </w:rPr>
        <w:t>Member States</w:t>
      </w:r>
      <w:r>
        <w:rPr>
          <w:rFonts w:ascii="Times New Roman" w:hAnsi="Times New Roman" w:cs="Times New Roman"/>
          <w:noProof/>
          <w:sz w:val="24"/>
          <w:szCs w:val="24"/>
          <w:lang w:val="en-US"/>
        </w:rPr>
        <w:t xml:space="preserve">, the majority of them (PL, PT, ES, SE, IT , AT) supported the view that </w:t>
      </w:r>
      <w:r>
        <w:rPr>
          <w:rFonts w:ascii="Times New Roman" w:hAnsi="Times New Roman" w:cs="Times New Roman"/>
          <w:noProof/>
          <w:sz w:val="24"/>
          <w:szCs w:val="24"/>
          <w:lang w:val="en-US"/>
        </w:rPr>
        <w:t xml:space="preserve">a stay should be granted without any conditions (automatically) with the possibility to be lifted by the creditor, while others preferred that a stay should be granted only if the debtor shows that it is likely that negotiations have a reasonable prospect </w:t>
      </w:r>
      <w:r>
        <w:rPr>
          <w:rFonts w:ascii="Times New Roman" w:hAnsi="Times New Roman" w:cs="Times New Roman"/>
          <w:noProof/>
          <w:sz w:val="24"/>
          <w:szCs w:val="24"/>
          <w:lang w:val="en-US"/>
        </w:rPr>
        <w:t>of leading to a successful restructuring.</w:t>
      </w:r>
      <w:r>
        <w:rPr>
          <w:rFonts w:ascii="Times New Roman" w:eastAsia="Calibri" w:hAnsi="Times New Roman" w:cs="Times New Roman"/>
          <w:noProof/>
          <w:sz w:val="24"/>
          <w:szCs w:val="24"/>
        </w:rPr>
        <w:t xml:space="preserve"> Some Member States (FI, SE) were in favour of a general stay, while others (NL) supported only a stay on individual enforcement actions</w:t>
      </w:r>
      <w:r>
        <w:rPr>
          <w:rFonts w:ascii="Times New Roman" w:hAnsi="Times New Roman" w:cs="Times New Roman"/>
          <w:noProof/>
          <w:sz w:val="24"/>
          <w:szCs w:val="24"/>
          <w:lang w:val="en-US"/>
        </w:rPr>
        <w:t xml:space="preserve">. </w:t>
      </w:r>
      <w:r>
        <w:rPr>
          <w:rFonts w:ascii="Times New Roman" w:eastAsia="Calibri" w:hAnsi="Times New Roman" w:cs="Times New Roman"/>
          <w:noProof/>
          <w:sz w:val="24"/>
          <w:szCs w:val="24"/>
        </w:rPr>
        <w:t>As for the duration, Member States in general supported a short stay (4 month</w:t>
      </w:r>
      <w:r>
        <w:rPr>
          <w:rFonts w:ascii="Times New Roman" w:eastAsia="Calibri" w:hAnsi="Times New Roman" w:cs="Times New Roman"/>
          <w:noProof/>
          <w:sz w:val="24"/>
          <w:szCs w:val="24"/>
        </w:rPr>
        <w:t xml:space="preserve">s) with the possibility of its prolongation under certain circumstances, </w:t>
      </w:r>
      <w:r>
        <w:rPr>
          <w:rFonts w:ascii="Times New Roman" w:hAnsi="Times New Roman" w:cs="Times New Roman"/>
          <w:noProof/>
          <w:sz w:val="24"/>
          <w:szCs w:val="24"/>
          <w:lang w:val="en-US"/>
        </w:rPr>
        <w:t>while others opted for longer periods (LU, FR) and others (FI) were of the opinion that the duration of a stay should be set by the Courts.</w:t>
      </w:r>
      <w:r>
        <w:rPr>
          <w:rFonts w:ascii="Times New Roman" w:eastAsia="Calibri" w:hAnsi="Times New Roman" w:cs="Times New Roman"/>
          <w:noProof/>
          <w:sz w:val="24"/>
          <w:szCs w:val="24"/>
        </w:rPr>
        <w:t xml:space="preserve"> Diverse views were expressed as to the maxi</w:t>
      </w:r>
      <w:r>
        <w:rPr>
          <w:rFonts w:ascii="Times New Roman" w:eastAsia="Calibri" w:hAnsi="Times New Roman" w:cs="Times New Roman"/>
          <w:noProof/>
          <w:sz w:val="24"/>
          <w:szCs w:val="24"/>
        </w:rPr>
        <w:t>mum period envisaged.</w:t>
      </w:r>
      <w:r>
        <w:rPr>
          <w:rFonts w:ascii="Times New Roman" w:eastAsia="Calibri" w:hAnsi="Times New Roman" w:cs="Times New Roman"/>
          <w:noProof/>
          <w:color w:val="FF0000"/>
          <w:sz w:val="24"/>
          <w:szCs w:val="24"/>
        </w:rPr>
        <w:t xml:space="preserve"> </w:t>
      </w:r>
    </w:p>
    <w:p w:rsidR="00B32D69" w:rsidRDefault="00FB661A">
      <w:pPr>
        <w:pStyle w:val="ManualHeading3"/>
        <w:rPr>
          <w:noProof/>
        </w:rPr>
      </w:pPr>
      <w:bookmarkStart w:id="91" w:name="_Toc463280378"/>
      <w:r>
        <w:rPr>
          <w:noProof/>
        </w:rPr>
        <w:t>2.7.6.</w:t>
      </w:r>
      <w:r>
        <w:rPr>
          <w:noProof/>
        </w:rPr>
        <w:tab/>
        <w:t>Creditors' rights - ‘cross-class cram down’ (i.e. the confirmation of the restructuring plan supported by some classes of creditors in spite of the objections of some other classes of creditors)</w:t>
      </w:r>
      <w:bookmarkEnd w:id="91"/>
    </w:p>
    <w:p w:rsidR="00B32D69" w:rsidRDefault="00B32D69">
      <w:pPr>
        <w:widowControl w:val="0"/>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widowControl w:val="0"/>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In the public consultation, </w:t>
      </w:r>
      <w:r>
        <w:rPr>
          <w:rFonts w:ascii="Times New Roman" w:hAnsi="Times New Roman" w:cs="Times New Roman"/>
          <w:noProof/>
          <w:sz w:val="24"/>
          <w:szCs w:val="24"/>
          <w:lang w:val="en-US"/>
        </w:rPr>
        <w:t>almost 60% of those consulted were of the view that a ‘cross-class cram down’ should be possible, subject to certain conditions and safeguards.</w:t>
      </w:r>
      <w:r>
        <w:rPr>
          <w:rStyle w:val="FootnoteReference"/>
          <w:rFonts w:ascii="Times New Roman" w:hAnsi="Times New Roman"/>
          <w:noProof/>
          <w:sz w:val="24"/>
          <w:szCs w:val="24"/>
          <w:lang w:val="en-US"/>
        </w:rPr>
        <w:footnoteReference w:id="289"/>
      </w:r>
      <w:r>
        <w:rPr>
          <w:rFonts w:ascii="Times New Roman" w:hAnsi="Times New Roman" w:cs="Times New Roman"/>
          <w:noProof/>
          <w:sz w:val="24"/>
          <w:szCs w:val="24"/>
          <w:lang w:val="en-US"/>
        </w:rPr>
        <w:t xml:space="preserve"> It was mentioned that, in particular circumstances, a cross class cram down is beneficial, but mitigations shou</w:t>
      </w:r>
      <w:r>
        <w:rPr>
          <w:rFonts w:ascii="Times New Roman" w:hAnsi="Times New Roman" w:cs="Times New Roman"/>
          <w:noProof/>
          <w:sz w:val="24"/>
          <w:szCs w:val="24"/>
          <w:lang w:val="en-US"/>
        </w:rPr>
        <w:t>ld be taken into account (e.g. appropriate court supervision, worse-off principle, separate classes for creditors with different interests etc.).</w:t>
      </w:r>
    </w:p>
    <w:p w:rsidR="00B32D69" w:rsidRDefault="00B32D69">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tabs>
          <w:tab w:val="left" w:pos="4111"/>
        </w:tabs>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It was in general supported that:</w:t>
      </w:r>
    </w:p>
    <w:p w:rsidR="00B32D69" w:rsidRDefault="00B32D69">
      <w:pPr>
        <w:tabs>
          <w:tab w:val="left" w:pos="4111"/>
        </w:tabs>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pStyle w:val="ListParagraph"/>
        <w:numPr>
          <w:ilvl w:val="0"/>
          <w:numId w:val="49"/>
        </w:numPr>
        <w:tabs>
          <w:tab w:val="left" w:pos="4111"/>
        </w:tabs>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In principle, a restructuring plan adopted by an appropriate majority of classes of creditors and with any necessary court confirmation should be binding on all creditors. </w:t>
      </w:r>
    </w:p>
    <w:p w:rsidR="00B32D69" w:rsidRDefault="00FB661A">
      <w:pPr>
        <w:pStyle w:val="ListParagraph"/>
        <w:numPr>
          <w:ilvl w:val="0"/>
          <w:numId w:val="49"/>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C</w:t>
      </w:r>
      <w:r>
        <w:rPr>
          <w:rFonts w:ascii="Times New Roman" w:hAnsi="Times New Roman" w:cs="Times New Roman"/>
          <w:noProof/>
          <w:sz w:val="24"/>
          <w:szCs w:val="24"/>
        </w:rPr>
        <w:t>reditors with different interests should be treated in separate classes, which ref</w:t>
      </w:r>
      <w:r>
        <w:rPr>
          <w:rFonts w:ascii="Times New Roman" w:hAnsi="Times New Roman" w:cs="Times New Roman"/>
          <w:noProof/>
          <w:sz w:val="24"/>
          <w:szCs w:val="24"/>
        </w:rPr>
        <w:t>lect those interests.</w:t>
      </w:r>
      <w:r>
        <w:rPr>
          <w:rStyle w:val="FootnoteReference"/>
          <w:rFonts w:ascii="Times New Roman" w:hAnsi="Times New Roman"/>
          <w:noProof/>
          <w:sz w:val="24"/>
          <w:szCs w:val="24"/>
        </w:rPr>
        <w:footnoteReference w:id="290"/>
      </w:r>
    </w:p>
    <w:p w:rsidR="00B32D69" w:rsidRDefault="00FB661A">
      <w:pPr>
        <w:pStyle w:val="ListParagraph"/>
        <w:numPr>
          <w:ilvl w:val="0"/>
          <w:numId w:val="49"/>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a minimum, there should be separate classes for secured and unsecured creditors. </w:t>
      </w:r>
    </w:p>
    <w:p w:rsidR="00B32D69" w:rsidRDefault="00FB661A">
      <w:pPr>
        <w:pStyle w:val="ListParagraph"/>
        <w:numPr>
          <w:ilvl w:val="0"/>
          <w:numId w:val="49"/>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class of creditors which is out of the money should not be able to veto a restructuring plan so long as they are not being unfairly prejudiced. </w:t>
      </w:r>
      <w:r>
        <w:rPr>
          <w:rFonts w:ascii="Times New Roman" w:hAnsi="Times New Roman" w:cs="Times New Roman"/>
          <w:noProof/>
          <w:sz w:val="24"/>
          <w:szCs w:val="24"/>
          <w:lang w:val="en-US"/>
        </w:rPr>
        <w:t>Ho</w:t>
      </w:r>
      <w:r>
        <w:rPr>
          <w:rFonts w:ascii="Times New Roman" w:hAnsi="Times New Roman" w:cs="Times New Roman"/>
          <w:noProof/>
          <w:sz w:val="24"/>
          <w:szCs w:val="24"/>
          <w:lang w:val="en-US"/>
        </w:rPr>
        <w:t>wever, the assessment of valuation should be independently supervised by the Court or an appropriately regulated person and subject to mechanism for challenge.</w:t>
      </w:r>
      <w:r>
        <w:rPr>
          <w:rStyle w:val="FootnoteReference"/>
          <w:rFonts w:ascii="Times New Roman" w:hAnsi="Times New Roman"/>
          <w:noProof/>
          <w:sz w:val="24"/>
          <w:szCs w:val="24"/>
          <w:lang w:val="en-US"/>
        </w:rPr>
        <w:footnoteReference w:id="291"/>
      </w:r>
    </w:p>
    <w:p w:rsidR="00B32D69" w:rsidRDefault="00FB661A">
      <w:pPr>
        <w:pStyle w:val="ListParagraph"/>
        <w:numPr>
          <w:ilvl w:val="0"/>
          <w:numId w:val="4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plan should be fair and reasonable and leave no creditor worse off than they would be in th</w:t>
      </w:r>
      <w:r>
        <w:rPr>
          <w:rFonts w:ascii="Times New Roman" w:hAnsi="Times New Roman" w:cs="Times New Roman"/>
          <w:noProof/>
          <w:sz w:val="24"/>
          <w:szCs w:val="24"/>
        </w:rPr>
        <w:t>e most likely alternative scenario, e.g. liquidation.</w:t>
      </w:r>
      <w:r>
        <w:rPr>
          <w:rStyle w:val="FootnoteReference"/>
          <w:rFonts w:ascii="Times New Roman" w:hAnsi="Times New Roman"/>
          <w:noProof/>
          <w:sz w:val="24"/>
          <w:szCs w:val="24"/>
        </w:rPr>
        <w:footnoteReference w:id="292"/>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public consultation and the 'Sounding Board' meetings, </w:t>
      </w:r>
      <w:r>
        <w:rPr>
          <w:rFonts w:ascii="Times New Roman" w:hAnsi="Times New Roman" w:cs="Times New Roman"/>
          <w:b/>
          <w:noProof/>
          <w:sz w:val="24"/>
          <w:szCs w:val="24"/>
        </w:rPr>
        <w:t>business organisations and insolvency practitioners</w:t>
      </w:r>
      <w:r>
        <w:rPr>
          <w:rFonts w:ascii="Times New Roman" w:hAnsi="Times New Roman" w:cs="Times New Roman"/>
          <w:noProof/>
          <w:sz w:val="24"/>
          <w:szCs w:val="24"/>
        </w:rPr>
        <w:t xml:space="preserve"> supported in general that the plan should be adopted if the required majority in every</w:t>
      </w:r>
      <w:r>
        <w:rPr>
          <w:rFonts w:ascii="Times New Roman" w:hAnsi="Times New Roman" w:cs="Times New Roman"/>
          <w:noProof/>
          <w:sz w:val="24"/>
          <w:szCs w:val="24"/>
        </w:rPr>
        <w:t xml:space="preserve"> class is in favour provided that the minority creditors are not unfairly prejudiced and that all classes of creditors should be affected by the plan. They were strongly of the view that secured and unsecured creditors should be treated in separate classes</w:t>
      </w:r>
      <w:r>
        <w:rPr>
          <w:rFonts w:ascii="Times New Roman" w:hAnsi="Times New Roman" w:cs="Times New Roman"/>
          <w:noProof/>
          <w:sz w:val="24"/>
          <w:szCs w:val="24"/>
        </w:rPr>
        <w:t>. The majority supported minimum standards on cross-class cram-down accompanied by adequate safeguards. As for shareholders' position, various views were expressed; some of them were more reluctant to introducing mandatory provisions regarding shareholders</w:t>
      </w:r>
      <w:r>
        <w:rPr>
          <w:rFonts w:ascii="Times New Roman" w:hAnsi="Times New Roman" w:cs="Times New Roman"/>
          <w:noProof/>
          <w:sz w:val="24"/>
          <w:szCs w:val="24"/>
        </w:rPr>
        <w:t xml:space="preserve"> in preventive restructuring, while others were of the view that although shareholders should be involved in the negotiations, they should not have a hold out position if they are out of the money.</w:t>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Financial institutions</w:t>
      </w:r>
      <w:r>
        <w:rPr>
          <w:rFonts w:ascii="Times New Roman" w:hAnsi="Times New Roman" w:cs="Times New Roman"/>
          <w:noProof/>
          <w:sz w:val="24"/>
          <w:szCs w:val="24"/>
        </w:rPr>
        <w:t xml:space="preserve"> were not opposed to cram down mech</w:t>
      </w:r>
      <w:r>
        <w:rPr>
          <w:rFonts w:ascii="Times New Roman" w:hAnsi="Times New Roman" w:cs="Times New Roman"/>
          <w:noProof/>
          <w:sz w:val="24"/>
          <w:szCs w:val="24"/>
        </w:rPr>
        <w:t>anisms, but they underlined that adequate safeguards should exist for secured creditors, because the write off of claims of a secured creditor without individual consent could generate the type of uncertainty that may result in higher costs of financing. T</w:t>
      </w:r>
      <w:r>
        <w:rPr>
          <w:rFonts w:ascii="Times New Roman" w:hAnsi="Times New Roman" w:cs="Times New Roman"/>
          <w:noProof/>
          <w:sz w:val="24"/>
          <w:szCs w:val="24"/>
        </w:rPr>
        <w:t>hey particularly stressed the importance of the protection of the enforceability of the collateral and the implications to the cost of credit and financing. They were also of the view that shareholders' rights might need to be limited in certain circumstan</w:t>
      </w:r>
      <w:r>
        <w:rPr>
          <w:rFonts w:ascii="Times New Roman" w:hAnsi="Times New Roman" w:cs="Times New Roman"/>
          <w:noProof/>
          <w:sz w:val="24"/>
          <w:szCs w:val="24"/>
        </w:rPr>
        <w:t xml:space="preserve">ces, i.e when they prevent the plan from being adopted although this plan is likely to ensure the continuation of the company's activity and the recovery of the debts. </w:t>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Trade Unions</w:t>
      </w:r>
      <w:r>
        <w:rPr>
          <w:rFonts w:ascii="Times New Roman" w:hAnsi="Times New Roman" w:cs="Times New Roman"/>
          <w:noProof/>
          <w:sz w:val="24"/>
          <w:szCs w:val="24"/>
        </w:rPr>
        <w:t xml:space="preserve"> stressed that employees' interests should not be overruled; where there i</w:t>
      </w:r>
      <w:r>
        <w:rPr>
          <w:rFonts w:ascii="Times New Roman" w:hAnsi="Times New Roman" w:cs="Times New Roman"/>
          <w:noProof/>
          <w:sz w:val="24"/>
          <w:szCs w:val="24"/>
        </w:rPr>
        <w:t xml:space="preserve">s a preventative restructuring of a business or undertaking then the employer must be obliged to inform, consult and engage with the employees with a view to reaching agreement. Any subsequent agreement reached on restructuring in as far as employment and </w:t>
      </w:r>
      <w:r>
        <w:rPr>
          <w:rFonts w:ascii="Times New Roman" w:hAnsi="Times New Roman" w:cs="Times New Roman"/>
          <w:noProof/>
          <w:sz w:val="24"/>
          <w:szCs w:val="24"/>
        </w:rPr>
        <w:t>industrial relations is concerned should not be subject to veto by other creditors.</w:t>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From the public consultation and the informal meetings with the Member States, the majority of the </w:t>
      </w:r>
      <w:r>
        <w:rPr>
          <w:rFonts w:ascii="Times New Roman" w:hAnsi="Times New Roman" w:cs="Times New Roman"/>
          <w:b/>
          <w:noProof/>
          <w:sz w:val="24"/>
          <w:szCs w:val="24"/>
        </w:rPr>
        <w:t>Member States</w:t>
      </w:r>
      <w:r>
        <w:rPr>
          <w:rFonts w:ascii="Times New Roman" w:hAnsi="Times New Roman" w:cs="Times New Roman"/>
          <w:noProof/>
          <w:sz w:val="24"/>
          <w:szCs w:val="24"/>
        </w:rPr>
        <w:t xml:space="preserve"> were in favour of cram-down on al creditors, as long as ap</w:t>
      </w:r>
      <w:r>
        <w:rPr>
          <w:rFonts w:ascii="Times New Roman" w:hAnsi="Times New Roman" w:cs="Times New Roman"/>
          <w:noProof/>
          <w:sz w:val="24"/>
          <w:szCs w:val="24"/>
        </w:rPr>
        <w:t>propriate safeguards are put in place. However, views were diverging with regard to majorities required, exceptions and safeguards. As for the position of shareholders in early restructuring, despite the fact that all the Member States supported the ration</w:t>
      </w:r>
      <w:r>
        <w:rPr>
          <w:rFonts w:ascii="Times New Roman" w:hAnsi="Times New Roman" w:cs="Times New Roman"/>
          <w:noProof/>
          <w:sz w:val="24"/>
          <w:szCs w:val="24"/>
        </w:rPr>
        <w:t xml:space="preserve">ale, some of them were concerned about the idea of introducing mandatory detailed rules, because of potential implications on company law and constitutional protection of property rights. </w:t>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pStyle w:val="ManualHeading3"/>
        <w:rPr>
          <w:noProof/>
        </w:rPr>
      </w:pPr>
      <w:bookmarkStart w:id="92" w:name="_Toc463280379"/>
      <w:r>
        <w:rPr>
          <w:noProof/>
        </w:rPr>
        <w:t>2.7.7.</w:t>
      </w:r>
      <w:r>
        <w:rPr>
          <w:noProof/>
        </w:rPr>
        <w:tab/>
        <w:t>Protection of new financing</w:t>
      </w:r>
      <w:bookmarkEnd w:id="92"/>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vast majority of the </w:t>
      </w:r>
      <w:r>
        <w:rPr>
          <w:rFonts w:ascii="Times New Roman" w:hAnsi="Times New Roman" w:cs="Times New Roman"/>
          <w:noProof/>
          <w:sz w:val="24"/>
          <w:szCs w:val="24"/>
        </w:rPr>
        <w:t>participants to the public consultation underlined the significant importance of interim/new financing for a successful restructuring and the continuity of a business and agreed that there should be appropriate incentives and safeguards to encourage the pr</w:t>
      </w:r>
      <w:r>
        <w:rPr>
          <w:rFonts w:ascii="Times New Roman" w:hAnsi="Times New Roman" w:cs="Times New Roman"/>
          <w:noProof/>
          <w:sz w:val="24"/>
          <w:szCs w:val="24"/>
        </w:rPr>
        <w:t>ovision of financing to enable restructuring to take place. Almost 70% were of the view that financing ensuring current operations should be protected in case of insolvency in the future</w:t>
      </w:r>
      <w:r>
        <w:rPr>
          <w:rStyle w:val="FootnoteReference"/>
          <w:rFonts w:ascii="Times New Roman" w:hAnsi="Times New Roman"/>
          <w:noProof/>
          <w:sz w:val="24"/>
          <w:szCs w:val="24"/>
        </w:rPr>
        <w:footnoteReference w:id="293"/>
      </w:r>
      <w:r>
        <w:rPr>
          <w:rFonts w:ascii="Times New Roman" w:hAnsi="Times New Roman" w:cs="Times New Roman"/>
          <w:noProof/>
          <w:sz w:val="24"/>
          <w:szCs w:val="24"/>
        </w:rPr>
        <w:t xml:space="preserve"> and only 5% were opposed to any kind of protection. In particular, t</w:t>
      </w:r>
      <w:r>
        <w:rPr>
          <w:rFonts w:ascii="Times New Roman" w:hAnsi="Times New Roman" w:cs="Times New Roman"/>
          <w:noProof/>
          <w:sz w:val="24"/>
          <w:szCs w:val="24"/>
        </w:rPr>
        <w:t>he majority of those in favour stressed that financing necessary for the implementation of a restructuring plan should be protected only if agreed in the restructuring plan and confirmed by the court.</w:t>
      </w:r>
      <w:r>
        <w:rPr>
          <w:rStyle w:val="FootnoteReference"/>
          <w:rFonts w:ascii="Times New Roman" w:hAnsi="Times New Roman"/>
          <w:noProof/>
          <w:sz w:val="24"/>
          <w:szCs w:val="24"/>
        </w:rPr>
        <w:footnoteReference w:id="294"/>
      </w:r>
      <w:r>
        <w:rPr>
          <w:rFonts w:ascii="Times New Roman" w:hAnsi="Times New Roman" w:cs="Times New Roman"/>
          <w:noProof/>
          <w:sz w:val="24"/>
          <w:szCs w:val="24"/>
        </w:rPr>
        <w:t xml:space="preserve"> More specifically, 50% of the business sector was of t</w:t>
      </w:r>
      <w:r>
        <w:rPr>
          <w:rFonts w:ascii="Times New Roman" w:hAnsi="Times New Roman" w:cs="Times New Roman"/>
          <w:noProof/>
          <w:sz w:val="24"/>
          <w:szCs w:val="24"/>
        </w:rPr>
        <w:t>he view that financing should be protected if agreed in the restructuring plan and confirmed by the court, while additional 20% believed that new financing should always be protected.</w:t>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majority agreed that:</w:t>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pStyle w:val="ListParagraph"/>
        <w:numPr>
          <w:ilvl w:val="0"/>
          <w:numId w:val="4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If there is not any protection (e.g. protect</w:t>
      </w:r>
      <w:r>
        <w:rPr>
          <w:rFonts w:ascii="Times New Roman" w:hAnsi="Times New Roman" w:cs="Times New Roman"/>
          <w:noProof/>
          <w:sz w:val="24"/>
          <w:szCs w:val="24"/>
        </w:rPr>
        <w:t>ion from avoidance rules or higher priority) of interim and new financing, then potentially interested investors will be discouraged and companies in need of working capital could be left without the possibility to finance their day to day operations, to t</w:t>
      </w:r>
      <w:r>
        <w:rPr>
          <w:rFonts w:ascii="Times New Roman" w:hAnsi="Times New Roman" w:cs="Times New Roman"/>
          <w:noProof/>
          <w:sz w:val="24"/>
          <w:szCs w:val="24"/>
        </w:rPr>
        <w:t>he detriment of the real economy.</w:t>
      </w:r>
      <w:r>
        <w:rPr>
          <w:rStyle w:val="FootnoteReference"/>
          <w:rFonts w:ascii="Times New Roman" w:hAnsi="Times New Roman"/>
          <w:noProof/>
          <w:sz w:val="24"/>
          <w:szCs w:val="24"/>
        </w:rPr>
        <w:footnoteReference w:id="295"/>
      </w:r>
    </w:p>
    <w:p w:rsidR="00B32D69" w:rsidRDefault="00FB661A">
      <w:pPr>
        <w:pStyle w:val="ListParagraph"/>
        <w:widowControl w:val="0"/>
        <w:numPr>
          <w:ilvl w:val="0"/>
          <w:numId w:val="4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Creditors that decide to inject liquidity in a distressed company should be given a sufficient degree of predictability on the recovery of their claims. </w:t>
      </w:r>
    </w:p>
    <w:p w:rsidR="00B32D69" w:rsidRDefault="00FB661A">
      <w:pPr>
        <w:pStyle w:val="ListParagraph"/>
        <w:widowControl w:val="0"/>
        <w:numPr>
          <w:ilvl w:val="0"/>
          <w:numId w:val="41"/>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In general, such a financing should be protected, if there are reas</w:t>
      </w:r>
      <w:r>
        <w:rPr>
          <w:rFonts w:ascii="Times New Roman" w:hAnsi="Times New Roman" w:cs="Times New Roman"/>
          <w:noProof/>
          <w:sz w:val="24"/>
          <w:szCs w:val="24"/>
          <w:lang w:val="en-US"/>
        </w:rPr>
        <w:t>onable prospects for the plan to be successful and subject to a confirmation by the court and there is potential benefit to the creditors.</w:t>
      </w:r>
      <w:r>
        <w:rPr>
          <w:rStyle w:val="FootnoteReference"/>
          <w:rFonts w:ascii="Times New Roman" w:hAnsi="Times New Roman"/>
          <w:noProof/>
          <w:sz w:val="24"/>
          <w:szCs w:val="24"/>
          <w:lang w:val="en-US"/>
        </w:rPr>
        <w:footnoteReference w:id="296"/>
      </w:r>
    </w:p>
    <w:p w:rsidR="00B32D69" w:rsidRDefault="00B32D69">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widowControl w:val="0"/>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It was also argued that:</w:t>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pStyle w:val="ListParagraph"/>
        <w:numPr>
          <w:ilvl w:val="0"/>
          <w:numId w:val="50"/>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S</w:t>
      </w:r>
      <w:r>
        <w:rPr>
          <w:rFonts w:ascii="Times New Roman" w:hAnsi="Times New Roman" w:cs="Times New Roman"/>
          <w:noProof/>
          <w:sz w:val="24"/>
          <w:szCs w:val="24"/>
          <w:lang w:val="en-US"/>
        </w:rPr>
        <w:t xml:space="preserve">tatutory super priority is best left to each Member State to decide as any such </w:t>
      </w:r>
      <w:r>
        <w:rPr>
          <w:rFonts w:ascii="Times New Roman" w:hAnsi="Times New Roman" w:cs="Times New Roman"/>
          <w:noProof/>
          <w:sz w:val="24"/>
          <w:szCs w:val="24"/>
          <w:lang w:val="en-US"/>
        </w:rPr>
        <w:t>proposals will need to be consistent with existing national laws regarding property rights and security interests.</w:t>
      </w:r>
    </w:p>
    <w:p w:rsidR="00B32D69" w:rsidRDefault="00FB661A">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During the ‘Sounding Board’ meetings, </w:t>
      </w:r>
      <w:r>
        <w:rPr>
          <w:rFonts w:ascii="Times New Roman" w:hAnsi="Times New Roman" w:cs="Times New Roman"/>
          <w:b/>
          <w:noProof/>
          <w:sz w:val="24"/>
          <w:szCs w:val="24"/>
        </w:rPr>
        <w:t>business organisations</w:t>
      </w:r>
      <w:r>
        <w:rPr>
          <w:rFonts w:ascii="Times New Roman" w:hAnsi="Times New Roman" w:cs="Times New Roman"/>
          <w:noProof/>
          <w:sz w:val="24"/>
          <w:szCs w:val="24"/>
        </w:rPr>
        <w:t xml:space="preserve"> such as UEAPME, Independent Retail Europe and BussinessEurope mentioned that ade</w:t>
      </w:r>
      <w:r>
        <w:rPr>
          <w:rFonts w:ascii="Times New Roman" w:hAnsi="Times New Roman" w:cs="Times New Roman"/>
          <w:noProof/>
          <w:sz w:val="24"/>
          <w:szCs w:val="24"/>
        </w:rPr>
        <w:t xml:space="preserve">quate protection of new financing will provide incentives for early restructuring. </w:t>
      </w:r>
    </w:p>
    <w:p w:rsidR="00B32D69" w:rsidRDefault="00FB661A">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Legal and insolvency practitioners</w:t>
      </w:r>
      <w:r>
        <w:rPr>
          <w:rFonts w:ascii="Times New Roman" w:hAnsi="Times New Roman" w:cs="Times New Roman"/>
          <w:noProof/>
          <w:sz w:val="24"/>
          <w:szCs w:val="24"/>
        </w:rPr>
        <w:t xml:space="preserve"> were in favour of providing protection for new financing and, for the sake of greater certainty, they supported the idea of a safe harbou</w:t>
      </w:r>
      <w:r>
        <w:rPr>
          <w:rFonts w:ascii="Times New Roman" w:hAnsi="Times New Roman" w:cs="Times New Roman"/>
          <w:noProof/>
          <w:sz w:val="24"/>
          <w:szCs w:val="24"/>
        </w:rPr>
        <w:t xml:space="preserve">r provision equipped with adequate safeguards. </w:t>
      </w:r>
    </w:p>
    <w:p w:rsidR="00B32D69" w:rsidRDefault="00FB661A">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Financial institutions</w:t>
      </w:r>
      <w:r>
        <w:rPr>
          <w:rFonts w:ascii="Times New Roman" w:hAnsi="Times New Roman" w:cs="Times New Roman"/>
          <w:noProof/>
          <w:sz w:val="24"/>
          <w:szCs w:val="24"/>
        </w:rPr>
        <w:t xml:space="preserve"> were in favour of adequate protection for new financing if that is agreed in the plan and confirmed by the court. </w:t>
      </w:r>
    </w:p>
    <w:p w:rsidR="00B32D69" w:rsidRDefault="00FB661A">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majority of the </w:t>
      </w:r>
      <w:r>
        <w:rPr>
          <w:rFonts w:ascii="Times New Roman" w:hAnsi="Times New Roman" w:cs="Times New Roman"/>
          <w:b/>
          <w:noProof/>
          <w:sz w:val="24"/>
          <w:szCs w:val="24"/>
        </w:rPr>
        <w:t>Member States</w:t>
      </w:r>
      <w:r>
        <w:rPr>
          <w:rFonts w:ascii="Times New Roman" w:hAnsi="Times New Roman" w:cs="Times New Roman"/>
          <w:noProof/>
          <w:sz w:val="24"/>
          <w:szCs w:val="24"/>
        </w:rPr>
        <w:t xml:space="preserve"> (NL, AT, SI, RO, PT, IE, PL, EL) wer</w:t>
      </w:r>
      <w:r>
        <w:rPr>
          <w:rFonts w:ascii="Times New Roman" w:hAnsi="Times New Roman" w:cs="Times New Roman"/>
          <w:noProof/>
          <w:sz w:val="24"/>
          <w:szCs w:val="24"/>
        </w:rPr>
        <w:t>e in favour of general principles for the protection of new and interim financing, provided that there are appropriate safeguard against bad faith behaviour and fraud. Member States were, nevertheless, opposed to mandatory provisions granting super priorit</w:t>
      </w:r>
      <w:r>
        <w:rPr>
          <w:rFonts w:ascii="Times New Roman" w:hAnsi="Times New Roman" w:cs="Times New Roman"/>
          <w:noProof/>
          <w:sz w:val="24"/>
          <w:szCs w:val="24"/>
        </w:rPr>
        <w:t>y for new money or to any rules, which would affect domestic systems of ranking of claims and securities.</w:t>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spacing w:line="240" w:lineRule="auto"/>
        <w:jc w:val="both"/>
        <w:rPr>
          <w:rFonts w:ascii="Times New Roman" w:hAnsi="Times New Roman" w:cs="Times New Roman"/>
          <w:noProof/>
          <w:color w:val="000000"/>
          <w:sz w:val="24"/>
          <w:szCs w:val="24"/>
          <w:lang w:eastAsia="en-GB"/>
        </w:rPr>
      </w:pPr>
      <w:r>
        <w:rPr>
          <w:rFonts w:ascii="Times New Roman" w:hAnsi="Times New Roman" w:cs="Times New Roman"/>
          <w:noProof/>
          <w:sz w:val="24"/>
          <w:szCs w:val="24"/>
        </w:rPr>
        <w:t xml:space="preserve">Regarding the </w:t>
      </w:r>
      <w:r>
        <w:rPr>
          <w:rFonts w:ascii="Times New Roman" w:hAnsi="Times New Roman" w:cs="Times New Roman"/>
          <w:b/>
          <w:noProof/>
          <w:sz w:val="24"/>
          <w:szCs w:val="24"/>
        </w:rPr>
        <w:t>priority of claims in insolvency</w:t>
      </w:r>
      <w:r>
        <w:rPr>
          <w:rFonts w:ascii="Times New Roman" w:hAnsi="Times New Roman" w:cs="Times New Roman"/>
          <w:noProof/>
          <w:sz w:val="24"/>
          <w:szCs w:val="24"/>
        </w:rPr>
        <w:t xml:space="preserve">, almost 45% of respondents in the public consultation supported that differences in the areas of ranking of claims affect to a large or to a considerable extent the operation of the internal market. 41% also believed that harmonisation in this area would </w:t>
      </w:r>
      <w:r>
        <w:rPr>
          <w:rFonts w:ascii="Times New Roman" w:hAnsi="Times New Roman" w:cs="Times New Roman"/>
          <w:noProof/>
          <w:sz w:val="24"/>
          <w:szCs w:val="24"/>
        </w:rPr>
        <w:t xml:space="preserve">increase recovery rates for creditors. However, discussions in the </w:t>
      </w:r>
      <w:r>
        <w:rPr>
          <w:rFonts w:ascii="Times New Roman" w:hAnsi="Times New Roman" w:cs="Times New Roman"/>
          <w:b/>
          <w:noProof/>
          <w:sz w:val="24"/>
          <w:szCs w:val="24"/>
        </w:rPr>
        <w:t>Commission Expert Group</w:t>
      </w:r>
      <w:r>
        <w:rPr>
          <w:rFonts w:ascii="Times New Roman" w:hAnsi="Times New Roman" w:cs="Times New Roman"/>
          <w:noProof/>
          <w:sz w:val="24"/>
          <w:szCs w:val="24"/>
        </w:rPr>
        <w:t xml:space="preserve"> revealed that this area is fraught with difficulty especially because of Member States approaches to giving preferences to employees and state creditors (tax, social</w:t>
      </w:r>
      <w:r>
        <w:rPr>
          <w:rFonts w:ascii="Times New Roman" w:hAnsi="Times New Roman" w:cs="Times New Roman"/>
          <w:noProof/>
          <w:sz w:val="24"/>
          <w:szCs w:val="24"/>
        </w:rPr>
        <w:t xml:space="preserve"> security etc.). Competing values are at stake and harmonisation is not at this stage feasible. In addition, in the public consultation and during the dedicated meetings with the </w:t>
      </w:r>
      <w:r>
        <w:rPr>
          <w:rFonts w:ascii="Times New Roman" w:hAnsi="Times New Roman" w:cs="Times New Roman"/>
          <w:b/>
          <w:noProof/>
          <w:sz w:val="24"/>
          <w:szCs w:val="24"/>
        </w:rPr>
        <w:t>Member State</w:t>
      </w:r>
      <w:r>
        <w:rPr>
          <w:rFonts w:ascii="Times New Roman" w:hAnsi="Times New Roman" w:cs="Times New Roman"/>
          <w:noProof/>
          <w:sz w:val="24"/>
          <w:szCs w:val="24"/>
        </w:rPr>
        <w:t>s, most of them were opposed to any harmonisation of ranking of c</w:t>
      </w:r>
      <w:r>
        <w:rPr>
          <w:rFonts w:ascii="Times New Roman" w:hAnsi="Times New Roman" w:cs="Times New Roman"/>
          <w:noProof/>
          <w:sz w:val="24"/>
          <w:szCs w:val="24"/>
        </w:rPr>
        <w:t>laims.</w:t>
      </w:r>
    </w:p>
    <w:p w:rsidR="00B32D69" w:rsidRDefault="00FB661A">
      <w:pPr>
        <w:pStyle w:val="ManualHeading3"/>
        <w:rPr>
          <w:noProof/>
        </w:rPr>
      </w:pPr>
      <w:bookmarkStart w:id="93" w:name="_Toc463280380"/>
      <w:r>
        <w:rPr>
          <w:noProof/>
        </w:rPr>
        <w:t>2.7.8.</w:t>
      </w:r>
      <w:r>
        <w:rPr>
          <w:noProof/>
        </w:rPr>
        <w:tab/>
        <w:t>Role of directors in preventing insolvencies</w:t>
      </w:r>
      <w:bookmarkEnd w:id="93"/>
      <w:r>
        <w:rPr>
          <w:noProof/>
        </w:rPr>
        <w:t xml:space="preserve"> </w:t>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More than half of those responded in the public consultation were of the view that directors of companies should be incentivised to take appropriate preventive measures if companies are in distre</w:t>
      </w:r>
      <w:r>
        <w:rPr>
          <w:rFonts w:ascii="Times New Roman" w:hAnsi="Times New Roman" w:cs="Times New Roman"/>
          <w:noProof/>
          <w:sz w:val="24"/>
          <w:szCs w:val="24"/>
          <w:lang w:val="en-US"/>
        </w:rPr>
        <w:t>ss but not yet insolvent</w:t>
      </w:r>
      <w:r>
        <w:rPr>
          <w:rStyle w:val="FootnoteReference"/>
          <w:rFonts w:ascii="Times New Roman" w:hAnsi="Times New Roman"/>
          <w:noProof/>
          <w:sz w:val="24"/>
          <w:szCs w:val="24"/>
          <w:lang w:val="en-US"/>
        </w:rPr>
        <w:footnoteReference w:id="297"/>
      </w:r>
      <w:r>
        <w:rPr>
          <w:rFonts w:ascii="Times New Roman" w:hAnsi="Times New Roman" w:cs="Times New Roman"/>
          <w:noProof/>
          <w:sz w:val="24"/>
          <w:szCs w:val="24"/>
          <w:lang w:val="en-US"/>
        </w:rPr>
        <w:t xml:space="preserve">, while 18% were against. </w:t>
      </w:r>
    </w:p>
    <w:p w:rsidR="00B32D69" w:rsidRDefault="00B32D69">
      <w:pPr>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It was particularly stressed that:</w:t>
      </w:r>
    </w:p>
    <w:p w:rsidR="00B32D69" w:rsidRDefault="00B32D69">
      <w:pPr>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pStyle w:val="ListParagraph"/>
        <w:numPr>
          <w:ilvl w:val="0"/>
          <w:numId w:val="50"/>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Directors should be incentivised and encouraged to take professional advice and appropriate preventive measures at an early stage and this could be a mitigating factor</w:t>
      </w:r>
      <w:r>
        <w:rPr>
          <w:rFonts w:ascii="Times New Roman" w:hAnsi="Times New Roman" w:cs="Times New Roman"/>
          <w:noProof/>
          <w:sz w:val="24"/>
          <w:szCs w:val="24"/>
          <w:lang w:val="en-US"/>
        </w:rPr>
        <w:t xml:space="preserve"> in any subsequent assessment of the conduct of the director. </w:t>
      </w:r>
    </w:p>
    <w:p w:rsidR="00B32D69" w:rsidRDefault="00FB661A">
      <w:pPr>
        <w:pStyle w:val="ListParagraph"/>
        <w:numPr>
          <w:ilvl w:val="0"/>
          <w:numId w:val="50"/>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Mandatory filing periods which penalise directors can have a negative effect on directors taking preventative measures and precipitate (in some cases) premature filings for formal insolvency.</w:t>
      </w:r>
      <w:r>
        <w:rPr>
          <w:rStyle w:val="FootnoteReference"/>
          <w:rFonts w:ascii="Times New Roman" w:hAnsi="Times New Roman"/>
          <w:noProof/>
          <w:sz w:val="24"/>
          <w:szCs w:val="24"/>
          <w:lang w:val="en-US"/>
        </w:rPr>
        <w:footnoteReference w:id="298"/>
      </w:r>
    </w:p>
    <w:p w:rsidR="00B32D69" w:rsidRDefault="00FB661A">
      <w:pPr>
        <w:pStyle w:val="ListParagraph"/>
        <w:numPr>
          <w:ilvl w:val="0"/>
          <w:numId w:val="50"/>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There should be a flexible “safe harbour” protecting against potential liability directors who, in good faith, attempt to restructure a financially distressed company with a view to the long term best interests of the company and its constituencies. This s</w:t>
      </w:r>
      <w:r>
        <w:rPr>
          <w:rFonts w:ascii="Times New Roman" w:hAnsi="Times New Roman" w:cs="Times New Roman"/>
          <w:noProof/>
          <w:sz w:val="24"/>
          <w:szCs w:val="24"/>
          <w:lang w:val="en-US"/>
        </w:rPr>
        <w:t>hould not protect abusive practices, such as shareholder-directors delaying formal restructurings.</w:t>
      </w:r>
      <w:r>
        <w:rPr>
          <w:rStyle w:val="FootnoteReference"/>
          <w:rFonts w:ascii="Times New Roman" w:hAnsi="Times New Roman"/>
          <w:noProof/>
          <w:sz w:val="24"/>
          <w:szCs w:val="24"/>
          <w:lang w:val="en-US"/>
        </w:rPr>
        <w:footnoteReference w:id="299"/>
      </w:r>
    </w:p>
    <w:p w:rsidR="00B32D69" w:rsidRDefault="00FB661A">
      <w:pPr>
        <w:pStyle w:val="ListParagraph"/>
        <w:numPr>
          <w:ilvl w:val="0"/>
          <w:numId w:val="50"/>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Instituting preventative proceedings should not protect directors from earlier misbehaviour, nor should they be protected from actions relating to their con</w:t>
      </w:r>
      <w:r>
        <w:rPr>
          <w:rFonts w:ascii="Times New Roman" w:hAnsi="Times New Roman" w:cs="Times New Roman"/>
          <w:noProof/>
          <w:sz w:val="24"/>
          <w:szCs w:val="24"/>
        </w:rPr>
        <w:t>duct during the moratorium where that conduct involves fraud, negligence or wilful misfeasance.</w:t>
      </w:r>
      <w:r>
        <w:rPr>
          <w:rStyle w:val="FootnoteReference"/>
          <w:rFonts w:ascii="Times New Roman" w:hAnsi="Times New Roman"/>
          <w:noProof/>
          <w:sz w:val="24"/>
          <w:szCs w:val="24"/>
        </w:rPr>
        <w:footnoteReference w:id="300"/>
      </w:r>
    </w:p>
    <w:p w:rsidR="00B32D69" w:rsidRDefault="00B32D69">
      <w:pPr>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spacing w:line="240" w:lineRule="auto"/>
        <w:jc w:val="both"/>
        <w:rPr>
          <w:rFonts w:ascii="Times New Roman" w:hAnsi="Times New Roman" w:cs="Times New Roman"/>
          <w:b/>
          <w:noProof/>
          <w:sz w:val="24"/>
          <w:szCs w:val="24"/>
          <w:lang w:val="en-US"/>
        </w:rPr>
      </w:pPr>
      <w:r>
        <w:rPr>
          <w:rFonts w:ascii="Times New Roman" w:hAnsi="Times New Roman" w:cs="Times New Roman"/>
          <w:noProof/>
          <w:color w:val="000000"/>
          <w:sz w:val="24"/>
          <w:szCs w:val="24"/>
          <w:lang w:eastAsia="en-GB"/>
        </w:rPr>
        <w:t xml:space="preserve">However, during the dedicated meetings with the </w:t>
      </w:r>
      <w:r>
        <w:rPr>
          <w:rFonts w:ascii="Times New Roman" w:hAnsi="Times New Roman" w:cs="Times New Roman"/>
          <w:b/>
          <w:noProof/>
          <w:color w:val="000000"/>
          <w:sz w:val="24"/>
          <w:szCs w:val="24"/>
          <w:lang w:eastAsia="en-GB"/>
        </w:rPr>
        <w:t>Member States</w:t>
      </w:r>
      <w:r>
        <w:rPr>
          <w:rFonts w:ascii="Times New Roman" w:hAnsi="Times New Roman" w:cs="Times New Roman"/>
          <w:noProof/>
          <w:color w:val="000000"/>
          <w:sz w:val="24"/>
          <w:szCs w:val="24"/>
          <w:lang w:eastAsia="en-GB"/>
        </w:rPr>
        <w:t xml:space="preserve">, although they acknowledged the need to incentivise directors for early restructuring, most of them were reluctant to mandatory detailed provisions on directors’ duties, due to the implications on company law. </w:t>
      </w:r>
    </w:p>
    <w:p w:rsidR="00B32D69" w:rsidRDefault="00FB661A">
      <w:pPr>
        <w:pStyle w:val="ManualHeading3"/>
        <w:rPr>
          <w:noProof/>
        </w:rPr>
      </w:pPr>
      <w:bookmarkStart w:id="94" w:name="_Toc463280381"/>
      <w:r>
        <w:rPr>
          <w:noProof/>
        </w:rPr>
        <w:t>2.7.9.</w:t>
      </w:r>
      <w:r>
        <w:rPr>
          <w:noProof/>
        </w:rPr>
        <w:tab/>
        <w:t>Role of Member States in preventing i</w:t>
      </w:r>
      <w:r>
        <w:rPr>
          <w:noProof/>
        </w:rPr>
        <w:t>nsolvencies</w:t>
      </w:r>
      <w:bookmarkEnd w:id="94"/>
      <w:r>
        <w:rPr>
          <w:noProof/>
        </w:rPr>
        <w:t xml:space="preserve"> </w:t>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public consultation, the majority of stakeholders were in favour of encouraging Member States to take specific action to help debtors in financial distress. Approximately 30% supported specific action only for SMEs and individuals, whi</w:t>
      </w:r>
      <w:r>
        <w:rPr>
          <w:rFonts w:ascii="Times New Roman" w:hAnsi="Times New Roman" w:cs="Times New Roman"/>
          <w:noProof/>
          <w:sz w:val="24"/>
          <w:szCs w:val="24"/>
        </w:rPr>
        <w:t xml:space="preserve">le 22% for all the debtors. </w:t>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autoSpaceDE w:val="0"/>
        <w:autoSpaceDN w:val="0"/>
        <w:adjustRightInd w:val="0"/>
        <w:spacing w:after="0" w:line="240" w:lineRule="auto"/>
        <w:jc w:val="both"/>
        <w:rPr>
          <w:rFonts w:ascii="Times New Roman" w:hAnsi="Times New Roman" w:cs="Times New Roman"/>
          <w:noProof/>
          <w:sz w:val="24"/>
          <w:szCs w:val="24"/>
        </w:rPr>
      </w:pPr>
      <w:r>
        <w:rPr>
          <w:rFonts w:ascii="Times New Roman" w:eastAsia="Calibri" w:hAnsi="Times New Roman" w:cs="Times New Roman"/>
          <w:noProof/>
          <w:sz w:val="24"/>
          <w:szCs w:val="24"/>
          <w:lang w:val="en-US"/>
        </w:rPr>
        <w:t xml:space="preserve">During the ‘Sounding board’ meetings, </w:t>
      </w:r>
      <w:r>
        <w:rPr>
          <w:rFonts w:ascii="Times New Roman" w:eastAsia="Calibri" w:hAnsi="Times New Roman" w:cs="Times New Roman"/>
          <w:b/>
          <w:noProof/>
          <w:sz w:val="24"/>
          <w:szCs w:val="24"/>
        </w:rPr>
        <w:t>business sector and practitioners</w:t>
      </w:r>
      <w:r>
        <w:rPr>
          <w:rFonts w:ascii="Times New Roman" w:eastAsia="Calibri" w:hAnsi="Times New Roman" w:cs="Times New Roman"/>
          <w:noProof/>
          <w:sz w:val="24"/>
          <w:szCs w:val="24"/>
        </w:rPr>
        <w:t xml:space="preserve"> in restructuring underlined the importance for early warning tools and facilitating access to advice.</w:t>
      </w:r>
      <w:r>
        <w:rPr>
          <w:rFonts w:ascii="Times New Roman" w:hAnsi="Times New Roman" w:cs="Times New Roman"/>
          <w:noProof/>
          <w:sz w:val="24"/>
          <w:szCs w:val="24"/>
        </w:rPr>
        <w:t xml:space="preserve"> However, while some stakeholders were of the view th</w:t>
      </w:r>
      <w:r>
        <w:rPr>
          <w:rFonts w:ascii="Times New Roman" w:hAnsi="Times New Roman" w:cs="Times New Roman"/>
          <w:noProof/>
          <w:sz w:val="24"/>
          <w:szCs w:val="24"/>
        </w:rPr>
        <w:t xml:space="preserve">at some kind of government-backed measures (i.e. funds, assistance schemes) could be introduced to support viable businesses in their attempt to restructure, others supported that the financial and administrative burden should be borne by each debtor. </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w:t>
      </w:r>
      <w:r>
        <w:rPr>
          <w:rFonts w:ascii="Times New Roman" w:eastAsia="Calibri" w:hAnsi="Times New Roman" w:cs="Times New Roman"/>
          <w:noProof/>
          <w:sz w:val="24"/>
          <w:szCs w:val="24"/>
        </w:rPr>
        <w:t xml:space="preserve"> </w:t>
      </w:r>
      <w:r>
        <w:rPr>
          <w:rFonts w:ascii="Times New Roman" w:eastAsia="Calibri" w:hAnsi="Times New Roman" w:cs="Times New Roman"/>
          <w:b/>
          <w:noProof/>
          <w:sz w:val="24"/>
          <w:szCs w:val="24"/>
        </w:rPr>
        <w:t>financial sector</w:t>
      </w:r>
      <w:r>
        <w:rPr>
          <w:rFonts w:ascii="Times New Roman" w:eastAsia="Calibri" w:hAnsi="Times New Roman" w:cs="Times New Roman"/>
          <w:noProof/>
          <w:sz w:val="24"/>
          <w:szCs w:val="24"/>
        </w:rPr>
        <w:t xml:space="preserve"> supported the idea of and advocated for more efficient alert mechanisms, such as tax and social security authorities flagging a negative development of a business.</w:t>
      </w:r>
    </w:p>
    <w:p w:rsidR="00B32D69" w:rsidRDefault="00FB661A">
      <w:pPr>
        <w:pStyle w:val="Default"/>
        <w:jc w:val="both"/>
        <w:rPr>
          <w:rFonts w:ascii="Times New Roman" w:eastAsia="Calibri" w:hAnsi="Times New Roman" w:cs="Times New Roman"/>
          <w:noProof/>
        </w:rPr>
      </w:pPr>
      <w:r>
        <w:rPr>
          <w:rFonts w:ascii="Times New Roman" w:eastAsia="Calibri" w:hAnsi="Times New Roman" w:cs="Times New Roman"/>
          <w:noProof/>
        </w:rPr>
        <w:t xml:space="preserve">Additionally, during the dedicated meetings, all the Member States advocated for </w:t>
      </w:r>
      <w:r>
        <w:rPr>
          <w:rFonts w:ascii="Times New Roman" w:eastAsia="Calibri" w:hAnsi="Times New Roman" w:cs="Times New Roman"/>
          <w:b/>
          <w:noProof/>
        </w:rPr>
        <w:t>early warning mechanisms and tools</w:t>
      </w:r>
      <w:r>
        <w:rPr>
          <w:rFonts w:ascii="Times New Roman" w:eastAsia="Calibri" w:hAnsi="Times New Roman" w:cs="Times New Roman"/>
          <w:noProof/>
        </w:rPr>
        <w:t>, but there was no consensus regarding the modalities how these systems should be established and operated (whether they should be funded and</w:t>
      </w:r>
      <w:r>
        <w:rPr>
          <w:rFonts w:ascii="Times New Roman" w:eastAsia="Calibri" w:hAnsi="Times New Roman" w:cs="Times New Roman"/>
          <w:noProof/>
        </w:rPr>
        <w:t xml:space="preserve"> monitored by the State or by the private market).</w:t>
      </w:r>
    </w:p>
    <w:p w:rsidR="00B32D69" w:rsidRDefault="00B32D69">
      <w:pPr>
        <w:pStyle w:val="Default"/>
        <w:jc w:val="both"/>
        <w:rPr>
          <w:rFonts w:ascii="Times New Roman" w:hAnsi="Times New Roman" w:cs="Times New Roman"/>
          <w:b/>
          <w:noProof/>
        </w:rPr>
      </w:pPr>
    </w:p>
    <w:p w:rsidR="00B32D69" w:rsidRDefault="00FB661A">
      <w:pPr>
        <w:pStyle w:val="ManualHeading3"/>
        <w:rPr>
          <w:noProof/>
        </w:rPr>
      </w:pPr>
      <w:bookmarkStart w:id="95" w:name="_Toc463280382"/>
      <w:r>
        <w:rPr>
          <w:noProof/>
        </w:rPr>
        <w:t>2.7.10.</w:t>
      </w:r>
      <w:r>
        <w:rPr>
          <w:noProof/>
        </w:rPr>
        <w:tab/>
        <w:t>Avoidance actions</w:t>
      </w:r>
      <w:bookmarkEnd w:id="95"/>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The majority of those consulted in the public consultation believed that certain aspects of avoidance actions should be harmonised at EU level, such as setting up common rules </w:t>
      </w:r>
      <w:r>
        <w:rPr>
          <w:rFonts w:ascii="Times New Roman" w:hAnsi="Times New Roman" w:cs="Times New Roman"/>
          <w:noProof/>
          <w:sz w:val="24"/>
          <w:szCs w:val="24"/>
          <w:lang w:val="en-US"/>
        </w:rPr>
        <w:t>on the types of transactions subject to annulment and a common time period that corresponds to "suspect periods", with a view to enhance predictability and legal certainty for investors and business for the risks faced across EU Member States.</w:t>
      </w:r>
      <w:r>
        <w:rPr>
          <w:rFonts w:ascii="Times New Roman" w:hAnsi="Times New Roman" w:cs="Times New Roman"/>
          <w:noProof/>
          <w:sz w:val="24"/>
          <w:szCs w:val="24"/>
          <w:vertAlign w:val="superscript"/>
          <w:lang w:val="en-US"/>
        </w:rPr>
        <w:footnoteReference w:id="301"/>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Others beli</w:t>
      </w:r>
      <w:r>
        <w:rPr>
          <w:rFonts w:ascii="Times New Roman" w:hAnsi="Times New Roman" w:cs="Times New Roman"/>
          <w:noProof/>
          <w:sz w:val="24"/>
          <w:szCs w:val="24"/>
        </w:rPr>
        <w:t>eved that harmonisation on avoidance actions is not necessary at this point.</w:t>
      </w:r>
      <w:r>
        <w:rPr>
          <w:rFonts w:ascii="Times New Roman" w:hAnsi="Times New Roman" w:cs="Times New Roman"/>
          <w:noProof/>
          <w:sz w:val="24"/>
          <w:szCs w:val="24"/>
          <w:vertAlign w:val="superscript"/>
        </w:rPr>
        <w:footnoteReference w:id="302"/>
      </w:r>
    </w:p>
    <w:p w:rsidR="00B32D69" w:rsidRDefault="00B32D69">
      <w:pPr>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majority particularly argued that:</w:t>
      </w:r>
    </w:p>
    <w:p w:rsidR="00B32D69" w:rsidRDefault="00B32D69">
      <w:pPr>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numPr>
          <w:ilvl w:val="0"/>
          <w:numId w:val="43"/>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Investors, companies and entrepreneurs would be more willing to invest or do business outside their Member States if they were provided w</w:t>
      </w:r>
      <w:r>
        <w:rPr>
          <w:rFonts w:ascii="Times New Roman" w:hAnsi="Times New Roman" w:cs="Times New Roman"/>
          <w:noProof/>
          <w:sz w:val="24"/>
          <w:szCs w:val="24"/>
        </w:rPr>
        <w:t>ith the assurance that certain types of transactions, entered into within a certain period of time, are prescribed throughout the EU. This is especially the case when dealing with foreign counterparts in financial distress and there is an impact on regular</w:t>
      </w:r>
      <w:r>
        <w:rPr>
          <w:rFonts w:ascii="Times New Roman" w:hAnsi="Times New Roman" w:cs="Times New Roman"/>
          <w:noProof/>
          <w:sz w:val="24"/>
          <w:szCs w:val="24"/>
        </w:rPr>
        <w:t xml:space="preserve"> business transactions, in particular lending.</w:t>
      </w:r>
    </w:p>
    <w:p w:rsidR="00B32D69" w:rsidRDefault="00B32D69">
      <w:pPr>
        <w:spacing w:line="240" w:lineRule="auto"/>
        <w:jc w:val="both"/>
        <w:rPr>
          <w:rFonts w:ascii="Times New Roman" w:hAnsi="Times New Roman" w:cs="Times New Roman"/>
          <w:noProof/>
          <w:sz w:val="24"/>
          <w:szCs w:val="24"/>
        </w:rPr>
      </w:pP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During the Sounding Board meetings, </w:t>
      </w:r>
      <w:r>
        <w:rPr>
          <w:rFonts w:ascii="Times New Roman" w:hAnsi="Times New Roman" w:cs="Times New Roman"/>
          <w:b/>
          <w:noProof/>
          <w:sz w:val="24"/>
          <w:szCs w:val="24"/>
        </w:rPr>
        <w:t>legal and insolvency practitioners</w:t>
      </w:r>
      <w:r>
        <w:rPr>
          <w:rFonts w:ascii="Times New Roman" w:hAnsi="Times New Roman" w:cs="Times New Roman"/>
          <w:noProof/>
          <w:sz w:val="24"/>
          <w:szCs w:val="24"/>
        </w:rPr>
        <w:t xml:space="preserve"> were reluctant to harmonising substantive definitions of avoidance actions and look back periods, because of the existing divergence in national systems. Additionally, discussions in the </w:t>
      </w:r>
      <w:r>
        <w:rPr>
          <w:rFonts w:ascii="Times New Roman" w:hAnsi="Times New Roman" w:cs="Times New Roman"/>
          <w:b/>
          <w:noProof/>
          <w:sz w:val="24"/>
          <w:szCs w:val="24"/>
        </w:rPr>
        <w:t>Commission Expert group</w:t>
      </w:r>
      <w:r>
        <w:rPr>
          <w:rFonts w:ascii="Times New Roman" w:hAnsi="Times New Roman" w:cs="Times New Roman"/>
          <w:noProof/>
          <w:sz w:val="24"/>
          <w:szCs w:val="24"/>
        </w:rPr>
        <w:t xml:space="preserve"> revealed that while avoidance actions could </w:t>
      </w:r>
      <w:r>
        <w:rPr>
          <w:rFonts w:ascii="Times New Roman" w:hAnsi="Times New Roman" w:cs="Times New Roman"/>
          <w:noProof/>
          <w:sz w:val="24"/>
          <w:szCs w:val="24"/>
        </w:rPr>
        <w:t>in principle be harmonised across the board, it would be disproportionate to do so at this stage.</w:t>
      </w:r>
    </w:p>
    <w:p w:rsidR="00B32D69" w:rsidRDefault="00FB661A">
      <w:p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majority of the </w:t>
      </w:r>
      <w:r>
        <w:rPr>
          <w:rFonts w:ascii="Times New Roman" w:hAnsi="Times New Roman" w:cs="Times New Roman"/>
          <w:b/>
          <w:noProof/>
          <w:sz w:val="24"/>
          <w:szCs w:val="24"/>
        </w:rPr>
        <w:t>Member States</w:t>
      </w:r>
      <w:r>
        <w:rPr>
          <w:rFonts w:ascii="Times New Roman" w:hAnsi="Times New Roman" w:cs="Times New Roman"/>
          <w:noProof/>
          <w:sz w:val="24"/>
          <w:szCs w:val="24"/>
        </w:rPr>
        <w:t xml:space="preserve"> (RO, PT, ES, DE, PL, IT, BE) were in favour of providing a safe harbour for transactions which are closely connected with th</w:t>
      </w:r>
      <w:r>
        <w:rPr>
          <w:rFonts w:ascii="Times New Roman" w:hAnsi="Times New Roman" w:cs="Times New Roman"/>
          <w:noProof/>
          <w:sz w:val="24"/>
          <w:szCs w:val="24"/>
        </w:rPr>
        <w:t>e negotiation of a restructuring plan and which are adopted by the creditors and confirmed by the court, as long as European legislation remains at the level of principles and there are no too detailed provisions. A few Member States (DE, FI, AT) expressed</w:t>
      </w:r>
      <w:r>
        <w:rPr>
          <w:rFonts w:ascii="Times New Roman" w:hAnsi="Times New Roman" w:cs="Times New Roman"/>
          <w:noProof/>
          <w:sz w:val="24"/>
          <w:szCs w:val="24"/>
        </w:rPr>
        <w:t xml:space="preserve"> concerns with regard to legal certainty and the danger of abuse.</w:t>
      </w:r>
    </w:p>
    <w:p w:rsidR="00B32D69" w:rsidRDefault="00FB661A">
      <w:pPr>
        <w:pStyle w:val="ManualHeading3"/>
        <w:rPr>
          <w:noProof/>
        </w:rPr>
      </w:pPr>
      <w:bookmarkStart w:id="96" w:name="_Toc463280383"/>
      <w:r>
        <w:rPr>
          <w:noProof/>
        </w:rPr>
        <w:t>2.7.11.</w:t>
      </w:r>
      <w:r>
        <w:rPr>
          <w:noProof/>
        </w:rPr>
        <w:tab/>
        <w:t>Insolvency practitioners</w:t>
      </w:r>
      <w:bookmarkEnd w:id="96"/>
      <w:r>
        <w:rPr>
          <w:noProof/>
        </w:rPr>
        <w:t xml:space="preserve"> </w:t>
      </w:r>
    </w:p>
    <w:p w:rsidR="00B32D69" w:rsidRDefault="00B32D69">
      <w:pPr>
        <w:widowControl w:val="0"/>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widowControl w:val="0"/>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When asked in what areas minimum standards for insolvency practitioners would help to increase the efficiency and effectiveness of insolvency proceedings, </w:t>
      </w:r>
      <w:r>
        <w:rPr>
          <w:rFonts w:ascii="Times New Roman" w:hAnsi="Times New Roman" w:cs="Times New Roman"/>
          <w:noProof/>
          <w:sz w:val="24"/>
          <w:szCs w:val="24"/>
          <w:lang w:val="en-US"/>
        </w:rPr>
        <w:t xml:space="preserve">the respondents to the public consultation replied as follows: </w:t>
      </w:r>
    </w:p>
    <w:p w:rsidR="00B32D69" w:rsidRDefault="00B32D69">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eastAsia="en-GB"/>
        </w:rPr>
        <w:drawing>
          <wp:inline distT="0" distB="0" distL="0" distR="0">
            <wp:extent cx="5711970" cy="2332162"/>
            <wp:effectExtent l="0" t="0" r="22225" b="1143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32D69" w:rsidRDefault="00FB661A">
      <w:p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As for any additional standards needed for insolvency practitioners specifically dealing with cross-border cases, some professionals' associations were reluctant.</w:t>
      </w:r>
      <w:r>
        <w:rPr>
          <w:rFonts w:ascii="Times New Roman" w:hAnsi="Times New Roman" w:cs="Times New Roman"/>
          <w:noProof/>
          <w:sz w:val="24"/>
          <w:szCs w:val="24"/>
          <w:vertAlign w:val="superscript"/>
          <w:lang w:val="en-US"/>
        </w:rPr>
        <w:footnoteReference w:id="303"/>
      </w:r>
      <w:r>
        <w:rPr>
          <w:rFonts w:ascii="Times New Roman" w:hAnsi="Times New Roman" w:cs="Times New Roman"/>
          <w:noProof/>
          <w:sz w:val="24"/>
          <w:szCs w:val="24"/>
          <w:lang w:val="en-US"/>
        </w:rPr>
        <w:t xml:space="preserve"> On the other hand, </w:t>
      </w:r>
      <w:r>
        <w:rPr>
          <w:rFonts w:ascii="Times New Roman" w:hAnsi="Times New Roman" w:cs="Times New Roman"/>
          <w:noProof/>
          <w:sz w:val="24"/>
          <w:szCs w:val="24"/>
        </w:rPr>
        <w:t>50% of</w:t>
      </w:r>
      <w:r>
        <w:rPr>
          <w:rFonts w:ascii="Times New Roman" w:hAnsi="Times New Roman" w:cs="Times New Roman"/>
          <w:noProof/>
          <w:sz w:val="24"/>
          <w:szCs w:val="24"/>
        </w:rPr>
        <w:t xml:space="preserve"> the respondents to the public consultation would welcome the introduction of minimum standardi</w:t>
      </w:r>
      <w:r>
        <w:rPr>
          <w:rFonts w:ascii="Times New Roman" w:hAnsi="Times New Roman" w:cs="Times New Roman"/>
          <w:noProof/>
          <w:sz w:val="24"/>
          <w:szCs w:val="24"/>
          <w:lang w:val="en-US"/>
        </w:rPr>
        <w:t>s</w:t>
      </w:r>
      <w:r>
        <w:rPr>
          <w:rFonts w:ascii="Times New Roman" w:hAnsi="Times New Roman" w:cs="Times New Roman"/>
          <w:noProof/>
          <w:sz w:val="24"/>
          <w:szCs w:val="24"/>
        </w:rPr>
        <w:t>ed rules on relevant foreign language knowledge, 46% on sufficient human and financial resources and 33% on a pre-defined period of experience</w:t>
      </w:r>
      <w:r>
        <w:rPr>
          <w:rFonts w:ascii="Times New Roman" w:hAnsi="Times New Roman" w:cs="Times New Roman"/>
          <w:noProof/>
          <w:sz w:val="24"/>
          <w:szCs w:val="24"/>
          <w:lang w:val="en-US"/>
        </w:rPr>
        <w:t xml:space="preserve"> for insolvency pr</w:t>
      </w:r>
      <w:r>
        <w:rPr>
          <w:rFonts w:ascii="Times New Roman" w:hAnsi="Times New Roman" w:cs="Times New Roman"/>
          <w:noProof/>
          <w:sz w:val="24"/>
          <w:szCs w:val="24"/>
          <w:lang w:val="en-US"/>
        </w:rPr>
        <w:t>actitioners specifically dealing in a cross-border context.</w:t>
      </w:r>
    </w:p>
    <w:p w:rsidR="00B32D69" w:rsidRDefault="00B32D69">
      <w:pPr>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Particularly, INSOL Europe stressed that, although harmonisation would be in general desirable, only common principles in cooperation matters, independence and continuous education are advisable </w:t>
      </w:r>
      <w:r>
        <w:rPr>
          <w:rFonts w:ascii="Times New Roman" w:hAnsi="Times New Roman" w:cs="Times New Roman"/>
          <w:noProof/>
          <w:sz w:val="24"/>
          <w:szCs w:val="24"/>
          <w:lang w:val="en-US"/>
        </w:rPr>
        <w:t>at this stage, due to the great diversity of national rules with regard to all aspects related to insolvency office holders (types, nature of employment, size, qualification, training, appointment, remuneration and liability issues).</w:t>
      </w:r>
    </w:p>
    <w:p w:rsidR="00B32D69" w:rsidRDefault="00B32D69">
      <w:pPr>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widowControl w:val="0"/>
        <w:autoSpaceDE w:val="0"/>
        <w:autoSpaceDN w:val="0"/>
        <w:adjustRightInd w:val="0"/>
        <w:spacing w:after="0" w:line="24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It was particularly s</w:t>
      </w:r>
      <w:r>
        <w:rPr>
          <w:rFonts w:ascii="Times New Roman" w:hAnsi="Times New Roman" w:cs="Times New Roman"/>
          <w:noProof/>
          <w:sz w:val="24"/>
          <w:szCs w:val="24"/>
          <w:lang w:val="en-US"/>
        </w:rPr>
        <w:t xml:space="preserve">tated that improving the efficiency of insolvency practitioners will increase confidence to the whole system and improve the efficiency of the procedures. </w:t>
      </w:r>
    </w:p>
    <w:p w:rsidR="00B32D69" w:rsidRDefault="00FB661A">
      <w:pPr>
        <w:spacing w:before="240" w:after="24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During the ‘Sounding board’ meetings, </w:t>
      </w:r>
      <w:r>
        <w:rPr>
          <w:rFonts w:ascii="Times New Roman" w:eastAsia="Calibri" w:hAnsi="Times New Roman" w:cs="Times New Roman"/>
          <w:b/>
          <w:noProof/>
          <w:color w:val="000000"/>
          <w:sz w:val="24"/>
          <w:szCs w:val="24"/>
        </w:rPr>
        <w:t xml:space="preserve">business organisations </w:t>
      </w:r>
      <w:r>
        <w:rPr>
          <w:rFonts w:ascii="Times New Roman" w:eastAsia="Calibri" w:hAnsi="Times New Roman" w:cs="Times New Roman"/>
          <w:noProof/>
          <w:color w:val="000000"/>
          <w:sz w:val="24"/>
          <w:szCs w:val="24"/>
        </w:rPr>
        <w:t xml:space="preserve">welcomed minimum standards for practitioners in the field of restructuring and insolvency. Many of them advocated the introduction of a code of conduct for insolvency practitioners. </w:t>
      </w:r>
      <w:r>
        <w:rPr>
          <w:rFonts w:ascii="Times New Roman" w:eastAsia="Calibri" w:hAnsi="Times New Roman" w:cs="Times New Roman"/>
          <w:b/>
          <w:noProof/>
          <w:color w:val="000000"/>
          <w:sz w:val="24"/>
          <w:szCs w:val="24"/>
        </w:rPr>
        <w:t>Financial institutions</w:t>
      </w:r>
      <w:r>
        <w:rPr>
          <w:rFonts w:ascii="Times New Roman" w:eastAsia="Calibri" w:hAnsi="Times New Roman" w:cs="Times New Roman"/>
          <w:noProof/>
          <w:color w:val="000000"/>
          <w:sz w:val="24"/>
          <w:szCs w:val="24"/>
        </w:rPr>
        <w:t xml:space="preserve"> in general would welcome the introduction of minimu</w:t>
      </w:r>
      <w:r>
        <w:rPr>
          <w:rFonts w:ascii="Times New Roman" w:eastAsia="Calibri" w:hAnsi="Times New Roman" w:cs="Times New Roman"/>
          <w:noProof/>
          <w:color w:val="000000"/>
          <w:sz w:val="24"/>
          <w:szCs w:val="24"/>
        </w:rPr>
        <w:t>m standardised rules on the role of mediators and supervisors, which should include among others: (i) professional qualification standards; and (ii) general principles covering their remuneration.</w:t>
      </w:r>
    </w:p>
    <w:p w:rsidR="00B32D69" w:rsidRDefault="00FB661A">
      <w:pPr>
        <w:spacing w:before="240" w:after="240"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b/>
          <w:noProof/>
          <w:color w:val="000000"/>
          <w:sz w:val="24"/>
          <w:szCs w:val="24"/>
        </w:rPr>
        <w:t>Insolvency practitioners</w:t>
      </w:r>
      <w:r>
        <w:rPr>
          <w:rFonts w:ascii="Times New Roman" w:eastAsia="Calibri" w:hAnsi="Times New Roman" w:cs="Times New Roman"/>
          <w:noProof/>
          <w:color w:val="000000"/>
          <w:sz w:val="24"/>
          <w:szCs w:val="24"/>
        </w:rPr>
        <w:t xml:space="preserve"> were reluctant to detailed provisi</w:t>
      </w:r>
      <w:r>
        <w:rPr>
          <w:rFonts w:ascii="Times New Roman" w:eastAsia="Calibri" w:hAnsi="Times New Roman" w:cs="Times New Roman"/>
          <w:noProof/>
          <w:color w:val="000000"/>
          <w:sz w:val="24"/>
          <w:szCs w:val="24"/>
        </w:rPr>
        <w:t>ons regarding insolvency office holders due to the existing divergence of rules and specificities. They rather favoured general principles on independence and adequate qualification.</w:t>
      </w:r>
    </w:p>
    <w:p w:rsidR="00B32D69" w:rsidRDefault="00FB661A">
      <w:pPr>
        <w:spacing w:before="240" w:after="240" w:line="240" w:lineRule="auto"/>
        <w:jc w:val="both"/>
        <w:rPr>
          <w:rFonts w:ascii="Times New Roman" w:hAnsi="Times New Roman" w:cs="Times New Roman"/>
          <w:noProof/>
          <w:sz w:val="24"/>
          <w:szCs w:val="24"/>
          <w:lang w:val="en-US"/>
        </w:rPr>
      </w:pPr>
      <w:r>
        <w:rPr>
          <w:rFonts w:ascii="Times New Roman" w:eastAsia="Calibri" w:hAnsi="Times New Roman" w:cs="Times New Roman"/>
          <w:noProof/>
          <w:color w:val="000000"/>
          <w:sz w:val="24"/>
          <w:szCs w:val="24"/>
        </w:rPr>
        <w:t xml:space="preserve">The majority of the </w:t>
      </w:r>
      <w:r>
        <w:rPr>
          <w:rFonts w:ascii="Times New Roman" w:eastAsia="Calibri" w:hAnsi="Times New Roman" w:cs="Times New Roman"/>
          <w:b/>
          <w:noProof/>
          <w:color w:val="000000"/>
          <w:sz w:val="24"/>
          <w:szCs w:val="24"/>
        </w:rPr>
        <w:t>Member States</w:t>
      </w:r>
      <w:r>
        <w:rPr>
          <w:rFonts w:ascii="Times New Roman" w:eastAsia="Calibri" w:hAnsi="Times New Roman" w:cs="Times New Roman"/>
          <w:noProof/>
          <w:color w:val="000000"/>
          <w:sz w:val="24"/>
          <w:szCs w:val="24"/>
        </w:rPr>
        <w:t xml:space="preserve"> (PT, DE, ES, FR, NL, FI, IE) supported </w:t>
      </w:r>
      <w:r>
        <w:rPr>
          <w:rFonts w:ascii="Times New Roman" w:eastAsia="Calibri" w:hAnsi="Times New Roman" w:cs="Times New Roman"/>
          <w:noProof/>
          <w:color w:val="000000"/>
          <w:sz w:val="24"/>
          <w:szCs w:val="24"/>
        </w:rPr>
        <w:t xml:space="preserve">the objectives of adequate qualification and training of insolvency practitioners. Many Member States voiced that EU intervention should remain at the level of general objectives and provide a rather flexible approach, especially regarding the appointment </w:t>
      </w:r>
      <w:r>
        <w:rPr>
          <w:rFonts w:ascii="Times New Roman" w:eastAsia="Calibri" w:hAnsi="Times New Roman" w:cs="Times New Roman"/>
          <w:noProof/>
          <w:color w:val="000000"/>
          <w:sz w:val="24"/>
          <w:szCs w:val="24"/>
        </w:rPr>
        <w:t xml:space="preserve">and remuneration of practitioners. </w:t>
      </w:r>
    </w:p>
    <w:p w:rsidR="00B32D69" w:rsidRDefault="00FB661A">
      <w:pPr>
        <w:pStyle w:val="ManualHeading2"/>
        <w:rPr>
          <w:noProof/>
          <w:lang w:val="en-US"/>
        </w:rPr>
      </w:pPr>
      <w:bookmarkStart w:id="97" w:name="_Toc463280248"/>
      <w:bookmarkStart w:id="98" w:name="_Toc463280384"/>
      <w:bookmarkStart w:id="99" w:name="_Toc463280249"/>
      <w:bookmarkStart w:id="100" w:name="_Toc463280385"/>
      <w:bookmarkStart w:id="101" w:name="_Toc463253108"/>
      <w:bookmarkStart w:id="102" w:name="_Toc463280250"/>
      <w:bookmarkStart w:id="103" w:name="_Toc463280386"/>
      <w:bookmarkStart w:id="104" w:name="_Toc463280251"/>
      <w:bookmarkStart w:id="105" w:name="_Toc463280387"/>
      <w:bookmarkStart w:id="106" w:name="_Toc463253109"/>
      <w:bookmarkStart w:id="107" w:name="_Toc463280252"/>
      <w:bookmarkStart w:id="108" w:name="_Toc463280388"/>
      <w:bookmarkStart w:id="109" w:name="_Toc463280389"/>
      <w:bookmarkEnd w:id="97"/>
      <w:bookmarkEnd w:id="98"/>
      <w:bookmarkEnd w:id="99"/>
      <w:bookmarkEnd w:id="100"/>
      <w:bookmarkEnd w:id="101"/>
      <w:bookmarkEnd w:id="102"/>
      <w:bookmarkEnd w:id="103"/>
      <w:bookmarkEnd w:id="104"/>
      <w:bookmarkEnd w:id="105"/>
      <w:bookmarkEnd w:id="106"/>
      <w:bookmarkEnd w:id="107"/>
      <w:bookmarkEnd w:id="108"/>
      <w:r>
        <w:rPr>
          <w:noProof/>
        </w:rPr>
        <w:t>2.8.</w:t>
      </w:r>
      <w:r>
        <w:rPr>
          <w:noProof/>
        </w:rPr>
        <w:tab/>
      </w:r>
      <w:r>
        <w:rPr>
          <w:noProof/>
          <w:lang w:val="en-US"/>
        </w:rPr>
        <w:t>Second chance – debt discharge for natural persons</w:t>
      </w:r>
      <w:bookmarkEnd w:id="109"/>
    </w:p>
    <w:p w:rsidR="00B32D69" w:rsidRDefault="00B32D69">
      <w:pPr>
        <w:pStyle w:val="ListParagraph"/>
        <w:spacing w:line="240" w:lineRule="auto"/>
        <w:ind w:left="760"/>
        <w:rPr>
          <w:rFonts w:ascii="Times New Roman" w:hAnsi="Times New Roman" w:cs="Times New Roman"/>
          <w:noProof/>
          <w:sz w:val="24"/>
          <w:szCs w:val="24"/>
        </w:rPr>
      </w:pPr>
    </w:p>
    <w:p w:rsidR="00B32D69" w:rsidRDefault="00FB661A">
      <w:pPr>
        <w:pStyle w:val="ManualHeading3"/>
        <w:rPr>
          <w:noProof/>
        </w:rPr>
      </w:pPr>
      <w:bookmarkStart w:id="110" w:name="_Toc463280390"/>
      <w:r>
        <w:rPr>
          <w:noProof/>
        </w:rPr>
        <w:t>2.8.1.</w:t>
      </w:r>
      <w:r>
        <w:rPr>
          <w:noProof/>
        </w:rPr>
        <w:tab/>
        <w:t>General considerations</w:t>
      </w:r>
      <w:bookmarkEnd w:id="110"/>
    </w:p>
    <w:p w:rsidR="00B32D69" w:rsidRDefault="00B32D69">
      <w:pPr>
        <w:spacing w:line="240" w:lineRule="auto"/>
        <w:jc w:val="both"/>
        <w:rPr>
          <w:rFonts w:ascii="Times New Roman" w:hAnsi="Times New Roman" w:cs="Times New Roman"/>
          <w:noProof/>
          <w:sz w:val="24"/>
          <w:szCs w:val="24"/>
        </w:rPr>
      </w:pP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vast majority of the respondents to the public consultation (74%) agreed that both entrepreneurs and consumers as long as they a</w:t>
      </w:r>
      <w:r>
        <w:rPr>
          <w:rFonts w:ascii="Times New Roman" w:hAnsi="Times New Roman" w:cs="Times New Roman"/>
          <w:noProof/>
          <w:sz w:val="24"/>
          <w:szCs w:val="24"/>
          <w:lang w:val="en-US"/>
        </w:rPr>
        <w:t>re honest should be given the chance to restructuring their debt</w:t>
      </w:r>
      <w:r>
        <w:rPr>
          <w:rStyle w:val="FootnoteReference"/>
          <w:rFonts w:ascii="Times New Roman" w:hAnsi="Times New Roman"/>
          <w:noProof/>
          <w:sz w:val="24"/>
          <w:szCs w:val="24"/>
          <w:lang w:val="en-US"/>
        </w:rPr>
        <w:footnoteReference w:id="304"/>
      </w:r>
      <w:r>
        <w:rPr>
          <w:rFonts w:ascii="Times New Roman" w:hAnsi="Times New Roman" w:cs="Times New Roman"/>
          <w:noProof/>
          <w:sz w:val="24"/>
          <w:szCs w:val="24"/>
          <w:lang w:val="en-US"/>
        </w:rPr>
        <w:t xml:space="preserve">, while only 1% was opposed and 8% considered that the chance to restructuring should be offered only to entrepreneurs for debts related to their professional activity. </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 general consensus w</w:t>
      </w:r>
      <w:r>
        <w:rPr>
          <w:rFonts w:ascii="Times New Roman" w:hAnsi="Times New Roman" w:cs="Times New Roman"/>
          <w:noProof/>
          <w:sz w:val="24"/>
          <w:szCs w:val="24"/>
          <w:lang w:val="en-US"/>
        </w:rPr>
        <w:t xml:space="preserve">as that the prospect of debt rehabilitation for natural persons (entrepreneurs and consumers) is vital both from an economic and social policy perspective. However, this should be subject to adequate checks and balances to ensure that culpable behavior is </w:t>
      </w:r>
      <w:r>
        <w:rPr>
          <w:rFonts w:ascii="Times New Roman" w:hAnsi="Times New Roman" w:cs="Times New Roman"/>
          <w:noProof/>
          <w:sz w:val="24"/>
          <w:szCs w:val="24"/>
          <w:lang w:val="en-US"/>
        </w:rPr>
        <w:t>recognised and sanctioned.</w:t>
      </w:r>
      <w:r>
        <w:rPr>
          <w:rStyle w:val="FootnoteReference"/>
          <w:rFonts w:ascii="Times New Roman" w:hAnsi="Times New Roman"/>
          <w:noProof/>
          <w:sz w:val="24"/>
          <w:szCs w:val="24"/>
          <w:lang w:val="en-US"/>
        </w:rPr>
        <w:footnoteReference w:id="305"/>
      </w:r>
    </w:p>
    <w:p w:rsidR="00B32D69" w:rsidRDefault="00FB661A">
      <w:p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majority of those consulted supported that a second chance approach for over-indebted natural persons should be promoted because: </w:t>
      </w:r>
    </w:p>
    <w:p w:rsidR="00B32D69" w:rsidRDefault="00B32D69">
      <w:pPr>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pStyle w:val="ListParagraph"/>
        <w:numPr>
          <w:ilvl w:val="0"/>
          <w:numId w:val="51"/>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It will stifle trade, strengthen real economy and be a driver for growth, since it will enco</w:t>
      </w:r>
      <w:r>
        <w:rPr>
          <w:rFonts w:ascii="Times New Roman" w:hAnsi="Times New Roman" w:cs="Times New Roman"/>
          <w:noProof/>
          <w:sz w:val="24"/>
          <w:szCs w:val="24"/>
          <w:lang w:val="en-US"/>
        </w:rPr>
        <w:t>urage entrepreneurship and stimulate consumer spending.</w:t>
      </w:r>
      <w:r>
        <w:rPr>
          <w:rStyle w:val="FootnoteReference"/>
          <w:rFonts w:ascii="Times New Roman" w:hAnsi="Times New Roman"/>
          <w:noProof/>
          <w:sz w:val="24"/>
          <w:szCs w:val="24"/>
          <w:lang w:val="en-US"/>
        </w:rPr>
        <w:footnoteReference w:id="306"/>
      </w:r>
    </w:p>
    <w:p w:rsidR="00B32D69" w:rsidRDefault="00FB661A">
      <w:pPr>
        <w:pStyle w:val="ListParagraph"/>
        <w:numPr>
          <w:ilvl w:val="0"/>
          <w:numId w:val="51"/>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It will address the issue of bankruptcy tourism.</w:t>
      </w:r>
    </w:p>
    <w:p w:rsidR="00B32D69" w:rsidRDefault="00FB661A">
      <w:pPr>
        <w:pStyle w:val="ListParagraph"/>
        <w:numPr>
          <w:ilvl w:val="0"/>
          <w:numId w:val="51"/>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It will reduce the problem of black labour. </w:t>
      </w:r>
    </w:p>
    <w:p w:rsidR="00B32D69" w:rsidRDefault="00FB661A">
      <w:pPr>
        <w:pStyle w:val="ListParagraph"/>
        <w:numPr>
          <w:ilvl w:val="0"/>
          <w:numId w:val="51"/>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It is </w:t>
      </w:r>
      <w:r>
        <w:rPr>
          <w:rFonts w:ascii="Times New Roman" w:hAnsi="Times New Roman" w:cs="Times New Roman"/>
          <w:noProof/>
          <w:sz w:val="24"/>
          <w:szCs w:val="24"/>
        </w:rPr>
        <w:t xml:space="preserve">counterproductive for honest bankrupts (consumer or entrepreneur) to labour under the shadow of </w:t>
      </w:r>
      <w:r>
        <w:rPr>
          <w:rFonts w:ascii="Times New Roman" w:hAnsi="Times New Roman" w:cs="Times New Roman"/>
          <w:noProof/>
          <w:sz w:val="24"/>
          <w:szCs w:val="24"/>
        </w:rPr>
        <w:t>undischarged debt for extended periods.</w:t>
      </w:r>
    </w:p>
    <w:p w:rsidR="00B32D69" w:rsidRDefault="00FB661A">
      <w:pPr>
        <w:pStyle w:val="ListParagraph"/>
        <w:numPr>
          <w:ilvl w:val="0"/>
          <w:numId w:val="51"/>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Restrictions on bankrupts may significantly impact their daily lives.</w:t>
      </w:r>
    </w:p>
    <w:p w:rsidR="00B32D69" w:rsidRDefault="00FB661A">
      <w:pPr>
        <w:pStyle w:val="ListParagraph"/>
        <w:numPr>
          <w:ilvl w:val="0"/>
          <w:numId w:val="51"/>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Extended bankruptcies may also contribute to overburdening the financial and judicial system.</w:t>
      </w:r>
    </w:p>
    <w:p w:rsidR="00B32D69" w:rsidRDefault="00B32D69">
      <w:pPr>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However,the </w:t>
      </w:r>
      <w:r>
        <w:rPr>
          <w:rFonts w:ascii="Times New Roman" w:hAnsi="Times New Roman" w:cs="Times New Roman"/>
          <w:b/>
          <w:noProof/>
          <w:sz w:val="24"/>
          <w:szCs w:val="24"/>
          <w:lang w:val="en-US"/>
        </w:rPr>
        <w:t>banking sector</w:t>
      </w:r>
      <w:r>
        <w:rPr>
          <w:rFonts w:ascii="Times New Roman" w:hAnsi="Times New Roman" w:cs="Times New Roman"/>
          <w:noProof/>
          <w:sz w:val="24"/>
          <w:szCs w:val="24"/>
          <w:lang w:val="en-US"/>
        </w:rPr>
        <w:t xml:space="preserve"> and some business organi</w:t>
      </w:r>
      <w:r>
        <w:rPr>
          <w:rFonts w:ascii="Times New Roman" w:hAnsi="Times New Roman" w:cs="Times New Roman"/>
          <w:noProof/>
          <w:sz w:val="24"/>
          <w:szCs w:val="24"/>
          <w:lang w:val="en-US"/>
        </w:rPr>
        <w:t>sations</w:t>
      </w:r>
      <w:r>
        <w:rPr>
          <w:rStyle w:val="FootnoteReference"/>
          <w:rFonts w:ascii="Times New Roman" w:hAnsi="Times New Roman"/>
          <w:noProof/>
          <w:sz w:val="24"/>
          <w:szCs w:val="24"/>
          <w:lang w:val="en-US"/>
        </w:rPr>
        <w:footnoteReference w:id="307"/>
      </w:r>
      <w:r>
        <w:rPr>
          <w:rFonts w:ascii="Times New Roman" w:hAnsi="Times New Roman" w:cs="Times New Roman"/>
          <w:noProof/>
          <w:sz w:val="24"/>
          <w:szCs w:val="24"/>
          <w:lang w:val="en-US"/>
        </w:rPr>
        <w:t xml:space="preserve">  supported that entrepreneurs and consumers should be dealt separately and that consumers should not form part of the future initiative on business restructuring and second chance. </w:t>
      </w:r>
    </w:p>
    <w:p w:rsidR="00B32D69" w:rsidRDefault="00B32D69">
      <w:pPr>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lang w:val="en-US"/>
        </w:rPr>
        <w:t>Trade Unions</w:t>
      </w:r>
      <w:r>
        <w:rPr>
          <w:rFonts w:ascii="Times New Roman" w:hAnsi="Times New Roman" w:cs="Times New Roman"/>
          <w:noProof/>
          <w:sz w:val="24"/>
          <w:szCs w:val="24"/>
          <w:lang w:val="en-US"/>
        </w:rPr>
        <w:t xml:space="preserve"> stressed that attention should be given whether </w:t>
      </w:r>
      <w:r>
        <w:rPr>
          <w:rFonts w:ascii="Times New Roman" w:hAnsi="Times New Roman" w:cs="Times New Roman"/>
          <w:noProof/>
          <w:sz w:val="24"/>
          <w:szCs w:val="24"/>
        </w:rPr>
        <w:t>som</w:t>
      </w:r>
      <w:r>
        <w:rPr>
          <w:rFonts w:ascii="Times New Roman" w:hAnsi="Times New Roman" w:cs="Times New Roman"/>
          <w:noProof/>
          <w:sz w:val="24"/>
          <w:szCs w:val="24"/>
        </w:rPr>
        <w:t>e rules on “second chance” are so lax to</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facilitate the so-called “phoenix syndrome”.</w:t>
      </w:r>
      <w:r>
        <w:rPr>
          <w:rStyle w:val="FootnoteReference"/>
          <w:rFonts w:ascii="Times New Roman" w:hAnsi="Times New Roman"/>
          <w:noProof/>
          <w:sz w:val="24"/>
          <w:szCs w:val="24"/>
        </w:rPr>
        <w:footnoteReference w:id="308"/>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public consultation, the majority of the Member States agreed in principle with a second chance approach providing the possibility for natural persons to </w:t>
      </w:r>
      <w:r>
        <w:rPr>
          <w:rFonts w:ascii="Times New Roman" w:hAnsi="Times New Roman" w:cs="Times New Roman"/>
          <w:noProof/>
          <w:sz w:val="24"/>
          <w:szCs w:val="24"/>
        </w:rPr>
        <w:t>restructure their debt and be offered a discharge, but there was a diversity of views with regard to the conditions and the duration of discharge. Moreover, during the informal Member States meetings, most of the Member States were reluctant to including m</w:t>
      </w:r>
      <w:r>
        <w:rPr>
          <w:rFonts w:ascii="Times New Roman" w:hAnsi="Times New Roman" w:cs="Times New Roman"/>
          <w:noProof/>
          <w:sz w:val="24"/>
          <w:szCs w:val="24"/>
        </w:rPr>
        <w:t>andatory provisions on consumers discharge.</w:t>
      </w:r>
    </w:p>
    <w:p w:rsidR="00B32D69" w:rsidRDefault="00FB661A">
      <w:pPr>
        <w:spacing w:before="240" w:after="24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 xml:space="preserve">However, many stakeholders’ organisations, including practitioners in the field of restructuring were in favour of </w:t>
      </w:r>
      <w:r>
        <w:rPr>
          <w:rFonts w:ascii="Times New Roman" w:hAnsi="Times New Roman" w:cs="Times New Roman"/>
          <w:b/>
          <w:noProof/>
          <w:sz w:val="24"/>
          <w:szCs w:val="24"/>
        </w:rPr>
        <w:t>consolidation or coordination of procedures</w:t>
      </w:r>
      <w:r>
        <w:rPr>
          <w:rFonts w:ascii="Times New Roman" w:hAnsi="Times New Roman" w:cs="Times New Roman"/>
          <w:noProof/>
          <w:sz w:val="24"/>
          <w:szCs w:val="24"/>
        </w:rPr>
        <w:t xml:space="preserve"> (business and personal debts) for the purposes of dis</w:t>
      </w:r>
      <w:r>
        <w:rPr>
          <w:rFonts w:ascii="Times New Roman" w:hAnsi="Times New Roman" w:cs="Times New Roman"/>
          <w:noProof/>
          <w:sz w:val="24"/>
          <w:szCs w:val="24"/>
        </w:rPr>
        <w:t>charge.</w:t>
      </w:r>
      <w:r>
        <w:rPr>
          <w:rFonts w:ascii="Times New Roman" w:eastAsia="Calibri" w:hAnsi="Times New Roman" w:cs="Times New Roman"/>
          <w:noProof/>
          <w:sz w:val="24"/>
          <w:szCs w:val="24"/>
        </w:rPr>
        <w:t xml:space="preserve"> Finally, many Member States were in favour of consolidation of economic and private debts (BE, FI, FR, NL, ES).</w:t>
      </w:r>
    </w:p>
    <w:p w:rsidR="00B32D69" w:rsidRDefault="00FB661A">
      <w:pPr>
        <w:spacing w:before="240" w:after="240" w:line="240" w:lineRule="auto"/>
        <w:jc w:val="both"/>
        <w:rPr>
          <w:rFonts w:ascii="Times New Roman" w:hAnsi="Times New Roman" w:cs="Times New Roman"/>
          <w:noProof/>
          <w:sz w:val="24"/>
          <w:szCs w:val="24"/>
        </w:rPr>
      </w:pPr>
      <w:r>
        <w:rPr>
          <w:rFonts w:ascii="Times New Roman" w:eastAsia="Calibri" w:hAnsi="Times New Roman" w:cs="Times New Roman"/>
          <w:b/>
          <w:noProof/>
          <w:sz w:val="24"/>
          <w:szCs w:val="24"/>
        </w:rPr>
        <w:t>Family and consumer protection stakeholders</w:t>
      </w:r>
      <w:r>
        <w:rPr>
          <w:rFonts w:ascii="Times New Roman" w:eastAsia="Calibri" w:hAnsi="Times New Roman" w:cs="Times New Roman"/>
          <w:noProof/>
          <w:sz w:val="24"/>
          <w:szCs w:val="24"/>
        </w:rPr>
        <w:t xml:space="preserve"> on the contrary strongly endorsed minimum standards on consumer insolvency and discharge and stress that there are no convincing arguments for differentiating between entrepreneurs and consumers with regard to the applicable conditions.</w:t>
      </w:r>
    </w:p>
    <w:p w:rsidR="00B32D69" w:rsidRDefault="00FB661A">
      <w:pPr>
        <w:pStyle w:val="ManualHeading3"/>
        <w:rPr>
          <w:noProof/>
        </w:rPr>
      </w:pPr>
      <w:bookmarkStart w:id="111" w:name="_Toc463280391"/>
      <w:r>
        <w:rPr>
          <w:noProof/>
        </w:rPr>
        <w:t>2.8.2.</w:t>
      </w:r>
      <w:r>
        <w:rPr>
          <w:noProof/>
        </w:rPr>
        <w:tab/>
        <w:t>Affectation</w:t>
      </w:r>
      <w:r>
        <w:rPr>
          <w:noProof/>
        </w:rPr>
        <w:t xml:space="preserve"> of the Internal Market</w:t>
      </w:r>
      <w:bookmarkEnd w:id="111"/>
    </w:p>
    <w:p w:rsidR="00B32D69" w:rsidRDefault="00B32D69">
      <w:pPr>
        <w:pStyle w:val="ListParagraph"/>
        <w:spacing w:line="240" w:lineRule="auto"/>
        <w:ind w:left="1080"/>
        <w:rPr>
          <w:rFonts w:ascii="Times New Roman" w:hAnsi="Times New Roman" w:cs="Times New Roman"/>
          <w:noProof/>
          <w:sz w:val="24"/>
          <w:szCs w:val="24"/>
        </w:rPr>
      </w:pP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majority of the respondents ot the public consultation considered that existing differences between the laws of Member States in the area of second chance affect the functioning of the Internal Market to some extent (34% to som</w:t>
      </w:r>
      <w:r>
        <w:rPr>
          <w:rFonts w:ascii="Times New Roman" w:hAnsi="Times New Roman" w:cs="Times New Roman"/>
          <w:noProof/>
          <w:sz w:val="24"/>
          <w:szCs w:val="24"/>
        </w:rPr>
        <w:t xml:space="preserve">e extent, 19% to considerable extent, 14% to large extent). Only 6% held the view that it had no impact. </w:t>
      </w:r>
    </w:p>
    <w:p w:rsidR="00B32D69" w:rsidRDefault="00FB661A">
      <w:p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b/>
          <w:noProof/>
          <w:sz w:val="24"/>
          <w:szCs w:val="24"/>
        </w:rPr>
        <w:t>Consumer and household organisations</w:t>
      </w:r>
      <w:r>
        <w:rPr>
          <w:rFonts w:ascii="Times New Roman" w:hAnsi="Times New Roman" w:cs="Times New Roman"/>
          <w:noProof/>
          <w:sz w:val="24"/>
          <w:szCs w:val="24"/>
        </w:rPr>
        <w:t xml:space="preserve"> supported that differences in this area have led to bankruptcy tourism, with debtors seeking to move, or claim to</w:t>
      </w:r>
      <w:r>
        <w:rPr>
          <w:rFonts w:ascii="Times New Roman" w:hAnsi="Times New Roman" w:cs="Times New Roman"/>
          <w:noProof/>
          <w:sz w:val="24"/>
          <w:szCs w:val="24"/>
        </w:rPr>
        <w:t xml:space="preserve"> have moved, their centre of main interests to Member States where they are able to </w:t>
      </w:r>
      <w:r>
        <w:rPr>
          <w:rFonts w:ascii="Times New Roman" w:hAnsi="Times New Roman" w:cs="Times New Roman"/>
          <w:noProof/>
          <w:sz w:val="24"/>
          <w:szCs w:val="24"/>
          <w:lang w:val="en-US"/>
        </w:rPr>
        <w:t>take advantage of favourable discharge periods.</w:t>
      </w:r>
    </w:p>
    <w:p w:rsidR="00B32D69" w:rsidRDefault="00B32D69">
      <w:pPr>
        <w:pStyle w:val="ListParagraph"/>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However, a few stakeholders stated that the problem is not sufficiently severe or pervasive as to require an EU-wide minimu</w:t>
      </w:r>
      <w:r>
        <w:rPr>
          <w:rFonts w:ascii="Times New Roman" w:hAnsi="Times New Roman" w:cs="Times New Roman"/>
          <w:noProof/>
          <w:sz w:val="24"/>
          <w:szCs w:val="24"/>
        </w:rPr>
        <w:t>m standards approach; it is materially different from corporate insolvency, where one distressed group can have operations and legal entities in several Member States and a consistent approach across the EU can have real and immediate benefits for the rest</w:t>
      </w:r>
      <w:r>
        <w:rPr>
          <w:rFonts w:ascii="Times New Roman" w:hAnsi="Times New Roman" w:cs="Times New Roman"/>
          <w:noProof/>
          <w:sz w:val="24"/>
          <w:szCs w:val="24"/>
        </w:rPr>
        <w:t xml:space="preserve">ructuring or insolvency of the distressed group as a whole. </w:t>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pStyle w:val="ManualHeading3"/>
        <w:rPr>
          <w:noProof/>
        </w:rPr>
      </w:pPr>
      <w:bookmarkStart w:id="112" w:name="_Toc463280392"/>
      <w:r>
        <w:rPr>
          <w:noProof/>
        </w:rPr>
        <w:t>2.8.3.</w:t>
      </w:r>
      <w:r>
        <w:rPr>
          <w:noProof/>
        </w:rPr>
        <w:tab/>
        <w:t>Advice to debtors</w:t>
      </w:r>
      <w:bookmarkEnd w:id="112"/>
      <w:r>
        <w:rPr>
          <w:noProof/>
        </w:rPr>
        <w:t xml:space="preserve"> </w:t>
      </w:r>
    </w:p>
    <w:p w:rsidR="00B32D69" w:rsidRDefault="00B32D69">
      <w:pPr>
        <w:spacing w:line="240" w:lineRule="auto"/>
        <w:rPr>
          <w:rFonts w:ascii="Times New Roman" w:hAnsi="Times New Roman" w:cs="Times New Roman"/>
          <w:noProof/>
          <w:sz w:val="24"/>
          <w:szCs w:val="24"/>
        </w:rPr>
      </w:pP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vast majority of the respondents to the public consultation were of the view that both over-indebted entrepreneurs and consumers, possible to certain conditions, s</w:t>
      </w:r>
      <w:r>
        <w:rPr>
          <w:rFonts w:ascii="Times New Roman" w:hAnsi="Times New Roman" w:cs="Times New Roman"/>
          <w:noProof/>
          <w:sz w:val="24"/>
          <w:szCs w:val="24"/>
          <w:lang w:val="en-US"/>
        </w:rPr>
        <w:t>hould have access to free or low cost advice</w:t>
      </w:r>
      <w:r>
        <w:rPr>
          <w:rStyle w:val="FootnoteReference"/>
          <w:rFonts w:ascii="Times New Roman" w:hAnsi="Times New Roman"/>
          <w:noProof/>
          <w:sz w:val="24"/>
          <w:szCs w:val="24"/>
          <w:lang w:val="en-US"/>
        </w:rPr>
        <w:footnoteReference w:id="309"/>
      </w:r>
      <w:r>
        <w:rPr>
          <w:rFonts w:ascii="Times New Roman" w:hAnsi="Times New Roman" w:cs="Times New Roman"/>
          <w:noProof/>
          <w:sz w:val="24"/>
          <w:szCs w:val="24"/>
          <w:lang w:val="en-US"/>
        </w:rPr>
        <w:t xml:space="preserve">, while only 2% were opposed. </w:t>
      </w:r>
    </w:p>
    <w:p w:rsidR="00B32D69" w:rsidRDefault="00FB661A">
      <w:p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Some stakeholders argued that the details of debt counseling should be addressed according to the national policy of each Member State and different views were expressed as to whet</w:t>
      </w:r>
      <w:r>
        <w:rPr>
          <w:rFonts w:ascii="Times New Roman" w:hAnsi="Times New Roman" w:cs="Times New Roman"/>
          <w:noProof/>
          <w:sz w:val="24"/>
          <w:szCs w:val="24"/>
          <w:lang w:val="en-US"/>
        </w:rPr>
        <w:t>her such advice should be publicly funded or market-driven or operated within the relevant bodies of the industry and consumer organisations.</w:t>
      </w:r>
    </w:p>
    <w:p w:rsidR="00B32D69" w:rsidRDefault="00B32D69">
      <w:pPr>
        <w:rPr>
          <w:rFonts w:ascii="Times New Roman" w:hAnsi="Times New Roman" w:cs="Times New Roman"/>
          <w:noProof/>
          <w:sz w:val="24"/>
          <w:szCs w:val="24"/>
          <w:lang w:val="en-US"/>
        </w:rPr>
      </w:pPr>
    </w:p>
    <w:p w:rsidR="00B32D69" w:rsidRDefault="00FB661A">
      <w:pPr>
        <w:rPr>
          <w:rFonts w:ascii="Times New Roman" w:hAnsi="Times New Roman" w:cs="Times New Roman"/>
          <w:noProof/>
          <w:sz w:val="24"/>
          <w:szCs w:val="24"/>
          <w:lang w:val="en-US"/>
        </w:rPr>
      </w:pPr>
      <w:r>
        <w:rPr>
          <w:rFonts w:ascii="Times New Roman" w:hAnsi="Times New Roman" w:cs="Times New Roman"/>
          <w:b/>
          <w:noProof/>
          <w:sz w:val="24"/>
          <w:szCs w:val="24"/>
          <w:lang w:val="en-US"/>
        </w:rPr>
        <w:t>Consumer organisations</w:t>
      </w:r>
      <w:r>
        <w:rPr>
          <w:rFonts w:ascii="Times New Roman" w:hAnsi="Times New Roman" w:cs="Times New Roman"/>
          <w:noProof/>
          <w:sz w:val="24"/>
          <w:szCs w:val="24"/>
          <w:lang w:val="en-US"/>
        </w:rPr>
        <w:t xml:space="preserve"> supported that a key tool to gain efficiency would be to elaborate on a method setting min</w:t>
      </w:r>
      <w:r>
        <w:rPr>
          <w:rFonts w:ascii="Times New Roman" w:hAnsi="Times New Roman" w:cs="Times New Roman"/>
          <w:noProof/>
          <w:sz w:val="24"/>
          <w:szCs w:val="24"/>
          <w:lang w:val="en-US"/>
        </w:rPr>
        <w:t>imum cost of living (reference budget) agreed by all the stakeholders at a national level.</w:t>
      </w:r>
      <w:r>
        <w:rPr>
          <w:rStyle w:val="FootnoteReference"/>
          <w:rFonts w:ascii="Times New Roman" w:hAnsi="Times New Roman"/>
          <w:noProof/>
          <w:sz w:val="24"/>
          <w:szCs w:val="24"/>
          <w:lang w:val="en-US"/>
        </w:rPr>
        <w:footnoteReference w:id="310"/>
      </w:r>
      <w:r>
        <w:rPr>
          <w:rFonts w:ascii="Times New Roman" w:hAnsi="Times New Roman" w:cs="Times New Roman"/>
          <w:noProof/>
          <w:sz w:val="24"/>
          <w:szCs w:val="24"/>
          <w:lang w:val="en-US"/>
        </w:rPr>
        <w:t xml:space="preserve"> </w:t>
      </w:r>
    </w:p>
    <w:p w:rsidR="00B32D69" w:rsidRDefault="00FB661A">
      <w:p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In the public consultation and the discussions in the informal meetings with the </w:t>
      </w:r>
      <w:r>
        <w:rPr>
          <w:rFonts w:ascii="Times New Roman" w:hAnsi="Times New Roman" w:cs="Times New Roman"/>
          <w:b/>
          <w:noProof/>
          <w:sz w:val="24"/>
          <w:szCs w:val="24"/>
          <w:lang w:val="en-US"/>
        </w:rPr>
        <w:t>Member States</w:t>
      </w:r>
      <w:r>
        <w:rPr>
          <w:rFonts w:ascii="Times New Roman" w:hAnsi="Times New Roman" w:cs="Times New Roman"/>
          <w:noProof/>
          <w:sz w:val="24"/>
          <w:szCs w:val="24"/>
          <w:lang w:val="en-US"/>
        </w:rPr>
        <w:t>, while all of them recognised the importance of offering free or low</w:t>
      </w:r>
      <w:r>
        <w:rPr>
          <w:rFonts w:ascii="Times New Roman" w:hAnsi="Times New Roman" w:cs="Times New Roman"/>
          <w:noProof/>
          <w:sz w:val="24"/>
          <w:szCs w:val="24"/>
          <w:lang w:val="en-US"/>
        </w:rPr>
        <w:t xml:space="preserve"> cost advice to the debtors, there was a diversity of views with regard whether this should be coordinated by the State (courts, administrators) or by localized chambers of commerce and industry organizations. </w:t>
      </w:r>
    </w:p>
    <w:p w:rsidR="00B32D69" w:rsidRDefault="00B32D69">
      <w:pPr>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pStyle w:val="ManualHeading3"/>
        <w:rPr>
          <w:noProof/>
        </w:rPr>
      </w:pPr>
      <w:bookmarkStart w:id="113" w:name="_Toc463280393"/>
      <w:r>
        <w:rPr>
          <w:noProof/>
        </w:rPr>
        <w:t>2.8.4.</w:t>
      </w:r>
      <w:r>
        <w:rPr>
          <w:noProof/>
        </w:rPr>
        <w:tab/>
        <w:t>Discharge of debts</w:t>
      </w:r>
      <w:bookmarkEnd w:id="113"/>
    </w:p>
    <w:p w:rsidR="00B32D69" w:rsidRDefault="00B32D69">
      <w:pPr>
        <w:spacing w:line="240" w:lineRule="auto"/>
        <w:jc w:val="both"/>
        <w:rPr>
          <w:rFonts w:ascii="Times New Roman" w:hAnsi="Times New Roman" w:cs="Times New Roman"/>
          <w:noProof/>
          <w:sz w:val="24"/>
          <w:szCs w:val="24"/>
        </w:rPr>
      </w:pP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In the performed </w:t>
      </w:r>
      <w:r>
        <w:rPr>
          <w:rFonts w:ascii="Times New Roman" w:hAnsi="Times New Roman" w:cs="Times New Roman"/>
          <w:noProof/>
          <w:sz w:val="24"/>
          <w:szCs w:val="24"/>
          <w:lang w:val="en-US"/>
        </w:rPr>
        <w:t>public consultation, almost two thirds of the respondents, were of the view that a full discharge of debts, possibly subject to certain conditions, should be offered to both entrepreneurs and consumers provided that they are 'honest' debtors,</w:t>
      </w:r>
      <w:r>
        <w:rPr>
          <w:rStyle w:val="FootnoteReference"/>
          <w:rFonts w:ascii="Times New Roman" w:hAnsi="Times New Roman"/>
          <w:noProof/>
          <w:sz w:val="24"/>
          <w:szCs w:val="24"/>
          <w:lang w:val="en-US"/>
        </w:rPr>
        <w:footnoteReference w:id="311"/>
      </w:r>
      <w:r>
        <w:rPr>
          <w:rFonts w:ascii="Times New Roman" w:hAnsi="Times New Roman" w:cs="Times New Roman"/>
          <w:noProof/>
          <w:sz w:val="24"/>
          <w:szCs w:val="24"/>
          <w:lang w:val="en-US"/>
        </w:rPr>
        <w:t xml:space="preserve"> while very f</w:t>
      </w:r>
      <w:r>
        <w:rPr>
          <w:rFonts w:ascii="Times New Roman" w:hAnsi="Times New Roman" w:cs="Times New Roman"/>
          <w:noProof/>
          <w:sz w:val="24"/>
          <w:szCs w:val="24"/>
          <w:lang w:val="en-US"/>
        </w:rPr>
        <w:t>ew were opposed to any discharge of debt for natural persons.</w:t>
      </w:r>
      <w:r>
        <w:rPr>
          <w:rFonts w:ascii="Times New Roman" w:hAnsi="Times New Roman" w:cs="Times New Roman"/>
          <w:b/>
          <w:noProof/>
          <w:sz w:val="24"/>
          <w:szCs w:val="24"/>
          <w:lang w:val="en-US"/>
        </w:rPr>
        <w:t xml:space="preserve"> </w:t>
      </w:r>
      <w:r>
        <w:rPr>
          <w:rFonts w:ascii="Times New Roman" w:hAnsi="Times New Roman" w:cs="Times New Roman"/>
          <w:noProof/>
          <w:sz w:val="24"/>
          <w:szCs w:val="24"/>
          <w:lang w:val="en-US"/>
        </w:rPr>
        <w:t xml:space="preserve">In addition, very few argued that only entrepreneurs should be entitled to a full discharge. The majority of the stakeholders and Member States underlined that </w:t>
      </w:r>
      <w:r>
        <w:rPr>
          <w:rFonts w:ascii="Times New Roman" w:hAnsi="Times New Roman" w:cs="Times New Roman"/>
          <w:noProof/>
          <w:sz w:val="24"/>
          <w:szCs w:val="24"/>
        </w:rPr>
        <w:t>discharge should be tempered by en</w:t>
      </w:r>
      <w:r>
        <w:rPr>
          <w:rFonts w:ascii="Times New Roman" w:hAnsi="Times New Roman" w:cs="Times New Roman"/>
          <w:noProof/>
          <w:sz w:val="24"/>
          <w:szCs w:val="24"/>
        </w:rPr>
        <w:t>suring disincentives for dishonest conduct and adequate control for abuses.</w:t>
      </w:r>
    </w:p>
    <w:p w:rsidR="00B32D69" w:rsidRDefault="00FB661A">
      <w:pPr>
        <w:spacing w:line="240" w:lineRule="auto"/>
        <w:jc w:val="both"/>
        <w:rPr>
          <w:rFonts w:ascii="Times New Roman" w:eastAsia="Calibri" w:hAnsi="Times New Roman" w:cs="Times New Roman"/>
          <w:noProof/>
          <w:sz w:val="24"/>
          <w:szCs w:val="24"/>
          <w:lang w:val="en-US"/>
        </w:rPr>
      </w:pPr>
      <w:r>
        <w:rPr>
          <w:rFonts w:ascii="Times New Roman" w:hAnsi="Times New Roman" w:cs="Times New Roman"/>
          <w:b/>
          <w:noProof/>
          <w:sz w:val="24"/>
          <w:szCs w:val="24"/>
          <w:lang w:val="en-US"/>
        </w:rPr>
        <w:t xml:space="preserve">In the 'Sounding Board' meetings, </w:t>
      </w:r>
      <w:r>
        <w:rPr>
          <w:rFonts w:ascii="Times New Roman" w:eastAsia="Calibri" w:hAnsi="Times New Roman" w:cs="Times New Roman"/>
          <w:noProof/>
          <w:sz w:val="24"/>
          <w:szCs w:val="24"/>
          <w:lang w:val="en-US"/>
        </w:rPr>
        <w:t xml:space="preserve">stakeholders in the business sector as well as professional associations strongly supported the objective of offering honest bankrupt </w:t>
      </w:r>
      <w:r>
        <w:rPr>
          <w:rFonts w:ascii="Times New Roman" w:eastAsia="Calibri" w:hAnsi="Times New Roman" w:cs="Times New Roman"/>
          <w:noProof/>
          <w:sz w:val="24"/>
          <w:szCs w:val="24"/>
          <w:lang w:val="en-US"/>
        </w:rPr>
        <w:t>entrepreneurs a second chance reducing the stigma of insolvency and allowing them to return to economic life in a reasonable timeframe.</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b/>
          <w:noProof/>
          <w:sz w:val="24"/>
          <w:szCs w:val="24"/>
          <w:lang w:val="en-US"/>
        </w:rPr>
        <w:t>EU banking sector</w:t>
      </w:r>
      <w:r>
        <w:rPr>
          <w:rFonts w:ascii="Times New Roman" w:hAnsi="Times New Roman" w:cs="Times New Roman"/>
          <w:noProof/>
          <w:sz w:val="24"/>
          <w:szCs w:val="24"/>
          <w:lang w:val="en-US"/>
        </w:rPr>
        <w:t xml:space="preserve"> argued that a full debt discharge may ultimately result in a counterproductive measure, providing wrong signals for entrepreneurs and consumers; thus, a discharge should be given provided that a certain amount of debt is repaid or that the individuals use</w:t>
      </w:r>
      <w:r>
        <w:rPr>
          <w:rFonts w:ascii="Times New Roman" w:hAnsi="Times New Roman" w:cs="Times New Roman"/>
          <w:noProof/>
          <w:sz w:val="24"/>
          <w:szCs w:val="24"/>
          <w:lang w:val="en-US"/>
        </w:rPr>
        <w:t>d all their efforts and financial means to repay the debt.</w:t>
      </w:r>
      <w:r>
        <w:rPr>
          <w:rFonts w:ascii="Times New Roman" w:hAnsi="Times New Roman" w:cs="Times New Roman"/>
          <w:noProof/>
          <w:sz w:val="24"/>
          <w:szCs w:val="24"/>
        </w:rPr>
        <w:t xml:space="preserve"> Moreover, </w:t>
      </w:r>
      <w:r>
        <w:rPr>
          <w:rFonts w:ascii="Times New Roman" w:hAnsi="Times New Roman" w:cs="Times New Roman"/>
          <w:noProof/>
          <w:sz w:val="24"/>
          <w:szCs w:val="24"/>
          <w:lang w:val="en-US"/>
        </w:rPr>
        <w:t>a limitation on the period after which a second discharge may be provided should be envisaged in order to prevent abuses.</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Other stakeholders were of the view that a case-by case approach </w:t>
      </w:r>
      <w:r>
        <w:rPr>
          <w:rFonts w:ascii="Times New Roman" w:hAnsi="Times New Roman" w:cs="Times New Roman"/>
          <w:noProof/>
          <w:sz w:val="24"/>
          <w:szCs w:val="24"/>
          <w:lang w:val="en-US"/>
        </w:rPr>
        <w:t xml:space="preserve">is needed and </w:t>
      </w:r>
      <w:r>
        <w:rPr>
          <w:rFonts w:ascii="Times New Roman" w:hAnsi="Times New Roman" w:cs="Times New Roman"/>
          <w:noProof/>
          <w:sz w:val="24"/>
          <w:szCs w:val="24"/>
        </w:rPr>
        <w:t>each debtor situation should be evaluated before. The amount and time tolerance given should be specified by the court taking into consideration various elements, including the aggregated value of debt.</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Moreover, less than half of the respond</w:t>
      </w:r>
      <w:r>
        <w:rPr>
          <w:rFonts w:ascii="Times New Roman" w:hAnsi="Times New Roman" w:cs="Times New Roman"/>
          <w:noProof/>
          <w:sz w:val="24"/>
          <w:szCs w:val="24"/>
          <w:lang w:val="en-US"/>
        </w:rPr>
        <w:t>ents to the public consultation supported that the conditions for the discharge of debts should be the same for entrepreneurs and consumers</w:t>
      </w:r>
      <w:r>
        <w:rPr>
          <w:rFonts w:ascii="Times New Roman" w:hAnsi="Times New Roman" w:cs="Times New Roman"/>
          <w:noProof/>
          <w:sz w:val="24"/>
          <w:szCs w:val="24"/>
          <w:vertAlign w:val="superscript"/>
          <w:lang w:val="en-US"/>
        </w:rPr>
        <w:footnoteReference w:id="312"/>
      </w:r>
      <w:r>
        <w:rPr>
          <w:rFonts w:ascii="Times New Roman" w:hAnsi="Times New Roman" w:cs="Times New Roman"/>
          <w:noProof/>
          <w:sz w:val="24"/>
          <w:szCs w:val="24"/>
          <w:lang w:val="en-US"/>
        </w:rPr>
        <w:t xml:space="preserve">, while only 28% were of the opposite view (that the conditions applicable to entrepreneurs should be stricter than </w:t>
      </w:r>
      <w:r>
        <w:rPr>
          <w:rFonts w:ascii="Times New Roman" w:hAnsi="Times New Roman" w:cs="Times New Roman"/>
          <w:noProof/>
          <w:sz w:val="24"/>
          <w:szCs w:val="24"/>
          <w:lang w:val="en-US"/>
        </w:rPr>
        <w:t>those applicable to consumers).</w:t>
      </w:r>
      <w:r>
        <w:rPr>
          <w:rFonts w:ascii="Times New Roman" w:hAnsi="Times New Roman" w:cs="Times New Roman"/>
          <w:noProof/>
          <w:sz w:val="24"/>
          <w:szCs w:val="24"/>
          <w:vertAlign w:val="superscript"/>
          <w:lang w:val="en-US"/>
        </w:rPr>
        <w:footnoteReference w:id="313"/>
      </w:r>
      <w:r>
        <w:rPr>
          <w:rFonts w:ascii="Times New Roman" w:hAnsi="Times New Roman" w:cs="Times New Roman"/>
          <w:noProof/>
          <w:sz w:val="24"/>
          <w:szCs w:val="24"/>
          <w:lang w:val="en-US"/>
        </w:rPr>
        <w:t xml:space="preserve"> Most of stakeholders shared that viewed and considered that, if this matter is to be regulated, the conditions for discharge should be the same for all natural persons, because there is not any public policy rationale for c</w:t>
      </w:r>
      <w:r>
        <w:rPr>
          <w:rFonts w:ascii="Times New Roman" w:hAnsi="Times New Roman" w:cs="Times New Roman"/>
          <w:noProof/>
          <w:sz w:val="24"/>
          <w:szCs w:val="24"/>
          <w:lang w:val="en-US"/>
        </w:rPr>
        <w:t>onsumers and small-scale entrepreneurs to be treated differently or any reason to have stricter conditions for discharge applied depending on the purpose of the debt.</w:t>
      </w:r>
      <w:r>
        <w:rPr>
          <w:rFonts w:ascii="Times New Roman" w:hAnsi="Times New Roman" w:cs="Times New Roman"/>
          <w:noProof/>
          <w:sz w:val="24"/>
          <w:szCs w:val="24"/>
          <w:vertAlign w:val="superscript"/>
          <w:lang w:val="en-US"/>
        </w:rPr>
        <w:footnoteReference w:id="314"/>
      </w:r>
    </w:p>
    <w:p w:rsidR="00B32D69" w:rsidRDefault="00FB661A">
      <w:pPr>
        <w:spacing w:before="240" w:after="0" w:line="240" w:lineRule="auto"/>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Additionally, during the stakeholder meetings, </w:t>
      </w:r>
      <w:r>
        <w:rPr>
          <w:rFonts w:ascii="Times New Roman" w:eastAsia="Calibri" w:hAnsi="Times New Roman" w:cs="Times New Roman"/>
          <w:b/>
          <w:noProof/>
          <w:sz w:val="24"/>
          <w:szCs w:val="24"/>
          <w:lang w:val="en-US"/>
        </w:rPr>
        <w:t>business organisations as well as legal p</w:t>
      </w:r>
      <w:r>
        <w:rPr>
          <w:rFonts w:ascii="Times New Roman" w:eastAsia="Calibri" w:hAnsi="Times New Roman" w:cs="Times New Roman"/>
          <w:b/>
          <w:noProof/>
          <w:sz w:val="24"/>
          <w:szCs w:val="24"/>
          <w:lang w:val="en-US"/>
        </w:rPr>
        <w:t>rofessionals and accountants</w:t>
      </w:r>
      <w:r>
        <w:rPr>
          <w:rFonts w:ascii="Times New Roman" w:eastAsia="Calibri" w:hAnsi="Times New Roman" w:cs="Times New Roman"/>
          <w:noProof/>
          <w:sz w:val="24"/>
          <w:szCs w:val="24"/>
          <w:lang w:val="en-US"/>
        </w:rPr>
        <w:t xml:space="preserve"> voiced that, where the entrepreneur has personal debts, both generated by his/her business activity and by his/her non-business activity, the proceedings should be consolidated for the purposes of the discharge. </w:t>
      </w:r>
    </w:p>
    <w:p w:rsidR="00B32D69" w:rsidRDefault="00B32D69">
      <w:pPr>
        <w:spacing w:before="240" w:after="0" w:line="240" w:lineRule="auto"/>
        <w:jc w:val="both"/>
        <w:rPr>
          <w:rFonts w:ascii="Times New Roman" w:eastAsia="Calibri" w:hAnsi="Times New Roman" w:cs="Times New Roman"/>
          <w:noProof/>
          <w:sz w:val="24"/>
          <w:szCs w:val="24"/>
          <w:lang w:val="en-US"/>
        </w:rPr>
      </w:pPr>
    </w:p>
    <w:p w:rsidR="00B32D69" w:rsidRDefault="00FB661A">
      <w:pPr>
        <w:numPr>
          <w:ilvl w:val="0"/>
          <w:numId w:val="52"/>
        </w:numPr>
        <w:spacing w:line="24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Moreover, it </w:t>
      </w:r>
      <w:r>
        <w:rPr>
          <w:rFonts w:ascii="Times New Roman" w:hAnsi="Times New Roman" w:cs="Times New Roman"/>
          <w:noProof/>
          <w:sz w:val="24"/>
          <w:szCs w:val="24"/>
          <w:lang w:val="en-US"/>
        </w:rPr>
        <w:t>was strongly outlined that many such insolvent individuals will have a mixture of consumer and business liabilities, therefore potentially giving rise to a costly, time consuming, unnecessary process to determine whether they are to be treated as consumers</w:t>
      </w:r>
      <w:r>
        <w:rPr>
          <w:rFonts w:ascii="Times New Roman" w:hAnsi="Times New Roman" w:cs="Times New Roman"/>
          <w:noProof/>
          <w:sz w:val="24"/>
          <w:szCs w:val="24"/>
          <w:lang w:val="en-US"/>
        </w:rPr>
        <w:t xml:space="preserve"> or as entrepreneurs if a distinction is to be made; it will be often difficult to adequately distinguish between a purely consumer debtor and self-employed persons who may also have incurred consumer credit, potentially in supporting their trading activit</w:t>
      </w:r>
      <w:r>
        <w:rPr>
          <w:rFonts w:ascii="Times New Roman" w:hAnsi="Times New Roman" w:cs="Times New Roman"/>
          <w:noProof/>
          <w:sz w:val="24"/>
          <w:szCs w:val="24"/>
          <w:lang w:val="en-US"/>
        </w:rPr>
        <w:t>ies.</w:t>
      </w:r>
      <w:r>
        <w:rPr>
          <w:rFonts w:ascii="Times New Roman" w:hAnsi="Times New Roman" w:cs="Times New Roman"/>
          <w:noProof/>
          <w:sz w:val="24"/>
          <w:szCs w:val="24"/>
          <w:vertAlign w:val="superscript"/>
          <w:lang w:val="en-US"/>
        </w:rPr>
        <w:footnoteReference w:id="315"/>
      </w:r>
    </w:p>
    <w:p w:rsidR="00B32D69" w:rsidRDefault="00FB661A">
      <w:pPr>
        <w:numPr>
          <w:ilvl w:val="0"/>
          <w:numId w:val="52"/>
        </w:numPr>
        <w:spacing w:line="240" w:lineRule="auto"/>
        <w:contextualSpacing/>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Apart from that, some participants mentioned that, if the conditions vary, there is room for discrimination (constitutional issues) or for potential risks of gaming </w:t>
      </w:r>
      <w:r>
        <w:rPr>
          <w:rFonts w:ascii="Times New Roman" w:hAnsi="Times New Roman" w:cs="Times New Roman"/>
          <w:noProof/>
          <w:sz w:val="24"/>
          <w:szCs w:val="24"/>
        </w:rPr>
        <w:t>the system.</w:t>
      </w:r>
      <w:r>
        <w:rPr>
          <w:rFonts w:ascii="Times New Roman" w:hAnsi="Times New Roman" w:cs="Times New Roman"/>
          <w:noProof/>
          <w:sz w:val="24"/>
          <w:szCs w:val="24"/>
          <w:vertAlign w:val="superscript"/>
        </w:rPr>
        <w:footnoteReference w:id="316"/>
      </w:r>
    </w:p>
    <w:p w:rsidR="00B32D69" w:rsidRDefault="00FB661A">
      <w:pPr>
        <w:spacing w:line="240" w:lineRule="auto"/>
        <w:jc w:val="both"/>
        <w:rPr>
          <w:rFonts w:ascii="Times New Roman" w:hAnsi="Times New Roman" w:cs="Times New Roman"/>
          <w:noProof/>
          <w:sz w:val="24"/>
          <w:szCs w:val="24"/>
          <w:lang w:val="en-US"/>
        </w:rPr>
      </w:pPr>
      <w:r>
        <w:rPr>
          <w:rFonts w:ascii="Times New Roman" w:eastAsia="Calibri" w:hAnsi="Times New Roman" w:cs="Times New Roman"/>
          <w:noProof/>
          <w:sz w:val="24"/>
          <w:szCs w:val="24"/>
          <w:lang w:val="en-US"/>
        </w:rPr>
        <w:t xml:space="preserve">Although all </w:t>
      </w:r>
      <w:r>
        <w:rPr>
          <w:rFonts w:ascii="Times New Roman" w:eastAsia="Calibri" w:hAnsi="Times New Roman" w:cs="Times New Roman"/>
          <w:b/>
          <w:noProof/>
          <w:sz w:val="24"/>
          <w:szCs w:val="24"/>
          <w:lang w:val="en-US"/>
        </w:rPr>
        <w:t>Member States</w:t>
      </w:r>
      <w:r>
        <w:rPr>
          <w:rFonts w:ascii="Times New Roman" w:eastAsia="Calibri" w:hAnsi="Times New Roman" w:cs="Times New Roman"/>
          <w:noProof/>
          <w:sz w:val="24"/>
          <w:szCs w:val="24"/>
          <w:lang w:val="en-US"/>
        </w:rPr>
        <w:t xml:space="preserve"> supported, in principle, the idea of a second chance for entrepreneurs, providing for a reduced discharge period, various views were expressed with regard to the conditions and exemptions.</w:t>
      </w:r>
    </w:p>
    <w:p w:rsidR="00B32D69" w:rsidRDefault="00FB661A">
      <w:pPr>
        <w:pStyle w:val="ManualHeading4"/>
        <w:rPr>
          <w:i/>
          <w:noProof/>
        </w:rPr>
      </w:pPr>
      <w:bookmarkStart w:id="114" w:name="_Toc463280394"/>
      <w:r>
        <w:rPr>
          <w:noProof/>
        </w:rPr>
        <w:t>2.8.4.1.</w:t>
      </w:r>
      <w:r>
        <w:rPr>
          <w:noProof/>
        </w:rPr>
        <w:tab/>
        <w:t>Entry conditions for the discharge procedure</w:t>
      </w:r>
      <w:bookmarkEnd w:id="114"/>
    </w:p>
    <w:p w:rsidR="00B32D69" w:rsidRDefault="00B32D69">
      <w:pPr>
        <w:spacing w:line="240" w:lineRule="auto"/>
        <w:jc w:val="both"/>
        <w:rPr>
          <w:rFonts w:ascii="Times New Roman" w:hAnsi="Times New Roman" w:cs="Times New Roman"/>
          <w:noProof/>
          <w:sz w:val="24"/>
          <w:szCs w:val="24"/>
        </w:rPr>
      </w:pP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Despite the</w:t>
      </w:r>
      <w:r>
        <w:rPr>
          <w:rFonts w:ascii="Times New Roman" w:hAnsi="Times New Roman" w:cs="Times New Roman"/>
          <w:noProof/>
          <w:sz w:val="24"/>
          <w:szCs w:val="24"/>
        </w:rPr>
        <w:t xml:space="preserve"> fact that many stakeholders supported that a full discharge of debt should be offered without the condition of repayment of a certain amount of debt</w:t>
      </w:r>
      <w:r>
        <w:rPr>
          <w:rFonts w:ascii="Times New Roman" w:hAnsi="Times New Roman" w:cs="Times New Roman"/>
          <w:noProof/>
          <w:sz w:val="24"/>
          <w:szCs w:val="24"/>
          <w:vertAlign w:val="superscript"/>
        </w:rPr>
        <w:footnoteReference w:id="317"/>
      </w:r>
      <w:r>
        <w:rPr>
          <w:rFonts w:ascii="Times New Roman" w:hAnsi="Times New Roman" w:cs="Times New Roman"/>
          <w:noProof/>
          <w:sz w:val="24"/>
          <w:szCs w:val="24"/>
        </w:rPr>
        <w:t>, there was a strong minority (mainly composed of the banking industry) that opposed to this view.</w:t>
      </w:r>
      <w:r>
        <w:rPr>
          <w:rFonts w:ascii="Times New Roman" w:hAnsi="Times New Roman" w:cs="Times New Roman"/>
          <w:noProof/>
          <w:sz w:val="24"/>
          <w:szCs w:val="24"/>
          <w:vertAlign w:val="superscript"/>
        </w:rPr>
        <w:footnoteReference w:id="318"/>
      </w:r>
      <w:r>
        <w:rPr>
          <w:rFonts w:ascii="Times New Roman" w:hAnsi="Times New Roman" w:cs="Times New Roman"/>
          <w:noProof/>
          <w:sz w:val="24"/>
          <w:szCs w:val="24"/>
        </w:rPr>
        <w:t xml:space="preserve"> In add</w:t>
      </w:r>
      <w:r>
        <w:rPr>
          <w:rFonts w:ascii="Times New Roman" w:hAnsi="Times New Roman" w:cs="Times New Roman"/>
          <w:noProof/>
          <w:sz w:val="24"/>
          <w:szCs w:val="24"/>
        </w:rPr>
        <w:t>ition, some MS (DE) pointed out that a full discharge of debt should be possible after the repayment of certain amount of debt.</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public consultation:</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On the one hand, it was stated that:</w:t>
      </w:r>
    </w:p>
    <w:p w:rsidR="00B32D69" w:rsidRDefault="00FB661A">
      <w:pPr>
        <w:numPr>
          <w:ilvl w:val="0"/>
          <w:numId w:val="42"/>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condition of repayment of a certain amount of debt would we</w:t>
      </w:r>
      <w:r>
        <w:rPr>
          <w:rFonts w:ascii="Times New Roman" w:hAnsi="Times New Roman" w:cs="Times New Roman"/>
          <w:noProof/>
          <w:sz w:val="24"/>
          <w:szCs w:val="24"/>
        </w:rPr>
        <w:t>aken the objective of discharge, since it would deprive many over-indebted debtors that they would not be in a position of repaying the exact amount of debt from the possibility of a second chance and the potential benefits for the wider economy.</w:t>
      </w:r>
    </w:p>
    <w:p w:rsidR="00B32D69" w:rsidRDefault="00B32D69">
      <w:pPr>
        <w:widowControl w:val="0"/>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widowControl w:val="0"/>
        <w:autoSpaceDE w:val="0"/>
        <w:autoSpaceDN w:val="0"/>
        <w:adjustRightInd w:val="0"/>
        <w:spacing w:after="0" w:line="240" w:lineRule="auto"/>
        <w:jc w:val="both"/>
        <w:rPr>
          <w:rFonts w:ascii="Times New Roman" w:hAnsi="Times New Roman" w:cs="Times New Roman"/>
          <w:noProof/>
          <w:color w:val="333333"/>
          <w:sz w:val="24"/>
          <w:szCs w:val="24"/>
          <w:lang w:val="en-US"/>
        </w:rPr>
      </w:pPr>
      <w:r>
        <w:rPr>
          <w:rFonts w:ascii="Times New Roman" w:hAnsi="Times New Roman" w:cs="Times New Roman"/>
          <w:noProof/>
          <w:sz w:val="24"/>
          <w:szCs w:val="24"/>
        </w:rPr>
        <w:t>On the o</w:t>
      </w:r>
      <w:r>
        <w:rPr>
          <w:rFonts w:ascii="Times New Roman" w:hAnsi="Times New Roman" w:cs="Times New Roman"/>
          <w:noProof/>
          <w:sz w:val="24"/>
          <w:szCs w:val="24"/>
        </w:rPr>
        <w:t>ther hand, it was stressed that:</w:t>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numPr>
          <w:ilvl w:val="0"/>
          <w:numId w:val="42"/>
        </w:num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Discharge should be a case-by-case outcome and be subject to the adoption of ex ante conditional measures. On the basis of the assessment of the economic performance of the insolvent debtor the payment of a certain amount </w:t>
      </w:r>
      <w:r>
        <w:rPr>
          <w:rFonts w:ascii="Times New Roman" w:hAnsi="Times New Roman" w:cs="Times New Roman"/>
          <w:noProof/>
          <w:sz w:val="24"/>
          <w:szCs w:val="24"/>
        </w:rPr>
        <w:t>of the debt should be made a condition and this can constitute a balance so as not to dicincentivise lending.</w:t>
      </w:r>
      <w:r>
        <w:rPr>
          <w:rFonts w:ascii="Times New Roman" w:hAnsi="Times New Roman" w:cs="Times New Roman"/>
          <w:noProof/>
          <w:sz w:val="24"/>
          <w:szCs w:val="24"/>
          <w:vertAlign w:val="superscript"/>
        </w:rPr>
        <w:footnoteReference w:id="319"/>
      </w:r>
    </w:p>
    <w:p w:rsidR="00B32D69" w:rsidRDefault="00B32D69">
      <w:pPr>
        <w:autoSpaceDE w:val="0"/>
        <w:autoSpaceDN w:val="0"/>
        <w:adjustRightInd w:val="0"/>
        <w:spacing w:after="0" w:line="240" w:lineRule="auto"/>
        <w:ind w:left="720"/>
        <w:jc w:val="both"/>
        <w:rPr>
          <w:rFonts w:ascii="Times New Roman" w:hAnsi="Times New Roman" w:cs="Times New Roman"/>
          <w:noProof/>
          <w:sz w:val="24"/>
          <w:szCs w:val="24"/>
        </w:rPr>
      </w:pP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Moreover, in the public consultation and the 'Sounding Board' meetings, the majority of stakeholders agreed that there is a need for harmonisation of </w:t>
      </w:r>
      <w:r>
        <w:rPr>
          <w:rFonts w:ascii="Times New Roman" w:hAnsi="Times New Roman" w:cs="Times New Roman"/>
          <w:b/>
          <w:noProof/>
          <w:sz w:val="24"/>
          <w:szCs w:val="24"/>
        </w:rPr>
        <w:t xml:space="preserve">the test of 'honesty' </w:t>
      </w:r>
      <w:r>
        <w:rPr>
          <w:rFonts w:ascii="Times New Roman" w:hAnsi="Times New Roman" w:cs="Times New Roman"/>
          <w:noProof/>
          <w:sz w:val="24"/>
          <w:szCs w:val="24"/>
        </w:rPr>
        <w:t>at EU level.</w:t>
      </w:r>
      <w:r>
        <w:rPr>
          <w:rFonts w:ascii="Times New Roman" w:hAnsi="Times New Roman" w:cs="Times New Roman"/>
          <w:noProof/>
          <w:sz w:val="24"/>
          <w:szCs w:val="24"/>
          <w:vertAlign w:val="superscript"/>
        </w:rPr>
        <w:footnoteReference w:id="320"/>
      </w:r>
      <w:r>
        <w:rPr>
          <w:rFonts w:ascii="Times New Roman" w:hAnsi="Times New Roman" w:cs="Times New Roman"/>
          <w:noProof/>
          <w:sz w:val="24"/>
          <w:szCs w:val="24"/>
        </w:rPr>
        <w:t xml:space="preserve"> A lot of stakeholders agreed that there could be a </w:t>
      </w:r>
      <w:r>
        <w:rPr>
          <w:rFonts w:ascii="Times New Roman" w:hAnsi="Times New Roman" w:cs="Times New Roman"/>
          <w:b/>
          <w:noProof/>
          <w:sz w:val="24"/>
          <w:szCs w:val="24"/>
        </w:rPr>
        <w:t>presumption of hone</w:t>
      </w:r>
      <w:r>
        <w:rPr>
          <w:rFonts w:ascii="Times New Roman" w:hAnsi="Times New Roman" w:cs="Times New Roman"/>
          <w:b/>
          <w:noProof/>
          <w:sz w:val="24"/>
          <w:szCs w:val="24"/>
        </w:rPr>
        <w:t>sty</w:t>
      </w:r>
      <w:r>
        <w:rPr>
          <w:rFonts w:ascii="Times New Roman" w:hAnsi="Times New Roman" w:cs="Times New Roman"/>
          <w:noProof/>
          <w:sz w:val="24"/>
          <w:szCs w:val="24"/>
        </w:rPr>
        <w:t xml:space="preserve"> or a negative definition (i.e. certain minimum criteria that would exclude 'honesty').</w:t>
      </w:r>
      <w:r>
        <w:rPr>
          <w:rFonts w:ascii="Times New Roman" w:hAnsi="Times New Roman" w:cs="Times New Roman"/>
          <w:noProof/>
          <w:sz w:val="24"/>
          <w:szCs w:val="24"/>
          <w:vertAlign w:val="superscript"/>
        </w:rPr>
        <w:footnoteReference w:id="321"/>
      </w:r>
      <w:r>
        <w:rPr>
          <w:rFonts w:ascii="Times New Roman" w:hAnsi="Times New Roman" w:cs="Times New Roman"/>
          <w:noProof/>
          <w:sz w:val="24"/>
          <w:szCs w:val="24"/>
        </w:rPr>
        <w:t xml:space="preserve"> Nevertheless, many stakeholders expressed concerns with regard to the level of difficulty and complexity of establishing a harmonised test of honesty across all EU </w:t>
      </w:r>
      <w:r>
        <w:rPr>
          <w:rFonts w:ascii="Times New Roman" w:hAnsi="Times New Roman" w:cs="Times New Roman"/>
          <w:noProof/>
          <w:sz w:val="24"/>
          <w:szCs w:val="24"/>
        </w:rPr>
        <w:t xml:space="preserve">Member States. During the dedicated meetings with the Member States, most of them were reluctant to harmonising the test of honesty, but agreed that certain general non-mandatory principles could be envisaged. </w:t>
      </w:r>
      <w:r>
        <w:rPr>
          <w:rFonts w:ascii="Times New Roman" w:eastAsia="Calibri" w:hAnsi="Times New Roman" w:cs="Times New Roman"/>
          <w:noProof/>
          <w:sz w:val="24"/>
          <w:szCs w:val="24"/>
          <w:lang w:val="en-US"/>
        </w:rPr>
        <w:t>In addition, some Member States were in favour</w:t>
      </w:r>
      <w:r>
        <w:rPr>
          <w:rFonts w:ascii="Times New Roman" w:eastAsia="Calibri" w:hAnsi="Times New Roman" w:cs="Times New Roman"/>
          <w:noProof/>
          <w:sz w:val="24"/>
          <w:szCs w:val="24"/>
          <w:lang w:val="en-US"/>
        </w:rPr>
        <w:t xml:space="preserve"> of introducing a presumption of honesty, while others spoke against.</w:t>
      </w:r>
    </w:p>
    <w:p w:rsidR="00B32D69" w:rsidRDefault="00FB661A">
      <w:pPr>
        <w:spacing w:line="240" w:lineRule="auto"/>
        <w:contextualSpacing/>
        <w:jc w:val="both"/>
        <w:rPr>
          <w:rFonts w:ascii="Times New Roman" w:hAnsi="Times New Roman" w:cs="Times New Roman"/>
          <w:noProof/>
          <w:sz w:val="24"/>
          <w:szCs w:val="24"/>
        </w:rPr>
      </w:pPr>
      <w:r>
        <w:rPr>
          <w:rFonts w:ascii="Times New Roman" w:hAnsi="Times New Roman" w:cs="Times New Roman"/>
          <w:b/>
          <w:noProof/>
          <w:sz w:val="24"/>
          <w:szCs w:val="24"/>
        </w:rPr>
        <w:t>Trade unions</w:t>
      </w:r>
      <w:r>
        <w:rPr>
          <w:rFonts w:ascii="Times New Roman" w:hAnsi="Times New Roman" w:cs="Times New Roman"/>
          <w:noProof/>
          <w:sz w:val="24"/>
          <w:szCs w:val="24"/>
        </w:rPr>
        <w:t xml:space="preserve"> made reference to directors that act not just honestly but also responsibly; for example, criteria such as the extent to which there is compliance with obligations of compan</w:t>
      </w:r>
      <w:r>
        <w:rPr>
          <w:rFonts w:ascii="Times New Roman" w:hAnsi="Times New Roman" w:cs="Times New Roman"/>
          <w:noProof/>
          <w:sz w:val="24"/>
          <w:szCs w:val="24"/>
        </w:rPr>
        <w:t xml:space="preserve">y law or employment law, the extent to which there is certain responsibility for the insolvency of company or any responsibility for net deficiencies in the assets of a company etc. </w:t>
      </w:r>
    </w:p>
    <w:p w:rsidR="00B32D69" w:rsidRDefault="00B32D69">
      <w:pPr>
        <w:spacing w:line="240" w:lineRule="auto"/>
        <w:jc w:val="both"/>
        <w:rPr>
          <w:rFonts w:ascii="Times New Roman" w:hAnsi="Times New Roman" w:cs="Times New Roman"/>
          <w:noProof/>
          <w:sz w:val="24"/>
          <w:szCs w:val="24"/>
        </w:rPr>
      </w:pPr>
    </w:p>
    <w:p w:rsidR="00B32D69" w:rsidRDefault="00FB661A">
      <w:pPr>
        <w:pStyle w:val="ManualHeading4"/>
        <w:rPr>
          <w:i/>
          <w:noProof/>
        </w:rPr>
      </w:pPr>
      <w:bookmarkStart w:id="115" w:name="_Toc463280259"/>
      <w:bookmarkStart w:id="116" w:name="_Toc463280395"/>
      <w:bookmarkStart w:id="117" w:name="_Toc463280396"/>
      <w:bookmarkEnd w:id="115"/>
      <w:bookmarkEnd w:id="116"/>
      <w:r>
        <w:rPr>
          <w:noProof/>
        </w:rPr>
        <w:t>2.8.4.2.</w:t>
      </w:r>
      <w:r>
        <w:rPr>
          <w:noProof/>
        </w:rPr>
        <w:tab/>
        <w:t>Discharge period</w:t>
      </w:r>
      <w:bookmarkEnd w:id="117"/>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majority of those consulted supported sho</w:t>
      </w:r>
      <w:r>
        <w:rPr>
          <w:rFonts w:ascii="Times New Roman" w:hAnsi="Times New Roman" w:cs="Times New Roman"/>
          <w:noProof/>
          <w:sz w:val="24"/>
          <w:szCs w:val="24"/>
        </w:rPr>
        <w:t xml:space="preserve">rt discharge periods. In the public consultation, </w:t>
      </w:r>
      <w:r>
        <w:rPr>
          <w:rFonts w:ascii="Times New Roman" w:hAnsi="Times New Roman" w:cs="Times New Roman"/>
          <w:noProof/>
          <w:sz w:val="24"/>
          <w:szCs w:val="24"/>
          <w:lang w:val="en-US"/>
        </w:rPr>
        <w:t xml:space="preserve">almost one third </w:t>
      </w:r>
      <w:r>
        <w:rPr>
          <w:rFonts w:ascii="Times New Roman" w:hAnsi="Times New Roman" w:cs="Times New Roman"/>
          <w:noProof/>
          <w:sz w:val="24"/>
          <w:szCs w:val="24"/>
        </w:rPr>
        <w:t>stated that a maximum discharge period of 3 years is a reasonable balance</w:t>
      </w:r>
      <w:r>
        <w:rPr>
          <w:rFonts w:ascii="Times New Roman" w:hAnsi="Times New Roman" w:cs="Times New Roman"/>
          <w:noProof/>
          <w:sz w:val="24"/>
          <w:szCs w:val="24"/>
          <w:vertAlign w:val="superscript"/>
        </w:rPr>
        <w:footnoteReference w:id="322"/>
      </w:r>
      <w:r>
        <w:rPr>
          <w:rFonts w:ascii="Times New Roman" w:hAnsi="Times New Roman" w:cs="Times New Roman"/>
          <w:noProof/>
          <w:sz w:val="24"/>
          <w:szCs w:val="24"/>
        </w:rPr>
        <w:t xml:space="preserve"> for honest debtors, while less were in favour of a 5-year discharge period. </w:t>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It was specifically argued that: </w:t>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numPr>
          <w:ilvl w:val="0"/>
          <w:numId w:val="56"/>
        </w:num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A</w:t>
      </w:r>
      <w:r>
        <w:rPr>
          <w:rFonts w:ascii="Times New Roman" w:hAnsi="Times New Roman" w:cs="Times New Roman"/>
          <w:noProof/>
          <w:sz w:val="24"/>
          <w:szCs w:val="24"/>
        </w:rPr>
        <w:t xml:space="preserve"> too short period encourages frivolous use, while a too long period discourages entrepreneurship and risk taking.</w:t>
      </w:r>
    </w:p>
    <w:p w:rsidR="00B32D69" w:rsidRDefault="00FB661A">
      <w:pPr>
        <w:numPr>
          <w:ilvl w:val="0"/>
          <w:numId w:val="56"/>
        </w:num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Variations should exist or extension should be possible in exceptional cases (e.g. when the debtor has hidden assets or has not co-operated wi</w:t>
      </w:r>
      <w:r>
        <w:rPr>
          <w:rFonts w:ascii="Times New Roman" w:hAnsi="Times New Roman" w:cs="Times New Roman"/>
          <w:noProof/>
          <w:sz w:val="24"/>
          <w:szCs w:val="24"/>
        </w:rPr>
        <w:t>th the trustee or bankruptcy court).</w:t>
      </w:r>
    </w:p>
    <w:p w:rsidR="00B32D69" w:rsidRDefault="00FB661A">
      <w:pPr>
        <w:numPr>
          <w:ilvl w:val="0"/>
          <w:numId w:val="56"/>
        </w:num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If the debtor is insolvent and no assets or income are available there is no valid point in delaying the discharge.</w:t>
      </w:r>
    </w:p>
    <w:p w:rsidR="00B32D69" w:rsidRDefault="00FB661A">
      <w:pPr>
        <w:numPr>
          <w:ilvl w:val="0"/>
          <w:numId w:val="56"/>
        </w:num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Honesty should be considered and dishonest conduct may be subject to a longer period.</w:t>
      </w:r>
    </w:p>
    <w:p w:rsidR="00B32D69" w:rsidRDefault="00FB661A">
      <w:pPr>
        <w:numPr>
          <w:ilvl w:val="0"/>
          <w:numId w:val="56"/>
        </w:num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Convictions for f</w:t>
      </w:r>
      <w:r>
        <w:rPr>
          <w:rFonts w:ascii="Times New Roman" w:hAnsi="Times New Roman" w:cs="Times New Roman"/>
          <w:noProof/>
          <w:sz w:val="24"/>
          <w:szCs w:val="24"/>
        </w:rPr>
        <w:t>raud or financial misfeasance may be taken into account.</w:t>
      </w:r>
    </w:p>
    <w:p w:rsidR="00B32D69" w:rsidRDefault="00FB661A">
      <w:pPr>
        <w:numPr>
          <w:ilvl w:val="0"/>
          <w:numId w:val="56"/>
        </w:num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There may be causes which could revoke a debt discharged, for example, if the debtor receives a heritage or it breaches the out of court payment agreement.</w:t>
      </w:r>
    </w:p>
    <w:p w:rsidR="00B32D69" w:rsidRDefault="00B32D69">
      <w:pPr>
        <w:autoSpaceDE w:val="0"/>
        <w:autoSpaceDN w:val="0"/>
        <w:adjustRightInd w:val="0"/>
        <w:spacing w:after="0" w:line="240" w:lineRule="auto"/>
        <w:contextualSpacing/>
        <w:jc w:val="both"/>
        <w:rPr>
          <w:rFonts w:ascii="Times New Roman" w:hAnsi="Times New Roman" w:cs="Times New Roman"/>
          <w:noProof/>
          <w:sz w:val="24"/>
          <w:szCs w:val="24"/>
        </w:rPr>
      </w:pPr>
    </w:p>
    <w:p w:rsidR="00B32D69" w:rsidRDefault="00FB661A">
      <w:p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eastAsia="Calibri" w:hAnsi="Times New Roman" w:cs="Times New Roman"/>
          <w:noProof/>
          <w:sz w:val="24"/>
          <w:szCs w:val="24"/>
          <w:lang w:val="en-US"/>
        </w:rPr>
        <w:t xml:space="preserve">The </w:t>
      </w:r>
      <w:r>
        <w:rPr>
          <w:rFonts w:ascii="Times New Roman" w:eastAsia="Calibri" w:hAnsi="Times New Roman" w:cs="Times New Roman"/>
          <w:b/>
          <w:noProof/>
          <w:sz w:val="24"/>
          <w:szCs w:val="24"/>
          <w:lang w:val="en-US"/>
        </w:rPr>
        <w:t>banking sector</w:t>
      </w:r>
      <w:r>
        <w:rPr>
          <w:rFonts w:ascii="Times New Roman" w:eastAsia="Calibri" w:hAnsi="Times New Roman" w:cs="Times New Roman"/>
          <w:noProof/>
          <w:sz w:val="24"/>
          <w:szCs w:val="24"/>
          <w:lang w:val="en-US"/>
        </w:rPr>
        <w:t xml:space="preserve"> was of the view that h</w:t>
      </w:r>
      <w:r>
        <w:rPr>
          <w:rFonts w:ascii="Times New Roman" w:eastAsia="Calibri" w:hAnsi="Times New Roman" w:cs="Times New Roman"/>
          <w:noProof/>
          <w:sz w:val="24"/>
          <w:szCs w:val="24"/>
          <w:lang w:val="en-US"/>
        </w:rPr>
        <w:t>onest bankrupt entrepreneurs should be discharged from debts after a relatively short period of time (3 years) only if a certain amount of the debt is repaid (threshold should not necessarily be statutory, but may also be determined by the courts on a case</w:t>
      </w:r>
      <w:r>
        <w:rPr>
          <w:rFonts w:ascii="Times New Roman" w:eastAsia="Calibri" w:hAnsi="Times New Roman" w:cs="Times New Roman"/>
          <w:noProof/>
          <w:sz w:val="24"/>
          <w:szCs w:val="24"/>
          <w:lang w:val="en-US"/>
        </w:rPr>
        <w:t>-by-case basis).</w:t>
      </w:r>
      <w:r>
        <w:rPr>
          <w:rFonts w:ascii="Times New Roman" w:hAnsi="Times New Roman" w:cs="Times New Roman"/>
          <w:noProof/>
          <w:sz w:val="24"/>
          <w:szCs w:val="24"/>
        </w:rPr>
        <w:t xml:space="preserve"> The banking sector and some other stakeholders supported that limitations with regard to the period after which a second discharge may be available should exist.</w:t>
      </w:r>
    </w:p>
    <w:p w:rsidR="00B32D69" w:rsidRDefault="00B32D69">
      <w:pPr>
        <w:autoSpaceDE w:val="0"/>
        <w:autoSpaceDN w:val="0"/>
        <w:adjustRightInd w:val="0"/>
        <w:spacing w:after="0" w:line="240" w:lineRule="auto"/>
        <w:contextualSpacing/>
        <w:jc w:val="both"/>
        <w:rPr>
          <w:rFonts w:ascii="Times New Roman" w:hAnsi="Times New Roman" w:cs="Times New Roman"/>
          <w:noProof/>
          <w:sz w:val="24"/>
          <w:szCs w:val="24"/>
        </w:rPr>
      </w:pPr>
    </w:p>
    <w:p w:rsidR="00B32D69" w:rsidRDefault="00FB661A">
      <w:pPr>
        <w:autoSpaceDE w:val="0"/>
        <w:autoSpaceDN w:val="0"/>
        <w:adjustRightInd w:val="0"/>
        <w:spacing w:after="0" w:line="240" w:lineRule="auto"/>
        <w:contextualSpacing/>
        <w:jc w:val="both"/>
        <w:rPr>
          <w:rFonts w:ascii="Times New Roman" w:hAnsi="Times New Roman" w:cs="Times New Roman"/>
          <w:noProof/>
          <w:sz w:val="24"/>
          <w:szCs w:val="24"/>
        </w:rPr>
      </w:pPr>
      <w:r>
        <w:rPr>
          <w:rFonts w:ascii="Times New Roman" w:hAnsi="Times New Roman" w:cs="Times New Roman"/>
          <w:b/>
          <w:noProof/>
          <w:sz w:val="24"/>
          <w:szCs w:val="24"/>
        </w:rPr>
        <w:t>Consumer organisations</w:t>
      </w:r>
      <w:r>
        <w:rPr>
          <w:rFonts w:ascii="Times New Roman" w:hAnsi="Times New Roman" w:cs="Times New Roman"/>
          <w:noProof/>
          <w:sz w:val="24"/>
          <w:szCs w:val="24"/>
        </w:rPr>
        <w:t xml:space="preserve"> strongly supported a three-year discharge period for all honest debtors. </w:t>
      </w:r>
    </w:p>
    <w:p w:rsidR="00B32D69" w:rsidRDefault="00B32D69">
      <w:pPr>
        <w:autoSpaceDE w:val="0"/>
        <w:autoSpaceDN w:val="0"/>
        <w:adjustRightInd w:val="0"/>
        <w:spacing w:after="0" w:line="240" w:lineRule="auto"/>
        <w:contextualSpacing/>
        <w:jc w:val="both"/>
        <w:rPr>
          <w:rFonts w:ascii="Times New Roman" w:hAnsi="Times New Roman" w:cs="Times New Roman"/>
          <w:noProof/>
          <w:sz w:val="24"/>
          <w:szCs w:val="24"/>
        </w:rPr>
      </w:pPr>
    </w:p>
    <w:p w:rsidR="00B32D69" w:rsidRDefault="00FB661A">
      <w:pPr>
        <w:pStyle w:val="ManualHeading4"/>
        <w:rPr>
          <w:i/>
          <w:noProof/>
        </w:rPr>
      </w:pPr>
      <w:bookmarkStart w:id="118" w:name="_Toc463280270"/>
      <w:bookmarkStart w:id="119" w:name="_Toc463280406"/>
      <w:bookmarkStart w:id="120" w:name="_Toc463280407"/>
      <w:bookmarkEnd w:id="118"/>
      <w:bookmarkEnd w:id="119"/>
      <w:r>
        <w:rPr>
          <w:noProof/>
        </w:rPr>
        <w:t>2.8.4.3.</w:t>
      </w:r>
      <w:r>
        <w:rPr>
          <w:noProof/>
        </w:rPr>
        <w:tab/>
        <w:t>Exclusion from discharge</w:t>
      </w:r>
      <w:bookmarkEnd w:id="120"/>
    </w:p>
    <w:p w:rsidR="00B32D69" w:rsidRDefault="00B32D69">
      <w:pPr>
        <w:pStyle w:val="ListParagraph"/>
        <w:spacing w:line="240" w:lineRule="auto"/>
        <w:ind w:left="1080"/>
        <w:rPr>
          <w:rFonts w:ascii="Times New Roman" w:hAnsi="Times New Roman" w:cs="Times New Roman"/>
          <w:noProof/>
          <w:sz w:val="24"/>
          <w:szCs w:val="24"/>
        </w:rPr>
      </w:pP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When asked which special types of debt should be excluded from discharge, </w:t>
      </w:r>
      <w:r>
        <w:rPr>
          <w:rFonts w:ascii="Times New Roman" w:hAnsi="Times New Roman" w:cs="Times New Roman"/>
          <w:noProof/>
          <w:sz w:val="24"/>
          <w:szCs w:val="24"/>
          <w:lang w:val="en-US"/>
        </w:rPr>
        <w:t xml:space="preserve">the </w:t>
      </w:r>
      <w:r>
        <w:rPr>
          <w:rFonts w:ascii="Times New Roman" w:hAnsi="Times New Roman" w:cs="Times New Roman"/>
          <w:noProof/>
          <w:sz w:val="24"/>
          <w:szCs w:val="24"/>
        </w:rPr>
        <w:t>respondents to the public consultation replied as follows:</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718502" cy="1860550"/>
            <wp:effectExtent l="0" t="0" r="22225"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32D69" w:rsidRDefault="00B32D69">
      <w:pPr>
        <w:autoSpaceDE w:val="0"/>
        <w:autoSpaceDN w:val="0"/>
        <w:adjustRightInd w:val="0"/>
        <w:spacing w:after="0" w:line="240" w:lineRule="auto"/>
        <w:jc w:val="both"/>
        <w:rPr>
          <w:rFonts w:ascii="Times New Roman" w:hAnsi="Times New Roman" w:cs="Times New Roman"/>
          <w:noProof/>
          <w:sz w:val="24"/>
          <w:szCs w:val="24"/>
        </w:rPr>
      </w:pPr>
    </w:p>
    <w:p w:rsidR="00B32D69" w:rsidRDefault="00FB661A">
      <w:pPr>
        <w:pStyle w:val="ManualHeading2"/>
        <w:rPr>
          <w:noProof/>
        </w:rPr>
      </w:pPr>
      <w:bookmarkStart w:id="121" w:name="_Toc463280408"/>
      <w:r>
        <w:rPr>
          <w:noProof/>
        </w:rPr>
        <w:t>2.9.</w:t>
      </w:r>
      <w:r>
        <w:rPr>
          <w:noProof/>
        </w:rPr>
        <w:tab/>
      </w:r>
      <w:r>
        <w:rPr>
          <w:noProof/>
        </w:rPr>
        <w:t>Outside restructuring framework and second chance</w:t>
      </w:r>
      <w:bookmarkEnd w:id="121"/>
    </w:p>
    <w:p w:rsidR="00B32D69" w:rsidRDefault="00B32D69">
      <w:pPr>
        <w:spacing w:line="240" w:lineRule="auto"/>
        <w:jc w:val="both"/>
        <w:rPr>
          <w:rFonts w:ascii="Times New Roman" w:hAnsi="Times New Roman" w:cs="Times New Roman"/>
          <w:noProof/>
          <w:sz w:val="24"/>
          <w:szCs w:val="24"/>
        </w:rPr>
      </w:pP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When asked what the causes are for the excessive length of insolvency proceedings, the respondents to the public consultation replied as follows:</w:t>
      </w:r>
    </w:p>
    <w:tbl>
      <w:tblPr>
        <w:tblStyle w:val="MediumShading1"/>
        <w:tblW w:w="0" w:type="auto"/>
        <w:tblLook w:val="04A0" w:firstRow="1" w:lastRow="0" w:firstColumn="1" w:lastColumn="0" w:noHBand="0" w:noVBand="1"/>
      </w:tblPr>
      <w:tblGrid>
        <w:gridCol w:w="6771"/>
        <w:gridCol w:w="2268"/>
      </w:tblGrid>
      <w:tr w:rsidR="00B32D69" w:rsidTr="00B32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B32D69" w:rsidRDefault="00FB661A">
            <w:pPr>
              <w:jc w:val="both"/>
              <w:rPr>
                <w:rFonts w:ascii="Times New Roman" w:hAnsi="Times New Roman" w:cs="Times New Roman"/>
                <w:b w:val="0"/>
                <w:noProof/>
                <w:sz w:val="24"/>
                <w:szCs w:val="24"/>
                <w:lang w:val="en-US"/>
              </w:rPr>
            </w:pPr>
            <w:r>
              <w:rPr>
                <w:rFonts w:ascii="Times New Roman" w:hAnsi="Times New Roman" w:cs="Times New Roman"/>
                <w:b w:val="0"/>
                <w:noProof/>
                <w:sz w:val="24"/>
                <w:szCs w:val="24"/>
                <w:lang w:val="en-US"/>
              </w:rPr>
              <w:t>Causes</w:t>
            </w:r>
          </w:p>
        </w:tc>
        <w:tc>
          <w:tcPr>
            <w:tcW w:w="2268" w:type="dxa"/>
          </w:tcPr>
          <w:p w:rsidR="00B32D69" w:rsidRDefault="00FB661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lang w:val="en-US"/>
              </w:rPr>
            </w:pPr>
            <w:r>
              <w:rPr>
                <w:rFonts w:ascii="Times New Roman" w:hAnsi="Times New Roman" w:cs="Times New Roman"/>
                <w:b w:val="0"/>
                <w:noProof/>
                <w:sz w:val="24"/>
                <w:szCs w:val="24"/>
                <w:lang w:val="en-US"/>
              </w:rPr>
              <w:t>Results</w:t>
            </w:r>
          </w:p>
        </w:tc>
      </w:tr>
      <w:tr w:rsidR="00B32D69" w:rsidTr="00B32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B32D69" w:rsidRDefault="00FB661A">
            <w:pPr>
              <w:jc w:val="both"/>
              <w:rPr>
                <w:rFonts w:ascii="Times New Roman" w:hAnsi="Times New Roman" w:cs="Times New Roman"/>
                <w:b w:val="0"/>
                <w:noProof/>
                <w:sz w:val="24"/>
                <w:szCs w:val="24"/>
                <w:lang w:val="en-US"/>
              </w:rPr>
            </w:pPr>
            <w:r>
              <w:rPr>
                <w:rFonts w:ascii="Times New Roman" w:hAnsi="Times New Roman" w:cs="Times New Roman"/>
                <w:b w:val="0"/>
                <w:noProof/>
                <w:sz w:val="24"/>
                <w:szCs w:val="24"/>
                <w:lang w:val="en-US"/>
              </w:rPr>
              <w:t xml:space="preserve">Judicial activities concerning the </w:t>
            </w:r>
            <w:r>
              <w:rPr>
                <w:rFonts w:ascii="Times New Roman" w:hAnsi="Times New Roman" w:cs="Times New Roman"/>
                <w:b w:val="0"/>
                <w:noProof/>
                <w:sz w:val="24"/>
                <w:szCs w:val="24"/>
                <w:lang w:val="en-US"/>
              </w:rPr>
              <w:t>supervision or administration of insolvency proceedings</w:t>
            </w:r>
          </w:p>
        </w:tc>
        <w:tc>
          <w:tcPr>
            <w:tcW w:w="2268" w:type="dxa"/>
          </w:tcPr>
          <w:p w:rsidR="00B32D69" w:rsidRDefault="00FB66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val="en-US"/>
              </w:rPr>
            </w:pPr>
            <w:r>
              <w:rPr>
                <w:rFonts w:ascii="Times New Roman" w:hAnsi="Times New Roman" w:cs="Times New Roman"/>
                <w:b/>
                <w:noProof/>
                <w:sz w:val="24"/>
                <w:szCs w:val="24"/>
                <w:lang w:val="en-US"/>
              </w:rPr>
              <w:t>48%</w:t>
            </w:r>
          </w:p>
        </w:tc>
      </w:tr>
      <w:tr w:rsidR="00B32D69" w:rsidTr="00B32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B32D69" w:rsidRDefault="00FB661A">
            <w:pPr>
              <w:jc w:val="both"/>
              <w:rPr>
                <w:rFonts w:ascii="Times New Roman" w:hAnsi="Times New Roman" w:cs="Times New Roman"/>
                <w:b w:val="0"/>
                <w:noProof/>
                <w:sz w:val="24"/>
                <w:szCs w:val="24"/>
                <w:lang w:val="en-US"/>
              </w:rPr>
            </w:pPr>
            <w:r>
              <w:rPr>
                <w:rFonts w:ascii="Times New Roman" w:hAnsi="Times New Roman" w:cs="Times New Roman"/>
                <w:b w:val="0"/>
                <w:noProof/>
                <w:sz w:val="24"/>
                <w:szCs w:val="24"/>
                <w:lang w:val="en-US"/>
              </w:rPr>
              <w:t>Delays in the liquidation of the debtor's assets</w:t>
            </w:r>
          </w:p>
        </w:tc>
        <w:tc>
          <w:tcPr>
            <w:tcW w:w="2268" w:type="dxa"/>
          </w:tcPr>
          <w:p w:rsidR="00B32D69" w:rsidRDefault="00FB661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val="en-US"/>
              </w:rPr>
            </w:pPr>
            <w:r>
              <w:rPr>
                <w:rFonts w:ascii="Times New Roman" w:hAnsi="Times New Roman" w:cs="Times New Roman"/>
                <w:b/>
                <w:noProof/>
                <w:sz w:val="24"/>
                <w:szCs w:val="24"/>
                <w:lang w:val="en-US"/>
              </w:rPr>
              <w:t>58%</w:t>
            </w:r>
          </w:p>
        </w:tc>
      </w:tr>
      <w:tr w:rsidR="00B32D69" w:rsidTr="00B32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B32D69" w:rsidRDefault="00FB661A">
            <w:pPr>
              <w:jc w:val="both"/>
              <w:rPr>
                <w:rFonts w:ascii="Times New Roman" w:hAnsi="Times New Roman" w:cs="Times New Roman"/>
                <w:b w:val="0"/>
                <w:noProof/>
                <w:sz w:val="24"/>
                <w:szCs w:val="24"/>
                <w:lang w:val="en-US"/>
              </w:rPr>
            </w:pPr>
            <w:r>
              <w:rPr>
                <w:rFonts w:ascii="Times New Roman" w:hAnsi="Times New Roman" w:cs="Times New Roman"/>
                <w:b w:val="0"/>
                <w:noProof/>
                <w:sz w:val="24"/>
                <w:szCs w:val="24"/>
                <w:lang w:val="en-US"/>
              </w:rPr>
              <w:t xml:space="preserve">The time taken to obtain final decisions on cases concerning the rights and duties of the debtor (e.g. claims, debts, disputed property in </w:t>
            </w:r>
            <w:r>
              <w:rPr>
                <w:rFonts w:ascii="Times New Roman" w:hAnsi="Times New Roman" w:cs="Times New Roman"/>
                <w:b w:val="0"/>
                <w:noProof/>
                <w:sz w:val="24"/>
                <w:szCs w:val="24"/>
                <w:lang w:val="en-US"/>
              </w:rPr>
              <w:t>goods)</w:t>
            </w:r>
          </w:p>
        </w:tc>
        <w:tc>
          <w:tcPr>
            <w:tcW w:w="2268" w:type="dxa"/>
          </w:tcPr>
          <w:p w:rsidR="00B32D69" w:rsidRDefault="00FB66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val="en-US"/>
              </w:rPr>
            </w:pPr>
            <w:r>
              <w:rPr>
                <w:rFonts w:ascii="Times New Roman" w:hAnsi="Times New Roman" w:cs="Times New Roman"/>
                <w:b/>
                <w:noProof/>
                <w:sz w:val="24"/>
                <w:szCs w:val="24"/>
                <w:lang w:val="en-US"/>
              </w:rPr>
              <w:t>46%</w:t>
            </w:r>
          </w:p>
        </w:tc>
      </w:tr>
      <w:tr w:rsidR="00B32D69" w:rsidTr="00B32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B32D69" w:rsidRDefault="00FB661A">
            <w:pPr>
              <w:jc w:val="both"/>
              <w:rPr>
                <w:rFonts w:ascii="Times New Roman" w:hAnsi="Times New Roman" w:cs="Times New Roman"/>
                <w:b w:val="0"/>
                <w:noProof/>
                <w:sz w:val="24"/>
                <w:szCs w:val="24"/>
                <w:lang w:val="en-US"/>
              </w:rPr>
            </w:pPr>
            <w:r>
              <w:rPr>
                <w:rFonts w:ascii="Times New Roman" w:hAnsi="Times New Roman" w:cs="Times New Roman"/>
                <w:b w:val="0"/>
                <w:noProof/>
                <w:sz w:val="24"/>
                <w:szCs w:val="24"/>
                <w:lang w:val="en-US"/>
              </w:rPr>
              <w:t>A lack of promptness in exercising creditors’ rights</w:t>
            </w:r>
          </w:p>
        </w:tc>
        <w:tc>
          <w:tcPr>
            <w:tcW w:w="2268" w:type="dxa"/>
          </w:tcPr>
          <w:p w:rsidR="00B32D69" w:rsidRDefault="00FB661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val="en-US"/>
              </w:rPr>
            </w:pPr>
            <w:r>
              <w:rPr>
                <w:rFonts w:ascii="Times New Roman" w:hAnsi="Times New Roman" w:cs="Times New Roman"/>
                <w:b/>
                <w:noProof/>
                <w:sz w:val="24"/>
                <w:szCs w:val="24"/>
                <w:lang w:val="en-US"/>
              </w:rPr>
              <w:t>19%</w:t>
            </w:r>
          </w:p>
        </w:tc>
      </w:tr>
      <w:tr w:rsidR="00B32D69" w:rsidTr="00B32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B32D69" w:rsidRDefault="00FB661A">
            <w:pPr>
              <w:jc w:val="both"/>
              <w:rPr>
                <w:rFonts w:ascii="Times New Roman" w:hAnsi="Times New Roman" w:cs="Times New Roman"/>
                <w:b w:val="0"/>
                <w:noProof/>
                <w:sz w:val="24"/>
                <w:szCs w:val="24"/>
                <w:lang w:val="en-US"/>
              </w:rPr>
            </w:pPr>
            <w:r>
              <w:rPr>
                <w:rFonts w:ascii="Times New Roman" w:hAnsi="Times New Roman" w:cs="Times New Roman"/>
                <w:b w:val="0"/>
                <w:noProof/>
                <w:sz w:val="24"/>
                <w:szCs w:val="24"/>
                <w:lang w:val="en-US"/>
              </w:rPr>
              <w:t>Lack of electronic means of communication between the creditors and relevant national authorities, such as for the purposes of filing of claims, distance voting etc.</w:t>
            </w:r>
          </w:p>
        </w:tc>
        <w:tc>
          <w:tcPr>
            <w:tcW w:w="2268" w:type="dxa"/>
          </w:tcPr>
          <w:p w:rsidR="00B32D69" w:rsidRDefault="00FB66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val="en-US"/>
              </w:rPr>
            </w:pPr>
            <w:r>
              <w:rPr>
                <w:rFonts w:ascii="Times New Roman" w:hAnsi="Times New Roman" w:cs="Times New Roman"/>
                <w:b/>
                <w:noProof/>
                <w:sz w:val="24"/>
                <w:szCs w:val="24"/>
                <w:lang w:val="en-US"/>
              </w:rPr>
              <w:t>24%</w:t>
            </w:r>
          </w:p>
        </w:tc>
      </w:tr>
      <w:tr w:rsidR="00B32D69" w:rsidTr="00B32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B32D69" w:rsidRDefault="00FB661A">
            <w:pPr>
              <w:jc w:val="both"/>
              <w:rPr>
                <w:rFonts w:ascii="Times New Roman" w:hAnsi="Times New Roman" w:cs="Times New Roman"/>
                <w:b w:val="0"/>
                <w:noProof/>
                <w:sz w:val="24"/>
                <w:szCs w:val="24"/>
                <w:lang w:val="en-US"/>
              </w:rPr>
            </w:pPr>
            <w:r>
              <w:rPr>
                <w:rFonts w:ascii="Times New Roman" w:hAnsi="Times New Roman" w:cs="Times New Roman"/>
                <w:b w:val="0"/>
                <w:noProof/>
                <w:sz w:val="24"/>
                <w:szCs w:val="24"/>
                <w:lang w:val="en-US"/>
              </w:rPr>
              <w:t>Other</w:t>
            </w:r>
          </w:p>
        </w:tc>
        <w:tc>
          <w:tcPr>
            <w:tcW w:w="2268" w:type="dxa"/>
          </w:tcPr>
          <w:p w:rsidR="00B32D69" w:rsidRDefault="00FB661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24"/>
                <w:szCs w:val="24"/>
                <w:lang w:val="en-US"/>
              </w:rPr>
            </w:pPr>
            <w:r>
              <w:rPr>
                <w:rFonts w:ascii="Times New Roman" w:hAnsi="Times New Roman" w:cs="Times New Roman"/>
                <w:b/>
                <w:noProof/>
                <w:sz w:val="24"/>
                <w:szCs w:val="24"/>
                <w:lang w:val="en-US"/>
              </w:rPr>
              <w:t>21%</w:t>
            </w:r>
          </w:p>
        </w:tc>
      </w:tr>
      <w:tr w:rsidR="00B32D69" w:rsidTr="00B32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B32D69" w:rsidRDefault="00FB661A">
            <w:pPr>
              <w:jc w:val="both"/>
              <w:rPr>
                <w:rFonts w:ascii="Times New Roman" w:hAnsi="Times New Roman" w:cs="Times New Roman"/>
                <w:b w:val="0"/>
                <w:noProof/>
                <w:sz w:val="24"/>
                <w:szCs w:val="24"/>
                <w:lang w:val="en-US"/>
              </w:rPr>
            </w:pPr>
            <w:r>
              <w:rPr>
                <w:rFonts w:ascii="Times New Roman" w:hAnsi="Times New Roman" w:cs="Times New Roman"/>
                <w:b w:val="0"/>
                <w:noProof/>
                <w:sz w:val="24"/>
                <w:szCs w:val="24"/>
                <w:lang w:val="en-US"/>
              </w:rPr>
              <w:t>No o</w:t>
            </w:r>
            <w:r>
              <w:rPr>
                <w:rFonts w:ascii="Times New Roman" w:hAnsi="Times New Roman" w:cs="Times New Roman"/>
                <w:b w:val="0"/>
                <w:noProof/>
                <w:sz w:val="24"/>
                <w:szCs w:val="24"/>
                <w:lang w:val="en-US"/>
              </w:rPr>
              <w:t>pinion/No answer</w:t>
            </w:r>
          </w:p>
        </w:tc>
        <w:tc>
          <w:tcPr>
            <w:tcW w:w="2268" w:type="dxa"/>
          </w:tcPr>
          <w:p w:rsidR="00B32D69" w:rsidRDefault="00FB66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lang w:val="en-US"/>
              </w:rPr>
            </w:pPr>
            <w:r>
              <w:rPr>
                <w:rFonts w:ascii="Times New Roman" w:hAnsi="Times New Roman" w:cs="Times New Roman"/>
                <w:b/>
                <w:noProof/>
                <w:sz w:val="24"/>
                <w:szCs w:val="24"/>
                <w:lang w:val="en-US"/>
              </w:rPr>
              <w:t>19%</w:t>
            </w:r>
          </w:p>
        </w:tc>
      </w:tr>
    </w:tbl>
    <w:p w:rsidR="00B32D69" w:rsidRDefault="00B32D69">
      <w:pPr>
        <w:spacing w:line="240" w:lineRule="auto"/>
        <w:jc w:val="both"/>
        <w:rPr>
          <w:rFonts w:ascii="Times New Roman" w:hAnsi="Times New Roman" w:cs="Times New Roman"/>
          <w:b/>
          <w:noProof/>
          <w:sz w:val="24"/>
          <w:szCs w:val="24"/>
          <w:lang w:val="en-US"/>
        </w:rPr>
      </w:pPr>
    </w:p>
    <w:p w:rsidR="00B32D69" w:rsidRDefault="00FB661A">
      <w:pPr>
        <w:widowControl w:val="0"/>
        <w:autoSpaceDE w:val="0"/>
        <w:autoSpaceDN w:val="0"/>
        <w:adjustRightInd w:val="0"/>
        <w:spacing w:after="0" w:line="240" w:lineRule="auto"/>
        <w:jc w:val="both"/>
        <w:rPr>
          <w:rFonts w:ascii="Times New Roman" w:hAnsi="Times New Roman" w:cs="Times New Roman"/>
          <w:b/>
          <w:noProof/>
          <w:sz w:val="24"/>
          <w:szCs w:val="24"/>
          <w:lang w:val="en-US"/>
        </w:rPr>
      </w:pPr>
      <w:r>
        <w:rPr>
          <w:rFonts w:ascii="Times New Roman" w:hAnsi="Times New Roman" w:cs="Times New Roman"/>
          <w:noProof/>
          <w:sz w:val="24"/>
          <w:szCs w:val="24"/>
          <w:lang w:val="en-US"/>
        </w:rPr>
        <w:t xml:space="preserve">However, it was also mentioned that </w:t>
      </w:r>
      <w:r>
        <w:rPr>
          <w:rFonts w:ascii="Times New Roman" w:hAnsi="Times New Roman" w:cs="Times New Roman"/>
          <w:noProof/>
          <w:sz w:val="24"/>
          <w:szCs w:val="24"/>
        </w:rPr>
        <w:t>although all the causes mentioned above may affect at a greater or lesser extent the length of the insolvency proceedings, the duration of insolvency proceedings in itself is not a matter which can</w:t>
      </w:r>
      <w:r>
        <w:rPr>
          <w:rFonts w:ascii="Times New Roman" w:hAnsi="Times New Roman" w:cs="Times New Roman"/>
          <w:noProof/>
          <w:sz w:val="24"/>
          <w:szCs w:val="24"/>
        </w:rPr>
        <w:t xml:space="preserve"> sensibly be considered for harmonisation.</w:t>
      </w:r>
      <w:r>
        <w:rPr>
          <w:rStyle w:val="FootnoteReference"/>
          <w:rFonts w:ascii="Times New Roman" w:hAnsi="Times New Roman"/>
          <w:noProof/>
          <w:sz w:val="24"/>
          <w:szCs w:val="24"/>
        </w:rPr>
        <w:footnoteReference w:id="323"/>
      </w:r>
    </w:p>
    <w:p w:rsidR="00B32D69" w:rsidRDefault="00FB661A">
      <w:pPr>
        <w:pStyle w:val="ManualHeading3"/>
        <w:rPr>
          <w:noProof/>
        </w:rPr>
      </w:pPr>
      <w:bookmarkStart w:id="122" w:name="_Toc463280409"/>
      <w:r>
        <w:rPr>
          <w:noProof/>
        </w:rPr>
        <w:tab/>
        <w:t>2.9.1. Duration of insolvency proceedings</w:t>
      </w:r>
      <w:bookmarkEnd w:id="122"/>
    </w:p>
    <w:p w:rsidR="00B32D69" w:rsidRDefault="00B32D69">
      <w:pPr>
        <w:pStyle w:val="ListParagraph"/>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widowControl w:val="0"/>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When asked whether a target maximum duration of insolvency proceedings — either at first instance or including appeals — would be appropriate, 30% of the respondents to</w:t>
      </w:r>
      <w:r>
        <w:rPr>
          <w:rFonts w:ascii="Times New Roman" w:hAnsi="Times New Roman" w:cs="Times New Roman"/>
          <w:noProof/>
          <w:sz w:val="24"/>
          <w:szCs w:val="24"/>
          <w:lang w:val="en-US"/>
        </w:rPr>
        <w:t xml:space="preserve"> the public consultation were of the view that a target maximum duration for insolvency proceedings would be useful</w:t>
      </w:r>
      <w:r>
        <w:rPr>
          <w:rStyle w:val="FootnoteReference"/>
          <w:rFonts w:ascii="Times New Roman" w:hAnsi="Times New Roman"/>
          <w:noProof/>
          <w:sz w:val="24"/>
          <w:szCs w:val="24"/>
          <w:lang w:val="en-US"/>
        </w:rPr>
        <w:footnoteReference w:id="324"/>
      </w:r>
      <w:r>
        <w:rPr>
          <w:rFonts w:ascii="Times New Roman" w:hAnsi="Times New Roman" w:cs="Times New Roman"/>
          <w:noProof/>
          <w:sz w:val="24"/>
          <w:szCs w:val="24"/>
          <w:lang w:val="en-US"/>
        </w:rPr>
        <w:t>, a larger part of them were of the opinion that it would not be appropriate.</w:t>
      </w:r>
      <w:r>
        <w:rPr>
          <w:rStyle w:val="FootnoteReference"/>
          <w:rFonts w:ascii="Times New Roman" w:hAnsi="Times New Roman"/>
          <w:noProof/>
          <w:sz w:val="24"/>
          <w:szCs w:val="24"/>
          <w:lang w:val="en-US"/>
        </w:rPr>
        <w:footnoteReference w:id="325"/>
      </w:r>
    </w:p>
    <w:p w:rsidR="00B32D69" w:rsidRDefault="00B32D69">
      <w:pPr>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European </w:t>
      </w:r>
      <w:r>
        <w:rPr>
          <w:rFonts w:ascii="Times New Roman" w:hAnsi="Times New Roman" w:cs="Times New Roman"/>
          <w:b/>
          <w:noProof/>
          <w:sz w:val="24"/>
          <w:szCs w:val="24"/>
          <w:lang w:val="en-US"/>
        </w:rPr>
        <w:t>banking sector</w:t>
      </w:r>
      <w:r>
        <w:rPr>
          <w:rFonts w:ascii="Times New Roman" w:hAnsi="Times New Roman" w:cs="Times New Roman"/>
          <w:noProof/>
          <w:sz w:val="24"/>
          <w:szCs w:val="24"/>
          <w:lang w:val="en-US"/>
        </w:rPr>
        <w:t xml:space="preserve"> was in favour of introducing certain maximum periods/time limits (e.g. to come up with the restructuring plan or for claim statements).</w:t>
      </w:r>
    </w:p>
    <w:p w:rsidR="00B32D69" w:rsidRDefault="00B32D69">
      <w:pPr>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However, discussions in the Expert Group as well as in dedicated meetings with stakeholders, revealed that deadlines o</w:t>
      </w:r>
      <w:r>
        <w:rPr>
          <w:rFonts w:ascii="Times New Roman" w:hAnsi="Times New Roman" w:cs="Times New Roman"/>
          <w:noProof/>
          <w:sz w:val="24"/>
          <w:szCs w:val="24"/>
          <w:lang w:val="en-US"/>
        </w:rPr>
        <w:t>r maximum period for insolvency proceedings would not be feasible to regulate now at EU level, due to the divergence for rules. Most of the stakeholders and experts advocated that other measures (e.g. enhancing efficiency of practitioners, specialization o</w:t>
      </w:r>
      <w:r>
        <w:rPr>
          <w:rFonts w:ascii="Times New Roman" w:hAnsi="Times New Roman" w:cs="Times New Roman"/>
          <w:noProof/>
          <w:sz w:val="24"/>
          <w:szCs w:val="24"/>
          <w:lang w:val="en-US"/>
        </w:rPr>
        <w:t>f judges) could reduce the length of insolvency procedures and maximizing the efficiency of insolvency frameworks.</w:t>
      </w:r>
    </w:p>
    <w:p w:rsidR="00B32D69" w:rsidRDefault="00B32D69">
      <w:pPr>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When asked what </w:t>
      </w:r>
      <w:r>
        <w:rPr>
          <w:rFonts w:ascii="Times New Roman" w:hAnsi="Times New Roman" w:cs="Times New Roman"/>
          <w:b/>
          <w:noProof/>
          <w:sz w:val="24"/>
          <w:szCs w:val="24"/>
          <w:lang w:val="en-US"/>
        </w:rPr>
        <w:t>incentives</w:t>
      </w:r>
      <w:r>
        <w:rPr>
          <w:rFonts w:ascii="Times New Roman" w:hAnsi="Times New Roman" w:cs="Times New Roman"/>
          <w:noProof/>
          <w:sz w:val="24"/>
          <w:szCs w:val="24"/>
          <w:lang w:val="en-US"/>
        </w:rPr>
        <w:t xml:space="preserve"> could be put in place to reduce the length of insolvency proceedings, the respondents to the public consultation </w:t>
      </w:r>
      <w:r>
        <w:rPr>
          <w:rFonts w:ascii="Times New Roman" w:hAnsi="Times New Roman" w:cs="Times New Roman"/>
          <w:noProof/>
          <w:sz w:val="24"/>
          <w:szCs w:val="24"/>
          <w:lang w:val="en-US"/>
        </w:rPr>
        <w:t>replied as follows:</w:t>
      </w:r>
    </w:p>
    <w:p w:rsidR="00B32D69" w:rsidRDefault="00FB661A">
      <w:pPr>
        <w:pStyle w:val="ListParagraph"/>
        <w:numPr>
          <w:ilvl w:val="0"/>
          <w:numId w:val="5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Digitalisation; facilitating electronic communication between practitioners, creditors and national authorities</w:t>
      </w:r>
      <w:r>
        <w:rPr>
          <w:rFonts w:ascii="Times New Roman" w:hAnsi="Times New Roman" w:cs="Times New Roman"/>
          <w:noProof/>
          <w:sz w:val="24"/>
          <w:szCs w:val="24"/>
          <w:lang w:val="en-US"/>
        </w:rPr>
        <w:t xml:space="preserve">; </w:t>
      </w:r>
    </w:p>
    <w:p w:rsidR="00B32D69" w:rsidRDefault="00FB661A">
      <w:pPr>
        <w:pStyle w:val="ListParagraph"/>
        <w:numPr>
          <w:ilvl w:val="0"/>
          <w:numId w:val="5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Specialisation of courts;</w:t>
      </w:r>
      <w:r>
        <w:rPr>
          <w:rStyle w:val="FootnoteReference"/>
          <w:rFonts w:ascii="Times New Roman" w:hAnsi="Times New Roman"/>
          <w:noProof/>
          <w:sz w:val="24"/>
          <w:szCs w:val="24"/>
        </w:rPr>
        <w:footnoteReference w:id="326"/>
      </w:r>
    </w:p>
    <w:p w:rsidR="00B32D69" w:rsidRDefault="00FB661A">
      <w:pPr>
        <w:pStyle w:val="ListParagraph"/>
        <w:numPr>
          <w:ilvl w:val="0"/>
          <w:numId w:val="5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Supporting the courts' resources;</w:t>
      </w:r>
      <w:r>
        <w:rPr>
          <w:rStyle w:val="FootnoteReference"/>
          <w:rFonts w:ascii="Times New Roman" w:hAnsi="Times New Roman"/>
          <w:noProof/>
          <w:sz w:val="24"/>
          <w:szCs w:val="24"/>
        </w:rPr>
        <w:footnoteReference w:id="327"/>
      </w:r>
    </w:p>
    <w:p w:rsidR="00B32D69" w:rsidRDefault="00FB661A">
      <w:pPr>
        <w:pStyle w:val="ListParagraph"/>
        <w:widowControl w:val="0"/>
        <w:numPr>
          <w:ilvl w:val="0"/>
          <w:numId w:val="58"/>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Less court involvement;</w:t>
      </w:r>
    </w:p>
    <w:p w:rsidR="00B32D69" w:rsidRDefault="00FB661A">
      <w:pPr>
        <w:pStyle w:val="ListParagraph"/>
        <w:widowControl w:val="0"/>
        <w:numPr>
          <w:ilvl w:val="0"/>
          <w:numId w:val="58"/>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Informal and out-of-court </w:t>
      </w:r>
      <w:r>
        <w:rPr>
          <w:rFonts w:ascii="Times New Roman" w:hAnsi="Times New Roman" w:cs="Times New Roman"/>
          <w:noProof/>
          <w:sz w:val="24"/>
          <w:szCs w:val="24"/>
          <w:lang w:val="en-US"/>
        </w:rPr>
        <w:t>proceedings;</w:t>
      </w:r>
    </w:p>
    <w:p w:rsidR="00B32D69" w:rsidRDefault="00FB661A">
      <w:pPr>
        <w:pStyle w:val="ListParagraph"/>
        <w:numPr>
          <w:ilvl w:val="0"/>
          <w:numId w:val="5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Clear requirements for entering to insolvency proceedings;</w:t>
      </w:r>
    </w:p>
    <w:p w:rsidR="00B32D69" w:rsidRDefault="00FB661A">
      <w:pPr>
        <w:pStyle w:val="ListParagraph"/>
        <w:numPr>
          <w:ilvl w:val="0"/>
          <w:numId w:val="5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Ensuring that the thresholds are triggered early enough for restructuring;</w:t>
      </w:r>
    </w:p>
    <w:p w:rsidR="00B32D69" w:rsidRDefault="00FB661A">
      <w:pPr>
        <w:pStyle w:val="ListParagraph"/>
        <w:numPr>
          <w:ilvl w:val="0"/>
          <w:numId w:val="5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D</w:t>
      </w:r>
      <w:r>
        <w:rPr>
          <w:rFonts w:ascii="Times New Roman" w:hAnsi="Times New Roman" w:cs="Times New Roman"/>
          <w:noProof/>
          <w:sz w:val="24"/>
          <w:szCs w:val="24"/>
        </w:rPr>
        <w:t>eadlines/time-limits for court proceedings;</w:t>
      </w:r>
      <w:r>
        <w:rPr>
          <w:rStyle w:val="FootnoteReference"/>
          <w:rFonts w:ascii="Times New Roman" w:hAnsi="Times New Roman"/>
          <w:noProof/>
          <w:sz w:val="24"/>
          <w:szCs w:val="24"/>
        </w:rPr>
        <w:footnoteReference w:id="328"/>
      </w:r>
    </w:p>
    <w:p w:rsidR="00B32D69" w:rsidRDefault="00FB661A">
      <w:pPr>
        <w:pStyle w:val="ListParagraph"/>
        <w:numPr>
          <w:ilvl w:val="0"/>
          <w:numId w:val="5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Publicly accessible information as a (general) prevention;</w:t>
      </w:r>
    </w:p>
    <w:p w:rsidR="00B32D69" w:rsidRDefault="00FB661A">
      <w:pPr>
        <w:pStyle w:val="ListParagraph"/>
        <w:numPr>
          <w:ilvl w:val="0"/>
          <w:numId w:val="5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Remu</w:t>
      </w:r>
      <w:r>
        <w:rPr>
          <w:rFonts w:ascii="Times New Roman" w:hAnsi="Times New Roman" w:cs="Times New Roman"/>
          <w:noProof/>
          <w:sz w:val="24"/>
          <w:szCs w:val="24"/>
          <w:lang w:val="en-US"/>
        </w:rPr>
        <w:t>neration of insolvency practitioner or liquidator upon success of restructuring or percentage on liquidation; 'sprinter bonus' for administrators;</w:t>
      </w:r>
      <w:r>
        <w:rPr>
          <w:rStyle w:val="FootnoteReference"/>
          <w:rFonts w:ascii="Times New Roman" w:hAnsi="Times New Roman"/>
          <w:noProof/>
          <w:sz w:val="24"/>
          <w:szCs w:val="24"/>
          <w:lang w:val="en-US"/>
        </w:rPr>
        <w:footnoteReference w:id="329"/>
      </w:r>
      <w:r>
        <w:rPr>
          <w:rFonts w:ascii="Times New Roman" w:hAnsi="Times New Roman" w:cs="Times New Roman"/>
          <w:noProof/>
          <w:sz w:val="24"/>
          <w:szCs w:val="24"/>
          <w:lang w:val="en-US"/>
        </w:rPr>
        <w:t xml:space="preserve"> payment benefits to enhance fast proceedings</w:t>
      </w:r>
      <w:r>
        <w:rPr>
          <w:rStyle w:val="FootnoteReference"/>
          <w:rFonts w:ascii="Times New Roman" w:hAnsi="Times New Roman"/>
          <w:noProof/>
          <w:sz w:val="24"/>
          <w:szCs w:val="24"/>
          <w:lang w:val="en-US"/>
        </w:rPr>
        <w:footnoteReference w:id="330"/>
      </w:r>
    </w:p>
    <w:p w:rsidR="00B32D69" w:rsidRDefault="00FB661A">
      <w:pPr>
        <w:pStyle w:val="ListParagraph"/>
        <w:numPr>
          <w:ilvl w:val="0"/>
          <w:numId w:val="5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Providing incentives for speeding up auctions, e.g. reducing t</w:t>
      </w:r>
      <w:r>
        <w:rPr>
          <w:rFonts w:ascii="Times New Roman" w:hAnsi="Times New Roman" w:cs="Times New Roman"/>
          <w:noProof/>
          <w:sz w:val="24"/>
          <w:szCs w:val="24"/>
          <w:lang w:val="en-US"/>
        </w:rPr>
        <w:t>ax for those participating in judicial auctions;</w:t>
      </w:r>
      <w:r>
        <w:rPr>
          <w:rStyle w:val="FootnoteReference"/>
          <w:rFonts w:ascii="Times New Roman" w:hAnsi="Times New Roman"/>
          <w:noProof/>
          <w:sz w:val="24"/>
          <w:szCs w:val="24"/>
        </w:rPr>
        <w:footnoteReference w:id="331"/>
      </w:r>
    </w:p>
    <w:p w:rsidR="00B32D69" w:rsidRDefault="00FB661A">
      <w:pPr>
        <w:pStyle w:val="ListParagraph"/>
        <w:numPr>
          <w:ilvl w:val="0"/>
          <w:numId w:val="5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Cut-off periods for creditors presenting their claims;</w:t>
      </w:r>
    </w:p>
    <w:p w:rsidR="00B32D69" w:rsidRDefault="00FB661A">
      <w:pPr>
        <w:pStyle w:val="ListParagraph"/>
        <w:numPr>
          <w:ilvl w:val="0"/>
          <w:numId w:val="5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common online EU portal for companies requiring restructuring or declared insolvent in order to facilitate access to take-overs and credit;</w:t>
      </w:r>
    </w:p>
    <w:p w:rsidR="00B32D69" w:rsidRDefault="00FB661A">
      <w:pPr>
        <w:pStyle w:val="ListParagraph"/>
        <w:numPr>
          <w:ilvl w:val="0"/>
          <w:numId w:val="5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Public in</w:t>
      </w:r>
      <w:r>
        <w:rPr>
          <w:rFonts w:ascii="Times New Roman" w:hAnsi="Times New Roman" w:cs="Times New Roman"/>
          <w:noProof/>
          <w:sz w:val="24"/>
          <w:szCs w:val="24"/>
        </w:rPr>
        <w:t>solvency claim register, where any creditor can file its claim publicly, in order to allow efficient claims trading;</w:t>
      </w:r>
      <w:r>
        <w:rPr>
          <w:rStyle w:val="FootnoteReference"/>
          <w:rFonts w:ascii="Times New Roman" w:hAnsi="Times New Roman"/>
          <w:noProof/>
          <w:sz w:val="24"/>
          <w:szCs w:val="24"/>
        </w:rPr>
        <w:footnoteReference w:id="332"/>
      </w:r>
    </w:p>
    <w:p w:rsidR="00B32D69" w:rsidRDefault="00FB661A">
      <w:pPr>
        <w:pStyle w:val="ListParagraph"/>
        <w:widowControl w:val="0"/>
        <w:numPr>
          <w:ilvl w:val="0"/>
          <w:numId w:val="58"/>
        </w:num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Specific fast process in order to deal with insolvency cases, where there are no assets to liquidate;</w:t>
      </w:r>
    </w:p>
    <w:p w:rsidR="00B32D69" w:rsidRDefault="00B32D69">
      <w:pPr>
        <w:widowControl w:val="0"/>
        <w:autoSpaceDE w:val="0"/>
        <w:autoSpaceDN w:val="0"/>
        <w:adjustRightInd w:val="0"/>
        <w:spacing w:after="0" w:line="240" w:lineRule="auto"/>
        <w:jc w:val="both"/>
        <w:rPr>
          <w:rFonts w:ascii="Times New Roman" w:hAnsi="Times New Roman" w:cs="Times New Roman"/>
          <w:noProof/>
          <w:sz w:val="24"/>
          <w:szCs w:val="24"/>
          <w:lang w:val="en-US"/>
        </w:rPr>
      </w:pPr>
    </w:p>
    <w:p w:rsidR="00B32D69" w:rsidRDefault="00FB661A">
      <w:pPr>
        <w:pStyle w:val="ManualHeading3"/>
        <w:rPr>
          <w:noProof/>
        </w:rPr>
      </w:pPr>
      <w:bookmarkStart w:id="123" w:name="_Toc463280410"/>
      <w:r>
        <w:rPr>
          <w:noProof/>
        </w:rPr>
        <w:tab/>
        <w:t>2.9.2. Directors' disqualification</w:t>
      </w:r>
      <w:bookmarkEnd w:id="123"/>
    </w:p>
    <w:p w:rsidR="00B32D69" w:rsidRDefault="00B32D69">
      <w:pPr>
        <w:spacing w:line="240" w:lineRule="auto"/>
        <w:jc w:val="both"/>
        <w:rPr>
          <w:rFonts w:ascii="Times New Roman" w:hAnsi="Times New Roman" w:cs="Times New Roman"/>
          <w:noProof/>
          <w:sz w:val="24"/>
          <w:szCs w:val="24"/>
          <w:lang w:val="en-US"/>
        </w:rPr>
      </w:pP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majority of the respondents to the public consultation supported that directors’ disqualification orders should be made available for information purposes through interconnected insolvency registers</w:t>
      </w:r>
      <w:r>
        <w:rPr>
          <w:rStyle w:val="FootnoteReference"/>
          <w:rFonts w:ascii="Times New Roman" w:hAnsi="Times New Roman"/>
          <w:noProof/>
          <w:sz w:val="24"/>
          <w:szCs w:val="24"/>
          <w:lang w:val="en-US"/>
        </w:rPr>
        <w:footnoteReference w:id="333"/>
      </w:r>
      <w:r>
        <w:rPr>
          <w:rFonts w:ascii="Times New Roman" w:hAnsi="Times New Roman" w:cs="Times New Roman"/>
          <w:noProof/>
          <w:sz w:val="24"/>
          <w:szCs w:val="24"/>
          <w:lang w:val="en-US"/>
        </w:rPr>
        <w:t>, while more than one third were of the view that w</w:t>
      </w:r>
      <w:r>
        <w:rPr>
          <w:rFonts w:ascii="Times New Roman" w:hAnsi="Times New Roman" w:cs="Times New Roman"/>
          <w:noProof/>
          <w:sz w:val="24"/>
          <w:szCs w:val="24"/>
          <w:lang w:val="en-US"/>
        </w:rPr>
        <w:t>hen disqualification orders for directors are issued in one Member State, they should automatically prevent disqualified directors from managing companies in other Member States.</w:t>
      </w:r>
      <w:r>
        <w:rPr>
          <w:rStyle w:val="FootnoteReference"/>
          <w:rFonts w:ascii="Times New Roman" w:hAnsi="Times New Roman"/>
          <w:noProof/>
          <w:sz w:val="24"/>
          <w:szCs w:val="24"/>
          <w:lang w:val="en-US"/>
        </w:rPr>
        <w:footnoteReference w:id="334"/>
      </w:r>
      <w:r>
        <w:rPr>
          <w:rFonts w:ascii="Times New Roman" w:hAnsi="Times New Roman" w:cs="Times New Roman"/>
          <w:noProof/>
          <w:sz w:val="24"/>
          <w:szCs w:val="24"/>
          <w:lang w:val="en-US"/>
        </w:rPr>
        <w:t xml:space="preserve"> The majority of the respondents was also of the view that disqualified direc</w:t>
      </w:r>
      <w:r>
        <w:rPr>
          <w:rFonts w:ascii="Times New Roman" w:hAnsi="Times New Roman" w:cs="Times New Roman"/>
          <w:noProof/>
          <w:sz w:val="24"/>
          <w:szCs w:val="24"/>
          <w:lang w:val="en-US"/>
        </w:rPr>
        <w:t>tors in one Member State (home State) should be prevented from managing companies in other Member States only for the duration applicable to equivalent disqualification orders in the host State.</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However, although the majority of the stakeholders agreed wit</w:t>
      </w:r>
      <w:r>
        <w:rPr>
          <w:rFonts w:ascii="Times New Roman" w:hAnsi="Times New Roman" w:cs="Times New Roman"/>
          <w:noProof/>
          <w:sz w:val="24"/>
          <w:szCs w:val="24"/>
          <w:lang w:val="en-US"/>
        </w:rPr>
        <w:t>h the principle that disqualified directors in one Member State should not be involved in the management of companies in another Member State, they stressed that an automatic effect of disqualification orders should not be feasible or appropriate at this s</w:t>
      </w:r>
      <w:r>
        <w:rPr>
          <w:rFonts w:ascii="Times New Roman" w:hAnsi="Times New Roman" w:cs="Times New Roman"/>
          <w:noProof/>
          <w:sz w:val="24"/>
          <w:szCs w:val="24"/>
          <w:lang w:val="en-US"/>
        </w:rPr>
        <w:t>tage due to divergence of the rules on disqualification across EU. In addition, with regard to interconnection of registers, many participants expressed their concerns with regard to data protection issues and the interlinkage with certain aspects of crimi</w:t>
      </w:r>
      <w:r>
        <w:rPr>
          <w:rFonts w:ascii="Times New Roman" w:hAnsi="Times New Roman" w:cs="Times New Roman"/>
          <w:noProof/>
          <w:sz w:val="24"/>
          <w:szCs w:val="24"/>
          <w:lang w:val="en-US"/>
        </w:rPr>
        <w:t>nal and company law.</w:t>
      </w:r>
      <w:r>
        <w:rPr>
          <w:rStyle w:val="FootnoteReference"/>
          <w:rFonts w:ascii="Times New Roman" w:hAnsi="Times New Roman"/>
          <w:noProof/>
          <w:sz w:val="24"/>
          <w:szCs w:val="24"/>
          <w:lang w:val="en-US"/>
        </w:rPr>
        <w:footnoteReference w:id="335"/>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During the dedicated stakeholder meetings, business organisations underlined that any potential action in this area should not lead to disincentivising entrepreneurship. During informal meetings with the Member States, although some o</w:t>
      </w:r>
      <w:r>
        <w:rPr>
          <w:rFonts w:ascii="Times New Roman" w:hAnsi="Times New Roman" w:cs="Times New Roman"/>
          <w:noProof/>
          <w:sz w:val="24"/>
          <w:szCs w:val="24"/>
          <w:lang w:val="en-US"/>
        </w:rPr>
        <w:t xml:space="preserve">f them welcomed EU action in this area, the majority was reluctant. </w:t>
      </w:r>
    </w:p>
    <w:p w:rsidR="00B32D69" w:rsidRDefault="00FB661A">
      <w:pPr>
        <w:rPr>
          <w:rFonts w:ascii="Times New Roman" w:hAnsi="Times New Roman" w:cs="Times New Roman"/>
          <w:noProof/>
          <w:sz w:val="24"/>
          <w:szCs w:val="24"/>
          <w:lang w:val="en-US"/>
        </w:rPr>
        <w:sectPr w:rsidR="00B32D69">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708" w:footer="708" w:gutter="0"/>
          <w:cols w:space="708"/>
          <w:docGrid w:linePitch="360"/>
        </w:sectPr>
      </w:pPr>
      <w:r>
        <w:rPr>
          <w:rFonts w:ascii="Times New Roman" w:hAnsi="Times New Roman" w:cs="Times New Roman"/>
          <w:noProof/>
          <w:sz w:val="24"/>
          <w:szCs w:val="24"/>
          <w:lang w:val="en-US"/>
        </w:rPr>
        <w:br w:type="page"/>
      </w:r>
    </w:p>
    <w:p w:rsidR="00B32D69" w:rsidRDefault="00FB661A">
      <w:pPr>
        <w:pStyle w:val="ManualHeading2"/>
        <w:rPr>
          <w:noProof/>
        </w:rPr>
      </w:pPr>
      <w:bookmarkStart w:id="124" w:name="_Toc463280411"/>
      <w:r>
        <w:rPr>
          <w:noProof/>
        </w:rPr>
        <w:t>2.10.</w:t>
      </w:r>
      <w:r>
        <w:rPr>
          <w:noProof/>
        </w:rPr>
        <w:tab/>
        <w:t>Stakeholder suggestions which were not taken on board by the initiative</w:t>
      </w:r>
      <w:bookmarkEnd w:id="124"/>
      <w:r>
        <w:rPr>
          <w:noProof/>
        </w:rPr>
        <w:t xml:space="preserve"> </w:t>
      </w:r>
    </w:p>
    <w:p w:rsidR="00B32D69" w:rsidRDefault="00B32D69">
      <w:pPr>
        <w:rPr>
          <w:rFonts w:ascii="Times New Roman" w:hAnsi="Times New Roman" w:cs="Times New Roman"/>
          <w:noProof/>
          <w:sz w:val="24"/>
          <w:szCs w:val="24"/>
        </w:rPr>
      </w:pPr>
    </w:p>
    <w:tbl>
      <w:tblPr>
        <w:tblStyle w:val="LightGrid"/>
        <w:tblW w:w="14474" w:type="dxa"/>
        <w:jc w:val="center"/>
        <w:tblLook w:val="04A0" w:firstRow="1" w:lastRow="0" w:firstColumn="1" w:lastColumn="0" w:noHBand="0" w:noVBand="1"/>
      </w:tblPr>
      <w:tblGrid>
        <w:gridCol w:w="832"/>
        <w:gridCol w:w="5372"/>
        <w:gridCol w:w="2409"/>
        <w:gridCol w:w="5861"/>
      </w:tblGrid>
      <w:tr w:rsidR="00B32D69" w:rsidTr="00B32D69">
        <w:trPr>
          <w:cnfStyle w:val="100000000000" w:firstRow="1" w:lastRow="0" w:firstColumn="0" w:lastColumn="0" w:oddVBand="0" w:evenVBand="0" w:oddHBand="0" w:evenHBand="0" w:firstRowFirstColumn="0" w:firstRowLastColumn="0" w:lastRowFirstColumn="0" w:lastRowLastColumn="0"/>
          <w:trHeight w:val="1083"/>
          <w:jc w:val="center"/>
        </w:trPr>
        <w:tc>
          <w:tcPr>
            <w:cnfStyle w:val="001000000000" w:firstRow="0" w:lastRow="0" w:firstColumn="1" w:lastColumn="0" w:oddVBand="0" w:evenVBand="0" w:oddHBand="0" w:evenHBand="0" w:firstRowFirstColumn="0" w:firstRowLastColumn="0" w:lastRowFirstColumn="0" w:lastRowLastColumn="0"/>
            <w:tcW w:w="832" w:type="dxa"/>
          </w:tcPr>
          <w:p w:rsidR="00B32D69" w:rsidRDefault="00B32D69">
            <w:pPr>
              <w:rPr>
                <w:rFonts w:ascii="Times New Roman" w:hAnsi="Times New Roman" w:cs="Times New Roman"/>
                <w:noProof/>
                <w:sz w:val="24"/>
                <w:szCs w:val="24"/>
              </w:rPr>
            </w:pPr>
          </w:p>
        </w:tc>
        <w:tc>
          <w:tcPr>
            <w:tcW w:w="5372" w:type="dxa"/>
          </w:tcPr>
          <w:p w:rsidR="00B32D69" w:rsidRDefault="00FB661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Suggestion</w:t>
            </w:r>
          </w:p>
        </w:tc>
        <w:tc>
          <w:tcPr>
            <w:tcW w:w="2409" w:type="dxa"/>
          </w:tcPr>
          <w:p w:rsidR="00B32D69" w:rsidRDefault="00FB661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Sector where the position is coming from</w:t>
            </w:r>
          </w:p>
        </w:tc>
        <w:tc>
          <w:tcPr>
            <w:tcW w:w="5861" w:type="dxa"/>
          </w:tcPr>
          <w:p w:rsidR="00B32D69" w:rsidRDefault="00FB661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 xml:space="preserve">Justification why it was not integrated by the proposal </w:t>
            </w:r>
          </w:p>
        </w:tc>
      </w:tr>
      <w:tr w:rsidR="00B32D69" w:rsidTr="00B32D69">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832" w:type="dxa"/>
            <w:vMerge w:val="restart"/>
            <w:textDirection w:val="btLr"/>
            <w:vAlign w:val="center"/>
          </w:tcPr>
          <w:p w:rsidR="00B32D69" w:rsidRDefault="00FB661A">
            <w:pPr>
              <w:ind w:left="113" w:right="113"/>
              <w:jc w:val="center"/>
              <w:rPr>
                <w:rFonts w:ascii="Times New Roman" w:hAnsi="Times New Roman" w:cs="Times New Roman"/>
                <w:noProof/>
                <w:sz w:val="24"/>
                <w:szCs w:val="24"/>
              </w:rPr>
            </w:pPr>
            <w:r>
              <w:rPr>
                <w:rFonts w:ascii="Times New Roman" w:hAnsi="Times New Roman" w:cs="Times New Roman"/>
                <w:noProof/>
                <w:sz w:val="24"/>
                <w:szCs w:val="24"/>
              </w:rPr>
              <w:t xml:space="preserve">Preventive restructuring </w:t>
            </w:r>
          </w:p>
        </w:tc>
        <w:tc>
          <w:tcPr>
            <w:tcW w:w="5372" w:type="dxa"/>
          </w:tcPr>
          <w:p w:rsidR="00B32D69" w:rsidRDefault="00FB66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The stay may be lifted only upon the request of a majority of creditors, individual request from creditors should not be taken into account.</w:t>
            </w:r>
          </w:p>
        </w:tc>
        <w:tc>
          <w:tcPr>
            <w:tcW w:w="2409" w:type="dxa"/>
          </w:tcPr>
          <w:p w:rsidR="00B32D69" w:rsidRDefault="00FB66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certain business stakeholders</w:t>
            </w:r>
          </w:p>
        </w:tc>
        <w:tc>
          <w:tcPr>
            <w:tcW w:w="5861" w:type="dxa"/>
          </w:tcPr>
          <w:p w:rsidR="00B32D69" w:rsidRDefault="00FB66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 xml:space="preserve">The stay is a strong limitation of creditors' rights the impact of which should be limited to the necessary minimum. Among others, the possibility of individual requests for lifting the stay is considered as one guarantee to ensure this objective. </w:t>
            </w:r>
          </w:p>
        </w:tc>
      </w:tr>
      <w:tr w:rsidR="00B32D69" w:rsidTr="00B32D69">
        <w:trPr>
          <w:cnfStyle w:val="000000010000" w:firstRow="0" w:lastRow="0" w:firstColumn="0" w:lastColumn="0" w:oddVBand="0" w:evenVBand="0" w:oddHBand="0" w:evenHBand="1"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832" w:type="dxa"/>
            <w:vMerge/>
          </w:tcPr>
          <w:p w:rsidR="00B32D69" w:rsidRDefault="00B32D69">
            <w:pPr>
              <w:rPr>
                <w:rFonts w:ascii="Times New Roman" w:hAnsi="Times New Roman" w:cs="Times New Roman"/>
                <w:noProof/>
                <w:sz w:val="24"/>
                <w:szCs w:val="24"/>
              </w:rPr>
            </w:pPr>
          </w:p>
        </w:tc>
        <w:tc>
          <w:tcPr>
            <w:tcW w:w="5372" w:type="dxa"/>
          </w:tcPr>
          <w:p w:rsidR="00B32D69" w:rsidRDefault="00FB66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Initi</w:t>
            </w:r>
            <w:r>
              <w:rPr>
                <w:rFonts w:ascii="Times New Roman" w:hAnsi="Times New Roman" w:cs="Times New Roman"/>
                <w:noProof/>
                <w:sz w:val="24"/>
                <w:szCs w:val="24"/>
              </w:rPr>
              <w:t xml:space="preserve">al stay should be granted only if the debtor shows that it is likely that negotiations have a reasonable prospect of success. </w:t>
            </w:r>
          </w:p>
        </w:tc>
        <w:tc>
          <w:tcPr>
            <w:tcW w:w="2409" w:type="dxa"/>
          </w:tcPr>
          <w:p w:rsidR="00B32D69" w:rsidRDefault="00FB66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some Member States</w:t>
            </w:r>
          </w:p>
        </w:tc>
        <w:tc>
          <w:tcPr>
            <w:tcW w:w="5861" w:type="dxa"/>
          </w:tcPr>
          <w:p w:rsidR="00B32D69" w:rsidRDefault="00FB66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Since the "breathing space" obtained by the debtor by the moratorium can be vital on several occasions in term</w:t>
            </w:r>
            <w:r>
              <w:rPr>
                <w:rFonts w:ascii="Times New Roman" w:hAnsi="Times New Roman" w:cs="Times New Roman"/>
                <w:noProof/>
                <w:sz w:val="24"/>
                <w:szCs w:val="24"/>
              </w:rPr>
              <w:t xml:space="preserve">s of the chances of restructuring, it was decided to provide an easy entry counterbalanced by the possibility of lifting it. Evidence on prospects of success is, nevertheless, required for the exceptional prolongation of the initial stay period. </w:t>
            </w:r>
          </w:p>
        </w:tc>
      </w:tr>
      <w:tr w:rsidR="00B32D69" w:rsidTr="00B32D69">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832" w:type="dxa"/>
            <w:vMerge/>
          </w:tcPr>
          <w:p w:rsidR="00B32D69" w:rsidRDefault="00B32D69">
            <w:pPr>
              <w:rPr>
                <w:rFonts w:ascii="Times New Roman" w:hAnsi="Times New Roman" w:cs="Times New Roman"/>
                <w:noProof/>
                <w:sz w:val="24"/>
                <w:szCs w:val="24"/>
              </w:rPr>
            </w:pPr>
          </w:p>
        </w:tc>
        <w:tc>
          <w:tcPr>
            <w:tcW w:w="5372" w:type="dxa"/>
          </w:tcPr>
          <w:p w:rsidR="00B32D69" w:rsidRDefault="00FB66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It shou</w:t>
            </w:r>
            <w:r>
              <w:rPr>
                <w:rFonts w:ascii="Times New Roman" w:hAnsi="Times New Roman" w:cs="Times New Roman"/>
                <w:noProof/>
                <w:sz w:val="24"/>
                <w:szCs w:val="24"/>
              </w:rPr>
              <w:t>ld be allowed that courts grant stay periods longer than 4 months, on a case by case basis.</w:t>
            </w:r>
          </w:p>
        </w:tc>
        <w:tc>
          <w:tcPr>
            <w:tcW w:w="2409" w:type="dxa"/>
          </w:tcPr>
          <w:p w:rsidR="00B32D69" w:rsidRDefault="00FB66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certain Member States</w:t>
            </w:r>
          </w:p>
        </w:tc>
        <w:tc>
          <w:tcPr>
            <w:tcW w:w="5861" w:type="dxa"/>
          </w:tcPr>
          <w:p w:rsidR="00B32D69" w:rsidRDefault="00FB66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 xml:space="preserve">There was a general impression that a short period of the stay is sufficient for a viable company, and that with time passing by the real </w:t>
            </w:r>
            <w:r>
              <w:rPr>
                <w:rFonts w:ascii="Times New Roman" w:hAnsi="Times New Roman" w:cs="Times New Roman"/>
                <w:noProof/>
                <w:sz w:val="24"/>
                <w:szCs w:val="24"/>
              </w:rPr>
              <w:t>chances for restructuring are fading. Anyway the stay may be exceptionally prolonged.</w:t>
            </w:r>
          </w:p>
        </w:tc>
      </w:tr>
      <w:tr w:rsidR="00B32D69" w:rsidTr="00B32D69">
        <w:trPr>
          <w:cnfStyle w:val="000000010000" w:firstRow="0" w:lastRow="0" w:firstColumn="0" w:lastColumn="0" w:oddVBand="0" w:evenVBand="0" w:oddHBand="0" w:evenHBand="1"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832" w:type="dxa"/>
            <w:vMerge/>
          </w:tcPr>
          <w:p w:rsidR="00B32D69" w:rsidRDefault="00B32D69">
            <w:pPr>
              <w:rPr>
                <w:rFonts w:ascii="Times New Roman" w:hAnsi="Times New Roman" w:cs="Times New Roman"/>
                <w:noProof/>
                <w:sz w:val="24"/>
                <w:szCs w:val="24"/>
              </w:rPr>
            </w:pPr>
          </w:p>
        </w:tc>
        <w:tc>
          <w:tcPr>
            <w:tcW w:w="5372" w:type="dxa"/>
          </w:tcPr>
          <w:p w:rsidR="00B32D69" w:rsidRDefault="00FB66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Secured creditors should not be crammed down by another class, or write off claims without their consent.</w:t>
            </w:r>
          </w:p>
        </w:tc>
        <w:tc>
          <w:tcPr>
            <w:tcW w:w="2409" w:type="dxa"/>
          </w:tcPr>
          <w:p w:rsidR="00B32D69" w:rsidRDefault="00FB66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Financial institutions</w:t>
            </w:r>
          </w:p>
        </w:tc>
        <w:tc>
          <w:tcPr>
            <w:tcW w:w="5861" w:type="dxa"/>
          </w:tcPr>
          <w:p w:rsidR="00B32D69" w:rsidRDefault="00FB661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On the one hand, restructuring plan tha</w:t>
            </w:r>
            <w:r>
              <w:rPr>
                <w:rFonts w:ascii="Times New Roman" w:hAnsi="Times New Roman" w:cs="Times New Roman"/>
                <w:noProof/>
                <w:sz w:val="24"/>
                <w:szCs w:val="24"/>
              </w:rPr>
              <w:t>t does not bind secured creditors has less prospects of success. On the other hand, adequate safeguards will exist for dissenting creditors: creditors with different interests should vote separately (at least secured and unsecured creditors should be in di</w:t>
            </w:r>
            <w:r>
              <w:rPr>
                <w:rFonts w:ascii="Times New Roman" w:hAnsi="Times New Roman" w:cs="Times New Roman"/>
                <w:noProof/>
                <w:sz w:val="24"/>
                <w:szCs w:val="24"/>
              </w:rPr>
              <w:t xml:space="preserve">fferent classes), the plan should be reasonable and leave no creditor worse–off than they would be in the most likely alternative scenario, i.e. liquidation. </w:t>
            </w:r>
          </w:p>
        </w:tc>
      </w:tr>
      <w:tr w:rsidR="00B32D69" w:rsidTr="00B32D69">
        <w:trPr>
          <w:cnfStyle w:val="000000100000" w:firstRow="0" w:lastRow="0" w:firstColumn="0" w:lastColumn="0" w:oddVBand="0" w:evenVBand="0" w:oddHBand="1" w:evenHBand="0" w:firstRowFirstColumn="0" w:firstRowLastColumn="0" w:lastRowFirstColumn="0" w:lastRowLastColumn="0"/>
          <w:trHeight w:val="2348"/>
          <w:jc w:val="center"/>
        </w:trPr>
        <w:tc>
          <w:tcPr>
            <w:cnfStyle w:val="001000000000" w:firstRow="0" w:lastRow="0" w:firstColumn="1" w:lastColumn="0" w:oddVBand="0" w:evenVBand="0" w:oddHBand="0" w:evenHBand="0" w:firstRowFirstColumn="0" w:firstRowLastColumn="0" w:lastRowFirstColumn="0" w:lastRowLastColumn="0"/>
            <w:tcW w:w="832" w:type="dxa"/>
            <w:vMerge/>
          </w:tcPr>
          <w:p w:rsidR="00B32D69" w:rsidRDefault="00B32D69">
            <w:pPr>
              <w:rPr>
                <w:rFonts w:ascii="Times New Roman" w:hAnsi="Times New Roman" w:cs="Times New Roman"/>
                <w:noProof/>
                <w:sz w:val="24"/>
                <w:szCs w:val="24"/>
              </w:rPr>
            </w:pPr>
          </w:p>
        </w:tc>
        <w:tc>
          <w:tcPr>
            <w:tcW w:w="5372" w:type="dxa"/>
          </w:tcPr>
          <w:p w:rsidR="00B32D69" w:rsidRDefault="00FB66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 xml:space="preserve">Shareholders' position should not be touched by the harmonised rules on restructuring because </w:t>
            </w:r>
            <w:r>
              <w:rPr>
                <w:rFonts w:ascii="Times New Roman" w:hAnsi="Times New Roman" w:cs="Times New Roman"/>
                <w:noProof/>
                <w:sz w:val="24"/>
                <w:szCs w:val="24"/>
              </w:rPr>
              <w:t>of potential implications on company law and constitutional protection of property rights</w:t>
            </w:r>
          </w:p>
        </w:tc>
        <w:tc>
          <w:tcPr>
            <w:tcW w:w="2409" w:type="dxa"/>
          </w:tcPr>
          <w:p w:rsidR="00B32D69" w:rsidRDefault="00FB66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certain Member States</w:t>
            </w:r>
          </w:p>
        </w:tc>
        <w:tc>
          <w:tcPr>
            <w:tcW w:w="5861" w:type="dxa"/>
          </w:tcPr>
          <w:p w:rsidR="00B32D69" w:rsidRDefault="00FB66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A preventive restructuring framework should prevent hold-out of shareholders who are out of the money. The proposal of the initiative in this re</w:t>
            </w:r>
            <w:r>
              <w:rPr>
                <w:rFonts w:ascii="Times New Roman" w:hAnsi="Times New Roman" w:cs="Times New Roman"/>
                <w:noProof/>
                <w:sz w:val="24"/>
                <w:szCs w:val="24"/>
              </w:rPr>
              <w:t xml:space="preserve">spect remains at the level of principle, though, giving Member States large flexibility in how they transform this principle to the level of detailed rules.  </w:t>
            </w:r>
          </w:p>
        </w:tc>
      </w:tr>
      <w:tr w:rsidR="00B32D69" w:rsidTr="00B32D69">
        <w:trPr>
          <w:cnfStyle w:val="000000010000" w:firstRow="0" w:lastRow="0" w:firstColumn="0" w:lastColumn="0" w:oddVBand="0" w:evenVBand="0" w:oddHBand="0" w:evenHBand="1"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832" w:type="dxa"/>
            <w:vMerge w:val="restart"/>
            <w:textDirection w:val="btLr"/>
            <w:vAlign w:val="center"/>
          </w:tcPr>
          <w:p w:rsidR="00B32D69" w:rsidRDefault="00FB661A">
            <w:pPr>
              <w:ind w:left="113" w:right="113"/>
              <w:jc w:val="center"/>
              <w:rPr>
                <w:rFonts w:ascii="Times New Roman" w:hAnsi="Times New Roman" w:cs="Times New Roman"/>
                <w:noProof/>
                <w:sz w:val="24"/>
                <w:szCs w:val="24"/>
              </w:rPr>
            </w:pPr>
            <w:r>
              <w:rPr>
                <w:rFonts w:ascii="Times New Roman" w:hAnsi="Times New Roman" w:cs="Times New Roman"/>
                <w:noProof/>
                <w:sz w:val="24"/>
                <w:szCs w:val="24"/>
              </w:rPr>
              <w:t>Second chance</w:t>
            </w:r>
          </w:p>
        </w:tc>
        <w:tc>
          <w:tcPr>
            <w:tcW w:w="5372" w:type="dxa"/>
          </w:tcPr>
          <w:p w:rsidR="00B32D69" w:rsidRDefault="00FB66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Debt discharge for consumers should be treated by the initiative equally with thos</w:t>
            </w:r>
            <w:r>
              <w:rPr>
                <w:rFonts w:ascii="Times New Roman" w:hAnsi="Times New Roman" w:cs="Times New Roman"/>
                <w:noProof/>
                <w:sz w:val="24"/>
                <w:szCs w:val="24"/>
              </w:rPr>
              <w:t xml:space="preserve">e of entrepreneurs (second chance provisions should extend also to consumers). </w:t>
            </w:r>
          </w:p>
        </w:tc>
        <w:tc>
          <w:tcPr>
            <w:tcW w:w="2409" w:type="dxa"/>
          </w:tcPr>
          <w:p w:rsidR="00B32D69" w:rsidRDefault="00FB66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Consumer organisations</w:t>
            </w:r>
          </w:p>
        </w:tc>
        <w:tc>
          <w:tcPr>
            <w:tcW w:w="5861" w:type="dxa"/>
          </w:tcPr>
          <w:p w:rsidR="00B32D69" w:rsidRDefault="00FB66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Many Member States have in recent years adopted or reformed (ES, RO, HU, HR, LU, CY, SI) national laws on consumer insolvency. At the same time, the cros</w:t>
            </w:r>
            <w:r>
              <w:rPr>
                <w:rFonts w:ascii="Times New Roman" w:hAnsi="Times New Roman" w:cs="Times New Roman"/>
                <w:noProof/>
                <w:sz w:val="24"/>
                <w:szCs w:val="24"/>
              </w:rPr>
              <w:t>s-border lending market appears to be very small at the moment. The Commission will continue to assess the recent national reforms of insolvency laws on consumer aspects and collect data to assess the relevance of a future possible EU contribution in the a</w:t>
            </w:r>
            <w:r>
              <w:rPr>
                <w:rFonts w:ascii="Times New Roman" w:hAnsi="Times New Roman" w:cs="Times New Roman"/>
                <w:noProof/>
                <w:sz w:val="24"/>
                <w:szCs w:val="24"/>
              </w:rPr>
              <w:t>rea of consumer insolvency. Also to be noted that some other sectors were strongly opposed of including rules on consumer insolvency (e.g. financial institutions).</w:t>
            </w:r>
          </w:p>
        </w:tc>
      </w:tr>
      <w:tr w:rsidR="00B32D69" w:rsidTr="00B32D69">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832" w:type="dxa"/>
            <w:vMerge/>
          </w:tcPr>
          <w:p w:rsidR="00B32D69" w:rsidRDefault="00B32D69">
            <w:pPr>
              <w:rPr>
                <w:rFonts w:ascii="Times New Roman" w:hAnsi="Times New Roman" w:cs="Times New Roman"/>
                <w:noProof/>
                <w:sz w:val="24"/>
                <w:szCs w:val="24"/>
              </w:rPr>
            </w:pPr>
          </w:p>
        </w:tc>
        <w:tc>
          <w:tcPr>
            <w:tcW w:w="5372" w:type="dxa"/>
          </w:tcPr>
          <w:p w:rsidR="00B32D69" w:rsidRDefault="00FB66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 xml:space="preserve">The possibility of a "full discharge" is gives wrong signals for entrepreneurs; discharge should be given provided a certain percentage of the debt is repaid. </w:t>
            </w:r>
          </w:p>
        </w:tc>
        <w:tc>
          <w:tcPr>
            <w:tcW w:w="2409" w:type="dxa"/>
          </w:tcPr>
          <w:p w:rsidR="00B32D69" w:rsidRDefault="00FB66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Financial institutions</w:t>
            </w:r>
          </w:p>
        </w:tc>
        <w:tc>
          <w:tcPr>
            <w:tcW w:w="5861" w:type="dxa"/>
          </w:tcPr>
          <w:p w:rsidR="00B32D69" w:rsidRDefault="00FB66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Empirical evidence shows that repayment of a statutory rate of the amount</w:t>
            </w:r>
            <w:r>
              <w:rPr>
                <w:rFonts w:ascii="Times New Roman" w:hAnsi="Times New Roman" w:cs="Times New Roman"/>
                <w:noProof/>
                <w:sz w:val="24"/>
                <w:szCs w:val="24"/>
              </w:rPr>
              <w:t xml:space="preserve"> makes discharge in most of the cases impossible. The initiative accepts a repayment condition if it is based on an individual assessment of the circumstances of the case. </w:t>
            </w:r>
          </w:p>
        </w:tc>
      </w:tr>
      <w:tr w:rsidR="00B32D69" w:rsidTr="00B32D69">
        <w:trPr>
          <w:cnfStyle w:val="000000010000" w:firstRow="0" w:lastRow="0" w:firstColumn="0" w:lastColumn="0" w:oddVBand="0" w:evenVBand="0" w:oddHBand="0" w:evenHBand="1"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832" w:type="dxa"/>
            <w:vMerge/>
          </w:tcPr>
          <w:p w:rsidR="00B32D69" w:rsidRDefault="00B32D69">
            <w:pPr>
              <w:rPr>
                <w:rFonts w:ascii="Times New Roman" w:hAnsi="Times New Roman" w:cs="Times New Roman"/>
                <w:noProof/>
                <w:sz w:val="24"/>
                <w:szCs w:val="24"/>
              </w:rPr>
            </w:pPr>
          </w:p>
        </w:tc>
        <w:tc>
          <w:tcPr>
            <w:tcW w:w="5372" w:type="dxa"/>
          </w:tcPr>
          <w:p w:rsidR="00B32D69" w:rsidRDefault="00FB66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Harmonisation of  the test of "honesty" in context of discharge is necessary</w:t>
            </w:r>
          </w:p>
        </w:tc>
        <w:tc>
          <w:tcPr>
            <w:tcW w:w="2409" w:type="dxa"/>
          </w:tcPr>
          <w:p w:rsidR="00B32D69" w:rsidRDefault="00FB66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cert</w:t>
            </w:r>
            <w:r>
              <w:rPr>
                <w:rFonts w:ascii="Times New Roman" w:hAnsi="Times New Roman" w:cs="Times New Roman"/>
                <w:noProof/>
                <w:sz w:val="24"/>
                <w:szCs w:val="24"/>
              </w:rPr>
              <w:t>ain stakeholders from the business sector and practitioners</w:t>
            </w:r>
          </w:p>
        </w:tc>
        <w:tc>
          <w:tcPr>
            <w:tcW w:w="5861" w:type="dxa"/>
          </w:tcPr>
          <w:p w:rsidR="00B32D69" w:rsidRDefault="00FB66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 xml:space="preserve">Substantive harmonisation of concepts embedded in national legal systems is an inappropriate approach. The initiative shall tackle the practical problems instead. The initiative gives some guidance with examples in this respect, though, in accordance with </w:t>
            </w:r>
            <w:r>
              <w:rPr>
                <w:rFonts w:ascii="Times New Roman" w:hAnsi="Times New Roman" w:cs="Times New Roman"/>
                <w:noProof/>
                <w:sz w:val="24"/>
                <w:szCs w:val="24"/>
              </w:rPr>
              <w:t xml:space="preserve">the Member States shall interpret the concept. </w:t>
            </w:r>
          </w:p>
        </w:tc>
      </w:tr>
    </w:tbl>
    <w:p w:rsidR="00B32D69" w:rsidRDefault="00B32D69">
      <w:pPr>
        <w:spacing w:line="240" w:lineRule="auto"/>
        <w:jc w:val="both"/>
        <w:rPr>
          <w:rFonts w:ascii="Times New Roman" w:hAnsi="Times New Roman" w:cs="Times New Roman"/>
          <w:noProof/>
          <w:sz w:val="24"/>
          <w:szCs w:val="24"/>
        </w:rPr>
        <w:sectPr w:rsidR="00B32D69">
          <w:headerReference w:type="even" r:id="rId45"/>
          <w:headerReference w:type="default" r:id="rId46"/>
          <w:footerReference w:type="even" r:id="rId47"/>
          <w:footerReference w:type="default" r:id="rId48"/>
          <w:headerReference w:type="first" r:id="rId49"/>
          <w:footerReference w:type="first" r:id="rId50"/>
          <w:pgSz w:w="16838" w:h="11906" w:orient="landscape"/>
          <w:pgMar w:top="1417" w:right="1417" w:bottom="1417" w:left="1417" w:header="708" w:footer="708" w:gutter="0"/>
          <w:cols w:space="708"/>
          <w:docGrid w:linePitch="360"/>
        </w:sectPr>
      </w:pPr>
    </w:p>
    <w:p w:rsidR="00B32D69" w:rsidRDefault="00FB661A">
      <w:pPr>
        <w:spacing w:after="120"/>
        <w:jc w:val="center"/>
        <w:rPr>
          <w:rFonts w:ascii="Times New Roman" w:hAnsi="Times New Roman" w:cs="Times New Roman"/>
          <w:b/>
          <w:caps/>
          <w:noProof/>
          <w:sz w:val="24"/>
          <w:szCs w:val="24"/>
        </w:rPr>
      </w:pPr>
      <w:bookmarkStart w:id="125" w:name="_Toc455588010"/>
      <w:r>
        <w:rPr>
          <w:rFonts w:ascii="Times New Roman" w:hAnsi="Times New Roman" w:cs="Times New Roman"/>
          <w:b/>
          <w:caps/>
          <w:noProof/>
          <w:sz w:val="24"/>
          <w:szCs w:val="24"/>
        </w:rPr>
        <w:t>ANNEX 3</w:t>
      </w:r>
    </w:p>
    <w:p w:rsidR="00B32D69" w:rsidRDefault="00B32D69">
      <w:pPr>
        <w:spacing w:after="120"/>
        <w:jc w:val="both"/>
        <w:rPr>
          <w:rFonts w:ascii="Times New Roman" w:hAnsi="Times New Roman" w:cs="Times New Roman"/>
          <w:b/>
          <w:caps/>
          <w:noProof/>
          <w:sz w:val="24"/>
          <w:szCs w:val="24"/>
        </w:rPr>
      </w:pPr>
    </w:p>
    <w:p w:rsidR="00B32D69" w:rsidRDefault="00FB661A">
      <w:pPr>
        <w:spacing w:after="120"/>
        <w:jc w:val="center"/>
        <w:rPr>
          <w:rFonts w:ascii="Times New Roman" w:hAnsi="Times New Roman" w:cs="Times New Roman"/>
          <w:b/>
          <w:caps/>
          <w:noProof/>
          <w:sz w:val="24"/>
          <w:szCs w:val="24"/>
        </w:rPr>
      </w:pPr>
      <w:r>
        <w:rPr>
          <w:rFonts w:ascii="Times New Roman" w:hAnsi="Times New Roman" w:cs="Times New Roman"/>
          <w:b/>
          <w:caps/>
          <w:noProof/>
          <w:sz w:val="24"/>
          <w:szCs w:val="24"/>
        </w:rPr>
        <w:t>The Impact of the initative and ADDITIONAL data ON INSOLEVNCY AND RESTRUCTURING PROCEEDINGS</w:t>
      </w:r>
    </w:p>
    <w:p w:rsidR="00B32D69" w:rsidRDefault="00B32D69">
      <w:pPr>
        <w:spacing w:after="120"/>
        <w:jc w:val="both"/>
        <w:rPr>
          <w:rFonts w:ascii="Times New Roman" w:hAnsi="Times New Roman" w:cs="Times New Roman"/>
          <w:b/>
          <w:caps/>
          <w:noProof/>
          <w:sz w:val="24"/>
          <w:szCs w:val="24"/>
        </w:rPr>
      </w:pPr>
    </w:p>
    <w:sdt>
      <w:sdtPr>
        <w:rPr>
          <w:rFonts w:ascii="Times New Roman" w:eastAsiaTheme="minorHAnsi" w:hAnsi="Times New Roman" w:cs="Times New Roman"/>
          <w:b w:val="0"/>
          <w:bCs w:val="0"/>
          <w:noProof/>
          <w:color w:val="auto"/>
          <w:sz w:val="22"/>
          <w:szCs w:val="22"/>
          <w:lang w:val="en-GB" w:eastAsia="en-US"/>
        </w:rPr>
        <w:id w:val="32234962"/>
        <w:docPartObj>
          <w:docPartGallery w:val="Table of Contents"/>
          <w:docPartUnique/>
        </w:docPartObj>
      </w:sdtPr>
      <w:sdtEndPr/>
      <w:sdtContent>
        <w:p w:rsidR="00B32D69" w:rsidRDefault="00FB661A">
          <w:pPr>
            <w:pStyle w:val="TOCHeading"/>
            <w:spacing w:after="120"/>
            <w:jc w:val="both"/>
            <w:rPr>
              <w:rFonts w:ascii="Times New Roman" w:hAnsi="Times New Roman" w:cs="Times New Roman"/>
              <w:noProof/>
            </w:rPr>
          </w:pPr>
          <w:r>
            <w:rPr>
              <w:rFonts w:ascii="Times New Roman" w:hAnsi="Times New Roman" w:cs="Times New Roman"/>
              <w:noProof/>
            </w:rPr>
            <w:t>Table of Contents</w:t>
          </w:r>
        </w:p>
        <w:p w:rsidR="00B32D69" w:rsidRDefault="00FB661A">
          <w:pPr>
            <w:pStyle w:val="TOC1"/>
            <w:spacing w:after="120"/>
            <w:jc w:val="both"/>
            <w:rPr>
              <w:rFonts w:eastAsiaTheme="minorEastAsia"/>
              <w:lang w:eastAsia="en-GB"/>
            </w:rPr>
          </w:pPr>
          <w:r>
            <w:rPr>
              <w:b w:val="0"/>
            </w:rPr>
            <w:fldChar w:fldCharType="begin"/>
          </w:r>
          <w:r>
            <w:instrText xml:space="preserve"> TOC \o "1-3" \h \z \u </w:instrText>
          </w:r>
          <w:r>
            <w:rPr>
              <w:b w:val="0"/>
            </w:rPr>
            <w:fldChar w:fldCharType="separate"/>
          </w:r>
          <w:hyperlink w:anchor="_Toc460410722" w:history="1">
            <w:r>
              <w:rPr>
                <w:rStyle w:val="Hyperlink"/>
              </w:rPr>
              <w:t>1. IMPACT ON CREDIT AVAILABILITY</w:t>
            </w:r>
            <w:r>
              <w:rPr>
                <w:webHidden/>
              </w:rPr>
              <w:tab/>
            </w:r>
            <w:r>
              <w:rPr>
                <w:webHidden/>
              </w:rPr>
              <w:fldChar w:fldCharType="begin"/>
            </w:r>
            <w:r>
              <w:rPr>
                <w:webHidden/>
              </w:rPr>
              <w:instrText xml:space="preserve"> PAGEREF _Toc460410722 \h </w:instrText>
            </w:r>
            <w:r>
              <w:rPr>
                <w:webHidden/>
              </w:rPr>
            </w:r>
            <w:r>
              <w:rPr>
                <w:webHidden/>
              </w:rPr>
              <w:fldChar w:fldCharType="separate"/>
            </w:r>
            <w:r>
              <w:rPr>
                <w:webHidden/>
              </w:rPr>
              <w:t>155</w:t>
            </w:r>
            <w:r>
              <w:rPr>
                <w:webHidden/>
              </w:rPr>
              <w:fldChar w:fldCharType="end"/>
            </w:r>
          </w:hyperlink>
        </w:p>
        <w:p w:rsidR="00B32D69" w:rsidRDefault="00FB661A">
          <w:pPr>
            <w:pStyle w:val="TOC1"/>
            <w:spacing w:after="120"/>
            <w:jc w:val="both"/>
            <w:rPr>
              <w:rFonts w:eastAsiaTheme="minorEastAsia"/>
              <w:lang w:eastAsia="en-GB"/>
            </w:rPr>
          </w:pPr>
          <w:hyperlink w:anchor="_Toc460410723" w:history="1">
            <w:r>
              <w:rPr>
                <w:rStyle w:val="Hyperlink"/>
              </w:rPr>
              <w:t>2. IMPACT ON COMPETITIVENESS</w:t>
            </w:r>
            <w:r>
              <w:rPr>
                <w:webHidden/>
              </w:rPr>
              <w:tab/>
            </w:r>
            <w:r>
              <w:rPr>
                <w:webHidden/>
              </w:rPr>
              <w:fldChar w:fldCharType="begin"/>
            </w:r>
            <w:r>
              <w:rPr>
                <w:webHidden/>
              </w:rPr>
              <w:instrText xml:space="preserve"> PAGEREF _Toc460410723 \h </w:instrText>
            </w:r>
            <w:r>
              <w:rPr>
                <w:webHidden/>
              </w:rPr>
            </w:r>
            <w:r>
              <w:rPr>
                <w:webHidden/>
              </w:rPr>
              <w:fldChar w:fldCharType="separate"/>
            </w:r>
            <w:r>
              <w:rPr>
                <w:webHidden/>
              </w:rPr>
              <w:t>161</w:t>
            </w:r>
            <w:r>
              <w:rPr>
                <w:webHidden/>
              </w:rPr>
              <w:fldChar w:fldCharType="end"/>
            </w:r>
          </w:hyperlink>
        </w:p>
        <w:p w:rsidR="00B32D69" w:rsidRDefault="00FB661A">
          <w:pPr>
            <w:pStyle w:val="TOC1"/>
            <w:spacing w:after="120"/>
            <w:jc w:val="both"/>
            <w:rPr>
              <w:rFonts w:eastAsiaTheme="minorEastAsia"/>
              <w:lang w:eastAsia="en-GB"/>
            </w:rPr>
          </w:pPr>
          <w:hyperlink w:anchor="_Toc460410724" w:history="1">
            <w:r>
              <w:rPr>
                <w:rStyle w:val="Hyperlink"/>
              </w:rPr>
              <w:t>3. IMPACT ON COMPETITION AND STATE AID RULES</w:t>
            </w:r>
            <w:r>
              <w:rPr>
                <w:webHidden/>
              </w:rPr>
              <w:tab/>
            </w:r>
            <w:r>
              <w:rPr>
                <w:webHidden/>
              </w:rPr>
              <w:fldChar w:fldCharType="begin"/>
            </w:r>
            <w:r>
              <w:rPr>
                <w:webHidden/>
              </w:rPr>
              <w:instrText xml:space="preserve"> PAGEREF _Toc460410724 \h </w:instrText>
            </w:r>
            <w:r>
              <w:rPr>
                <w:webHidden/>
              </w:rPr>
            </w:r>
            <w:r>
              <w:rPr>
                <w:webHidden/>
              </w:rPr>
              <w:fldChar w:fldCharType="separate"/>
            </w:r>
            <w:r>
              <w:rPr>
                <w:webHidden/>
              </w:rPr>
              <w:t>163</w:t>
            </w:r>
            <w:r>
              <w:rPr>
                <w:webHidden/>
              </w:rPr>
              <w:fldChar w:fldCharType="end"/>
            </w:r>
          </w:hyperlink>
        </w:p>
        <w:p w:rsidR="00B32D69" w:rsidRDefault="00FB661A">
          <w:pPr>
            <w:pStyle w:val="TOC1"/>
            <w:spacing w:after="120"/>
            <w:jc w:val="both"/>
            <w:rPr>
              <w:rFonts w:eastAsiaTheme="minorEastAsia"/>
              <w:lang w:eastAsia="en-GB"/>
            </w:rPr>
          </w:pPr>
          <w:hyperlink w:anchor="_Toc460410725" w:history="1">
            <w:r>
              <w:rPr>
                <w:rStyle w:val="Hyperlink"/>
              </w:rPr>
              <w:t>4. IMPACT ON FUNDAMENTAL RIGHTS</w:t>
            </w:r>
            <w:r>
              <w:rPr>
                <w:webHidden/>
              </w:rPr>
              <w:tab/>
            </w:r>
            <w:r>
              <w:rPr>
                <w:webHidden/>
              </w:rPr>
              <w:fldChar w:fldCharType="begin"/>
            </w:r>
            <w:r>
              <w:rPr>
                <w:webHidden/>
              </w:rPr>
              <w:instrText xml:space="preserve"> PAGEREF _Toc460410725 \h </w:instrText>
            </w:r>
            <w:r>
              <w:rPr>
                <w:webHidden/>
              </w:rPr>
            </w:r>
            <w:r>
              <w:rPr>
                <w:webHidden/>
              </w:rPr>
              <w:fldChar w:fldCharType="separate"/>
            </w:r>
            <w:r>
              <w:rPr>
                <w:webHidden/>
              </w:rPr>
              <w:t>164</w:t>
            </w:r>
            <w:r>
              <w:rPr>
                <w:webHidden/>
              </w:rPr>
              <w:fldChar w:fldCharType="end"/>
            </w:r>
          </w:hyperlink>
        </w:p>
        <w:p w:rsidR="00B32D69" w:rsidRDefault="00FB661A">
          <w:pPr>
            <w:pStyle w:val="TOC2"/>
            <w:spacing w:after="120"/>
            <w:jc w:val="both"/>
            <w:rPr>
              <w:rFonts w:eastAsiaTheme="minorEastAsia"/>
              <w:lang w:eastAsia="en-GB"/>
            </w:rPr>
          </w:pPr>
          <w:hyperlink w:anchor="_Toc460410726" w:history="1">
            <w:r>
              <w:rPr>
                <w:rStyle w:val="Hyperlink"/>
              </w:rPr>
              <w:t>4.1. Right to property</w:t>
            </w:r>
            <w:r>
              <w:rPr>
                <w:webHidden/>
              </w:rPr>
              <w:tab/>
            </w:r>
            <w:r>
              <w:rPr>
                <w:webHidden/>
              </w:rPr>
              <w:fldChar w:fldCharType="begin"/>
            </w:r>
            <w:r>
              <w:rPr>
                <w:webHidden/>
              </w:rPr>
              <w:instrText xml:space="preserve"> PAGEREF _Toc460410726 \h </w:instrText>
            </w:r>
            <w:r>
              <w:rPr>
                <w:webHidden/>
              </w:rPr>
            </w:r>
            <w:r>
              <w:rPr>
                <w:webHidden/>
              </w:rPr>
              <w:fldChar w:fldCharType="separate"/>
            </w:r>
            <w:r>
              <w:rPr>
                <w:webHidden/>
              </w:rPr>
              <w:t>164</w:t>
            </w:r>
            <w:r>
              <w:rPr>
                <w:webHidden/>
              </w:rPr>
              <w:fldChar w:fldCharType="end"/>
            </w:r>
          </w:hyperlink>
        </w:p>
        <w:p w:rsidR="00B32D69" w:rsidRDefault="00FB661A">
          <w:pPr>
            <w:pStyle w:val="TOC2"/>
            <w:spacing w:after="120"/>
            <w:jc w:val="both"/>
            <w:rPr>
              <w:rFonts w:eastAsiaTheme="minorEastAsia"/>
              <w:lang w:eastAsia="en-GB"/>
            </w:rPr>
          </w:pPr>
          <w:hyperlink w:anchor="_Toc460410727" w:history="1">
            <w:r>
              <w:rPr>
                <w:rStyle w:val="Hyperlink"/>
              </w:rPr>
              <w:t>4.2. Right to an effective remedy and to a fair trial</w:t>
            </w:r>
            <w:r>
              <w:rPr>
                <w:webHidden/>
              </w:rPr>
              <w:tab/>
            </w:r>
            <w:r>
              <w:rPr>
                <w:webHidden/>
              </w:rPr>
              <w:fldChar w:fldCharType="begin"/>
            </w:r>
            <w:r>
              <w:rPr>
                <w:webHidden/>
              </w:rPr>
              <w:instrText xml:space="preserve"> PAGEREF _Toc460410727 \h </w:instrText>
            </w:r>
            <w:r>
              <w:rPr>
                <w:webHidden/>
              </w:rPr>
            </w:r>
            <w:r>
              <w:rPr>
                <w:webHidden/>
              </w:rPr>
              <w:fldChar w:fldCharType="separate"/>
            </w:r>
            <w:r>
              <w:rPr>
                <w:webHidden/>
              </w:rPr>
              <w:t>165</w:t>
            </w:r>
            <w:r>
              <w:rPr>
                <w:webHidden/>
              </w:rPr>
              <w:fldChar w:fldCharType="end"/>
            </w:r>
          </w:hyperlink>
        </w:p>
        <w:p w:rsidR="00B32D69" w:rsidRDefault="00FB661A">
          <w:pPr>
            <w:pStyle w:val="TOC2"/>
            <w:spacing w:after="120"/>
            <w:jc w:val="both"/>
          </w:pPr>
          <w:hyperlink w:anchor="_Toc460410728" w:history="1">
            <w:r>
              <w:rPr>
                <w:rStyle w:val="Hyperlink"/>
              </w:rPr>
              <w:t>4.3. Right to conduct a business and to engage in work</w:t>
            </w:r>
            <w:r>
              <w:rPr>
                <w:webHidden/>
              </w:rPr>
              <w:tab/>
            </w:r>
            <w:r>
              <w:rPr>
                <w:webHidden/>
              </w:rPr>
              <w:fldChar w:fldCharType="begin"/>
            </w:r>
            <w:r>
              <w:rPr>
                <w:webHidden/>
              </w:rPr>
              <w:instrText xml:space="preserve"> PAGEREF _Toc460410728 \h </w:instrText>
            </w:r>
            <w:r>
              <w:rPr>
                <w:webHidden/>
              </w:rPr>
            </w:r>
            <w:r>
              <w:rPr>
                <w:webHidden/>
              </w:rPr>
              <w:fldChar w:fldCharType="separate"/>
            </w:r>
            <w:r>
              <w:rPr>
                <w:webHidden/>
              </w:rPr>
              <w:t>166</w:t>
            </w:r>
            <w:r>
              <w:rPr>
                <w:webHidden/>
              </w:rPr>
              <w:fldChar w:fldCharType="end"/>
            </w:r>
          </w:hyperlink>
        </w:p>
        <w:p w:rsidR="00B32D69" w:rsidRDefault="00FB661A">
          <w:pPr>
            <w:ind w:firstLine="220"/>
            <w:rPr>
              <w:noProof/>
            </w:rPr>
          </w:pPr>
          <w:r>
            <w:rPr>
              <w:noProof/>
            </w:rPr>
            <w:t xml:space="preserve">4.4. </w:t>
          </w:r>
          <w:r>
            <w:rPr>
              <w:rFonts w:ascii="Times New Roman" w:hAnsi="Times New Roman" w:cs="Times New Roman"/>
              <w:noProof/>
            </w:rPr>
            <w:t>Workers' right to information and consultation within the undertaking</w:t>
          </w:r>
        </w:p>
        <w:p w:rsidR="00B32D69" w:rsidRDefault="00FB661A">
          <w:pPr>
            <w:pStyle w:val="TOC1"/>
            <w:spacing w:after="120"/>
            <w:jc w:val="both"/>
            <w:rPr>
              <w:rFonts w:eastAsiaTheme="minorEastAsia"/>
              <w:lang w:eastAsia="en-GB"/>
            </w:rPr>
          </w:pPr>
          <w:hyperlink w:anchor="_Toc460410729" w:history="1">
            <w:r>
              <w:rPr>
                <w:rStyle w:val="Hyperlink"/>
              </w:rPr>
              <w:t>5. IMPACT ON SOCIAL ENVIRONMENT</w:t>
            </w:r>
            <w:r>
              <w:rPr>
                <w:webHidden/>
              </w:rPr>
              <w:tab/>
            </w:r>
            <w:r>
              <w:rPr>
                <w:webHidden/>
              </w:rPr>
              <w:fldChar w:fldCharType="begin"/>
            </w:r>
            <w:r>
              <w:rPr>
                <w:webHidden/>
              </w:rPr>
              <w:instrText xml:space="preserve"> PAGEREF _Toc460410729 \h </w:instrText>
            </w:r>
            <w:r>
              <w:rPr>
                <w:webHidden/>
              </w:rPr>
            </w:r>
            <w:r>
              <w:rPr>
                <w:webHidden/>
              </w:rPr>
              <w:fldChar w:fldCharType="separate"/>
            </w:r>
            <w:r>
              <w:rPr>
                <w:webHidden/>
              </w:rPr>
              <w:t>167</w:t>
            </w:r>
            <w:r>
              <w:rPr>
                <w:webHidden/>
              </w:rPr>
              <w:fldChar w:fldCharType="end"/>
            </w:r>
          </w:hyperlink>
        </w:p>
        <w:p w:rsidR="00B32D69" w:rsidRDefault="00FB661A">
          <w:pPr>
            <w:pStyle w:val="TOC1"/>
            <w:spacing w:after="120"/>
            <w:jc w:val="both"/>
            <w:rPr>
              <w:rFonts w:eastAsiaTheme="minorEastAsia"/>
              <w:lang w:eastAsia="en-GB"/>
            </w:rPr>
          </w:pPr>
          <w:hyperlink w:anchor="_Toc460410730" w:history="1">
            <w:r>
              <w:rPr>
                <w:rStyle w:val="Hyperlink"/>
              </w:rPr>
              <w:t>6. IMPACT ON TAX REVENUES</w:t>
            </w:r>
            <w:r>
              <w:rPr>
                <w:webHidden/>
              </w:rPr>
              <w:tab/>
            </w:r>
            <w:r>
              <w:rPr>
                <w:webHidden/>
              </w:rPr>
              <w:fldChar w:fldCharType="begin"/>
            </w:r>
            <w:r>
              <w:rPr>
                <w:webHidden/>
              </w:rPr>
              <w:instrText xml:space="preserve"> PAGEREF _Toc460410730 \h </w:instrText>
            </w:r>
            <w:r>
              <w:rPr>
                <w:webHidden/>
              </w:rPr>
            </w:r>
            <w:r>
              <w:rPr>
                <w:webHidden/>
              </w:rPr>
              <w:fldChar w:fldCharType="separate"/>
            </w:r>
            <w:r>
              <w:rPr>
                <w:webHidden/>
              </w:rPr>
              <w:t>170</w:t>
            </w:r>
            <w:r>
              <w:rPr>
                <w:webHidden/>
              </w:rPr>
              <w:fldChar w:fldCharType="end"/>
            </w:r>
          </w:hyperlink>
        </w:p>
        <w:p w:rsidR="00B32D69" w:rsidRDefault="00FB661A">
          <w:pPr>
            <w:pStyle w:val="TOC1"/>
            <w:spacing w:after="120"/>
            <w:jc w:val="both"/>
            <w:rPr>
              <w:rFonts w:eastAsiaTheme="minorEastAsia"/>
              <w:lang w:eastAsia="en-GB"/>
            </w:rPr>
          </w:pPr>
          <w:hyperlink w:anchor="_Toc460410731" w:history="1">
            <w:r>
              <w:rPr>
                <w:rStyle w:val="Hyperlink"/>
              </w:rPr>
              <w:t>7. IMPACT ON SMEs</w:t>
            </w:r>
            <w:r>
              <w:rPr>
                <w:webHidden/>
              </w:rPr>
              <w:tab/>
            </w:r>
            <w:r>
              <w:rPr>
                <w:webHidden/>
              </w:rPr>
              <w:fldChar w:fldCharType="begin"/>
            </w:r>
            <w:r>
              <w:rPr>
                <w:webHidden/>
              </w:rPr>
              <w:instrText xml:space="preserve"> PAGEREF _Toc460410731 \h </w:instrText>
            </w:r>
            <w:r>
              <w:rPr>
                <w:webHidden/>
              </w:rPr>
            </w:r>
            <w:r>
              <w:rPr>
                <w:webHidden/>
              </w:rPr>
              <w:fldChar w:fldCharType="separate"/>
            </w:r>
            <w:r>
              <w:rPr>
                <w:webHidden/>
              </w:rPr>
              <w:t>171</w:t>
            </w:r>
            <w:r>
              <w:rPr>
                <w:webHidden/>
              </w:rPr>
              <w:fldChar w:fldCharType="end"/>
            </w:r>
          </w:hyperlink>
        </w:p>
        <w:p w:rsidR="00B32D69" w:rsidRDefault="00FB661A">
          <w:pPr>
            <w:pStyle w:val="TOC1"/>
            <w:spacing w:after="120"/>
            <w:jc w:val="both"/>
            <w:rPr>
              <w:rFonts w:eastAsiaTheme="minorEastAsia"/>
              <w:lang w:eastAsia="en-GB"/>
            </w:rPr>
          </w:pPr>
          <w:hyperlink w:anchor="_Toc460410732" w:history="1">
            <w:r>
              <w:rPr>
                <w:rStyle w:val="Hyperlink"/>
              </w:rPr>
              <w:t>8. ADDITIONAL DATA</w:t>
            </w:r>
            <w:r>
              <w:rPr>
                <w:webHidden/>
              </w:rPr>
              <w:tab/>
            </w:r>
            <w:r>
              <w:rPr>
                <w:webHidden/>
              </w:rPr>
              <w:fldChar w:fldCharType="begin"/>
            </w:r>
            <w:r>
              <w:rPr>
                <w:webHidden/>
              </w:rPr>
              <w:instrText xml:space="preserve"> PAGEREF _Toc460410732 \h </w:instrText>
            </w:r>
            <w:r>
              <w:rPr>
                <w:webHidden/>
              </w:rPr>
            </w:r>
            <w:r>
              <w:rPr>
                <w:webHidden/>
              </w:rPr>
              <w:fldChar w:fldCharType="separate"/>
            </w:r>
            <w:r>
              <w:rPr>
                <w:webHidden/>
              </w:rPr>
              <w:t>178</w:t>
            </w:r>
            <w:r>
              <w:rPr>
                <w:webHidden/>
              </w:rPr>
              <w:fldChar w:fldCharType="end"/>
            </w:r>
          </w:hyperlink>
        </w:p>
        <w:p w:rsidR="00B32D69" w:rsidRDefault="00FB661A">
          <w:pPr>
            <w:spacing w:after="120"/>
            <w:jc w:val="both"/>
            <w:rPr>
              <w:rFonts w:ascii="Times New Roman" w:hAnsi="Times New Roman" w:cs="Times New Roman"/>
              <w:noProof/>
            </w:rPr>
          </w:pPr>
          <w:r>
            <w:rPr>
              <w:rFonts w:ascii="Times New Roman" w:hAnsi="Times New Roman" w:cs="Times New Roman"/>
              <w:b/>
              <w:bCs/>
              <w:noProof/>
            </w:rPr>
            <w:fldChar w:fldCharType="end"/>
          </w:r>
        </w:p>
      </w:sdtContent>
    </w:sdt>
    <w:p w:rsidR="00B32D69" w:rsidRDefault="00B32D69">
      <w:pPr>
        <w:spacing w:after="120"/>
        <w:jc w:val="both"/>
        <w:rPr>
          <w:rFonts w:ascii="Times New Roman" w:hAnsi="Times New Roman" w:cs="Times New Roman"/>
          <w:b/>
          <w:caps/>
          <w:noProof/>
          <w:sz w:val="24"/>
          <w:szCs w:val="24"/>
        </w:rPr>
      </w:pPr>
    </w:p>
    <w:bookmarkEnd w:id="125"/>
    <w:p w:rsidR="00B32D69" w:rsidRDefault="00FB661A">
      <w:pPr>
        <w:spacing w:after="120"/>
        <w:jc w:val="both"/>
        <w:rPr>
          <w:rFonts w:ascii="Times New Roman" w:hAnsi="Times New Roman" w:cs="Times New Roman"/>
          <w:b/>
          <w:noProof/>
          <w:sz w:val="24"/>
          <w:szCs w:val="24"/>
          <w:lang w:val="cs-CZ"/>
        </w:rPr>
      </w:pPr>
      <w:r>
        <w:rPr>
          <w:rFonts w:ascii="Times New Roman" w:hAnsi="Times New Roman" w:cs="Times New Roman"/>
          <w:b/>
          <w:noProof/>
          <w:sz w:val="24"/>
          <w:szCs w:val="24"/>
          <w:lang w:val="cs-CZ"/>
        </w:rPr>
        <w:br w:type="page"/>
      </w:r>
    </w:p>
    <w:p w:rsidR="00B32D69" w:rsidRDefault="00FB661A">
      <w:pPr>
        <w:pStyle w:val="ManualHeading1"/>
        <w:rPr>
          <w:noProof/>
          <w:lang w:val="cs-CZ"/>
        </w:rPr>
      </w:pPr>
      <w:bookmarkStart w:id="126" w:name="_Toc460410722"/>
      <w:r>
        <w:rPr>
          <w:noProof/>
        </w:rPr>
        <w:tab/>
      </w:r>
      <w:r>
        <w:rPr>
          <w:noProof/>
          <w:lang w:val="cs-CZ"/>
        </w:rPr>
        <w:t>1. IMPACT ON CREDIT AVAILABILITY</w:t>
      </w:r>
      <w:bookmarkEnd w:id="126"/>
      <w:r>
        <w:rPr>
          <w:noProof/>
          <w:lang w:val="cs-CZ"/>
        </w:rPr>
        <w:t xml:space="preserve"> </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High levels of NPLs have negative </w:t>
      </w:r>
      <w:r>
        <w:rPr>
          <w:rFonts w:ascii="Times New Roman" w:hAnsi="Times New Roman" w:cs="Times New Roman"/>
          <w:noProof/>
          <w:sz w:val="24"/>
          <w:szCs w:val="24"/>
        </w:rPr>
        <w:t>consequence for the economy. They discourage investment by over-indebted businesses and also consumption and entrepreneurship by over-indebted households</w:t>
      </w:r>
      <w:r>
        <w:rPr>
          <w:rStyle w:val="FootnoteReference"/>
          <w:rFonts w:ascii="Times New Roman" w:hAnsi="Times New Roman"/>
          <w:noProof/>
          <w:sz w:val="24"/>
          <w:szCs w:val="24"/>
        </w:rPr>
        <w:footnoteReference w:id="336"/>
      </w:r>
      <w:r>
        <w:rPr>
          <w:rFonts w:ascii="Times New Roman" w:hAnsi="Times New Roman" w:cs="Times New Roman"/>
          <w:noProof/>
          <w:sz w:val="24"/>
          <w:szCs w:val="24"/>
        </w:rPr>
        <w:t>.</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While non-performing loans (NPLs) have been recently decreasing, they still constituted 6,4% of all </w:t>
      </w:r>
      <w:r>
        <w:rPr>
          <w:rFonts w:ascii="Times New Roman" w:hAnsi="Times New Roman" w:cs="Times New Roman"/>
          <w:noProof/>
          <w:sz w:val="24"/>
          <w:szCs w:val="24"/>
        </w:rPr>
        <w:t>loans in June 2015. They are much higher with respect to loans granted to SMEs (18,6% of loans granted to them are non performing) and they are also substantial in loans granted to households (5,1%) mostly for loans for residential purposes.</w:t>
      </w:r>
      <w:r>
        <w:rPr>
          <w:rStyle w:val="FootnoteReference"/>
          <w:rFonts w:ascii="Times New Roman" w:hAnsi="Times New Roman"/>
          <w:noProof/>
          <w:sz w:val="24"/>
          <w:szCs w:val="24"/>
        </w:rPr>
        <w:footnoteReference w:id="337"/>
      </w:r>
      <w:r>
        <w:rPr>
          <w:rFonts w:ascii="Times New Roman" w:hAnsi="Times New Roman" w:cs="Times New Roman"/>
          <w:noProof/>
          <w:sz w:val="24"/>
          <w:szCs w:val="24"/>
        </w:rPr>
        <w:t xml:space="preserve">  </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High level </w:t>
      </w:r>
      <w:r>
        <w:rPr>
          <w:rFonts w:ascii="Times New Roman" w:hAnsi="Times New Roman" w:cs="Times New Roman"/>
          <w:noProof/>
          <w:sz w:val="24"/>
          <w:szCs w:val="24"/>
        </w:rPr>
        <w:t>of NPL has obviously a negative impact on the functioning of banks. It limits their capacity of lending and thus restrains access to credit to the potential borrowers. The tendency to deleverage and reduced possibility to better allocate credit may have ad</w:t>
      </w:r>
      <w:r>
        <w:rPr>
          <w:rFonts w:ascii="Times New Roman" w:hAnsi="Times New Roman" w:cs="Times New Roman"/>
          <w:noProof/>
          <w:sz w:val="24"/>
          <w:szCs w:val="24"/>
        </w:rPr>
        <w:t>ditional negative impact on growth of the economy</w:t>
      </w:r>
      <w:r>
        <w:rPr>
          <w:rStyle w:val="FootnoteReference"/>
          <w:rFonts w:ascii="Times New Roman" w:hAnsi="Times New Roman"/>
          <w:noProof/>
          <w:sz w:val="24"/>
          <w:szCs w:val="24"/>
        </w:rPr>
        <w:footnoteReference w:id="338"/>
      </w:r>
      <w:r>
        <w:rPr>
          <w:rFonts w:ascii="Times New Roman" w:hAnsi="Times New Roman" w:cs="Times New Roman"/>
          <w:noProof/>
          <w:sz w:val="24"/>
          <w:szCs w:val="24"/>
        </w:rPr>
        <w:t xml:space="preserve">. </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For the banks, resolving the problem of NPL by debt restructuring is in principle preferable to liquidation of assets of the debtor.</w:t>
      </w:r>
      <w:r>
        <w:rPr>
          <w:rStyle w:val="FootnoteReference"/>
          <w:rFonts w:ascii="Times New Roman" w:hAnsi="Times New Roman"/>
          <w:noProof/>
          <w:sz w:val="24"/>
          <w:szCs w:val="24"/>
        </w:rPr>
        <w:footnoteReference w:id="339"/>
      </w:r>
      <w:r>
        <w:rPr>
          <w:rFonts w:ascii="Times New Roman" w:hAnsi="Times New Roman" w:cs="Times New Roman"/>
          <w:noProof/>
          <w:sz w:val="24"/>
          <w:szCs w:val="24"/>
        </w:rPr>
        <w:t xml:space="preserve"> To respect the interests of creditors there is a need to distinguish </w:t>
      </w:r>
      <w:r>
        <w:rPr>
          <w:rFonts w:ascii="Times New Roman" w:hAnsi="Times New Roman" w:cs="Times New Roman"/>
          <w:noProof/>
          <w:sz w:val="24"/>
          <w:szCs w:val="24"/>
        </w:rPr>
        <w:t>viable debtors, who should be given possibility to restructure, and those who are not viable and whose assets should be liquidated fast. The process of assessment of viability and preference conditions (stay) granted during this process should be sufficien</w:t>
      </w:r>
      <w:r>
        <w:rPr>
          <w:rFonts w:ascii="Times New Roman" w:hAnsi="Times New Roman" w:cs="Times New Roman"/>
          <w:noProof/>
          <w:sz w:val="24"/>
          <w:szCs w:val="24"/>
        </w:rPr>
        <w:t xml:space="preserve">tly fast to avoid losing assets of the debtor. There should be also incentives to viable borrowers to create value to repay outstanding debt. Efficient insolvency procedures would limit reticence of banks to start proceedings because of expected high cost </w:t>
      </w:r>
      <w:r>
        <w:rPr>
          <w:rFonts w:ascii="Times New Roman" w:hAnsi="Times New Roman" w:cs="Times New Roman"/>
          <w:noProof/>
          <w:sz w:val="24"/>
          <w:szCs w:val="24"/>
        </w:rPr>
        <w:t>and uncertain prospects of recovery.</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Quality of insolvency framework may impact on the costs of credit.</w:t>
      </w:r>
      <w:r>
        <w:rPr>
          <w:rFonts w:ascii="Times New Roman" w:hAnsi="Times New Roman" w:cs="Times New Roman"/>
          <w:b/>
          <w:noProof/>
          <w:sz w:val="24"/>
          <w:szCs w:val="24"/>
        </w:rPr>
        <w:t xml:space="preserve"> </w:t>
      </w:r>
      <w:r>
        <w:rPr>
          <w:rFonts w:ascii="Times New Roman" w:hAnsi="Times New Roman" w:cs="Times New Roman"/>
          <w:noProof/>
          <w:sz w:val="24"/>
          <w:szCs w:val="24"/>
        </w:rPr>
        <w:t>Creditors may hesitate to offer more cross-border credits because they do not have sufficient knowledge about the applicable insolvency regimes in other</w:t>
      </w:r>
      <w:r>
        <w:rPr>
          <w:rFonts w:ascii="Times New Roman" w:hAnsi="Times New Roman" w:cs="Times New Roman"/>
          <w:noProof/>
          <w:sz w:val="24"/>
          <w:szCs w:val="24"/>
        </w:rPr>
        <w:t xml:space="preserve"> Member States. There are still substantial divergences in relation to insolvency regimes across the EU. If lenders are unable to assess and quantify the outcome of insolvency proceedings and repossession laws, they will not feel confident lending to indiv</w:t>
      </w:r>
      <w:r>
        <w:rPr>
          <w:rFonts w:ascii="Times New Roman" w:hAnsi="Times New Roman" w:cs="Times New Roman"/>
          <w:noProof/>
          <w:sz w:val="24"/>
          <w:szCs w:val="24"/>
        </w:rPr>
        <w:t>iduals.</w:t>
      </w:r>
      <w:r>
        <w:rPr>
          <w:rStyle w:val="FootnoteReference"/>
          <w:rFonts w:ascii="Times New Roman" w:hAnsi="Times New Roman"/>
          <w:noProof/>
          <w:sz w:val="24"/>
          <w:szCs w:val="24"/>
        </w:rPr>
        <w:footnoteReference w:id="340"/>
      </w:r>
      <w:r>
        <w:rPr>
          <w:rFonts w:ascii="Times New Roman" w:hAnsi="Times New Roman" w:cs="Times New Roman"/>
          <w:noProof/>
          <w:sz w:val="24"/>
          <w:szCs w:val="24"/>
        </w:rPr>
        <w:t xml:space="preserve"> The AFME study found that a significant, negative correlation between corporate bond yields and expected recovery rate for bonds can be observed. A 10 percentage point increase in expected recovery rate is associated with a 37 basis point fall in </w:t>
      </w:r>
      <w:r>
        <w:rPr>
          <w:rFonts w:ascii="Times New Roman" w:hAnsi="Times New Roman" w:cs="Times New Roman"/>
          <w:noProof/>
          <w:sz w:val="24"/>
          <w:szCs w:val="24"/>
        </w:rPr>
        <w:t>bond spread. This suggests that countries with strong insolvency regimes have lower borrowing costs. Alternative estimations that take into account the effect of unobservable country level characteristics (i.e. “country dummies”), a 10 percentage point imp</w:t>
      </w:r>
      <w:r>
        <w:rPr>
          <w:rFonts w:ascii="Times New Roman" w:hAnsi="Times New Roman" w:cs="Times New Roman"/>
          <w:noProof/>
          <w:sz w:val="24"/>
          <w:szCs w:val="24"/>
        </w:rPr>
        <w:t>rovement in recovery rates is associated with a 0.18 percentage point reduction in bond spread</w:t>
      </w:r>
      <w:r>
        <w:rPr>
          <w:rStyle w:val="FootnoteReference"/>
          <w:rFonts w:ascii="Times New Roman" w:hAnsi="Times New Roman"/>
          <w:noProof/>
          <w:sz w:val="24"/>
          <w:szCs w:val="24"/>
        </w:rPr>
        <w:footnoteReference w:id="341"/>
      </w:r>
      <w:r>
        <w:rPr>
          <w:rFonts w:ascii="Times New Roman" w:hAnsi="Times New Roman" w:cs="Times New Roman"/>
          <w:noProof/>
          <w:sz w:val="24"/>
          <w:szCs w:val="24"/>
        </w:rPr>
        <w:t>.</w:t>
      </w:r>
    </w:p>
    <w:p w:rsidR="00B32D69" w:rsidRDefault="00FB661A">
      <w:pPr>
        <w:spacing w:after="12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AFME report finds a statistically significant effect of changes to the recovery rate on the cost of borrowing i.e. as the recovery rate improves, it can be</w:t>
      </w:r>
      <w:r>
        <w:rPr>
          <w:rFonts w:ascii="Times New Roman" w:hAnsi="Times New Roman" w:cs="Times New Roman"/>
          <w:noProof/>
          <w:sz w:val="24"/>
          <w:szCs w:val="24"/>
          <w:lang w:eastAsia="en-GB"/>
        </w:rPr>
        <w:t xml:space="preserve"> observed that the cost of borrowing declines, even once other factors (notably country fixed-effects) are controlled for. The results can be paired with previous empirical research, notably the work undertaken by the World Bank and the Commission, linking</w:t>
      </w:r>
      <w:r>
        <w:rPr>
          <w:rFonts w:ascii="Times New Roman" w:hAnsi="Times New Roman" w:cs="Times New Roman"/>
          <w:noProof/>
          <w:sz w:val="24"/>
          <w:szCs w:val="24"/>
          <w:lang w:eastAsia="en-GB"/>
        </w:rPr>
        <w:t xml:space="preserve"> changes in the recovery rate to reforms to the insolvency regime, and notably reforms that include pre-insolvency restructuring options. The results can also be paired with the qualitative evidence reported in that report, which documents improvements to </w:t>
      </w:r>
      <w:r>
        <w:rPr>
          <w:rFonts w:ascii="Times New Roman" w:hAnsi="Times New Roman" w:cs="Times New Roman"/>
          <w:noProof/>
          <w:sz w:val="24"/>
          <w:szCs w:val="24"/>
          <w:lang w:eastAsia="en-GB"/>
        </w:rPr>
        <w:t>the recovery rate in many Member States following accession. The AFME report also documents that balanced and effective insolvency regimes can have a beneficial effect on the costs of borrowing via changes to credit ratings. It also documents that recovery</w:t>
      </w:r>
      <w:r>
        <w:rPr>
          <w:rFonts w:ascii="Times New Roman" w:hAnsi="Times New Roman" w:cs="Times New Roman"/>
          <w:noProof/>
          <w:sz w:val="24"/>
          <w:szCs w:val="24"/>
          <w:lang w:eastAsia="en-GB"/>
        </w:rPr>
        <w:t xml:space="preserve"> rates remain a significant factor affecting the cost of borrowing, even when other institutional variables, beyond insolvency-related factors, are shown to have explanatory power</w:t>
      </w:r>
      <w:r>
        <w:rPr>
          <w:rStyle w:val="FootnoteReference"/>
          <w:rFonts w:ascii="Times New Roman" w:hAnsi="Times New Roman"/>
          <w:noProof/>
          <w:sz w:val="24"/>
          <w:szCs w:val="24"/>
          <w:lang w:eastAsia="en-GB"/>
        </w:rPr>
        <w:footnoteReference w:id="342"/>
      </w:r>
      <w:r>
        <w:rPr>
          <w:rFonts w:ascii="Times New Roman" w:hAnsi="Times New Roman" w:cs="Times New Roman"/>
          <w:noProof/>
          <w:sz w:val="24"/>
          <w:szCs w:val="24"/>
          <w:lang w:eastAsia="en-GB"/>
        </w:rPr>
        <w:t>.</w:t>
      </w:r>
    </w:p>
    <w:p w:rsidR="00B32D69" w:rsidRDefault="00FB661A">
      <w:pPr>
        <w:spacing w:after="12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drawing>
          <wp:inline distT="0" distB="0" distL="0" distR="0">
            <wp:extent cx="5760720" cy="58743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ME_Bond spread relationship_tabl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720" cy="5874385"/>
                    </a:xfrm>
                    <a:prstGeom prst="rect">
                      <a:avLst/>
                    </a:prstGeom>
                  </pic:spPr>
                </pic:pic>
              </a:graphicData>
            </a:graphic>
          </wp:inline>
        </w:drawing>
      </w:r>
    </w:p>
    <w:p w:rsidR="00B32D69" w:rsidRDefault="00B32D69">
      <w:pPr>
        <w:spacing w:after="120"/>
        <w:jc w:val="both"/>
        <w:rPr>
          <w:rFonts w:ascii="Times New Roman" w:hAnsi="Times New Roman" w:cs="Times New Roman"/>
          <w:noProof/>
          <w:sz w:val="24"/>
          <w:szCs w:val="24"/>
          <w:lang w:eastAsia="en-GB"/>
        </w:rPr>
      </w:pP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If these results are combined with those from bond pricing model, it is</w:t>
      </w:r>
      <w:r>
        <w:rPr>
          <w:rFonts w:ascii="Times New Roman" w:hAnsi="Times New Roman" w:cs="Times New Roman"/>
          <w:noProof/>
          <w:sz w:val="24"/>
          <w:szCs w:val="24"/>
        </w:rPr>
        <w:t xml:space="preserve"> possible to simulate the macroeconomic impact of insolvency reform at EU level. If all EU member states were to reach a recovery rate of 85 percent, this would imply a permanent increase in GDP of €41bn to €78bn (or between 0.3% and 0.55% of EU28 GDP). Ad</w:t>
      </w:r>
      <w:r>
        <w:rPr>
          <w:rFonts w:ascii="Times New Roman" w:hAnsi="Times New Roman" w:cs="Times New Roman"/>
          <w:noProof/>
          <w:sz w:val="24"/>
          <w:szCs w:val="24"/>
        </w:rPr>
        <w:t>ditional employment in the EU28 would increase by between 600,000 jobs in the low scenario and 1.2 million jobs in the high scenario. The distribution of macroeconomic effects suggests that much of the absolute gains from insolvency reform could flow to It</w:t>
      </w:r>
      <w:r>
        <w:rPr>
          <w:rFonts w:ascii="Times New Roman" w:hAnsi="Times New Roman" w:cs="Times New Roman"/>
          <w:noProof/>
          <w:sz w:val="24"/>
          <w:szCs w:val="24"/>
        </w:rPr>
        <w:t>aly, Spain and France, as well as some central European member states such as Poland, Hungary and Romania</w:t>
      </w:r>
      <w:r>
        <w:rPr>
          <w:rStyle w:val="FootnoteReference"/>
          <w:rFonts w:ascii="Times New Roman" w:hAnsi="Times New Roman"/>
          <w:noProof/>
          <w:sz w:val="24"/>
          <w:szCs w:val="24"/>
        </w:rPr>
        <w:footnoteReference w:id="343"/>
      </w:r>
      <w:r>
        <w:rPr>
          <w:rFonts w:ascii="Times New Roman" w:hAnsi="Times New Roman" w:cs="Times New Roman"/>
          <w:noProof/>
          <w:sz w:val="24"/>
          <w:szCs w:val="24"/>
        </w:rPr>
        <w:t xml:space="preserve">. </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Downward adjustment of indebtedness from peak has been mixed so far, with only a handful of countries having managed to significantly revert to low</w:t>
      </w:r>
      <w:r>
        <w:rPr>
          <w:rFonts w:ascii="Times New Roman" w:hAnsi="Times New Roman" w:cs="Times New Roman"/>
          <w:noProof/>
          <w:sz w:val="24"/>
          <w:szCs w:val="24"/>
        </w:rPr>
        <w:t>er levels (graph 1). In parallel, high indebtedness has led to a considerable deterioration of banks' balance sheets, as reflected in very high NPLs levels (graph 2). The weight of existing debt held by corporations and households prevents them from undert</w:t>
      </w:r>
      <w:r>
        <w:rPr>
          <w:rFonts w:ascii="Times New Roman" w:hAnsi="Times New Roman" w:cs="Times New Roman"/>
          <w:noProof/>
          <w:sz w:val="24"/>
          <w:szCs w:val="24"/>
        </w:rPr>
        <w:t>aking new investments and holds back their consumption (known as the debt overhang problem)</w:t>
      </w:r>
      <w:r>
        <w:rPr>
          <w:rStyle w:val="FootnoteReference"/>
          <w:rFonts w:ascii="Times New Roman" w:hAnsi="Times New Roman"/>
          <w:noProof/>
          <w:sz w:val="24"/>
          <w:szCs w:val="24"/>
        </w:rPr>
        <w:footnoteReference w:id="344"/>
      </w:r>
      <w:r>
        <w:rPr>
          <w:rFonts w:ascii="Times New Roman" w:hAnsi="Times New Roman" w:cs="Times New Roman"/>
          <w:noProof/>
          <w:sz w:val="24"/>
          <w:szCs w:val="24"/>
        </w:rPr>
        <w:t>. By implication, as long as private debts remain at high levels, economic activity may struggle to pick up.</w:t>
      </w:r>
    </w:p>
    <w:p w:rsidR="00B32D69" w:rsidRDefault="00B32D69">
      <w:pPr>
        <w:spacing w:after="120"/>
        <w:jc w:val="both"/>
        <w:rPr>
          <w:rFonts w:ascii="Times New Roman" w:hAnsi="Times New Roman" w:cs="Times New Roman"/>
          <w:noProof/>
          <w:sz w:val="24"/>
          <w:szCs w:val="24"/>
        </w:rPr>
      </w:pPr>
    </w:p>
    <w:tbl>
      <w:tblPr>
        <w:tblW w:w="9072" w:type="dxa"/>
        <w:tblLayout w:type="fixed"/>
        <w:tblLook w:val="04A0" w:firstRow="1" w:lastRow="0" w:firstColumn="1" w:lastColumn="0" w:noHBand="0" w:noVBand="1"/>
      </w:tblPr>
      <w:tblGrid>
        <w:gridCol w:w="4536"/>
        <w:gridCol w:w="4536"/>
      </w:tblGrid>
      <w:tr w:rsidR="00B32D69">
        <w:trPr>
          <w:trHeight w:val="551"/>
        </w:trPr>
        <w:tc>
          <w:tcPr>
            <w:tcW w:w="4536" w:type="dxa"/>
            <w:shd w:val="clear" w:color="auto" w:fill="auto"/>
            <w:vAlign w:val="center"/>
          </w:tcPr>
          <w:p w:rsidR="00B32D69" w:rsidRDefault="00FB661A">
            <w:pPr>
              <w:spacing w:after="120"/>
              <w:jc w:val="both"/>
              <w:rPr>
                <w:rFonts w:ascii="Times New Roman" w:hAnsi="Times New Roman" w:cs="Times New Roman"/>
                <w:b/>
                <w:noProof/>
                <w:sz w:val="24"/>
                <w:szCs w:val="24"/>
              </w:rPr>
            </w:pPr>
            <w:r>
              <w:rPr>
                <w:rFonts w:ascii="Times New Roman" w:hAnsi="Times New Roman" w:cs="Times New Roman"/>
                <w:b/>
                <w:noProof/>
                <w:sz w:val="24"/>
                <w:szCs w:val="24"/>
              </w:rPr>
              <w:t>Graph 1: Private sector debt adjustment</w:t>
            </w:r>
          </w:p>
        </w:tc>
        <w:tc>
          <w:tcPr>
            <w:tcW w:w="4536" w:type="dxa"/>
          </w:tcPr>
          <w:p w:rsidR="00B32D69" w:rsidRDefault="00FB661A">
            <w:pPr>
              <w:spacing w:after="120"/>
              <w:jc w:val="both"/>
              <w:rPr>
                <w:rFonts w:ascii="Times New Roman" w:hAnsi="Times New Roman" w:cs="Times New Roman"/>
                <w:b/>
                <w:noProof/>
                <w:sz w:val="24"/>
                <w:szCs w:val="24"/>
              </w:rPr>
            </w:pPr>
            <w:r>
              <w:rPr>
                <w:rFonts w:ascii="Times New Roman" w:hAnsi="Times New Roman" w:cs="Times New Roman"/>
                <w:b/>
                <w:noProof/>
                <w:sz w:val="24"/>
                <w:szCs w:val="24"/>
              </w:rPr>
              <w:t xml:space="preserve">Graph 2: </w:t>
            </w:r>
            <w:r>
              <w:rPr>
                <w:rFonts w:ascii="Times New Roman" w:hAnsi="Times New Roman" w:cs="Times New Roman"/>
                <w:b/>
                <w:noProof/>
                <w:sz w:val="24"/>
                <w:szCs w:val="24"/>
              </w:rPr>
              <w:t>Extent of the non-performing loans problem</w:t>
            </w:r>
          </w:p>
        </w:tc>
      </w:tr>
      <w:tr w:rsidR="00B32D69">
        <w:trPr>
          <w:trHeight w:val="551"/>
        </w:trPr>
        <w:tc>
          <w:tcPr>
            <w:tcW w:w="4536" w:type="dxa"/>
            <w:shd w:val="clear" w:color="auto" w:fill="auto"/>
            <w:vAlign w:val="center"/>
          </w:tcPr>
          <w:p w:rsidR="00B32D69" w:rsidRDefault="00FB661A">
            <w:pPr>
              <w:spacing w:after="120"/>
              <w:jc w:val="both"/>
              <w:rPr>
                <w:rFonts w:ascii="Times New Roman" w:hAnsi="Times New Roman" w:cs="Times New Roman"/>
                <w:b/>
                <w:noProof/>
              </w:rPr>
            </w:pPr>
            <w:r>
              <w:rPr>
                <w:rFonts w:ascii="Times New Roman" w:hAnsi="Times New Roman" w:cs="Times New Roman"/>
                <w:b/>
                <w:noProof/>
                <w:lang w:eastAsia="en-GB"/>
              </w:rPr>
              <w:drawing>
                <wp:inline distT="0" distB="0" distL="0" distR="0">
                  <wp:extent cx="2808000" cy="237355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08000" cy="2373556"/>
                          </a:xfrm>
                          <a:prstGeom prst="rect">
                            <a:avLst/>
                          </a:prstGeom>
                          <a:noFill/>
                          <a:ln>
                            <a:noFill/>
                          </a:ln>
                        </pic:spPr>
                      </pic:pic>
                    </a:graphicData>
                  </a:graphic>
                </wp:inline>
              </w:drawing>
            </w:r>
          </w:p>
        </w:tc>
        <w:tc>
          <w:tcPr>
            <w:tcW w:w="4536" w:type="dxa"/>
            <w:vAlign w:val="center"/>
          </w:tcPr>
          <w:p w:rsidR="00B32D69" w:rsidRDefault="00FB661A">
            <w:pPr>
              <w:spacing w:after="120"/>
              <w:jc w:val="both"/>
              <w:rPr>
                <w:rFonts w:ascii="Times New Roman" w:hAnsi="Times New Roman" w:cs="Times New Roman"/>
                <w:b/>
                <w:noProof/>
              </w:rPr>
            </w:pPr>
            <w:r>
              <w:rPr>
                <w:rFonts w:ascii="Times New Roman" w:hAnsi="Times New Roman" w:cs="Times New Roman"/>
                <w:noProof/>
                <w:lang w:eastAsia="en-GB"/>
              </w:rPr>
              <w:drawing>
                <wp:inline distT="0" distB="0" distL="0" distR="0">
                  <wp:extent cx="2720340" cy="238823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20340" cy="2388235"/>
                          </a:xfrm>
                          <a:prstGeom prst="rect">
                            <a:avLst/>
                          </a:prstGeom>
                          <a:noFill/>
                          <a:ln>
                            <a:noFill/>
                          </a:ln>
                        </pic:spPr>
                      </pic:pic>
                    </a:graphicData>
                  </a:graphic>
                </wp:inline>
              </w:drawing>
            </w:r>
          </w:p>
        </w:tc>
      </w:tr>
      <w:tr w:rsidR="00B32D69">
        <w:trPr>
          <w:trHeight w:val="551"/>
        </w:trPr>
        <w:tc>
          <w:tcPr>
            <w:tcW w:w="4536" w:type="dxa"/>
            <w:shd w:val="clear" w:color="auto" w:fill="auto"/>
            <w:vAlign w:val="center"/>
          </w:tcPr>
          <w:p w:rsidR="00B32D69" w:rsidRDefault="00FB661A">
            <w:pPr>
              <w:spacing w:after="120"/>
              <w:jc w:val="both"/>
              <w:rPr>
                <w:rFonts w:ascii="Times New Roman" w:hAnsi="Times New Roman" w:cs="Times New Roman"/>
                <w:noProof/>
                <w:sz w:val="20"/>
                <w:szCs w:val="20"/>
              </w:rPr>
            </w:pPr>
            <w:r>
              <w:rPr>
                <w:rFonts w:ascii="Times New Roman" w:hAnsi="Times New Roman" w:cs="Times New Roman"/>
                <w:noProof/>
                <w:sz w:val="20"/>
                <w:szCs w:val="20"/>
              </w:rPr>
              <w:t>Source: Eurostat</w:t>
            </w:r>
          </w:p>
        </w:tc>
        <w:tc>
          <w:tcPr>
            <w:tcW w:w="4536" w:type="dxa"/>
          </w:tcPr>
          <w:p w:rsidR="00B32D69" w:rsidRDefault="00FB661A">
            <w:pPr>
              <w:spacing w:after="120"/>
              <w:jc w:val="both"/>
              <w:rPr>
                <w:rFonts w:ascii="Times New Roman" w:hAnsi="Times New Roman" w:cs="Times New Roman"/>
                <w:noProof/>
                <w:sz w:val="20"/>
                <w:szCs w:val="20"/>
              </w:rPr>
            </w:pPr>
            <w:r>
              <w:rPr>
                <w:rFonts w:ascii="Times New Roman" w:hAnsi="Times New Roman" w:cs="Times New Roman"/>
                <w:noProof/>
                <w:sz w:val="20"/>
                <w:szCs w:val="20"/>
              </w:rPr>
              <w:t>Source: IMF</w:t>
            </w:r>
          </w:p>
        </w:tc>
      </w:tr>
    </w:tbl>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While booming indebtedness was associated with high investment prior to the crisis, it was followed by an even stronger contraction in investment thereafter (graph 3). The count</w:t>
      </w:r>
      <w:r>
        <w:rPr>
          <w:rFonts w:ascii="Times New Roman" w:hAnsi="Times New Roman" w:cs="Times New Roman"/>
          <w:noProof/>
          <w:sz w:val="24"/>
          <w:szCs w:val="24"/>
        </w:rPr>
        <w:t>ries where the corporate sector has accumulated more debt over the debt boom period are not necessarily the same exhibiting higher insolvency rates in 2013. The occurrence of insolvency is indeed highly country-specific, and differences may be linked to ot</w:t>
      </w:r>
      <w:r>
        <w:rPr>
          <w:rFonts w:ascii="Times New Roman" w:hAnsi="Times New Roman" w:cs="Times New Roman"/>
          <w:noProof/>
          <w:sz w:val="24"/>
          <w:szCs w:val="24"/>
        </w:rPr>
        <w:t>her factors than just the magnitude of deleveraging needs. The data however indicate that the evolution of bad debt is linked to that of insolvencies. Such link is highly country-specific. Cross-country correlations suggest that countries with more effecti</w:t>
      </w:r>
      <w:r>
        <w:rPr>
          <w:rFonts w:ascii="Times New Roman" w:hAnsi="Times New Roman" w:cs="Times New Roman"/>
          <w:noProof/>
          <w:sz w:val="24"/>
          <w:szCs w:val="24"/>
        </w:rPr>
        <w:t xml:space="preserve">ve insolvency frameworks are characterised by a lower stock of NPLs and have implications for business dynamics.  </w:t>
      </w:r>
    </w:p>
    <w:p w:rsidR="00B32D69" w:rsidRDefault="00B32D69">
      <w:pPr>
        <w:spacing w:after="120"/>
        <w:jc w:val="both"/>
        <w:rPr>
          <w:rFonts w:ascii="Times New Roman" w:hAnsi="Times New Roman" w:cs="Times New Roman"/>
          <w:noProof/>
          <w:sz w:val="24"/>
          <w:szCs w:val="24"/>
        </w:rPr>
      </w:pPr>
    </w:p>
    <w:p w:rsidR="00B32D69" w:rsidRDefault="00B32D69">
      <w:pPr>
        <w:spacing w:after="120"/>
        <w:jc w:val="both"/>
        <w:rPr>
          <w:rFonts w:ascii="Times New Roman" w:hAnsi="Times New Roman" w:cs="Times New Roman"/>
          <w:noProof/>
          <w:sz w:val="24"/>
          <w:szCs w:val="24"/>
        </w:rPr>
      </w:pPr>
    </w:p>
    <w:p w:rsidR="00B32D69" w:rsidRDefault="00B32D69">
      <w:pPr>
        <w:spacing w:after="120"/>
        <w:jc w:val="both"/>
        <w:rPr>
          <w:rFonts w:ascii="Times New Roman" w:hAnsi="Times New Roman" w:cs="Times New Roman"/>
          <w:noProof/>
          <w:sz w:val="24"/>
          <w:szCs w:val="24"/>
        </w:rPr>
      </w:pPr>
    </w:p>
    <w:p w:rsidR="00B32D69" w:rsidRDefault="00B32D69">
      <w:pPr>
        <w:spacing w:after="120"/>
        <w:jc w:val="both"/>
        <w:rPr>
          <w:rFonts w:ascii="Times New Roman" w:hAnsi="Times New Roman" w:cs="Times New Roman"/>
          <w:noProof/>
          <w:sz w:val="24"/>
          <w:szCs w:val="24"/>
        </w:rPr>
      </w:pPr>
    </w:p>
    <w:p w:rsidR="00B32D69" w:rsidRDefault="00B32D69">
      <w:pPr>
        <w:spacing w:after="120"/>
        <w:jc w:val="both"/>
        <w:rPr>
          <w:rFonts w:ascii="Times New Roman" w:hAnsi="Times New Roman" w:cs="Times New Roman"/>
          <w:noProof/>
          <w:sz w:val="24"/>
          <w:szCs w:val="24"/>
        </w:rPr>
      </w:pPr>
    </w:p>
    <w:p w:rsidR="00B32D69" w:rsidRDefault="00B32D69">
      <w:pPr>
        <w:spacing w:after="120"/>
        <w:jc w:val="both"/>
        <w:rPr>
          <w:rFonts w:ascii="Times New Roman" w:hAnsi="Times New Roman" w:cs="Times New Roman"/>
          <w:noProof/>
          <w:sz w:val="24"/>
          <w:szCs w:val="24"/>
        </w:rPr>
      </w:pPr>
    </w:p>
    <w:p w:rsidR="00B32D69" w:rsidRDefault="00FB661A">
      <w:pPr>
        <w:spacing w:after="120"/>
        <w:jc w:val="both"/>
        <w:rPr>
          <w:rFonts w:ascii="Times New Roman" w:hAnsi="Times New Roman" w:cs="Times New Roman"/>
          <w:b/>
          <w:noProof/>
          <w:sz w:val="24"/>
          <w:szCs w:val="24"/>
        </w:rPr>
      </w:pPr>
      <w:r>
        <w:rPr>
          <w:rFonts w:ascii="Times New Roman" w:hAnsi="Times New Roman" w:cs="Times New Roman"/>
          <w:b/>
          <w:noProof/>
          <w:sz w:val="24"/>
          <w:szCs w:val="24"/>
        </w:rPr>
        <w:t>Graph 3: Corporate non-residential investment and debt overhang in the EU</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lang w:eastAsia="en-GB"/>
        </w:rPr>
        <w:drawing>
          <wp:inline distT="0" distB="0" distL="0" distR="0">
            <wp:extent cx="4307599" cy="3724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10830" cy="3727068"/>
                    </a:xfrm>
                    <a:prstGeom prst="rect">
                      <a:avLst/>
                    </a:prstGeom>
                    <a:noFill/>
                    <a:ln>
                      <a:noFill/>
                    </a:ln>
                  </pic:spPr>
                </pic:pic>
              </a:graphicData>
            </a:graphic>
          </wp:inline>
        </w:drawing>
      </w:r>
    </w:p>
    <w:p w:rsidR="00B32D69" w:rsidRDefault="00FB661A">
      <w:pPr>
        <w:spacing w:after="120"/>
        <w:jc w:val="both"/>
        <w:rPr>
          <w:rFonts w:ascii="Times New Roman" w:hAnsi="Times New Roman" w:cs="Times New Roman"/>
          <w:noProof/>
          <w:sz w:val="20"/>
          <w:szCs w:val="20"/>
        </w:rPr>
      </w:pPr>
      <w:r>
        <w:rPr>
          <w:rFonts w:ascii="Times New Roman" w:hAnsi="Times New Roman" w:cs="Times New Roman"/>
          <w:noProof/>
          <w:sz w:val="20"/>
          <w:szCs w:val="20"/>
        </w:rPr>
        <w:t>Source: Eurostat</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An additional problem which emerged after the financial crisis and recession in some Member States is a problem of financing viable borrowers, in particular SMEs in the countries in recession; where access to credit is very difficult. High levels of non-pe</w:t>
      </w:r>
      <w:r>
        <w:rPr>
          <w:rFonts w:ascii="Times New Roman" w:hAnsi="Times New Roman" w:cs="Times New Roman"/>
          <w:noProof/>
          <w:sz w:val="24"/>
          <w:szCs w:val="24"/>
        </w:rPr>
        <w:t xml:space="preserve">rforming loans undermine the capacity of banks to lend in recovery. The banks' reduced lending capacity is likely to disproportionately affect SMEs that are more dependent on bank finance. Studies and data from the International Monetary Fund suggest that </w:t>
      </w:r>
      <w:r>
        <w:rPr>
          <w:rFonts w:ascii="Times New Roman" w:hAnsi="Times New Roman" w:cs="Times New Roman"/>
          <w:noProof/>
          <w:sz w:val="24"/>
          <w:szCs w:val="24"/>
        </w:rPr>
        <w:t>high indebtedness of EU companies and the problem of non-performing loans represent an investment barrier and prevent economic growth. To encourage cross-border lending to them it is necessary to provide more certainty to the lenders in what manner they ca</w:t>
      </w:r>
      <w:r>
        <w:rPr>
          <w:rFonts w:ascii="Times New Roman" w:hAnsi="Times New Roman" w:cs="Times New Roman"/>
          <w:noProof/>
          <w:sz w:val="24"/>
          <w:szCs w:val="24"/>
        </w:rPr>
        <w:t xml:space="preserve">n recover debt in case of insolvency of the borrower. Beyond that, progress has been slow in resolving impaired loans, as manifested in high non-performing loan (NPL) ratios in banks' balance sheets, which could act as a constraint on the supply of credit </w:t>
      </w:r>
      <w:r>
        <w:rPr>
          <w:rFonts w:ascii="Times New Roman" w:hAnsi="Times New Roman" w:cs="Times New Roman"/>
          <w:noProof/>
          <w:sz w:val="24"/>
          <w:szCs w:val="24"/>
        </w:rPr>
        <w:t xml:space="preserve">and has implications for the allocation of financial resources. Hence, there is less credit available to the economy since markets are unable or unwilling to lend to firms having non-performing loans or charge high or prohibitive rates. </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629275" cy="3464312"/>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US credit gap.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632301" cy="3466175"/>
                    </a:xfrm>
                    <a:prstGeom prst="rect">
                      <a:avLst/>
                    </a:prstGeom>
                  </pic:spPr>
                </pic:pic>
              </a:graphicData>
            </a:graphic>
          </wp:inline>
        </w:drawing>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Effective insolv</w:t>
      </w:r>
      <w:r>
        <w:rPr>
          <w:rFonts w:ascii="Times New Roman" w:hAnsi="Times New Roman" w:cs="Times New Roman"/>
          <w:noProof/>
          <w:sz w:val="24"/>
          <w:szCs w:val="24"/>
        </w:rPr>
        <w:t>ency frameworks contribute to the reduction of adverse effects of high private debt on economic activity by freeing up resources caught in unproductive activities. Moreover, they can mitigate deadweight costs linked to bankruptcies by providing a transpare</w:t>
      </w:r>
      <w:r>
        <w:rPr>
          <w:rFonts w:ascii="Times New Roman" w:hAnsi="Times New Roman" w:cs="Times New Roman"/>
          <w:noProof/>
          <w:sz w:val="24"/>
          <w:szCs w:val="24"/>
        </w:rPr>
        <w:t>nt and speedy process to resolving non-viable debt.</w:t>
      </w:r>
    </w:p>
    <w:p w:rsidR="00B32D69" w:rsidRDefault="00FB661A">
      <w:pPr>
        <w:spacing w:after="120"/>
        <w:jc w:val="both"/>
        <w:rPr>
          <w:rFonts w:ascii="Times New Roman" w:hAnsi="Times New Roman" w:cs="Times New Roman"/>
          <w:noProof/>
          <w:lang w:val="cs-CZ"/>
        </w:rPr>
      </w:pPr>
      <w:r>
        <w:rPr>
          <w:rFonts w:ascii="Times New Roman" w:hAnsi="Times New Roman" w:cs="Times New Roman"/>
          <w:noProof/>
          <w:lang w:val="cs-CZ"/>
        </w:rPr>
        <w:br w:type="page"/>
      </w:r>
    </w:p>
    <w:p w:rsidR="00B32D69" w:rsidRDefault="00FB661A">
      <w:pPr>
        <w:pStyle w:val="ManualHeading1"/>
        <w:rPr>
          <w:noProof/>
          <w:lang w:val="cs-CZ"/>
        </w:rPr>
      </w:pPr>
      <w:bookmarkStart w:id="127" w:name="_Toc460410723"/>
      <w:r>
        <w:rPr>
          <w:noProof/>
        </w:rPr>
        <w:tab/>
      </w:r>
      <w:r>
        <w:rPr>
          <w:noProof/>
          <w:lang w:val="cs-CZ"/>
        </w:rPr>
        <w:t>2. IMPACT ON COMPETITIVENESS</w:t>
      </w:r>
      <w:bookmarkEnd w:id="127"/>
    </w:p>
    <w:p w:rsidR="00B32D69" w:rsidRDefault="00B32D69">
      <w:pPr>
        <w:spacing w:after="120"/>
        <w:jc w:val="both"/>
        <w:rPr>
          <w:rFonts w:ascii="Times New Roman" w:hAnsi="Times New Roman" w:cs="Times New Roman"/>
          <w:noProof/>
          <w:lang w:val="cs-CZ"/>
        </w:rPr>
      </w:pPr>
    </w:p>
    <w:p w:rsidR="00B32D69" w:rsidRDefault="00FB661A">
      <w:pPr>
        <w:autoSpaceDE w:val="0"/>
        <w:autoSpaceDN w:val="0"/>
        <w:adjustRightInd w:val="0"/>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 xml:space="preserve">According to the Commission’s competitiveness proofing tool, competitiveness consists of three aspects: </w:t>
      </w:r>
    </w:p>
    <w:p w:rsidR="00B32D69" w:rsidRDefault="00FB661A">
      <w:pPr>
        <w:autoSpaceDE w:val="0"/>
        <w:autoSpaceDN w:val="0"/>
        <w:adjustRightInd w:val="0"/>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o</w:t>
      </w:r>
      <w:r>
        <w:rPr>
          <w:rFonts w:ascii="Times New Roman" w:hAnsi="Times New Roman" w:cs="Times New Roman"/>
          <w:noProof/>
          <w:sz w:val="24"/>
          <w:szCs w:val="24"/>
        </w:rPr>
        <w:tab/>
      </w:r>
      <w:r>
        <w:rPr>
          <w:rFonts w:ascii="Times New Roman" w:hAnsi="Times New Roman" w:cs="Times New Roman"/>
          <w:noProof/>
          <w:sz w:val="24"/>
          <w:szCs w:val="24"/>
        </w:rPr>
        <w:t xml:space="preserve">Cost competitiveness (i.e. the extent to which a proposal affects competitiveness by raising costs for some companies but not for others) </w:t>
      </w:r>
    </w:p>
    <w:p w:rsidR="00B32D69" w:rsidRDefault="00FB661A">
      <w:pPr>
        <w:autoSpaceDE w:val="0"/>
        <w:autoSpaceDN w:val="0"/>
        <w:adjustRightInd w:val="0"/>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o</w:t>
      </w:r>
      <w:r>
        <w:rPr>
          <w:rFonts w:ascii="Times New Roman" w:hAnsi="Times New Roman" w:cs="Times New Roman"/>
          <w:noProof/>
          <w:sz w:val="24"/>
          <w:szCs w:val="24"/>
        </w:rPr>
        <w:tab/>
        <w:t xml:space="preserve">Innovation competitiveness (i.e. the extent to which a proposal affects the propensity of likelihood of success of </w:t>
      </w:r>
      <w:r>
        <w:rPr>
          <w:rFonts w:ascii="Times New Roman" w:hAnsi="Times New Roman" w:cs="Times New Roman"/>
          <w:noProof/>
          <w:sz w:val="24"/>
          <w:szCs w:val="24"/>
        </w:rPr>
        <w:t xml:space="preserve">innovation among some companies but not others) </w:t>
      </w:r>
    </w:p>
    <w:p w:rsidR="00B32D69" w:rsidRDefault="00FB661A">
      <w:pPr>
        <w:autoSpaceDE w:val="0"/>
        <w:autoSpaceDN w:val="0"/>
        <w:adjustRightInd w:val="0"/>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o</w:t>
      </w:r>
      <w:r>
        <w:rPr>
          <w:rFonts w:ascii="Times New Roman" w:hAnsi="Times New Roman" w:cs="Times New Roman"/>
          <w:noProof/>
          <w:sz w:val="24"/>
          <w:szCs w:val="24"/>
        </w:rPr>
        <w:tab/>
        <w:t>International competitiveness (i.e. the extent to which a proposal affects the ability of European companies to compete with non-European companies).</w:t>
      </w:r>
    </w:p>
    <w:p w:rsidR="00B32D69" w:rsidRDefault="00FB661A">
      <w:pPr>
        <w:autoSpaceDE w:val="0"/>
        <w:autoSpaceDN w:val="0"/>
        <w:adjustRightInd w:val="0"/>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As to the aspect of costs, the proposal on restructurin</w:t>
      </w:r>
      <w:r>
        <w:rPr>
          <w:rFonts w:ascii="Times New Roman" w:hAnsi="Times New Roman" w:cs="Times New Roman"/>
          <w:noProof/>
          <w:sz w:val="24"/>
          <w:szCs w:val="24"/>
        </w:rPr>
        <w:t xml:space="preserve">g and second chance will have a positive impact for companies with high cross-border volumes. This will be due to reduction of costs of assessment of cross-border investment and of different types of costs of proceedings, of costs of relocation falling on </w:t>
      </w:r>
      <w:r>
        <w:rPr>
          <w:rFonts w:ascii="Times New Roman" w:hAnsi="Times New Roman" w:cs="Times New Roman"/>
          <w:noProof/>
          <w:sz w:val="24"/>
          <w:szCs w:val="24"/>
        </w:rPr>
        <w:t xml:space="preserve">debtors and creditors. The impact on costs of companies operating only domestically will depend on the type of jurisdictions. For the companies operating in jurisdictions where efficient restructuring is already available, the effect would be neutral; For </w:t>
      </w:r>
      <w:r>
        <w:rPr>
          <w:rFonts w:ascii="Times New Roman" w:hAnsi="Times New Roman" w:cs="Times New Roman"/>
          <w:noProof/>
          <w:sz w:val="24"/>
          <w:szCs w:val="24"/>
        </w:rPr>
        <w:t xml:space="preserve">the companies operating in jurisdictions with less efficient restructuring framework the effect would be positive.  </w:t>
      </w:r>
    </w:p>
    <w:p w:rsidR="00B32D69" w:rsidRDefault="00FB661A">
      <w:pPr>
        <w:autoSpaceDE w:val="0"/>
        <w:autoSpaceDN w:val="0"/>
        <w:adjustRightInd w:val="0"/>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 xml:space="preserve">As to the impact on innovation, the proposal will have a significant positive impact by encouraging entrepreneurship and creation of small </w:t>
      </w:r>
      <w:r>
        <w:rPr>
          <w:rFonts w:ascii="Times New Roman" w:hAnsi="Times New Roman" w:cs="Times New Roman"/>
          <w:noProof/>
          <w:sz w:val="24"/>
          <w:szCs w:val="24"/>
        </w:rPr>
        <w:t xml:space="preserve">businesses. Thus it will have some positive impact on innovation (to the degree start-ups are favourable environment for innovation). </w:t>
      </w:r>
    </w:p>
    <w:p w:rsidR="00B32D69" w:rsidRDefault="00FB661A">
      <w:pPr>
        <w:autoSpaceDE w:val="0"/>
        <w:autoSpaceDN w:val="0"/>
        <w:adjustRightInd w:val="0"/>
        <w:spacing w:before="120" w:after="120"/>
        <w:jc w:val="both"/>
        <w:rPr>
          <w:rFonts w:ascii="Times New Roman" w:hAnsi="Times New Roman" w:cs="Times New Roman"/>
          <w:noProof/>
          <w:sz w:val="24"/>
          <w:szCs w:val="24"/>
          <w:lang w:eastAsia="en-GB"/>
        </w:rPr>
      </w:pPr>
      <w:r>
        <w:rPr>
          <w:rFonts w:ascii="Times New Roman" w:hAnsi="Times New Roman" w:cs="Times New Roman"/>
          <w:noProof/>
          <w:sz w:val="24"/>
          <w:szCs w:val="24"/>
        </w:rPr>
        <w:t>Excessive liquidations and excessively long discharge periods cause small firms and entrepreneurs to shy away from innova</w:t>
      </w:r>
      <w:r>
        <w:rPr>
          <w:rFonts w:ascii="Times New Roman" w:hAnsi="Times New Roman" w:cs="Times New Roman"/>
          <w:noProof/>
          <w:sz w:val="24"/>
          <w:szCs w:val="24"/>
        </w:rPr>
        <w:t>tion as their financial resources are tied to the repayment of past bad debts often resulting from investments to non-viable business models which cannot be redirected to more viable and innovative investments. Moreover, such entrepreneurs are often stigma</w:t>
      </w:r>
      <w:r>
        <w:rPr>
          <w:rFonts w:ascii="Times New Roman" w:hAnsi="Times New Roman" w:cs="Times New Roman"/>
          <w:noProof/>
          <w:sz w:val="24"/>
          <w:szCs w:val="24"/>
        </w:rPr>
        <w:t xml:space="preserve">tised and do not want to experiment one more time. In contrast, a restructuring and second chance framework encourages greater innovation and a start-up culture. </w:t>
      </w:r>
      <w:r>
        <w:rPr>
          <w:rFonts w:ascii="Times New Roman" w:hAnsi="Times New Roman" w:cs="Times New Roman"/>
          <w:noProof/>
          <w:sz w:val="24"/>
          <w:szCs w:val="24"/>
          <w:lang w:eastAsia="en-GB"/>
        </w:rPr>
        <w:t>The insolvency of a large company has significant effects on the European economy because larg</w:t>
      </w:r>
      <w:r>
        <w:rPr>
          <w:rFonts w:ascii="Times New Roman" w:hAnsi="Times New Roman" w:cs="Times New Roman"/>
          <w:noProof/>
          <w:sz w:val="24"/>
          <w:szCs w:val="24"/>
          <w:lang w:eastAsia="en-GB"/>
        </w:rPr>
        <w:t>e companies, although only representing 0.2% of European companies, provide 30% of jobs in the EU and produce 41% of gross added value. According to the April 2011 report of the Reflection Group on the Future of EU Company Law, the international group of c</w:t>
      </w:r>
      <w:r>
        <w:rPr>
          <w:rFonts w:ascii="Times New Roman" w:hAnsi="Times New Roman" w:cs="Times New Roman"/>
          <w:noProof/>
          <w:sz w:val="24"/>
          <w:szCs w:val="24"/>
          <w:lang w:eastAsia="en-GB"/>
        </w:rPr>
        <w:t xml:space="preserve">ompanies has become </w:t>
      </w:r>
      <w:r>
        <w:rPr>
          <w:rFonts w:ascii="Times New Roman" w:hAnsi="Times New Roman" w:cs="Times New Roman"/>
          <w:i/>
          <w:iCs/>
          <w:noProof/>
          <w:sz w:val="24"/>
          <w:szCs w:val="24"/>
          <w:lang w:eastAsia="en-GB"/>
        </w:rPr>
        <w:t xml:space="preserve">the </w:t>
      </w:r>
      <w:r>
        <w:rPr>
          <w:rFonts w:ascii="Times New Roman" w:hAnsi="Times New Roman" w:cs="Times New Roman"/>
          <w:noProof/>
          <w:sz w:val="24"/>
          <w:szCs w:val="24"/>
          <w:lang w:eastAsia="en-GB"/>
        </w:rPr>
        <w:t>prevailing form of European large-sized enterprises, in which business activity is typically organised and conducted through a multinational network of subsidiaries. About 20% of large enterprises (ca. 8,500) have foreign subsidiari</w:t>
      </w:r>
      <w:r>
        <w:rPr>
          <w:rFonts w:ascii="Times New Roman" w:hAnsi="Times New Roman" w:cs="Times New Roman"/>
          <w:noProof/>
          <w:sz w:val="24"/>
          <w:szCs w:val="24"/>
          <w:lang w:eastAsia="en-GB"/>
        </w:rPr>
        <w:t>es or joint ventures</w:t>
      </w:r>
      <w:r>
        <w:rPr>
          <w:rStyle w:val="FootnoteReference"/>
          <w:rFonts w:ascii="Times New Roman" w:hAnsi="Times New Roman"/>
          <w:noProof/>
          <w:sz w:val="24"/>
          <w:szCs w:val="24"/>
          <w:lang w:eastAsia="en-GB"/>
        </w:rPr>
        <w:footnoteReference w:id="345"/>
      </w:r>
      <w:r>
        <w:rPr>
          <w:rFonts w:ascii="Times New Roman" w:hAnsi="Times New Roman" w:cs="Times New Roman"/>
          <w:noProof/>
          <w:sz w:val="24"/>
          <w:szCs w:val="24"/>
          <w:lang w:eastAsia="en-GB"/>
        </w:rPr>
        <w:t>. There are more than one million SMEs in Europe which have subsidiaries or joint ventures abroad</w:t>
      </w:r>
      <w:r>
        <w:rPr>
          <w:rStyle w:val="FootnoteReference"/>
          <w:rFonts w:ascii="Times New Roman" w:hAnsi="Times New Roman"/>
          <w:noProof/>
          <w:sz w:val="24"/>
          <w:szCs w:val="24"/>
          <w:lang w:eastAsia="en-GB"/>
        </w:rPr>
        <w:footnoteReference w:id="346"/>
      </w:r>
      <w:r>
        <w:rPr>
          <w:rFonts w:ascii="Times New Roman" w:hAnsi="Times New Roman" w:cs="Times New Roman"/>
          <w:noProof/>
          <w:sz w:val="24"/>
          <w:szCs w:val="24"/>
          <w:lang w:eastAsia="en-GB"/>
        </w:rPr>
        <w:t xml:space="preserve">. </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Incentives not only to invest but also to supply labour are reduced if a large part of income is used to repay debt. When the overhang</w:t>
      </w:r>
      <w:r>
        <w:rPr>
          <w:rFonts w:ascii="Times New Roman" w:hAnsi="Times New Roman" w:cs="Times New Roman"/>
          <w:noProof/>
          <w:sz w:val="24"/>
          <w:szCs w:val="24"/>
        </w:rPr>
        <w:t xml:space="preserve"> problem affects many economic actors at the same time, the whole economy may have little incentives to repay external debt (e.g., Krugman, 1988). Empirical evidence shows that the impact of the debt overhang on aggregate investment can be quite sizable. L</w:t>
      </w:r>
      <w:r>
        <w:rPr>
          <w:rFonts w:ascii="Times New Roman" w:hAnsi="Times New Roman" w:cs="Times New Roman"/>
          <w:noProof/>
          <w:sz w:val="24"/>
          <w:szCs w:val="24"/>
        </w:rPr>
        <w:t>agging debt restructuring leads to lower investments since highly indebted companies have to use all profits created for repayment of old debts instead for new investment. Debt deleveraging currently weighs on economic activity and competitiveness of EU in</w:t>
      </w:r>
      <w:r>
        <w:rPr>
          <w:rFonts w:ascii="Times New Roman" w:hAnsi="Times New Roman" w:cs="Times New Roman"/>
          <w:noProof/>
          <w:sz w:val="24"/>
          <w:szCs w:val="24"/>
        </w:rPr>
        <w:t>dustry compared to U.S. or Japan.</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As to international competitiveness, the proposal will have positive impact for companies that compete in global markets (i.e. against non-EU imports) due to both effects described above (lowering costs in some situations </w:t>
      </w:r>
      <w:r>
        <w:rPr>
          <w:rFonts w:ascii="Times New Roman" w:hAnsi="Times New Roman" w:cs="Times New Roman"/>
          <w:noProof/>
          <w:sz w:val="24"/>
          <w:szCs w:val="24"/>
        </w:rPr>
        <w:t>and providing better environment for innovation).</w:t>
      </w:r>
    </w:p>
    <w:p w:rsidR="00B32D69" w:rsidRDefault="00FB661A">
      <w:pPr>
        <w:spacing w:after="120"/>
        <w:jc w:val="both"/>
        <w:rPr>
          <w:rFonts w:ascii="Times New Roman" w:hAnsi="Times New Roman" w:cs="Times New Roman"/>
          <w:b/>
          <w:noProof/>
          <w:sz w:val="24"/>
          <w:szCs w:val="24"/>
          <w:lang w:val="cs-CZ"/>
        </w:rPr>
      </w:pPr>
      <w:r>
        <w:rPr>
          <w:rFonts w:ascii="Times New Roman" w:hAnsi="Times New Roman" w:cs="Times New Roman"/>
          <w:b/>
          <w:noProof/>
          <w:sz w:val="24"/>
          <w:szCs w:val="24"/>
          <w:lang w:val="cs-CZ"/>
        </w:rPr>
        <w:br w:type="page"/>
      </w:r>
    </w:p>
    <w:p w:rsidR="00B32D69" w:rsidRDefault="00FB661A">
      <w:pPr>
        <w:pStyle w:val="ManualHeading1"/>
        <w:rPr>
          <w:noProof/>
          <w:lang w:val="cs-CZ"/>
        </w:rPr>
      </w:pPr>
      <w:bookmarkStart w:id="128" w:name="_Toc460410724"/>
      <w:r>
        <w:rPr>
          <w:noProof/>
        </w:rPr>
        <w:tab/>
      </w:r>
      <w:r>
        <w:rPr>
          <w:noProof/>
          <w:lang w:val="cs-CZ"/>
        </w:rPr>
        <w:t>3. IMPACT ON COMPETITION AND STATE AID RULES</w:t>
      </w:r>
      <w:bookmarkEnd w:id="128"/>
    </w:p>
    <w:p w:rsidR="00B32D69" w:rsidRDefault="00B32D69">
      <w:pPr>
        <w:spacing w:after="120"/>
        <w:jc w:val="both"/>
        <w:rPr>
          <w:rFonts w:ascii="Times New Roman" w:hAnsi="Times New Roman" w:cs="Times New Roman"/>
          <w:noProof/>
          <w:lang w:val="cs-CZ"/>
        </w:rPr>
      </w:pP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Easier access to restructuring and preferential conditions awarded in restructuring plan (as stay, moratorium) may enhance competitive position of businesses participating in those proceedings. It should be however underlined that those measures are not di</w:t>
      </w:r>
      <w:r>
        <w:rPr>
          <w:rFonts w:ascii="Times New Roman" w:hAnsi="Times New Roman" w:cs="Times New Roman"/>
          <w:noProof/>
          <w:sz w:val="24"/>
          <w:szCs w:val="24"/>
        </w:rPr>
        <w:t>rected to any predefined sectors of activity, but available to all businesses. However, to limit potential asymmetries as to competition position it would be necessary to strictly limit the conditions of access to restructuring to viable businesses and imp</w:t>
      </w:r>
      <w:r>
        <w:rPr>
          <w:rFonts w:ascii="Times New Roman" w:hAnsi="Times New Roman" w:cs="Times New Roman"/>
          <w:noProof/>
          <w:sz w:val="24"/>
          <w:szCs w:val="24"/>
        </w:rPr>
        <w:t xml:space="preserve">ose control of creditors and courts on the manner stay and restructuring plan as such are being used. </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Discharge creates asymmetry with respect to competition between discharged and not discharged businesses. However, the impact on competition is limited b</w:t>
      </w:r>
      <w:r>
        <w:rPr>
          <w:rFonts w:ascii="Times New Roman" w:hAnsi="Times New Roman" w:cs="Times New Roman"/>
          <w:noProof/>
          <w:sz w:val="24"/>
          <w:szCs w:val="24"/>
        </w:rPr>
        <w:t xml:space="preserve">ecause discharged entrepreneurs are by definition unable to continue business or unable to continue it in previous size and scope (if obliged to repay a substantial part of debt, while being constrained in income capabilities). </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proposal will not impac</w:t>
      </w:r>
      <w:r>
        <w:rPr>
          <w:rFonts w:ascii="Times New Roman" w:hAnsi="Times New Roman" w:cs="Times New Roman"/>
          <w:noProof/>
          <w:sz w:val="24"/>
          <w:szCs w:val="24"/>
        </w:rPr>
        <w:t>t state aid, except very small expenditures of horizontal type (potential financing of debt advice and similar services).</w:t>
      </w:r>
    </w:p>
    <w:p w:rsidR="00B32D69" w:rsidRDefault="00FB661A">
      <w:pPr>
        <w:spacing w:after="120"/>
        <w:jc w:val="both"/>
        <w:rPr>
          <w:rFonts w:ascii="Times New Roman" w:hAnsi="Times New Roman" w:cs="Times New Roman"/>
          <w:b/>
          <w:noProof/>
          <w:sz w:val="24"/>
          <w:szCs w:val="24"/>
          <w:lang w:val="cs-CZ"/>
        </w:rPr>
      </w:pPr>
      <w:r>
        <w:rPr>
          <w:rFonts w:ascii="Times New Roman" w:hAnsi="Times New Roman" w:cs="Times New Roman"/>
          <w:b/>
          <w:noProof/>
          <w:sz w:val="24"/>
          <w:szCs w:val="24"/>
          <w:lang w:val="cs-CZ"/>
        </w:rPr>
        <w:br w:type="page"/>
      </w:r>
    </w:p>
    <w:p w:rsidR="00B32D69" w:rsidRDefault="00FB661A">
      <w:pPr>
        <w:pStyle w:val="ManualHeading1"/>
        <w:rPr>
          <w:noProof/>
          <w:lang w:val="cs-CZ"/>
        </w:rPr>
      </w:pPr>
      <w:bookmarkStart w:id="129" w:name="_Toc460410725"/>
      <w:r>
        <w:rPr>
          <w:noProof/>
        </w:rPr>
        <w:tab/>
      </w:r>
      <w:r>
        <w:rPr>
          <w:noProof/>
          <w:lang w:val="cs-CZ"/>
        </w:rPr>
        <w:t>4. IMPACT ON FUNDAMENTAL RIGHTS</w:t>
      </w:r>
      <w:bookmarkEnd w:id="129"/>
    </w:p>
    <w:p w:rsidR="00B32D69" w:rsidRDefault="00B32D69">
      <w:pPr>
        <w:spacing w:after="120"/>
        <w:jc w:val="both"/>
        <w:rPr>
          <w:rFonts w:ascii="Times New Roman" w:hAnsi="Times New Roman" w:cs="Times New Roman"/>
          <w:noProof/>
          <w:lang w:val="cs-CZ"/>
        </w:rPr>
      </w:pPr>
    </w:p>
    <w:p w:rsidR="00B32D69" w:rsidRDefault="00FB661A">
      <w:pPr>
        <w:spacing w:after="1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When assessing the impact of the envisaged initiative to improve substantive insolvency regimes, t</w:t>
      </w:r>
      <w:r>
        <w:rPr>
          <w:rFonts w:ascii="Times New Roman" w:hAnsi="Times New Roman" w:cs="Times New Roman"/>
          <w:noProof/>
          <w:color w:val="000000"/>
          <w:sz w:val="24"/>
          <w:szCs w:val="24"/>
        </w:rPr>
        <w:t xml:space="preserve">he final impact assessment report pays a particular attention to fundamental rights in order to ensure that the proposed schemes fully respect the rights and principles set out in the Charter, in particular those in Article 17 (right to property), Article </w:t>
      </w:r>
      <w:r>
        <w:rPr>
          <w:rFonts w:ascii="Times New Roman" w:hAnsi="Times New Roman" w:cs="Times New Roman"/>
          <w:noProof/>
          <w:color w:val="000000"/>
          <w:sz w:val="24"/>
          <w:szCs w:val="24"/>
        </w:rPr>
        <w:t>16 (freedom to conduct a business), Article 15 (freedom to choose an occupation and right to engage in work), Article 47 (2) (right to a fair trial), Article 27 (Workers’ right to information and consultation within the undertaking) as well as Article 8 (p</w:t>
      </w:r>
      <w:r>
        <w:rPr>
          <w:rFonts w:ascii="Times New Roman" w:hAnsi="Times New Roman" w:cs="Times New Roman"/>
          <w:noProof/>
          <w:color w:val="000000"/>
          <w:sz w:val="24"/>
          <w:szCs w:val="24"/>
        </w:rPr>
        <w:t>rotection of personal data) and Article 7 (respect for private and a family life). The basic rights and freedoms protected by the Treaties in particular the free movement of persons, services and establishment, are also relevant for this measure.</w:t>
      </w:r>
    </w:p>
    <w:p w:rsidR="00B32D69" w:rsidRDefault="00B32D69">
      <w:pPr>
        <w:spacing w:after="120"/>
        <w:jc w:val="both"/>
        <w:rPr>
          <w:rFonts w:ascii="Times New Roman" w:hAnsi="Times New Roman" w:cs="Times New Roman"/>
          <w:noProof/>
          <w:color w:val="000000"/>
          <w:sz w:val="24"/>
          <w:szCs w:val="24"/>
        </w:rPr>
      </w:pPr>
    </w:p>
    <w:p w:rsidR="00B32D69" w:rsidRDefault="00FB661A">
      <w:pPr>
        <w:pStyle w:val="ManualHeading2"/>
        <w:rPr>
          <w:noProof/>
        </w:rPr>
      </w:pPr>
      <w:bookmarkStart w:id="130" w:name="_Toc460410726"/>
      <w:r>
        <w:rPr>
          <w:noProof/>
        </w:rPr>
        <w:tab/>
        <w:t xml:space="preserve">4.1. </w:t>
      </w:r>
      <w:r>
        <w:rPr>
          <w:noProof/>
        </w:rPr>
        <w:t>Right to property</w:t>
      </w:r>
      <w:bookmarkEnd w:id="130"/>
      <w:r>
        <w:rPr>
          <w:noProof/>
        </w:rPr>
        <w:t xml:space="preserve"> </w:t>
      </w:r>
    </w:p>
    <w:p w:rsidR="00B32D69" w:rsidRDefault="00FB661A">
      <w:p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noProof/>
          <w:sz w:val="24"/>
          <w:szCs w:val="24"/>
        </w:rPr>
        <w:t>Where creditors' and shareholders' rights can be suspended or curtailed, the fundamental right to property comes into question. Article 17 of the European Charter of Fundamental Rights, hereafter ECFR (see also Article 1 of Protocol 1 to</w:t>
      </w:r>
      <w:r>
        <w:rPr>
          <w:rFonts w:ascii="Times New Roman" w:hAnsi="Times New Roman" w:cs="Times New Roman"/>
          <w:noProof/>
          <w:sz w:val="24"/>
          <w:szCs w:val="24"/>
        </w:rPr>
        <w:t xml:space="preserve"> the European Convention on Human Rights, hereafter ECHR) enshrines a right to property, as being the right to peaceful enjoyment of one's property or possessions, not to be deprived of possessions unless certain conditions are met and to have the use of p</w:t>
      </w:r>
      <w:r>
        <w:rPr>
          <w:rFonts w:ascii="Times New Roman" w:hAnsi="Times New Roman" w:cs="Times New Roman"/>
          <w:noProof/>
          <w:sz w:val="24"/>
          <w:szCs w:val="24"/>
        </w:rPr>
        <w:t>roperty controlled only in accordance with the general interest. The right applies irrespective of whether the subject is a natural or legal person.</w:t>
      </w:r>
    </w:p>
    <w:p w:rsidR="00B32D69" w:rsidRDefault="00FB661A">
      <w:p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noProof/>
          <w:sz w:val="24"/>
          <w:szCs w:val="24"/>
        </w:rPr>
        <w:t>The concept of property, or “possessions”, is very broadly interpreted. It covers a range of economic inter</w:t>
      </w:r>
      <w:r>
        <w:rPr>
          <w:rFonts w:ascii="Times New Roman" w:hAnsi="Times New Roman" w:cs="Times New Roman"/>
          <w:noProof/>
          <w:sz w:val="24"/>
          <w:szCs w:val="24"/>
        </w:rPr>
        <w:t>ests, including 'movable or immovable property, tangible or intangible interests, such as shares, patents, an arbitration award, the entitlement to a pension, a landlord’s entitlement to rent, the economic interests connected with the running of a business</w:t>
      </w:r>
      <w:r>
        <w:rPr>
          <w:rFonts w:ascii="Times New Roman" w:hAnsi="Times New Roman" w:cs="Times New Roman"/>
          <w:noProof/>
          <w:sz w:val="24"/>
          <w:szCs w:val="24"/>
        </w:rPr>
        <w:t>, the right to exercise a profession, a legitimate expectation that a certain state of affairs will apply and a legal claim. The rights of shareholders to equity and those of creditors entitled to a legal claim are therefore both protected under this provi</w:t>
      </w:r>
      <w:r>
        <w:rPr>
          <w:rFonts w:ascii="Times New Roman" w:hAnsi="Times New Roman" w:cs="Times New Roman"/>
          <w:noProof/>
          <w:sz w:val="24"/>
          <w:szCs w:val="24"/>
        </w:rPr>
        <w:t>sion. The right to property is not absolute, but must be applied on balance with other values. Interferences with the enjoyment of property as well as deprivations of possessions can be justified by a legitimate objective in the public or general interest,</w:t>
      </w:r>
      <w:r>
        <w:rPr>
          <w:rFonts w:ascii="Times New Roman" w:hAnsi="Times New Roman" w:cs="Times New Roman"/>
          <w:noProof/>
          <w:sz w:val="24"/>
          <w:szCs w:val="24"/>
        </w:rPr>
        <w:t xml:space="preserve"> provided that the measures are proportionate.</w:t>
      </w:r>
    </w:p>
    <w:p w:rsidR="00B32D69" w:rsidRDefault="00FB661A">
      <w:p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noProof/>
          <w:sz w:val="24"/>
          <w:szCs w:val="24"/>
        </w:rPr>
        <w:t>In preventive procedures, several measures have been considered from the perspective of compliance with the right to property:</w:t>
      </w:r>
    </w:p>
    <w:p w:rsidR="00B32D69" w:rsidRDefault="00FB661A">
      <w:pPr>
        <w:pStyle w:val="ListParagraph"/>
        <w:numPr>
          <w:ilvl w:val="0"/>
          <w:numId w:val="63"/>
        </w:num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noProof/>
          <w:sz w:val="24"/>
          <w:szCs w:val="24"/>
        </w:rPr>
        <w:t>where certain creditors' rights to enforce a claim are suspended during a moratori</w:t>
      </w:r>
      <w:r>
        <w:rPr>
          <w:rFonts w:ascii="Times New Roman" w:hAnsi="Times New Roman" w:cs="Times New Roman"/>
          <w:noProof/>
          <w:sz w:val="24"/>
          <w:szCs w:val="24"/>
        </w:rPr>
        <w:t>um, proportionality is ensured by the fact that the duration of the moratorium is short and safeguards have been put in place so that creditors can ask for the moratorium to be lifted when their rights are unfairly prejudiced;</w:t>
      </w:r>
    </w:p>
    <w:p w:rsidR="00B32D69" w:rsidRDefault="00FB661A">
      <w:pPr>
        <w:pStyle w:val="ListParagraph"/>
        <w:numPr>
          <w:ilvl w:val="0"/>
          <w:numId w:val="63"/>
        </w:num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where minority creditors are </w:t>
      </w:r>
      <w:r>
        <w:rPr>
          <w:rFonts w:ascii="Times New Roman" w:hAnsi="Times New Roman" w:cs="Times New Roman"/>
          <w:noProof/>
          <w:sz w:val="24"/>
          <w:szCs w:val="24"/>
        </w:rPr>
        <w:t xml:space="preserve">over-ruled in a majority vote or in a cross-class cram-down plan, they should be guaranteed the liquidation value (best interest of creditors test); </w:t>
      </w:r>
    </w:p>
    <w:p w:rsidR="00B32D69" w:rsidRDefault="00FB661A">
      <w:pPr>
        <w:pStyle w:val="ListParagraph"/>
        <w:numPr>
          <w:ilvl w:val="0"/>
          <w:numId w:val="63"/>
        </w:num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noProof/>
          <w:sz w:val="24"/>
          <w:szCs w:val="24"/>
        </w:rPr>
        <w:t>where shareholders' equity is diluted or, exceptionally, wiped off following a restructuring plan, they sh</w:t>
      </w:r>
      <w:r>
        <w:rPr>
          <w:rFonts w:ascii="Times New Roman" w:hAnsi="Times New Roman" w:cs="Times New Roman"/>
          <w:noProof/>
          <w:sz w:val="24"/>
          <w:szCs w:val="24"/>
        </w:rPr>
        <w:t>all be guaranteed the enterprise value (fairness test).</w:t>
      </w:r>
    </w:p>
    <w:p w:rsidR="00B32D69" w:rsidRDefault="00FB661A">
      <w:p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This impact on the right to property is considered to be proportionate to the objective of rescuing businesses and saving jobs, not the least since it has been shown that the median recovery rate for </w:t>
      </w:r>
      <w:r>
        <w:rPr>
          <w:rFonts w:ascii="Times New Roman" w:hAnsi="Times New Roman" w:cs="Times New Roman"/>
          <w:noProof/>
          <w:sz w:val="24"/>
          <w:szCs w:val="24"/>
        </w:rPr>
        <w:t xml:space="preserve">creditors may be significantly higher in case of restructuring as compared to liquidation. </w:t>
      </w:r>
    </w:p>
    <w:p w:rsidR="00B32D69" w:rsidRDefault="00FB661A">
      <w:p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noProof/>
          <w:sz w:val="24"/>
          <w:szCs w:val="24"/>
        </w:rPr>
        <w:t>In second chance provisions:</w:t>
      </w:r>
    </w:p>
    <w:p w:rsidR="00B32D69" w:rsidRDefault="00FB661A">
      <w:pPr>
        <w:pStyle w:val="ListParagraph"/>
        <w:numPr>
          <w:ilvl w:val="0"/>
          <w:numId w:val="63"/>
        </w:num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noProof/>
          <w:sz w:val="24"/>
          <w:szCs w:val="24"/>
        </w:rPr>
        <w:t>full discharge of debt for natural persons is justified by competing values such as that of ensuring the dignity of the person; a maxim</w:t>
      </w:r>
      <w:r>
        <w:rPr>
          <w:rFonts w:ascii="Times New Roman" w:hAnsi="Times New Roman" w:cs="Times New Roman"/>
          <w:noProof/>
          <w:sz w:val="24"/>
          <w:szCs w:val="24"/>
        </w:rPr>
        <w:t>um period of 3 years is thought to strike the balance between the creditors' interest to be repaid, the debtor's right to dignity and to restart work and the societal value of bringing people in to the productive economy back from poverty and exclusion.</w:t>
      </w:r>
    </w:p>
    <w:p w:rsidR="00B32D69" w:rsidRDefault="00B32D69">
      <w:pPr>
        <w:autoSpaceDE w:val="0"/>
        <w:autoSpaceDN w:val="0"/>
        <w:adjustRightInd w:val="0"/>
        <w:spacing w:after="120"/>
        <w:jc w:val="both"/>
        <w:rPr>
          <w:rFonts w:ascii="Times New Roman" w:hAnsi="Times New Roman" w:cs="Times New Roman"/>
          <w:noProof/>
        </w:rPr>
      </w:pPr>
    </w:p>
    <w:p w:rsidR="00B32D69" w:rsidRDefault="00FB661A">
      <w:pPr>
        <w:pStyle w:val="ManualHeading2"/>
        <w:rPr>
          <w:noProof/>
          <w:color w:val="000000"/>
        </w:rPr>
      </w:pPr>
      <w:bookmarkStart w:id="131" w:name="_Toc460410727"/>
      <w:r>
        <w:rPr>
          <w:noProof/>
        </w:rPr>
        <w:tab/>
      </w:r>
      <w:r>
        <w:rPr>
          <w:noProof/>
        </w:rPr>
        <w:t>4.2. Right to an effective remedy and to a fair trial</w:t>
      </w:r>
      <w:bookmarkEnd w:id="131"/>
      <w:r>
        <w:rPr>
          <w:noProof/>
        </w:rPr>
        <w:t xml:space="preserve"> </w:t>
      </w:r>
    </w:p>
    <w:p w:rsidR="00B32D69" w:rsidRDefault="00FB661A">
      <w:pPr>
        <w:spacing w:after="1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Article 47 (2) ECFR of the Charter enshrines the right to an effective remedy and to fair trial for anyone engaged in a civil law dispute (see also Article 13 and 6 of the ECHR). </w:t>
      </w:r>
    </w:p>
    <w:p w:rsidR="00B32D69" w:rsidRDefault="00FB661A">
      <w:p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noProof/>
          <w:sz w:val="24"/>
          <w:szCs w:val="24"/>
        </w:rPr>
        <w:t>In preventive procedu</w:t>
      </w:r>
      <w:r>
        <w:rPr>
          <w:rFonts w:ascii="Times New Roman" w:hAnsi="Times New Roman" w:cs="Times New Roman"/>
          <w:noProof/>
          <w:sz w:val="24"/>
          <w:szCs w:val="24"/>
        </w:rPr>
        <w:t>res, several measures have been considered from the perspective of compliance with the right to an effective remedy and to a fair trial and safeguards were designed to address potential concerns:</w:t>
      </w:r>
    </w:p>
    <w:p w:rsidR="00B32D69" w:rsidRDefault="00FB661A">
      <w:pPr>
        <w:pStyle w:val="ListParagraph"/>
        <w:numPr>
          <w:ilvl w:val="0"/>
          <w:numId w:val="63"/>
        </w:num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noProof/>
          <w:sz w:val="24"/>
          <w:szCs w:val="24"/>
        </w:rPr>
        <w:t>where certain creditors' rights to enforce a claim are suspe</w:t>
      </w:r>
      <w:r>
        <w:rPr>
          <w:rFonts w:ascii="Times New Roman" w:hAnsi="Times New Roman" w:cs="Times New Roman"/>
          <w:noProof/>
          <w:sz w:val="24"/>
          <w:szCs w:val="24"/>
        </w:rPr>
        <w:t xml:space="preserve">nded during a moratorium, they have the right to ask the court to lift the moratorium if their rights are unfairly affected; a court must approve any prolongation of the short moratorium period after being satisfied that appropriate progress in being made </w:t>
      </w:r>
      <w:r>
        <w:rPr>
          <w:rFonts w:ascii="Times New Roman" w:hAnsi="Times New Roman" w:cs="Times New Roman"/>
          <w:noProof/>
          <w:sz w:val="24"/>
          <w:szCs w:val="24"/>
        </w:rPr>
        <w:t>in the negotiations;</w:t>
      </w:r>
    </w:p>
    <w:p w:rsidR="00B32D69" w:rsidRDefault="00FB661A">
      <w:pPr>
        <w:pStyle w:val="ListParagraph"/>
        <w:numPr>
          <w:ilvl w:val="0"/>
          <w:numId w:val="63"/>
        </w:num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noProof/>
          <w:sz w:val="24"/>
          <w:szCs w:val="24"/>
        </w:rPr>
        <w:t>where minority creditors are over-ruled in a majority vote or in a cross-class cram-down plan, they have the right to challenge the restructuring plan before a court and/or to appeal the court order confirming the plan; a court must co</w:t>
      </w:r>
      <w:r>
        <w:rPr>
          <w:rFonts w:ascii="Times New Roman" w:hAnsi="Times New Roman" w:cs="Times New Roman"/>
          <w:noProof/>
          <w:sz w:val="24"/>
          <w:szCs w:val="24"/>
        </w:rPr>
        <w:t>nfirm such a plan and also ensure that dissenting creditors are not unfairly prejudiced (according to the best interest of creditors test);</w:t>
      </w:r>
    </w:p>
    <w:p w:rsidR="00B32D69" w:rsidRDefault="00FB661A">
      <w:pPr>
        <w:pStyle w:val="ListParagraph"/>
        <w:numPr>
          <w:ilvl w:val="0"/>
          <w:numId w:val="63"/>
        </w:num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where shareholders' equity is diluted or, exceptionally, wiped off following a restructuring plan, there again they </w:t>
      </w:r>
      <w:r>
        <w:rPr>
          <w:rFonts w:ascii="Times New Roman" w:hAnsi="Times New Roman" w:cs="Times New Roman"/>
          <w:noProof/>
          <w:sz w:val="24"/>
          <w:szCs w:val="24"/>
        </w:rPr>
        <w:t>have the right to challenge the plan and/or appeal against it; a court must confirm such a plan after being satisfied that the plan complies with the fairness test;</w:t>
      </w:r>
    </w:p>
    <w:p w:rsidR="00B32D69" w:rsidRDefault="00FB661A">
      <w:pPr>
        <w:pStyle w:val="ListParagraph"/>
        <w:numPr>
          <w:ilvl w:val="0"/>
          <w:numId w:val="63"/>
        </w:num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noProof/>
          <w:sz w:val="24"/>
          <w:szCs w:val="24"/>
        </w:rPr>
        <w:t>where new finance which might affect the rights of third party creditors is agreed in the p</w:t>
      </w:r>
      <w:r>
        <w:rPr>
          <w:rFonts w:ascii="Times New Roman" w:hAnsi="Times New Roman" w:cs="Times New Roman"/>
          <w:noProof/>
          <w:sz w:val="24"/>
          <w:szCs w:val="24"/>
        </w:rPr>
        <w:t>lan, a court must confirm the plan to ensure that the rights of creditors are not unfairly prejudiced.</w:t>
      </w:r>
    </w:p>
    <w:p w:rsidR="00B32D69" w:rsidRDefault="00B32D69">
      <w:pPr>
        <w:pStyle w:val="ListParagraph"/>
        <w:autoSpaceDE w:val="0"/>
        <w:autoSpaceDN w:val="0"/>
        <w:adjustRightInd w:val="0"/>
        <w:spacing w:after="120"/>
        <w:ind w:left="1080"/>
        <w:jc w:val="both"/>
        <w:rPr>
          <w:rFonts w:ascii="Times New Roman" w:hAnsi="Times New Roman" w:cs="Times New Roman"/>
          <w:noProof/>
          <w:sz w:val="24"/>
          <w:szCs w:val="24"/>
        </w:rPr>
      </w:pPr>
    </w:p>
    <w:p w:rsidR="00B32D69" w:rsidRDefault="00FB661A">
      <w:p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noProof/>
          <w:sz w:val="24"/>
          <w:szCs w:val="24"/>
        </w:rPr>
        <w:t>In second chance provisions:</w:t>
      </w:r>
    </w:p>
    <w:p w:rsidR="00B32D69" w:rsidRDefault="00FB661A">
      <w:pPr>
        <w:pStyle w:val="ListParagraph"/>
        <w:numPr>
          <w:ilvl w:val="0"/>
          <w:numId w:val="63"/>
        </w:numPr>
        <w:autoSpaceDE w:val="0"/>
        <w:autoSpaceDN w:val="0"/>
        <w:adjustRightInd w:val="0"/>
        <w:spacing w:after="120"/>
        <w:jc w:val="both"/>
        <w:rPr>
          <w:rFonts w:ascii="Times New Roman" w:hAnsi="Times New Roman" w:cs="Times New Roman"/>
          <w:noProof/>
          <w:color w:val="000000"/>
          <w:sz w:val="24"/>
          <w:szCs w:val="24"/>
        </w:rPr>
      </w:pPr>
      <w:r>
        <w:rPr>
          <w:rFonts w:ascii="Times New Roman" w:hAnsi="Times New Roman" w:cs="Times New Roman"/>
          <w:noProof/>
          <w:sz w:val="24"/>
          <w:szCs w:val="24"/>
        </w:rPr>
        <w:t>where creditor's rights are affected by a discharge in favour of a natural person, they shall be protected against dishones</w:t>
      </w:r>
      <w:r>
        <w:rPr>
          <w:rFonts w:ascii="Times New Roman" w:hAnsi="Times New Roman" w:cs="Times New Roman"/>
          <w:noProof/>
          <w:sz w:val="24"/>
          <w:szCs w:val="24"/>
        </w:rPr>
        <w:t xml:space="preserve">t behaviour. </w:t>
      </w:r>
    </w:p>
    <w:p w:rsidR="00B32D69" w:rsidRDefault="00B32D69">
      <w:pPr>
        <w:autoSpaceDE w:val="0"/>
        <w:autoSpaceDN w:val="0"/>
        <w:adjustRightInd w:val="0"/>
        <w:spacing w:after="120"/>
        <w:jc w:val="both"/>
        <w:rPr>
          <w:rFonts w:ascii="Times New Roman" w:hAnsi="Times New Roman" w:cs="Times New Roman"/>
          <w:noProof/>
          <w:sz w:val="20"/>
          <w:szCs w:val="20"/>
        </w:rPr>
      </w:pPr>
    </w:p>
    <w:p w:rsidR="00B32D69" w:rsidRDefault="00FB661A">
      <w:pPr>
        <w:pStyle w:val="ManualHeading2"/>
        <w:rPr>
          <w:noProof/>
          <w:sz w:val="20"/>
          <w:szCs w:val="20"/>
        </w:rPr>
      </w:pPr>
      <w:bookmarkStart w:id="132" w:name="_Toc460410728"/>
      <w:r>
        <w:rPr>
          <w:noProof/>
        </w:rPr>
        <w:tab/>
        <w:t>4.3. Right to conduct a business and to engage in work</w:t>
      </w:r>
      <w:bookmarkEnd w:id="132"/>
      <w:r>
        <w:rPr>
          <w:noProof/>
        </w:rPr>
        <w:t>s</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A greater convergence in early restructuring possibilities within the EU would have a positive impact in terms of the freedom to conduct a business and right to engage in work as it will generate a greater level of rescuing businesses and will contribute t</w:t>
      </w:r>
      <w:r>
        <w:rPr>
          <w:rFonts w:ascii="Times New Roman" w:hAnsi="Times New Roman" w:cs="Times New Roman"/>
          <w:noProof/>
          <w:sz w:val="24"/>
          <w:szCs w:val="24"/>
        </w:rPr>
        <w:t xml:space="preserve">o saving jobs. The fact that efficient preventive restructuring proceedings with similar core features will be available in all Member States will raise legal certainty for entrepreneurs and investors and will raise cross-border business activities. </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Simil</w:t>
      </w:r>
      <w:r>
        <w:rPr>
          <w:rFonts w:ascii="Times New Roman" w:hAnsi="Times New Roman" w:cs="Times New Roman"/>
          <w:noProof/>
          <w:sz w:val="24"/>
          <w:szCs w:val="24"/>
        </w:rPr>
        <w:t>arly, the second chance provisions in the initiative providing a debt-discharge for hones entrepreneurs within a reasonable period of time will facilitate the possibility of a second chance for those entrepreneurs concerned and (where relevant) for natural</w:t>
      </w:r>
      <w:r>
        <w:rPr>
          <w:rFonts w:ascii="Times New Roman" w:hAnsi="Times New Roman" w:cs="Times New Roman"/>
          <w:noProof/>
          <w:sz w:val="24"/>
          <w:szCs w:val="24"/>
        </w:rPr>
        <w:t xml:space="preserve"> persons, thereby ensuring their return to the internal market as economically active persons .</w:t>
      </w:r>
    </w:p>
    <w:p w:rsidR="00B32D69" w:rsidRDefault="00B32D69">
      <w:pPr>
        <w:spacing w:after="120"/>
        <w:jc w:val="both"/>
        <w:rPr>
          <w:rFonts w:ascii="Times New Roman" w:hAnsi="Times New Roman" w:cs="Times New Roman"/>
          <w:noProof/>
          <w:sz w:val="24"/>
          <w:szCs w:val="24"/>
        </w:rPr>
      </w:pPr>
    </w:p>
    <w:p w:rsidR="00B32D69" w:rsidRDefault="00FB661A">
      <w:pPr>
        <w:pStyle w:val="ManualHeading2"/>
        <w:rPr>
          <w:noProof/>
        </w:rPr>
      </w:pPr>
      <w:r>
        <w:rPr>
          <w:noProof/>
        </w:rPr>
        <w:tab/>
        <w:t xml:space="preserve">4.4. Workers' right to information and consultation within the undertaking </w:t>
      </w:r>
    </w:p>
    <w:p w:rsidR="00B32D69" w:rsidRDefault="00FB661A">
      <w:pPr>
        <w:spacing w:after="120"/>
        <w:jc w:val="both"/>
        <w:rPr>
          <w:rFonts w:ascii="Times New Roman" w:hAnsi="Times New Roman" w:cs="Times New Roman"/>
          <w:noProof/>
          <w:color w:val="000000"/>
          <w:sz w:val="25"/>
          <w:szCs w:val="25"/>
        </w:rPr>
      </w:pPr>
      <w:r>
        <w:rPr>
          <w:rFonts w:ascii="Times New Roman" w:hAnsi="Times New Roman" w:cs="Times New Roman"/>
          <w:noProof/>
          <w:color w:val="000000"/>
          <w:sz w:val="25"/>
          <w:szCs w:val="25"/>
        </w:rPr>
        <w:t>Article 27 of the ECFR stipulates that workers or their representatives must, at t</w:t>
      </w:r>
      <w:r>
        <w:rPr>
          <w:rFonts w:ascii="Times New Roman" w:hAnsi="Times New Roman" w:cs="Times New Roman"/>
          <w:noProof/>
          <w:color w:val="000000"/>
          <w:sz w:val="25"/>
          <w:szCs w:val="25"/>
        </w:rPr>
        <w:t>he appropriate levels, be guaranteed information and consultation in good time in the cases and under the conditions provided for by Union law and national laws and practices.</w:t>
      </w:r>
    </w:p>
    <w:p w:rsidR="00B32D69" w:rsidRDefault="00FB661A">
      <w:pPr>
        <w:spacing w:after="120"/>
        <w:jc w:val="both"/>
        <w:rPr>
          <w:rFonts w:ascii="Times New Roman" w:hAnsi="Times New Roman" w:cs="Times New Roman"/>
          <w:noProof/>
          <w:color w:val="000000"/>
          <w:sz w:val="25"/>
          <w:szCs w:val="25"/>
        </w:rPr>
      </w:pPr>
      <w:r>
        <w:rPr>
          <w:rFonts w:ascii="Times New Roman" w:hAnsi="Times New Roman" w:cs="Times New Roman"/>
          <w:noProof/>
          <w:color w:val="000000"/>
          <w:sz w:val="25"/>
          <w:szCs w:val="25"/>
        </w:rPr>
        <w:t>The proposal on an early restructuring framework will not change the current rules which provide for information and consultation of workers under EU law: the present Directive is without prejudice to the EU labour law Directives such as Directives 98/59/E</w:t>
      </w:r>
      <w:r>
        <w:rPr>
          <w:rFonts w:ascii="Times New Roman" w:hAnsi="Times New Roman" w:cs="Times New Roman"/>
          <w:noProof/>
          <w:color w:val="000000"/>
          <w:sz w:val="25"/>
          <w:szCs w:val="25"/>
        </w:rPr>
        <w:t xml:space="preserve">C, 2001/23/EC, 2002/14EC, 2008/94/EC, 2009/38/EC. Nor does the forthcoming proposal prescribe how such consultation and information should be effected (i.e. on-line or otherwise). </w:t>
      </w:r>
    </w:p>
    <w:p w:rsidR="00B32D69" w:rsidRDefault="00FB661A">
      <w:pPr>
        <w:spacing w:after="120"/>
        <w:jc w:val="both"/>
        <w:rPr>
          <w:rFonts w:ascii="Times New Roman" w:hAnsi="Times New Roman" w:cs="Times New Roman"/>
          <w:noProof/>
          <w:color w:val="000000"/>
          <w:sz w:val="25"/>
          <w:szCs w:val="25"/>
        </w:rPr>
      </w:pPr>
      <w:r>
        <w:rPr>
          <w:rFonts w:ascii="Times New Roman" w:hAnsi="Times New Roman" w:cs="Times New Roman"/>
          <w:noProof/>
          <w:color w:val="000000"/>
          <w:sz w:val="25"/>
          <w:szCs w:val="25"/>
        </w:rPr>
        <w:t>Where employees will be affected under a restructuring plan, they will also</w:t>
      </w:r>
      <w:r>
        <w:rPr>
          <w:rFonts w:ascii="Times New Roman" w:hAnsi="Times New Roman" w:cs="Times New Roman"/>
          <w:noProof/>
          <w:color w:val="000000"/>
          <w:sz w:val="25"/>
          <w:szCs w:val="25"/>
        </w:rPr>
        <w:t xml:space="preserve"> have the right to vote on it and, if they are dissenting, a court will need to confirm the plan and guarantee the legality of the process. The vote could be organised by distance means of communication, which will facilitate the participation of creditors</w:t>
      </w:r>
      <w:r>
        <w:rPr>
          <w:rFonts w:ascii="Times New Roman" w:hAnsi="Times New Roman" w:cs="Times New Roman"/>
          <w:noProof/>
          <w:color w:val="000000"/>
          <w:sz w:val="25"/>
          <w:szCs w:val="25"/>
        </w:rPr>
        <w:t>.</w:t>
      </w:r>
    </w:p>
    <w:p w:rsidR="00B32D69" w:rsidRDefault="00FB661A">
      <w:pPr>
        <w:spacing w:after="120"/>
        <w:jc w:val="both"/>
        <w:rPr>
          <w:rFonts w:ascii="Times New Roman" w:hAnsi="Times New Roman" w:cs="Times New Roman"/>
          <w:b/>
          <w:noProof/>
          <w:sz w:val="24"/>
          <w:szCs w:val="24"/>
          <w:lang w:val="cs-CZ"/>
        </w:rPr>
      </w:pPr>
      <w:r>
        <w:rPr>
          <w:rFonts w:ascii="Times New Roman" w:hAnsi="Times New Roman" w:cs="Times New Roman"/>
          <w:b/>
          <w:noProof/>
          <w:sz w:val="24"/>
          <w:szCs w:val="24"/>
          <w:lang w:val="cs-CZ"/>
        </w:rPr>
        <w:br w:type="page"/>
      </w:r>
    </w:p>
    <w:p w:rsidR="00B32D69" w:rsidRDefault="00FB661A">
      <w:pPr>
        <w:pStyle w:val="ManualHeading1"/>
        <w:rPr>
          <w:noProof/>
          <w:lang w:val="cs-CZ"/>
        </w:rPr>
      </w:pPr>
      <w:bookmarkStart w:id="133" w:name="_Toc460410729"/>
      <w:r>
        <w:rPr>
          <w:noProof/>
        </w:rPr>
        <w:tab/>
      </w:r>
      <w:r>
        <w:rPr>
          <w:noProof/>
          <w:lang w:val="cs-CZ"/>
        </w:rPr>
        <w:t>5. IMPACT ON SOCIAL ENVIRONMENT</w:t>
      </w:r>
      <w:bookmarkEnd w:id="133"/>
    </w:p>
    <w:p w:rsidR="00B32D69" w:rsidRDefault="00FB661A">
      <w:pPr>
        <w:spacing w:before="120" w:after="1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Effective rescue and second chance provisions may have a positive influence upon employment and entrepreneurship. Rescuing viable companies rather than liquidating them can reduce the amount of jobs lost and unemploymen</w:t>
      </w:r>
      <w:r>
        <w:rPr>
          <w:rFonts w:ascii="Times New Roman" w:hAnsi="Times New Roman" w:cs="Times New Roman"/>
          <w:noProof/>
          <w:color w:val="000000"/>
          <w:sz w:val="24"/>
          <w:szCs w:val="24"/>
        </w:rPr>
        <w:t>t in general. Second chance for honest but bankrupt entrepreneurs is an important incentive for individuals to re-enter the jobs market and the productive economy. Several respondents to the CMU Green Paper consultation highlighted the resulting complexity</w:t>
      </w:r>
      <w:r>
        <w:rPr>
          <w:rFonts w:ascii="Times New Roman" w:hAnsi="Times New Roman" w:cs="Times New Roman"/>
          <w:noProof/>
          <w:color w:val="000000"/>
          <w:sz w:val="24"/>
          <w:szCs w:val="24"/>
        </w:rPr>
        <w:t xml:space="preserve"> involved in approximating substantive laws in the area of insolvency which may touch upon the functioning of tax and social security systems of Member States.</w:t>
      </w:r>
      <w:r>
        <w:rPr>
          <w:rStyle w:val="FootnoteReference"/>
          <w:rFonts w:ascii="Times New Roman" w:hAnsi="Times New Roman"/>
          <w:noProof/>
          <w:color w:val="000000"/>
          <w:sz w:val="24"/>
          <w:szCs w:val="24"/>
        </w:rPr>
        <w:footnoteReference w:id="347"/>
      </w:r>
      <w:r>
        <w:rPr>
          <w:rFonts w:ascii="Times New Roman" w:hAnsi="Times New Roman" w:cs="Times New Roman"/>
          <w:noProof/>
          <w:color w:val="000000"/>
          <w:sz w:val="24"/>
          <w:szCs w:val="24"/>
        </w:rPr>
        <w:t>. This suggests the necessity of adopting a pragmatic line identifying on the basis of a thoroug</w:t>
      </w:r>
      <w:r>
        <w:rPr>
          <w:rFonts w:ascii="Times New Roman" w:hAnsi="Times New Roman" w:cs="Times New Roman"/>
          <w:noProof/>
          <w:color w:val="000000"/>
          <w:sz w:val="24"/>
          <w:szCs w:val="24"/>
        </w:rPr>
        <w:t xml:space="preserve">h impact assessment specific areas where common principles/minimum standards would be appropriate in order to achieve CMU objectives, whilst leaving the details of implementation to Member States to fit in with their national frameworks. </w:t>
      </w:r>
    </w:p>
    <w:p w:rsidR="00B32D69" w:rsidRDefault="00FB661A">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 xml:space="preserve">Households are a </w:t>
      </w:r>
      <w:r>
        <w:rPr>
          <w:rFonts w:ascii="Times New Roman" w:hAnsi="Times New Roman" w:cs="Times New Roman"/>
          <w:noProof/>
          <w:sz w:val="24"/>
          <w:szCs w:val="24"/>
        </w:rPr>
        <w:t>key source of funds to finance investment, but also remain under debt overhang pressure. EU-SILC survey data shows that, in 2011 and across the EU area as a whole, one in almost nine of those surveyed (11.4%) had been in arrears with payments over the prev</w:t>
      </w:r>
      <w:r>
        <w:rPr>
          <w:rFonts w:ascii="Times New Roman" w:hAnsi="Times New Roman" w:cs="Times New Roman"/>
          <w:noProof/>
          <w:sz w:val="24"/>
          <w:szCs w:val="24"/>
        </w:rPr>
        <w:t>ious 12 months on rent/mortgage, utility bills and/or hire-purchase/loan agreements due to financial difficulties. However, more than three in ten of those surveyed in Bulgaria, Greece and Romania were in this situation.</w:t>
      </w:r>
      <w:r>
        <w:rPr>
          <w:rStyle w:val="FootnoteReference"/>
          <w:rFonts w:ascii="Times New Roman" w:hAnsi="Times New Roman"/>
          <w:noProof/>
          <w:sz w:val="24"/>
          <w:szCs w:val="24"/>
        </w:rPr>
        <w:footnoteReference w:id="348"/>
      </w:r>
      <w:r>
        <w:rPr>
          <w:rFonts w:ascii="Times New Roman" w:hAnsi="Times New Roman" w:cs="Times New Roman"/>
          <w:noProof/>
          <w:sz w:val="24"/>
          <w:szCs w:val="24"/>
        </w:rPr>
        <w:t xml:space="preserve"> The situation in the EU shows high</w:t>
      </w:r>
      <w:r>
        <w:rPr>
          <w:rFonts w:ascii="Times New Roman" w:hAnsi="Times New Roman" w:cs="Times New Roman"/>
          <w:noProof/>
          <w:sz w:val="24"/>
          <w:szCs w:val="24"/>
        </w:rPr>
        <w:t xml:space="preserve"> cross-country heterogeneity</w:t>
      </w:r>
      <w:r>
        <w:rPr>
          <w:rStyle w:val="FootnoteReference"/>
          <w:rFonts w:ascii="Times New Roman" w:hAnsi="Times New Roman"/>
          <w:noProof/>
          <w:sz w:val="24"/>
          <w:szCs w:val="24"/>
        </w:rPr>
        <w:footnoteReference w:id="349"/>
      </w:r>
      <w:r>
        <w:rPr>
          <w:rFonts w:ascii="Times New Roman" w:hAnsi="Times New Roman" w:cs="Times New Roman"/>
          <w:noProof/>
          <w:sz w:val="24"/>
          <w:szCs w:val="24"/>
        </w:rPr>
        <w:t xml:space="preserve"> with the household sector effectively deleveraging only in a subset of countries. In other countries, this sector is likely to be caught in a debt trap. Households with lower income or wealth appear to be affected by the debt </w:t>
      </w:r>
      <w:r>
        <w:rPr>
          <w:rFonts w:ascii="Times New Roman" w:hAnsi="Times New Roman" w:cs="Times New Roman"/>
          <w:noProof/>
          <w:sz w:val="24"/>
          <w:szCs w:val="24"/>
        </w:rPr>
        <w:t>overhang which has a negative impact on household spending and hence aggregate demand. Remaining in a debt trap has detrimental consequences both for the indebted person and for the society. The person is under financial strain, reduces his/her consumption</w:t>
      </w:r>
      <w:r>
        <w:rPr>
          <w:rFonts w:ascii="Times New Roman" w:hAnsi="Times New Roman" w:cs="Times New Roman"/>
          <w:noProof/>
          <w:sz w:val="24"/>
          <w:szCs w:val="24"/>
        </w:rPr>
        <w:t>, may lose apartment. Indirect consequences may be on one's health and willingness to participate in active economic life – find  a job or start business. The over-indebted person will be most probably refused any further credit and may be excluded totally</w:t>
      </w:r>
      <w:r>
        <w:rPr>
          <w:rFonts w:ascii="Times New Roman" w:hAnsi="Times New Roman" w:cs="Times New Roman"/>
          <w:noProof/>
          <w:sz w:val="24"/>
          <w:szCs w:val="24"/>
        </w:rPr>
        <w:t xml:space="preserve"> from using financial products, even having a bank account. Consequences to the society may be increased demand for social help, but also deteriorating social climate, even expansion of crime if more people are becoming homeless and without resources. </w:t>
      </w:r>
    </w:p>
    <w:p w:rsidR="00B32D69" w:rsidRDefault="00FB661A">
      <w:pPr>
        <w:spacing w:before="120" w:after="120"/>
        <w:jc w:val="both"/>
        <w:rPr>
          <w:rFonts w:ascii="Times New Roman" w:hAnsi="Times New Roman" w:cs="Times New Roman"/>
          <w:b/>
          <w:noProof/>
          <w:sz w:val="24"/>
          <w:szCs w:val="24"/>
        </w:rPr>
      </w:pPr>
      <w:r>
        <w:rPr>
          <w:rFonts w:ascii="Times New Roman" w:hAnsi="Times New Roman" w:cs="Times New Roman"/>
          <w:b/>
          <w:noProof/>
          <w:sz w:val="24"/>
          <w:szCs w:val="24"/>
        </w:rPr>
        <w:t>Workers</w:t>
      </w:r>
    </w:p>
    <w:p w:rsidR="00B32D69" w:rsidRDefault="00FB661A">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Workers are also a key group. They are first needed in order to ensure that the business in financial difficulties continues operating as usual. Second, after the restructuring plan is confirmed, they are needed to implement the measures required t</w:t>
      </w:r>
      <w:r>
        <w:rPr>
          <w:rFonts w:ascii="Times New Roman" w:hAnsi="Times New Roman" w:cs="Times New Roman"/>
          <w:noProof/>
          <w:sz w:val="24"/>
          <w:szCs w:val="24"/>
        </w:rPr>
        <w:t xml:space="preserve">o bring the company back to viability. </w:t>
      </w:r>
    </w:p>
    <w:p w:rsidR="00B32D69" w:rsidRDefault="00FB661A">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The proposal enshrines work-related rights provided by the Charter of Fundamental Rights of the European Union</w:t>
      </w:r>
      <w:r>
        <w:rPr>
          <w:rStyle w:val="FootnoteReference"/>
          <w:rFonts w:ascii="Times New Roman" w:hAnsi="Times New Roman"/>
          <w:noProof/>
          <w:sz w:val="24"/>
          <w:szCs w:val="24"/>
        </w:rPr>
        <w:footnoteReference w:id="350"/>
      </w:r>
      <w:r>
        <w:rPr>
          <w:rFonts w:ascii="Times New Roman" w:hAnsi="Times New Roman" w:cs="Times New Roman"/>
          <w:noProof/>
          <w:sz w:val="24"/>
          <w:szCs w:val="24"/>
        </w:rPr>
        <w:t>. In particular, the Freedom to choose an occupation and right to engage in work (Article 15) is reinforc</w:t>
      </w:r>
      <w:r>
        <w:rPr>
          <w:rFonts w:ascii="Times New Roman" w:hAnsi="Times New Roman" w:cs="Times New Roman"/>
          <w:noProof/>
          <w:sz w:val="24"/>
          <w:szCs w:val="24"/>
        </w:rPr>
        <w:t xml:space="preserve">ed through the protection of existing jobs, as a direct consequence of encouraging efficient restructuring instead of their extinction as a normal consequence of liquidation. Furthermore, </w:t>
      </w:r>
      <w:r>
        <w:rPr>
          <w:rFonts w:ascii="Times New Roman" w:eastAsia="Calibri" w:hAnsi="Times New Roman" w:cs="Times New Roman"/>
          <w:noProof/>
          <w:sz w:val="24"/>
          <w:szCs w:val="24"/>
          <w:lang w:eastAsia="en-GB"/>
        </w:rPr>
        <w:t>since debtors in financial difficulties will be able to continue ope</w:t>
      </w:r>
      <w:r>
        <w:rPr>
          <w:rFonts w:ascii="Times New Roman" w:eastAsia="Calibri" w:hAnsi="Times New Roman" w:cs="Times New Roman"/>
          <w:noProof/>
          <w:sz w:val="24"/>
          <w:szCs w:val="24"/>
          <w:lang w:eastAsia="en-GB"/>
        </w:rPr>
        <w:t xml:space="preserve">rating during restructuring negotiations having full or at least partial control of their assets and affairs, and over indebted entrepreneurs would be able to have a second start after a full discharge of debt, </w:t>
      </w:r>
      <w:r>
        <w:rPr>
          <w:rFonts w:ascii="Times New Roman" w:hAnsi="Times New Roman" w:cs="Times New Roman"/>
          <w:noProof/>
          <w:sz w:val="24"/>
          <w:szCs w:val="24"/>
        </w:rPr>
        <w:t>the Freedom to conduct a business (Article 16</w:t>
      </w:r>
      <w:r>
        <w:rPr>
          <w:rFonts w:ascii="Times New Roman" w:hAnsi="Times New Roman" w:cs="Times New Roman"/>
          <w:noProof/>
          <w:sz w:val="24"/>
          <w:szCs w:val="24"/>
        </w:rPr>
        <w:t xml:space="preserve">) will be strengthened under the proposal's framework. </w:t>
      </w:r>
    </w:p>
    <w:p w:rsidR="00B32D69" w:rsidRDefault="00FB661A">
      <w:pPr>
        <w:spacing w:before="120" w:after="120"/>
        <w:jc w:val="both"/>
        <w:rPr>
          <w:rFonts w:ascii="Times New Roman" w:hAnsi="Times New Roman" w:cs="Times New Roman"/>
          <w:noProof/>
          <w:color w:val="000000"/>
          <w:sz w:val="24"/>
          <w:szCs w:val="24"/>
        </w:rPr>
      </w:pPr>
      <w:r>
        <w:rPr>
          <w:rFonts w:ascii="Times New Roman" w:hAnsi="Times New Roman" w:cs="Times New Roman"/>
          <w:noProof/>
          <w:sz w:val="24"/>
          <w:szCs w:val="24"/>
        </w:rPr>
        <w:t xml:space="preserve">In respect to rights of workers, the proposal does not entail any restriction. EU law guarantees a number of essential rights to workers in insolvency and, to a certain extent, in early restructuring </w:t>
      </w:r>
      <w:r>
        <w:rPr>
          <w:rFonts w:ascii="Times New Roman" w:hAnsi="Times New Roman" w:cs="Times New Roman"/>
          <w:noProof/>
          <w:sz w:val="24"/>
          <w:szCs w:val="24"/>
        </w:rPr>
        <w:t xml:space="preserve">procedures. A framework on early restructuring does not upset the existing set of rights which workers enjoy and full labour law protection should be guaranteed to employees during such procedures. </w:t>
      </w:r>
    </w:p>
    <w:p w:rsidR="00B32D69" w:rsidRDefault="00FB661A">
      <w:pPr>
        <w:spacing w:before="120" w:after="120"/>
        <w:jc w:val="both"/>
        <w:rPr>
          <w:rFonts w:ascii="Times New Roman" w:hAnsi="Times New Roman" w:cs="Times New Roman"/>
          <w:noProof/>
          <w:sz w:val="24"/>
          <w:szCs w:val="24"/>
        </w:rPr>
      </w:pPr>
      <w:r>
        <w:rPr>
          <w:rStyle w:val="Corpsdutexte0"/>
          <w:rFonts w:ascii="Times New Roman" w:hAnsi="Times New Roman" w:cs="Times New Roman"/>
          <w:noProof/>
        </w:rPr>
        <w:t>In particular, this Directive should be without prejudice</w:t>
      </w:r>
      <w:r>
        <w:rPr>
          <w:rStyle w:val="Corpsdutexte0"/>
          <w:rFonts w:ascii="Times New Roman" w:hAnsi="Times New Roman" w:cs="Times New Roman"/>
          <w:noProof/>
        </w:rPr>
        <w:t xml:space="preserve"> to employees' rights guaranteed by </w:t>
      </w:r>
      <w:r>
        <w:rPr>
          <w:rFonts w:ascii="Times New Roman" w:hAnsi="Times New Roman" w:cs="Times New Roman"/>
          <w:noProof/>
          <w:sz w:val="24"/>
          <w:szCs w:val="24"/>
        </w:rPr>
        <w:t>Directives 98/59/EC</w:t>
      </w:r>
      <w:r>
        <w:rPr>
          <w:rStyle w:val="FootnoteReference"/>
          <w:rFonts w:ascii="Times New Roman" w:hAnsi="Times New Roman"/>
          <w:noProof/>
          <w:sz w:val="24"/>
          <w:szCs w:val="24"/>
        </w:rPr>
        <w:footnoteReference w:id="351"/>
      </w:r>
      <w:r>
        <w:rPr>
          <w:rFonts w:ascii="Times New Roman" w:hAnsi="Times New Roman" w:cs="Times New Roman"/>
          <w:noProof/>
          <w:sz w:val="24"/>
          <w:szCs w:val="24"/>
        </w:rPr>
        <w:t>, 2001/23/EC</w:t>
      </w:r>
      <w:r>
        <w:rPr>
          <w:rStyle w:val="FootnoteReference"/>
          <w:rFonts w:ascii="Times New Roman" w:hAnsi="Times New Roman"/>
          <w:noProof/>
          <w:sz w:val="24"/>
          <w:szCs w:val="24"/>
        </w:rPr>
        <w:footnoteReference w:id="352"/>
      </w:r>
      <w:r>
        <w:rPr>
          <w:rFonts w:ascii="Times New Roman" w:hAnsi="Times New Roman" w:cs="Times New Roman"/>
          <w:noProof/>
          <w:sz w:val="24"/>
          <w:szCs w:val="24"/>
        </w:rPr>
        <w:t>, 2002/14EC</w:t>
      </w:r>
      <w:r>
        <w:rPr>
          <w:rStyle w:val="FootnoteReference"/>
          <w:rFonts w:ascii="Times New Roman" w:hAnsi="Times New Roman"/>
          <w:noProof/>
          <w:sz w:val="24"/>
          <w:szCs w:val="24"/>
        </w:rPr>
        <w:footnoteReference w:id="353"/>
      </w:r>
      <w:r>
        <w:rPr>
          <w:rFonts w:ascii="Times New Roman" w:hAnsi="Times New Roman" w:cs="Times New Roman"/>
          <w:noProof/>
          <w:sz w:val="24"/>
          <w:szCs w:val="24"/>
        </w:rPr>
        <w:t>, 2008/94/EC</w:t>
      </w:r>
      <w:r>
        <w:rPr>
          <w:rStyle w:val="FootnoteReference"/>
          <w:rFonts w:ascii="Times New Roman" w:hAnsi="Times New Roman"/>
          <w:noProof/>
          <w:sz w:val="24"/>
          <w:szCs w:val="24"/>
        </w:rPr>
        <w:footnoteReference w:id="354"/>
      </w:r>
      <w:r>
        <w:rPr>
          <w:rFonts w:ascii="Times New Roman" w:hAnsi="Times New Roman" w:cs="Times New Roman"/>
          <w:noProof/>
          <w:sz w:val="24"/>
          <w:szCs w:val="24"/>
        </w:rPr>
        <w:t xml:space="preserve"> and 2009/38/EC</w:t>
      </w:r>
      <w:r>
        <w:rPr>
          <w:rStyle w:val="FootnoteReference"/>
          <w:rFonts w:ascii="Times New Roman" w:hAnsi="Times New Roman"/>
          <w:noProof/>
          <w:sz w:val="24"/>
          <w:szCs w:val="24"/>
        </w:rPr>
        <w:footnoteReference w:id="355"/>
      </w:r>
      <w:r>
        <w:rPr>
          <w:rFonts w:ascii="Times New Roman" w:hAnsi="Times New Roman" w:cs="Times New Roman"/>
          <w:noProof/>
          <w:sz w:val="24"/>
          <w:szCs w:val="24"/>
        </w:rPr>
        <w:t xml:space="preserve">. </w:t>
      </w:r>
    </w:p>
    <w:p w:rsidR="00B32D69" w:rsidRDefault="00FB661A">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The rights concerning the information and consultation of employees under national law implementing the above-mentioned-Directives remain fully</w:t>
      </w:r>
      <w:r>
        <w:rPr>
          <w:rFonts w:ascii="Times New Roman" w:hAnsi="Times New Roman" w:cs="Times New Roman"/>
          <w:noProof/>
          <w:sz w:val="24"/>
          <w:szCs w:val="24"/>
        </w:rPr>
        <w:t xml:space="preserve"> intact.</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Where a partial transfer of undertaking is agreed in the restructuring plan, Directive 2001/23/EC puts in place safeguards for workers. Some limitations to this basic principle are possible under insolvency proceedings. For proceedings not targete</w:t>
      </w:r>
      <w:r>
        <w:rPr>
          <w:rFonts w:ascii="Times New Roman" w:hAnsi="Times New Roman" w:cs="Times New Roman"/>
          <w:noProof/>
          <w:sz w:val="24"/>
          <w:szCs w:val="24"/>
        </w:rPr>
        <w:t>d at liquidation, which is the case for preventive restructuring by definition, Art. 5 (2) mentions two possible limitations: (i) the transferee can be relieved of previous liabilities if workers receive a compensation at least equivalent to the one they w</w:t>
      </w:r>
      <w:r>
        <w:rPr>
          <w:rFonts w:ascii="Times New Roman" w:hAnsi="Times New Roman" w:cs="Times New Roman"/>
          <w:noProof/>
          <w:sz w:val="24"/>
          <w:szCs w:val="24"/>
        </w:rPr>
        <w:t>ould receive from the existing guarantee fund for workers (ii) working conditions can be downsized in agreement with employees. These limitations are only possible where "proceedings are under the supervision of a competent public authority (which may be a</w:t>
      </w:r>
      <w:r>
        <w:rPr>
          <w:rFonts w:ascii="Times New Roman" w:hAnsi="Times New Roman" w:cs="Times New Roman"/>
          <w:noProof/>
          <w:sz w:val="24"/>
          <w:szCs w:val="24"/>
        </w:rPr>
        <w:t>n insolvency practitioner determined by national law)".</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On the other hand, Directive 2008/94 imposes an obligation on Member States to put in place guarantee institutions to guarantee the payment of employees' outstanding claims resulting from contracts of</w:t>
      </w:r>
      <w:r>
        <w:rPr>
          <w:rFonts w:ascii="Times New Roman" w:hAnsi="Times New Roman" w:cs="Times New Roman"/>
          <w:noProof/>
          <w:sz w:val="24"/>
          <w:szCs w:val="24"/>
        </w:rPr>
        <w:t xml:space="preserve"> employment or employment relationships in the event of the employer's formal insolvency proceedings in relation to the employer. Member States have the possibility to extend the coverage of such guarantee institutions also to other types of procedures. Th</w:t>
      </w:r>
      <w:r>
        <w:rPr>
          <w:rFonts w:ascii="Times New Roman" w:hAnsi="Times New Roman" w:cs="Times New Roman"/>
          <w:noProof/>
          <w:sz w:val="24"/>
          <w:szCs w:val="24"/>
        </w:rPr>
        <w:t>e current proposal will not have an impact on the application of Directive 2008/94. The proposal aims at putting in place in each Member State preventive procedures which aim at helping the debtor avoid a state of insolvency. However, if restructuring effo</w:t>
      </w:r>
      <w:r>
        <w:rPr>
          <w:rFonts w:ascii="Times New Roman" w:hAnsi="Times New Roman" w:cs="Times New Roman"/>
          <w:noProof/>
          <w:sz w:val="24"/>
          <w:szCs w:val="24"/>
        </w:rPr>
        <w:t>rts fail and the debtor becomes insolvent according to national law, the provisions of Directive 2008/94 will apply accordingly.</w:t>
      </w:r>
    </w:p>
    <w:p w:rsidR="00B32D69" w:rsidRDefault="00FB661A">
      <w:pPr>
        <w:spacing w:before="120" w:after="120"/>
        <w:jc w:val="both"/>
        <w:rPr>
          <w:rFonts w:ascii="Times New Roman" w:hAnsi="Times New Roman" w:cs="Times New Roman"/>
          <w:noProof/>
          <w:sz w:val="24"/>
          <w:szCs w:val="24"/>
        </w:rPr>
      </w:pPr>
      <w:r>
        <w:rPr>
          <w:rStyle w:val="Corpsdutexte0"/>
          <w:rFonts w:ascii="Times New Roman" w:hAnsi="Times New Roman" w:cs="Times New Roman"/>
          <w:noProof/>
        </w:rPr>
        <w:t>Moreover, the right to i</w:t>
      </w:r>
      <w:r>
        <w:rPr>
          <w:rFonts w:ascii="Times New Roman" w:hAnsi="Times New Roman" w:cs="Times New Roman"/>
          <w:noProof/>
          <w:sz w:val="24"/>
          <w:szCs w:val="24"/>
        </w:rPr>
        <w:t xml:space="preserve">nformation and consultation before restructuring and/or collective redundancies, guaranteed </w:t>
      </w:r>
      <w:r>
        <w:rPr>
          <w:rStyle w:val="Corpsdutexte0"/>
          <w:rFonts w:ascii="Times New Roman" w:hAnsi="Times New Roman" w:cs="Times New Roman"/>
          <w:noProof/>
        </w:rPr>
        <w:t xml:space="preserve">by </w:t>
      </w:r>
      <w:r>
        <w:rPr>
          <w:rFonts w:ascii="Times New Roman" w:hAnsi="Times New Roman" w:cs="Times New Roman"/>
          <w:noProof/>
          <w:sz w:val="24"/>
          <w:szCs w:val="24"/>
        </w:rPr>
        <w:t>Directiv</w:t>
      </w:r>
      <w:r>
        <w:rPr>
          <w:rFonts w:ascii="Times New Roman" w:hAnsi="Times New Roman" w:cs="Times New Roman"/>
          <w:noProof/>
          <w:sz w:val="24"/>
          <w:szCs w:val="24"/>
        </w:rPr>
        <w:t>es 98/59/EC, 2001/23/EC, 2002/14EC, 2008/94/EC and 2009/38/EC, remain intact.</w:t>
      </w:r>
    </w:p>
    <w:p w:rsidR="00B32D69" w:rsidRDefault="00FB661A">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As creditors, employees also enjoy certain safeguards under the preferred option to ensure that their legitimate interests are protected. For example:</w:t>
      </w:r>
    </w:p>
    <w:p w:rsidR="00B32D69" w:rsidRDefault="00FB661A">
      <w:pPr>
        <w:spacing w:before="120" w:after="120"/>
        <w:ind w:left="284" w:hanging="284"/>
        <w:jc w:val="both"/>
        <w:rPr>
          <w:rFonts w:ascii="Times New Roman" w:hAnsi="Times New Roman" w:cs="Times New Roman"/>
          <w:noProof/>
          <w:sz w:val="24"/>
          <w:szCs w:val="24"/>
        </w:rPr>
      </w:pPr>
      <w:r>
        <w:rPr>
          <w:rFonts w:ascii="Times New Roman" w:hAnsi="Times New Roman" w:cs="Times New Roman"/>
          <w:noProof/>
          <w:sz w:val="24"/>
          <w:szCs w:val="24"/>
        </w:rPr>
        <w:t>-  ask for the stay of enfo</w:t>
      </w:r>
      <w:r>
        <w:rPr>
          <w:rFonts w:ascii="Times New Roman" w:hAnsi="Times New Roman" w:cs="Times New Roman"/>
          <w:noProof/>
          <w:sz w:val="24"/>
          <w:szCs w:val="24"/>
        </w:rPr>
        <w:t>rcement to be lifted or to not be granted if they are unfairly prejudiced;</w:t>
      </w:r>
    </w:p>
    <w:p w:rsidR="00B32D69" w:rsidRDefault="00FB661A">
      <w:pPr>
        <w:spacing w:before="120" w:after="120"/>
        <w:ind w:left="284" w:hanging="284"/>
        <w:jc w:val="both"/>
        <w:rPr>
          <w:rFonts w:ascii="Times New Roman" w:hAnsi="Times New Roman" w:cs="Times New Roman"/>
          <w:noProof/>
          <w:sz w:val="24"/>
          <w:szCs w:val="24"/>
        </w:rPr>
      </w:pPr>
      <w:r>
        <w:rPr>
          <w:rFonts w:ascii="Times New Roman" w:hAnsi="Times New Roman" w:cs="Times New Roman"/>
          <w:noProof/>
          <w:sz w:val="24"/>
          <w:szCs w:val="24"/>
        </w:rPr>
        <w:t>-   if they are affected by the plan, they will have the right to be involved and to vote; if they are not involved, they will not be affected by the plan;</w:t>
      </w:r>
    </w:p>
    <w:p w:rsidR="00B32D69" w:rsidRDefault="00FB661A">
      <w:pPr>
        <w:spacing w:before="120" w:after="120"/>
        <w:ind w:left="284" w:hanging="284"/>
        <w:jc w:val="both"/>
        <w:rPr>
          <w:rFonts w:ascii="Times New Roman" w:hAnsi="Times New Roman" w:cs="Times New Roman"/>
          <w:noProof/>
          <w:sz w:val="24"/>
          <w:szCs w:val="24"/>
        </w:rPr>
      </w:pPr>
      <w:r>
        <w:rPr>
          <w:rFonts w:ascii="Times New Roman" w:hAnsi="Times New Roman" w:cs="Times New Roman"/>
          <w:noProof/>
          <w:sz w:val="24"/>
          <w:szCs w:val="24"/>
        </w:rPr>
        <w:t>-  a court needs to confi</w:t>
      </w:r>
      <w:r>
        <w:rPr>
          <w:rFonts w:ascii="Times New Roman" w:hAnsi="Times New Roman" w:cs="Times New Roman"/>
          <w:noProof/>
          <w:sz w:val="24"/>
          <w:szCs w:val="24"/>
        </w:rPr>
        <w:t>rm a plan, and at that stage the court needs to be satisfied that employees receive under the plan at least as much as they would receive in liquidation proceedings;</w:t>
      </w:r>
    </w:p>
    <w:p w:rsidR="00B32D69" w:rsidRDefault="00FB661A">
      <w:pPr>
        <w:spacing w:before="120" w:after="120"/>
        <w:ind w:left="284" w:hanging="284"/>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val="en-US"/>
        </w:rPr>
        <w:t xml:space="preserve">salaries will need to be paid during the stay period. Salaries will also be protected </w:t>
      </w:r>
      <w:r>
        <w:rPr>
          <w:rFonts w:ascii="Times New Roman" w:hAnsi="Times New Roman" w:cs="Times New Roman"/>
          <w:noProof/>
          <w:sz w:val="24"/>
          <w:szCs w:val="24"/>
          <w:lang w:val="en-US"/>
        </w:rPr>
        <w:t>under the 'safe harbour' provision;</w:t>
      </w:r>
    </w:p>
    <w:p w:rsidR="00B32D69" w:rsidRDefault="00FB661A">
      <w:pPr>
        <w:spacing w:before="120" w:after="120"/>
        <w:ind w:left="284" w:hanging="284"/>
        <w:jc w:val="both"/>
        <w:rPr>
          <w:rFonts w:ascii="Times New Roman" w:hAnsi="Times New Roman" w:cs="Times New Roman"/>
          <w:noProof/>
          <w:sz w:val="24"/>
          <w:szCs w:val="24"/>
        </w:rPr>
      </w:pPr>
      <w:r>
        <w:rPr>
          <w:rFonts w:ascii="Times New Roman" w:hAnsi="Times New Roman" w:cs="Times New Roman"/>
          <w:noProof/>
          <w:sz w:val="24"/>
          <w:szCs w:val="24"/>
        </w:rPr>
        <w:t>-   employees may challenge and appeal a restructuring plan.</w:t>
      </w:r>
    </w:p>
    <w:p w:rsidR="00B32D69" w:rsidRDefault="00B32D69">
      <w:pPr>
        <w:spacing w:before="120" w:after="120"/>
        <w:ind w:left="284" w:hanging="284"/>
        <w:jc w:val="both"/>
        <w:rPr>
          <w:rFonts w:ascii="Times New Roman" w:hAnsi="Times New Roman" w:cs="Times New Roman"/>
          <w:noProof/>
          <w:sz w:val="24"/>
          <w:szCs w:val="24"/>
        </w:rPr>
      </w:pPr>
    </w:p>
    <w:p w:rsidR="00B32D69" w:rsidRDefault="00B32D69">
      <w:pPr>
        <w:spacing w:after="120"/>
        <w:jc w:val="both"/>
        <w:rPr>
          <w:rFonts w:ascii="Times New Roman" w:hAnsi="Times New Roman" w:cs="Times New Roman"/>
          <w:b/>
          <w:noProof/>
          <w:sz w:val="24"/>
          <w:szCs w:val="24"/>
        </w:rPr>
      </w:pPr>
    </w:p>
    <w:p w:rsidR="00B32D69" w:rsidRDefault="00FB661A">
      <w:pPr>
        <w:spacing w:after="120"/>
        <w:jc w:val="both"/>
        <w:rPr>
          <w:rFonts w:ascii="Times New Roman" w:hAnsi="Times New Roman" w:cs="Times New Roman"/>
          <w:noProof/>
          <w:lang w:val="cs-CZ"/>
        </w:rPr>
      </w:pPr>
      <w:r>
        <w:rPr>
          <w:rFonts w:ascii="Times New Roman" w:hAnsi="Times New Roman" w:cs="Times New Roman"/>
          <w:noProof/>
          <w:lang w:val="cs-CZ"/>
        </w:rPr>
        <w:br w:type="page"/>
      </w:r>
    </w:p>
    <w:p w:rsidR="00B32D69" w:rsidRDefault="00FB661A">
      <w:pPr>
        <w:pStyle w:val="ManualHeading1"/>
        <w:rPr>
          <w:noProof/>
          <w:lang w:val="cs-CZ"/>
        </w:rPr>
      </w:pPr>
      <w:bookmarkStart w:id="134" w:name="_Toc460410730"/>
      <w:r>
        <w:rPr>
          <w:noProof/>
        </w:rPr>
        <w:tab/>
      </w:r>
      <w:r>
        <w:rPr>
          <w:noProof/>
          <w:lang w:val="cs-CZ"/>
        </w:rPr>
        <w:t>6. IMPACT ON TAX REVENUES</w:t>
      </w:r>
      <w:bookmarkEnd w:id="134"/>
    </w:p>
    <w:p w:rsidR="00B32D69" w:rsidRDefault="00B32D69">
      <w:pPr>
        <w:spacing w:after="120"/>
        <w:jc w:val="both"/>
        <w:rPr>
          <w:rFonts w:ascii="Times New Roman" w:hAnsi="Times New Roman" w:cs="Times New Roman"/>
          <w:noProof/>
          <w:lang w:val="cs-CZ"/>
        </w:rPr>
      </w:pPr>
    </w:p>
    <w:p w:rsidR="00B32D69" w:rsidRDefault="00FB661A">
      <w:pPr>
        <w:spacing w:after="120"/>
        <w:jc w:val="both"/>
        <w:rPr>
          <w:rFonts w:ascii="Times New Roman" w:hAnsi="Times New Roman" w:cs="Times New Roman"/>
          <w:noProof/>
          <w:sz w:val="24"/>
          <w:szCs w:val="24"/>
          <w:lang w:val="cs-CZ"/>
        </w:rPr>
      </w:pPr>
      <w:r>
        <w:rPr>
          <w:rFonts w:ascii="Times New Roman" w:hAnsi="Times New Roman" w:cs="Times New Roman"/>
          <w:noProof/>
          <w:sz w:val="24"/>
          <w:szCs w:val="24"/>
          <w:lang w:val="cs-CZ"/>
        </w:rPr>
        <w:t xml:space="preserve">The proposal may have some impact on tax revenues. The assessment would be different for short  term and for longer term </w:t>
      </w:r>
      <w:r>
        <w:rPr>
          <w:rFonts w:ascii="Times New Roman" w:hAnsi="Times New Roman" w:cs="Times New Roman"/>
          <w:noProof/>
          <w:sz w:val="24"/>
          <w:szCs w:val="24"/>
          <w:lang w:val="cs-CZ"/>
        </w:rPr>
        <w:t>perspective.</w:t>
      </w:r>
    </w:p>
    <w:p w:rsidR="00B32D69" w:rsidRDefault="00FB661A">
      <w:pPr>
        <w:spacing w:after="120"/>
        <w:jc w:val="both"/>
        <w:rPr>
          <w:rFonts w:ascii="Times New Roman" w:hAnsi="Times New Roman" w:cs="Times New Roman"/>
          <w:noProof/>
          <w:sz w:val="24"/>
          <w:szCs w:val="24"/>
          <w:lang w:val="cs-CZ"/>
        </w:rPr>
      </w:pPr>
      <w:r>
        <w:rPr>
          <w:rFonts w:ascii="Times New Roman" w:hAnsi="Times New Roman" w:cs="Times New Roman"/>
          <w:noProof/>
          <w:sz w:val="24"/>
          <w:szCs w:val="24"/>
          <w:lang w:val="cs-CZ"/>
        </w:rPr>
        <w:t>In longer term the impact on tax revenues would be positive. This is due to availability of early restructuring which would increase the proportion of saved businesses (taxpayers if longer period is taken into account).  As to leaving debtor i</w:t>
      </w:r>
      <w:r>
        <w:rPr>
          <w:rFonts w:ascii="Times New Roman" w:hAnsi="Times New Roman" w:cs="Times New Roman"/>
          <w:noProof/>
          <w:sz w:val="24"/>
          <w:szCs w:val="24"/>
          <w:lang w:val="cs-CZ"/>
        </w:rPr>
        <w:t>n possession of business, in principle the outcome in terms of saved assests (and thus higher taxable base in the future) oculd be positive, but detrimental decisions of debtor with respect to the prospects of bui-siness as  a whole can not be exluded.  In</w:t>
      </w:r>
      <w:r>
        <w:rPr>
          <w:rFonts w:ascii="Times New Roman" w:hAnsi="Times New Roman" w:cs="Times New Roman"/>
          <w:noProof/>
          <w:sz w:val="24"/>
          <w:szCs w:val="24"/>
          <w:lang w:val="cs-CZ"/>
        </w:rPr>
        <w:t>volvement of the court in allowing debtor to stay in possession would counter-act such tendencies.</w:t>
      </w:r>
    </w:p>
    <w:p w:rsidR="00B32D69" w:rsidRDefault="00FB661A">
      <w:pPr>
        <w:spacing w:after="120"/>
        <w:jc w:val="both"/>
        <w:rPr>
          <w:rFonts w:ascii="Times New Roman" w:hAnsi="Times New Roman" w:cs="Times New Roman"/>
          <w:noProof/>
          <w:sz w:val="24"/>
          <w:szCs w:val="24"/>
          <w:lang w:val="cs-CZ"/>
        </w:rPr>
      </w:pPr>
      <w:r>
        <w:rPr>
          <w:rFonts w:ascii="Times New Roman" w:hAnsi="Times New Roman" w:cs="Times New Roman"/>
          <w:noProof/>
          <w:sz w:val="24"/>
          <w:szCs w:val="24"/>
          <w:lang w:val="cs-CZ"/>
        </w:rPr>
        <w:t>Another reason of increase of tax revenues would be reduction of costs and of lenght of proceedings. To the degree costs of restructuring are treated as cost</w:t>
      </w:r>
      <w:r>
        <w:rPr>
          <w:rFonts w:ascii="Times New Roman" w:hAnsi="Times New Roman" w:cs="Times New Roman"/>
          <w:noProof/>
          <w:sz w:val="24"/>
          <w:szCs w:val="24"/>
          <w:lang w:val="cs-CZ"/>
        </w:rPr>
        <w:t>s reducing the base of taxation, the outcome of reducig those costs would imply higher tax revenue.</w:t>
      </w:r>
    </w:p>
    <w:p w:rsidR="00B32D69" w:rsidRDefault="00FB661A">
      <w:pPr>
        <w:spacing w:after="120"/>
        <w:jc w:val="both"/>
        <w:rPr>
          <w:rFonts w:ascii="Times New Roman" w:hAnsi="Times New Roman" w:cs="Times New Roman"/>
          <w:noProof/>
          <w:sz w:val="24"/>
          <w:szCs w:val="24"/>
          <w:lang w:val="cs-CZ"/>
        </w:rPr>
      </w:pPr>
      <w:r>
        <w:rPr>
          <w:rFonts w:ascii="Times New Roman" w:hAnsi="Times New Roman" w:cs="Times New Roman"/>
          <w:noProof/>
          <w:sz w:val="24"/>
          <w:szCs w:val="24"/>
          <w:lang w:val="cs-CZ"/>
        </w:rPr>
        <w:t>There may be however reasons for reduced tax revenue, in particular in short term. It could be due to including taxes due in the moratorium and by giving pr</w:t>
      </w:r>
      <w:r>
        <w:rPr>
          <w:rFonts w:ascii="Times New Roman" w:hAnsi="Times New Roman" w:cs="Times New Roman"/>
          <w:noProof/>
          <w:sz w:val="24"/>
          <w:szCs w:val="24"/>
          <w:lang w:val="cs-CZ"/>
        </w:rPr>
        <w:t xml:space="preserve">iority to new financing over previous, also fiscal, debts. This negative impact of taxation should be short term and underpinned by the necessities of the success of restructuring. </w:t>
      </w:r>
    </w:p>
    <w:p w:rsidR="00B32D69" w:rsidRDefault="00FB661A">
      <w:pPr>
        <w:spacing w:after="120"/>
        <w:jc w:val="both"/>
        <w:rPr>
          <w:rFonts w:ascii="Times New Roman" w:hAnsi="Times New Roman" w:cs="Times New Roman"/>
          <w:noProof/>
          <w:lang w:val="cs-CZ"/>
        </w:rPr>
      </w:pPr>
      <w:r>
        <w:rPr>
          <w:rFonts w:ascii="Times New Roman" w:hAnsi="Times New Roman" w:cs="Times New Roman"/>
          <w:noProof/>
          <w:lang w:val="cs-CZ"/>
        </w:rPr>
        <w:br w:type="page"/>
      </w:r>
    </w:p>
    <w:p w:rsidR="00B32D69" w:rsidRDefault="00FB661A">
      <w:pPr>
        <w:pStyle w:val="ManualHeading1"/>
        <w:rPr>
          <w:noProof/>
          <w:lang w:val="cs-CZ"/>
        </w:rPr>
      </w:pPr>
      <w:bookmarkStart w:id="135" w:name="_Toc460410731"/>
      <w:r>
        <w:rPr>
          <w:noProof/>
        </w:rPr>
        <w:tab/>
      </w:r>
      <w:r>
        <w:rPr>
          <w:noProof/>
          <w:lang w:val="cs-CZ"/>
        </w:rPr>
        <w:t>7. IMPACT ON SMEs</w:t>
      </w:r>
      <w:bookmarkEnd w:id="135"/>
    </w:p>
    <w:p w:rsidR="00B32D69" w:rsidRDefault="00B32D69">
      <w:pPr>
        <w:spacing w:after="120"/>
        <w:jc w:val="both"/>
        <w:rPr>
          <w:rFonts w:ascii="Times New Roman" w:hAnsi="Times New Roman" w:cs="Times New Roman"/>
          <w:noProof/>
          <w:lang w:val="cs-CZ"/>
        </w:rPr>
      </w:pP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Capital Markets Union is about improving the funding</w:t>
      </w:r>
      <w:r>
        <w:rPr>
          <w:rFonts w:ascii="Times New Roman" w:hAnsi="Times New Roman" w:cs="Times New Roman"/>
          <w:noProof/>
          <w:sz w:val="24"/>
          <w:szCs w:val="24"/>
        </w:rPr>
        <w:t xml:space="preserve"> of the EU economy, especially for equity and SMEs. Tackling insolvency laws, to ensure creditors, debtors and courts have sufficient incentives to resolve NPLs, is important to improve the funding of the EU economy. It is through an effective insolvency r</w:t>
      </w:r>
      <w:r>
        <w:rPr>
          <w:rFonts w:ascii="Times New Roman" w:hAnsi="Times New Roman" w:cs="Times New Roman"/>
          <w:noProof/>
          <w:sz w:val="24"/>
          <w:szCs w:val="24"/>
        </w:rPr>
        <w:t>egime that the current high level of debt can be transformed into equity, and it is through an effective personal insolvency regime that the funding of SMEs can be improved. Both personal and corporate insolvency laws are relevant for SMEs, but it is the f</w:t>
      </w:r>
      <w:r>
        <w:rPr>
          <w:rFonts w:ascii="Times New Roman" w:hAnsi="Times New Roman" w:cs="Times New Roman"/>
          <w:noProof/>
          <w:sz w:val="24"/>
          <w:szCs w:val="24"/>
        </w:rPr>
        <w:t>irst that is most restrictive. The focus here is on households and small companies, because insolvency for large companies is less disputed. Concerning large companies, the EU's approach is not dissimilar to that of the US, a less recourse regime, captured</w:t>
      </w:r>
      <w:r>
        <w:rPr>
          <w:rFonts w:ascii="Times New Roman" w:hAnsi="Times New Roman" w:cs="Times New Roman"/>
          <w:noProof/>
          <w:sz w:val="24"/>
          <w:szCs w:val="24"/>
        </w:rPr>
        <w:t xml:space="preserve"> in Chapter 11. This is not the case for households and small companies. All Member States have different insolvency regimes, and do not, in principle, follow the US approach reflected in Chapter 7. This is also consistent with the DG GROW report of giving</w:t>
      </w:r>
      <w:r>
        <w:rPr>
          <w:rFonts w:ascii="Times New Roman" w:hAnsi="Times New Roman" w:cs="Times New Roman"/>
          <w:noProof/>
          <w:sz w:val="24"/>
          <w:szCs w:val="24"/>
        </w:rPr>
        <w:t xml:space="preserve"> a second chance to facilitate risk-taking activities of households and small companies.  If we want small companies to take risks and to ask for funding in order to grow, we have to introduce a less recourse regime that shares risk between banks and them.</w:t>
      </w:r>
      <w:r>
        <w:rPr>
          <w:rFonts w:ascii="Times New Roman" w:hAnsi="Times New Roman" w:cs="Times New Roman"/>
          <w:noProof/>
          <w:sz w:val="24"/>
          <w:szCs w:val="24"/>
        </w:rPr>
        <w:t xml:space="preserve"> Furthermore, in order to grow they need space i.e. they need labour and capital, factors of production that can be released through insolvency, from unproductive companies.</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As can be seen in Charts 1 and 2 below, insolvency frameworks and the effectivenes</w:t>
      </w:r>
      <w:r>
        <w:rPr>
          <w:rFonts w:ascii="Times New Roman" w:hAnsi="Times New Roman" w:cs="Times New Roman"/>
          <w:noProof/>
          <w:sz w:val="24"/>
          <w:szCs w:val="24"/>
        </w:rPr>
        <w:t xml:space="preserve">s and enforcement of contract law continue to differ significantly across EU Member States, despite ongoing efforts to improve the efficiency of European insolvency and restructuring procedures. </w:t>
      </w:r>
    </w:p>
    <w:p w:rsidR="00B32D69" w:rsidRDefault="00B32D69">
      <w:pPr>
        <w:spacing w:after="120"/>
        <w:jc w:val="both"/>
        <w:rPr>
          <w:rFonts w:ascii="Times New Roman" w:hAnsi="Times New Roman" w:cs="Times New Roman"/>
          <w:noProof/>
          <w:sz w:val="24"/>
          <w:szCs w:val="24"/>
        </w:rPr>
      </w:pPr>
    </w:p>
    <w:tbl>
      <w:tblPr>
        <w:tblpPr w:leftFromText="180" w:rightFromText="180" w:bottomFromText="200" w:vertAnchor="text" w:tblpY="1"/>
        <w:tblOverlap w:val="never"/>
        <w:tblW w:w="0" w:type="auto"/>
        <w:tblLayout w:type="fixed"/>
        <w:tblLook w:val="04A0" w:firstRow="1" w:lastRow="0" w:firstColumn="1" w:lastColumn="0" w:noHBand="0" w:noVBand="1"/>
      </w:tblPr>
      <w:tblGrid>
        <w:gridCol w:w="4644"/>
        <w:gridCol w:w="4536"/>
      </w:tblGrid>
      <w:tr w:rsidR="00B32D69">
        <w:tc>
          <w:tcPr>
            <w:tcW w:w="4644" w:type="dxa"/>
            <w:hideMark/>
          </w:tcPr>
          <w:p w:rsidR="00B32D69" w:rsidRDefault="00FB661A">
            <w:pPr>
              <w:keepNext/>
              <w:keepLines/>
              <w:spacing w:after="120"/>
              <w:jc w:val="both"/>
              <w:rPr>
                <w:rFonts w:ascii="Times New Roman" w:hAnsi="Times New Roman" w:cs="Times New Roman"/>
                <w:i/>
                <w:noProof/>
                <w:sz w:val="24"/>
                <w:szCs w:val="24"/>
              </w:rPr>
            </w:pPr>
            <w:r>
              <w:rPr>
                <w:rFonts w:ascii="Times New Roman" w:hAnsi="Times New Roman" w:cs="Times New Roman"/>
                <w:noProof/>
                <w:sz w:val="24"/>
                <w:szCs w:val="24"/>
              </w:rPr>
              <w:t xml:space="preserve">Chart 1: </w:t>
            </w:r>
            <w:r>
              <w:rPr>
                <w:rFonts w:ascii="Times New Roman" w:hAnsi="Times New Roman" w:cs="Times New Roman"/>
                <w:b/>
                <w:noProof/>
                <w:sz w:val="24"/>
                <w:szCs w:val="24"/>
              </w:rPr>
              <w:t>The number of years required to enforce a contract</w:t>
            </w:r>
            <w:r>
              <w:rPr>
                <w:rFonts w:ascii="Times New Roman" w:hAnsi="Times New Roman" w:cs="Times New Roman"/>
                <w:b/>
                <w:noProof/>
                <w:sz w:val="24"/>
                <w:szCs w:val="24"/>
              </w:rPr>
              <w:t xml:space="preserve"> or resolve an insolvency</w:t>
            </w:r>
          </w:p>
        </w:tc>
        <w:tc>
          <w:tcPr>
            <w:tcW w:w="4536" w:type="dxa"/>
            <w:hideMark/>
          </w:tcPr>
          <w:p w:rsidR="00B32D69" w:rsidRDefault="00FB661A">
            <w:pPr>
              <w:keepNext/>
              <w:keepLines/>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Chart 2: </w:t>
            </w:r>
            <w:r>
              <w:rPr>
                <w:rFonts w:ascii="Times New Roman" w:hAnsi="Times New Roman" w:cs="Times New Roman"/>
                <w:b/>
                <w:noProof/>
                <w:sz w:val="24"/>
                <w:szCs w:val="24"/>
              </w:rPr>
              <w:t>The recovery rate in enforcing a contract</w:t>
            </w:r>
            <w:r>
              <w:rPr>
                <w:rFonts w:ascii="Times New Roman" w:hAnsi="Times New Roman" w:cs="Times New Roman"/>
                <w:noProof/>
                <w:sz w:val="24"/>
                <w:szCs w:val="24"/>
              </w:rPr>
              <w:t xml:space="preserve"> </w:t>
            </w:r>
            <w:r>
              <w:rPr>
                <w:rFonts w:ascii="Times New Roman" w:hAnsi="Times New Roman" w:cs="Times New Roman"/>
                <w:b/>
                <w:noProof/>
                <w:sz w:val="24"/>
                <w:szCs w:val="24"/>
              </w:rPr>
              <w:t xml:space="preserve"> or resolving an insolvency</w:t>
            </w:r>
          </w:p>
        </w:tc>
      </w:tr>
      <w:tr w:rsidR="00B32D69">
        <w:trPr>
          <w:trHeight w:val="2992"/>
        </w:trPr>
        <w:tc>
          <w:tcPr>
            <w:tcW w:w="4644" w:type="dxa"/>
            <w:hideMark/>
          </w:tcPr>
          <w:p w:rsidR="00B32D69" w:rsidRDefault="00FB661A">
            <w:pPr>
              <w:spacing w:after="120"/>
              <w:ind w:left="-142"/>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2748915"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r="53645" b="3354"/>
                          <a:stretch>
                            <a:fillRect/>
                          </a:stretch>
                        </pic:blipFill>
                        <pic:spPr bwMode="auto">
                          <a:xfrm>
                            <a:off x="0" y="0"/>
                            <a:ext cx="2748915" cy="1828800"/>
                          </a:xfrm>
                          <a:prstGeom prst="rect">
                            <a:avLst/>
                          </a:prstGeom>
                          <a:noFill/>
                          <a:ln>
                            <a:noFill/>
                          </a:ln>
                        </pic:spPr>
                      </pic:pic>
                    </a:graphicData>
                  </a:graphic>
                </wp:inline>
              </w:drawing>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Source: World Bank Doing Business 2014</w:t>
            </w:r>
          </w:p>
        </w:tc>
        <w:tc>
          <w:tcPr>
            <w:tcW w:w="4536" w:type="dxa"/>
            <w:hideMark/>
          </w:tcPr>
          <w:p w:rsidR="00B32D69" w:rsidRDefault="00FB661A">
            <w:pPr>
              <w:spacing w:after="120"/>
              <w:ind w:left="-85"/>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2889885" cy="18345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l="-761" r="51381" b="2267"/>
                          <a:stretch>
                            <a:fillRect/>
                          </a:stretch>
                        </pic:blipFill>
                        <pic:spPr bwMode="auto">
                          <a:xfrm>
                            <a:off x="0" y="0"/>
                            <a:ext cx="2889885" cy="1834515"/>
                          </a:xfrm>
                          <a:prstGeom prst="rect">
                            <a:avLst/>
                          </a:prstGeom>
                          <a:noFill/>
                          <a:ln>
                            <a:noFill/>
                          </a:ln>
                        </pic:spPr>
                      </pic:pic>
                    </a:graphicData>
                  </a:graphic>
                </wp:inline>
              </w:drawing>
            </w:r>
            <w:r>
              <w:rPr>
                <w:rFonts w:ascii="Times New Roman" w:hAnsi="Times New Roman" w:cs="Times New Roman"/>
                <w:noProof/>
                <w:sz w:val="24"/>
                <w:szCs w:val="24"/>
              </w:rPr>
              <w:t>Source: World Bank Doing Business 2014</w:t>
            </w:r>
          </w:p>
        </w:tc>
      </w:tr>
    </w:tbl>
    <w:p w:rsidR="00B32D69" w:rsidRDefault="00FB661A">
      <w:pPr>
        <w:spacing w:after="120"/>
        <w:jc w:val="both"/>
        <w:rPr>
          <w:rFonts w:ascii="Times New Roman" w:eastAsia="Calibri" w:hAnsi="Times New Roman" w:cs="Times New Roman"/>
          <w:noProof/>
        </w:rPr>
      </w:pPr>
      <w:r>
        <w:rPr>
          <w:rFonts w:ascii="Times New Roman" w:hAnsi="Times New Roman" w:cs="Times New Roman"/>
          <w:noProof/>
          <w:sz w:val="24"/>
          <w:szCs w:val="24"/>
        </w:rPr>
        <w:t>The c</w:t>
      </w:r>
      <w:r>
        <w:rPr>
          <w:rFonts w:ascii="Times New Roman" w:eastAsia="Calibri" w:hAnsi="Times New Roman" w:cs="Times New Roman"/>
          <w:noProof/>
          <w:sz w:val="24"/>
          <w:szCs w:val="24"/>
        </w:rPr>
        <w:t xml:space="preserve">onsiderable differences in and the inter-action between the </w:t>
      </w:r>
      <w:r>
        <w:rPr>
          <w:rFonts w:ascii="Times New Roman" w:eastAsia="Calibri" w:hAnsi="Times New Roman" w:cs="Times New Roman"/>
          <w:noProof/>
          <w:sz w:val="24"/>
          <w:szCs w:val="24"/>
        </w:rPr>
        <w:t xml:space="preserve">insolvency laws of Member States create additional costs for foreign investors to assess the risk and work-out the insolvency proceedings, and thus hamper the emergence of pan-European credit markets.In particular, the lack or inadequacy of rules enabling </w:t>
      </w:r>
      <w:r>
        <w:rPr>
          <w:rFonts w:ascii="Times New Roman" w:eastAsia="Calibri" w:hAnsi="Times New Roman" w:cs="Times New Roman"/>
          <w:noProof/>
          <w:sz w:val="24"/>
          <w:szCs w:val="24"/>
        </w:rPr>
        <w:t>early debt restructuring in many Member States, the absence of provisions to give a second chance for persons and entrepreneurs and the length and costs of formal insolvency proceedings in many Member States lead to high NPLs (Chart 3 and 4) and discourage</w:t>
      </w:r>
      <w:r>
        <w:rPr>
          <w:rFonts w:ascii="Times New Roman" w:eastAsia="Calibri" w:hAnsi="Times New Roman" w:cs="Times New Roman"/>
          <w:noProof/>
          <w:sz w:val="24"/>
          <w:szCs w:val="24"/>
        </w:rPr>
        <w:t xml:space="preserve"> investors who either hold back from investing or do so only at a higher premium.</w:t>
      </w:r>
      <w:r>
        <w:rPr>
          <w:rStyle w:val="FootnoteReference"/>
          <w:rFonts w:ascii="Times New Roman" w:eastAsia="Calibri" w:hAnsi="Times New Roman"/>
          <w:noProof/>
          <w:sz w:val="24"/>
          <w:szCs w:val="24"/>
        </w:rPr>
        <w:footnoteReference w:id="356"/>
      </w:r>
      <w:r>
        <w:rPr>
          <w:rFonts w:ascii="Times New Roman" w:eastAsia="Calibri" w:hAnsi="Times New Roman" w:cs="Times New Roman"/>
          <w:noProof/>
          <w:sz w:val="24"/>
          <w:szCs w:val="24"/>
        </w:rPr>
        <w:t xml:space="preserve"> </w:t>
      </w:r>
    </w:p>
    <w:p w:rsidR="00B32D69" w:rsidRDefault="00B32D69">
      <w:pPr>
        <w:spacing w:after="120"/>
        <w:jc w:val="both"/>
        <w:rPr>
          <w:rFonts w:ascii="Times New Roman" w:hAnsi="Times New Roman" w:cs="Times New Roman"/>
          <w:noProof/>
        </w:rPr>
      </w:pPr>
    </w:p>
    <w:tbl>
      <w:tblPr>
        <w:tblStyle w:val="TableGrid"/>
        <w:tblW w:w="0" w:type="auto"/>
        <w:tblLook w:val="04A0" w:firstRow="1" w:lastRow="0" w:firstColumn="1" w:lastColumn="0" w:noHBand="0" w:noVBand="1"/>
      </w:tblPr>
      <w:tblGrid>
        <w:gridCol w:w="4644"/>
        <w:gridCol w:w="4598"/>
      </w:tblGrid>
      <w:tr w:rsidR="00B32D69">
        <w:tc>
          <w:tcPr>
            <w:tcW w:w="4644" w:type="dxa"/>
            <w:tcBorders>
              <w:top w:val="nil"/>
              <w:left w:val="nil"/>
              <w:bottom w:val="nil"/>
              <w:right w:val="nil"/>
            </w:tcBorders>
            <w:hideMark/>
          </w:tcPr>
          <w:p w:rsidR="00B32D69" w:rsidRDefault="00FB661A">
            <w:pPr>
              <w:autoSpaceDE w:val="0"/>
              <w:autoSpaceDN w:val="0"/>
              <w:adjustRightInd w:val="0"/>
              <w:spacing w:after="120" w:line="276" w:lineRule="auto"/>
              <w:jc w:val="both"/>
              <w:rPr>
                <w:rFonts w:ascii="Times New Roman" w:hAnsi="Times New Roman"/>
                <w:b/>
                <w:noProof/>
                <w:sz w:val="18"/>
                <w:szCs w:val="18"/>
                <w:lang w:val="fr-BE"/>
              </w:rPr>
            </w:pPr>
            <w:r>
              <w:rPr>
                <w:rFonts w:ascii="Times New Roman" w:hAnsi="Times New Roman"/>
                <w:b/>
                <w:noProof/>
                <w:sz w:val="18"/>
                <w:szCs w:val="18"/>
                <w:lang w:val="fr-BE"/>
              </w:rPr>
              <w:t>Chart 3: NPLs versus payment enforcement</w:t>
            </w:r>
          </w:p>
        </w:tc>
        <w:tc>
          <w:tcPr>
            <w:tcW w:w="4598" w:type="dxa"/>
            <w:tcBorders>
              <w:top w:val="nil"/>
              <w:left w:val="nil"/>
              <w:bottom w:val="nil"/>
              <w:right w:val="nil"/>
            </w:tcBorders>
            <w:hideMark/>
          </w:tcPr>
          <w:p w:rsidR="00B32D69" w:rsidRDefault="00FB661A">
            <w:pPr>
              <w:pStyle w:val="ListParagraph"/>
              <w:spacing w:after="120" w:line="276" w:lineRule="auto"/>
              <w:ind w:left="5529" w:hanging="5529"/>
              <w:jc w:val="both"/>
              <w:rPr>
                <w:rFonts w:ascii="Times New Roman" w:hAnsi="Times New Roman"/>
                <w:b/>
                <w:noProof/>
                <w:sz w:val="18"/>
                <w:szCs w:val="18"/>
              </w:rPr>
            </w:pPr>
            <w:r>
              <w:rPr>
                <w:rFonts w:ascii="Times New Roman" w:hAnsi="Times New Roman"/>
                <w:b/>
                <w:noProof/>
                <w:sz w:val="18"/>
                <w:szCs w:val="18"/>
                <w:lang w:val="fr-BE"/>
              </w:rPr>
              <w:t>Chart 4</w:t>
            </w:r>
            <w:r>
              <w:rPr>
                <w:rFonts w:ascii="Times New Roman" w:hAnsi="Times New Roman"/>
                <w:b/>
                <w:noProof/>
                <w:sz w:val="18"/>
                <w:szCs w:val="18"/>
              </w:rPr>
              <w:t>: NPLs versus insolvency</w:t>
            </w:r>
          </w:p>
        </w:tc>
      </w:tr>
    </w:tbl>
    <w:p w:rsidR="00B32D69" w:rsidRDefault="00FB661A">
      <w:pPr>
        <w:spacing w:after="120"/>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813685" cy="1617980"/>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13685" cy="1617980"/>
                    </a:xfrm>
                    <a:prstGeom prst="rect">
                      <a:avLst/>
                    </a:prstGeom>
                    <a:noFill/>
                    <a:ln>
                      <a:noFill/>
                    </a:ln>
                  </pic:spPr>
                </pic:pic>
              </a:graphicData>
            </a:graphic>
          </wp:inline>
        </w:drawing>
      </w:r>
      <w:r>
        <w:rPr>
          <w:rFonts w:ascii="Times New Roman" w:hAnsi="Times New Roman" w:cs="Times New Roman"/>
          <w:noProof/>
        </w:rPr>
        <w:t xml:space="preserve">  </w:t>
      </w:r>
      <w:r>
        <w:rPr>
          <w:rFonts w:ascii="Times New Roman" w:hAnsi="Times New Roman" w:cs="Times New Roman"/>
          <w:noProof/>
          <w:lang w:eastAsia="en-GB"/>
        </w:rPr>
        <w:drawing>
          <wp:inline distT="0" distB="0" distL="0" distR="0">
            <wp:extent cx="2790190" cy="1641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90190" cy="1641475"/>
                    </a:xfrm>
                    <a:prstGeom prst="rect">
                      <a:avLst/>
                    </a:prstGeom>
                    <a:noFill/>
                    <a:ln>
                      <a:noFill/>
                    </a:ln>
                  </pic:spPr>
                </pic:pic>
              </a:graphicData>
            </a:graphic>
          </wp:inline>
        </w:drawing>
      </w:r>
    </w:p>
    <w:p w:rsidR="00B32D69" w:rsidRDefault="00FB661A">
      <w:pPr>
        <w:spacing w:after="120"/>
        <w:jc w:val="both"/>
        <w:rPr>
          <w:rFonts w:ascii="Times New Roman" w:hAnsi="Times New Roman" w:cs="Times New Roman"/>
          <w:b/>
          <w:noProof/>
          <w:sz w:val="28"/>
          <w:szCs w:val="28"/>
        </w:rPr>
      </w:pPr>
      <w:r>
        <w:rPr>
          <w:rFonts w:ascii="Times New Roman" w:hAnsi="Times New Roman" w:cs="Times New Roman"/>
          <w:noProof/>
          <w:sz w:val="16"/>
          <w:szCs w:val="16"/>
        </w:rPr>
        <w:t>Source: World Bank Doing Business 2014, ECB</w:t>
      </w:r>
      <w:r>
        <w:rPr>
          <w:rFonts w:ascii="Times New Roman" w:hAnsi="Times New Roman" w:cs="Times New Roman"/>
          <w:noProof/>
          <w:sz w:val="16"/>
          <w:szCs w:val="16"/>
        </w:rPr>
        <w:tab/>
      </w:r>
      <w:r>
        <w:rPr>
          <w:rFonts w:ascii="Times New Roman" w:hAnsi="Times New Roman" w:cs="Times New Roman"/>
          <w:noProof/>
          <w:sz w:val="16"/>
          <w:szCs w:val="16"/>
        </w:rPr>
        <w:tab/>
      </w:r>
      <w:r>
        <w:rPr>
          <w:rFonts w:ascii="Times New Roman" w:hAnsi="Times New Roman" w:cs="Times New Roman"/>
          <w:noProof/>
          <w:sz w:val="16"/>
          <w:szCs w:val="16"/>
        </w:rPr>
        <w:tab/>
        <w:t>Source: World Bank Doing Business 2014, ECB</w:t>
      </w:r>
    </w:p>
    <w:p w:rsidR="00B32D69" w:rsidRDefault="00B32D69">
      <w:pPr>
        <w:spacing w:after="120"/>
        <w:jc w:val="both"/>
        <w:rPr>
          <w:rFonts w:ascii="Times New Roman" w:hAnsi="Times New Roman" w:cs="Times New Roman"/>
          <w:noProof/>
          <w:sz w:val="24"/>
          <w:szCs w:val="24"/>
        </w:rPr>
      </w:pPr>
    </w:p>
    <w:p w:rsidR="00B32D69" w:rsidRDefault="00FB661A">
      <w:pPr>
        <w:spacing w:after="120"/>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Another point relating to different type of insolvency or preventive procedures that emerges from the comparative study is that a substantial majority of EU countries do not have such small business rescue procedures.  The results of the study are set out </w:t>
      </w:r>
      <w:r>
        <w:rPr>
          <w:rFonts w:ascii="Times New Roman" w:hAnsi="Times New Roman" w:cs="Times New Roman"/>
          <w:noProof/>
          <w:sz w:val="24"/>
          <w:szCs w:val="24"/>
        </w:rPr>
        <w:t>in the following table</w:t>
      </w:r>
      <w:r>
        <w:rPr>
          <w:rStyle w:val="FootnoteReference"/>
          <w:rFonts w:ascii="Times New Roman" w:hAnsi="Times New Roman"/>
          <w:noProof/>
          <w:sz w:val="24"/>
          <w:szCs w:val="24"/>
        </w:rPr>
        <w:footnoteReference w:id="357"/>
      </w:r>
      <w:r>
        <w:rPr>
          <w:rFonts w:ascii="Times New Roman" w:hAnsi="Times New Roman" w:cs="Times New Roman"/>
          <w:noProof/>
          <w:sz w:val="24"/>
          <w:szCs w:val="24"/>
        </w:rPr>
        <w:t>. The absence of small business rescue procedures includes countries with mature, sophisticated economics such as Germany, Austria, Netherlands and the Scandinavian countries (Denmark, Sweden, Finland the comparator, Norway)</w:t>
      </w:r>
      <w:r>
        <w:rPr>
          <w:rStyle w:val="FootnoteReference"/>
          <w:rFonts w:ascii="Times New Roman" w:hAnsi="Times New Roman"/>
          <w:noProof/>
          <w:sz w:val="24"/>
          <w:szCs w:val="24"/>
        </w:rPr>
        <w:footnoteReference w:id="358"/>
      </w:r>
      <w:r>
        <w:rPr>
          <w:rFonts w:ascii="Times New Roman" w:hAnsi="Times New Roman" w:cs="Times New Roman"/>
          <w:noProof/>
          <w:sz w:val="24"/>
          <w:szCs w:val="24"/>
        </w:rPr>
        <w:t xml:space="preserve">.  More </w:t>
      </w:r>
      <w:r>
        <w:rPr>
          <w:rFonts w:ascii="Times New Roman" w:hAnsi="Times New Roman" w:cs="Times New Roman"/>
          <w:noProof/>
          <w:sz w:val="24"/>
          <w:szCs w:val="24"/>
        </w:rPr>
        <w:t xml:space="preserve">countries however, have simplified liquidation procedures for small enterprises or at least special provisions of Insolvency Law that apply to the liquidation of debtors with relatively small liabilities e.g. France, Greece and Hungary.  The threshold for </w:t>
      </w:r>
      <w:r>
        <w:rPr>
          <w:rFonts w:ascii="Times New Roman" w:hAnsi="Times New Roman" w:cs="Times New Roman"/>
          <w:noProof/>
          <w:sz w:val="24"/>
          <w:szCs w:val="24"/>
        </w:rPr>
        <w:t>the application of the special provisions varies however ranging from liabilities €100,000 in Greece, €750,000 in France to €5m in Spain</w:t>
      </w:r>
      <w:r>
        <w:rPr>
          <w:rStyle w:val="FootnoteReference"/>
          <w:rFonts w:ascii="Times New Roman" w:hAnsi="Times New Roman"/>
          <w:noProof/>
          <w:sz w:val="24"/>
          <w:szCs w:val="24"/>
        </w:rPr>
        <w:footnoteReference w:id="359"/>
      </w:r>
      <w:r>
        <w:rPr>
          <w:rFonts w:ascii="Times New Roman" w:hAnsi="Times New Roman" w:cs="Times New Roman"/>
          <w:noProof/>
          <w:sz w:val="24"/>
          <w:szCs w:val="24"/>
        </w:rPr>
        <w:t>. However, t</w:t>
      </w:r>
      <w:r>
        <w:rPr>
          <w:rFonts w:ascii="Times New Roman" w:eastAsia="Times New Roman" w:hAnsi="Times New Roman" w:cs="Times New Roman"/>
          <w:noProof/>
          <w:sz w:val="24"/>
          <w:szCs w:val="24"/>
        </w:rPr>
        <w:t>he US experience demonstrates that designing an appropriate small business restructuring regime is not like</w:t>
      </w:r>
      <w:r>
        <w:rPr>
          <w:rFonts w:ascii="Times New Roman" w:eastAsia="Times New Roman" w:hAnsi="Times New Roman" w:cs="Times New Roman"/>
          <w:noProof/>
          <w:sz w:val="24"/>
          <w:szCs w:val="24"/>
        </w:rPr>
        <w:t>ly to be easy.</w:t>
      </w:r>
      <w:r>
        <w:rPr>
          <w:rFonts w:ascii="Times New Roman" w:eastAsia="Times New Roman" w:hAnsi="Times New Roman" w:cs="Times New Roman"/>
          <w:noProof/>
          <w:sz w:val="24"/>
          <w:szCs w:val="24"/>
          <w:vertAlign w:val="superscript"/>
        </w:rPr>
        <w:footnoteReference w:id="360"/>
      </w:r>
      <w:r>
        <w:rPr>
          <w:rFonts w:ascii="Times New Roman" w:eastAsia="Times New Roman" w:hAnsi="Times New Roman" w:cs="Times New Roman"/>
          <w:noProof/>
          <w:sz w:val="24"/>
          <w:szCs w:val="24"/>
          <w:vertAlign w:val="superscript"/>
        </w:rPr>
        <w:t xml:space="preserve"> </w:t>
      </w:r>
      <w:r>
        <w:rPr>
          <w:rFonts w:ascii="Times New Roman" w:eastAsia="Times New Roman" w:hAnsi="Times New Roman" w:cs="Times New Roman"/>
          <w:noProof/>
          <w:sz w:val="24"/>
          <w:szCs w:val="24"/>
        </w:rPr>
        <w:t xml:space="preserve"> </w:t>
      </w:r>
    </w:p>
    <w:p w:rsidR="00B32D69" w:rsidRDefault="00FB661A">
      <w:pPr>
        <w:rPr>
          <w:rFonts w:ascii="Times New Roman" w:eastAsia="Calibri" w:hAnsi="Times New Roman" w:cs="Times New Roman"/>
          <w:b/>
          <w:bCs/>
          <w:noProof/>
          <w:sz w:val="20"/>
          <w:szCs w:val="18"/>
        </w:rPr>
      </w:pPr>
      <w:r>
        <w:rPr>
          <w:rFonts w:ascii="Times New Roman" w:eastAsia="Calibri" w:hAnsi="Times New Roman" w:cs="Times New Roman"/>
          <w:b/>
          <w:bCs/>
          <w:noProof/>
          <w:sz w:val="20"/>
          <w:szCs w:val="18"/>
        </w:rPr>
        <w:br w:type="page"/>
      </w:r>
    </w:p>
    <w:p w:rsidR="00B32D69" w:rsidRDefault="00FB661A">
      <w:pPr>
        <w:spacing w:after="120"/>
        <w:jc w:val="both"/>
        <w:rPr>
          <w:rFonts w:ascii="Times New Roman" w:eastAsia="Calibri" w:hAnsi="Times New Roman" w:cs="Times New Roman"/>
          <w:b/>
          <w:bCs/>
          <w:i/>
          <w:noProof/>
          <w:sz w:val="20"/>
          <w:szCs w:val="18"/>
        </w:rPr>
      </w:pPr>
      <w:r>
        <w:rPr>
          <w:rFonts w:ascii="Times New Roman" w:eastAsia="Calibri" w:hAnsi="Times New Roman" w:cs="Times New Roman"/>
          <w:b/>
          <w:bCs/>
          <w:noProof/>
          <w:sz w:val="20"/>
          <w:szCs w:val="18"/>
        </w:rPr>
        <w:t xml:space="preserve">Table </w:t>
      </w:r>
      <w:r>
        <w:rPr>
          <w:rFonts w:ascii="Times New Roman" w:eastAsia="Calibri" w:hAnsi="Times New Roman" w:cs="Times New Roman"/>
          <w:b/>
          <w:bCs/>
          <w:noProof/>
          <w:sz w:val="20"/>
          <w:szCs w:val="18"/>
        </w:rPr>
        <w:fldChar w:fldCharType="begin"/>
      </w:r>
      <w:r>
        <w:rPr>
          <w:rFonts w:ascii="Times New Roman" w:eastAsia="Calibri" w:hAnsi="Times New Roman" w:cs="Times New Roman"/>
          <w:b/>
          <w:bCs/>
          <w:noProof/>
          <w:sz w:val="20"/>
          <w:szCs w:val="18"/>
        </w:rPr>
        <w:instrText xml:space="preserve"> SEQ Table \* ARABIC \s 1 </w:instrText>
      </w:r>
      <w:r>
        <w:rPr>
          <w:rFonts w:ascii="Times New Roman" w:eastAsia="Calibri" w:hAnsi="Times New Roman" w:cs="Times New Roman"/>
          <w:b/>
          <w:bCs/>
          <w:noProof/>
          <w:sz w:val="20"/>
          <w:szCs w:val="18"/>
        </w:rPr>
        <w:fldChar w:fldCharType="separate"/>
      </w:r>
      <w:r>
        <w:rPr>
          <w:rFonts w:ascii="Times New Roman" w:eastAsia="Calibri" w:hAnsi="Times New Roman" w:cs="Times New Roman"/>
          <w:b/>
          <w:bCs/>
          <w:noProof/>
          <w:sz w:val="20"/>
          <w:szCs w:val="18"/>
        </w:rPr>
        <w:t>1</w:t>
      </w:r>
      <w:r>
        <w:rPr>
          <w:rFonts w:ascii="Times New Roman" w:eastAsia="Calibri" w:hAnsi="Times New Roman" w:cs="Times New Roman"/>
          <w:b/>
          <w:bCs/>
          <w:noProof/>
          <w:sz w:val="20"/>
          <w:szCs w:val="18"/>
        </w:rPr>
        <w:fldChar w:fldCharType="end"/>
      </w:r>
      <w:r>
        <w:rPr>
          <w:rFonts w:ascii="Times New Roman" w:eastAsia="Calibri" w:hAnsi="Times New Roman" w:cs="Times New Roman"/>
          <w:bCs/>
          <w:i/>
          <w:noProof/>
          <w:sz w:val="20"/>
          <w:szCs w:val="18"/>
        </w:rPr>
        <w:t xml:space="preserve">: </w:t>
      </w:r>
      <w:r>
        <w:rPr>
          <w:rFonts w:ascii="Times New Roman" w:eastAsia="Calibri" w:hAnsi="Times New Roman" w:cs="Times New Roman"/>
          <w:bCs/>
          <w:i/>
          <w:noProof/>
          <w:sz w:val="20"/>
          <w:szCs w:val="18"/>
          <w:lang w:eastAsia="en-GB"/>
        </w:rPr>
        <w:t>Special insolvency arrangements for SMEs</w:t>
      </w:r>
      <w:r>
        <w:rPr>
          <w:rStyle w:val="FootnoteReference"/>
          <w:rFonts w:ascii="Times New Roman" w:eastAsia="Calibri" w:hAnsi="Times New Roman"/>
          <w:bCs/>
          <w:i/>
          <w:noProof/>
          <w:sz w:val="20"/>
          <w:szCs w:val="18"/>
          <w:lang w:eastAsia="en-GB"/>
        </w:rPr>
        <w:footnoteReference w:id="361"/>
      </w:r>
    </w:p>
    <w:tbl>
      <w:tblPr>
        <w:tblW w:w="0" w:type="auto"/>
        <w:tblBorders>
          <w:top w:val="single" w:sz="6" w:space="0" w:color="AAAAAA"/>
          <w:left w:val="single" w:sz="6" w:space="0" w:color="AAAAAA"/>
          <w:bottom w:val="single" w:sz="6" w:space="0" w:color="AAAAAA"/>
          <w:right w:val="single" w:sz="6" w:space="0" w:color="AAAAAA"/>
        </w:tblBorders>
        <w:shd w:val="clear" w:color="auto" w:fill="F9F9F9"/>
        <w:tblLook w:val="04A0" w:firstRow="1" w:lastRow="0" w:firstColumn="1" w:lastColumn="0" w:noHBand="0" w:noVBand="1"/>
      </w:tblPr>
      <w:tblGrid>
        <w:gridCol w:w="1291"/>
        <w:gridCol w:w="7765"/>
      </w:tblGrid>
      <w:tr w:rsidR="00B32D69">
        <w:trPr>
          <w:trHeight w:val="218"/>
          <w:tblHeader/>
        </w:trPr>
        <w:tc>
          <w:tcPr>
            <w:tcW w:w="1291" w:type="dxa"/>
            <w:tcBorders>
              <w:top w:val="single" w:sz="6" w:space="0" w:color="AAAAAA"/>
              <w:left w:val="single" w:sz="6" w:space="0" w:color="AAAAAA"/>
              <w:bottom w:val="single" w:sz="6" w:space="0" w:color="AAAAAA"/>
              <w:right w:val="single" w:sz="6" w:space="0" w:color="AAAAAA"/>
            </w:tcBorders>
            <w:shd w:val="clear" w:color="auto" w:fill="0D9EBC"/>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b/>
                <w:noProof/>
                <w:sz w:val="20"/>
                <w:szCs w:val="20"/>
              </w:rPr>
            </w:pPr>
            <w:r>
              <w:rPr>
                <w:rFonts w:ascii="Times New Roman" w:eastAsia="Calibri" w:hAnsi="Times New Roman" w:cs="Times New Roman"/>
                <w:b/>
                <w:noProof/>
                <w:sz w:val="20"/>
                <w:szCs w:val="20"/>
              </w:rPr>
              <w:t>Country</w:t>
            </w:r>
          </w:p>
        </w:tc>
        <w:tc>
          <w:tcPr>
            <w:tcW w:w="7765" w:type="dxa"/>
            <w:tcBorders>
              <w:top w:val="single" w:sz="6" w:space="0" w:color="AAAAAA"/>
              <w:left w:val="single" w:sz="6" w:space="0" w:color="AAAAAA"/>
              <w:bottom w:val="single" w:sz="6" w:space="0" w:color="AAAAAA"/>
              <w:right w:val="single" w:sz="6" w:space="0" w:color="AAAAAA"/>
            </w:tcBorders>
            <w:shd w:val="clear" w:color="auto" w:fill="0D9EBC"/>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b/>
                <w:noProof/>
                <w:sz w:val="20"/>
                <w:szCs w:val="20"/>
              </w:rPr>
            </w:pPr>
            <w:r>
              <w:rPr>
                <w:rFonts w:ascii="Times New Roman" w:eastAsia="Calibri" w:hAnsi="Times New Roman" w:cs="Times New Roman"/>
                <w:b/>
                <w:noProof/>
                <w:sz w:val="20"/>
                <w:szCs w:val="20"/>
              </w:rPr>
              <w:t>Special insolvency arrangements for SMEs and their effectiveness</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60" w:tooltip="Austria" w:history="1">
              <w:r>
                <w:rPr>
                  <w:rStyle w:val="Hyperlink"/>
                  <w:rFonts w:ascii="Times New Roman" w:eastAsia="Calibri" w:hAnsi="Times New Roman" w:cs="Times New Roman"/>
                  <w:noProof/>
                  <w:color w:val="0B0080"/>
                  <w:sz w:val="20"/>
                  <w:szCs w:val="20"/>
                  <w:lang w:eastAsia="en-GB"/>
                </w:rPr>
                <w:t>Austria</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No.  But</w:t>
            </w:r>
            <w:r>
              <w:rPr>
                <w:rFonts w:ascii="Times New Roman" w:eastAsia="Calibri" w:hAnsi="Times New Roman" w:cs="Times New Roman"/>
                <w:noProof/>
                <w:sz w:val="20"/>
                <w:szCs w:val="20"/>
                <w:lang w:eastAsia="en-GB"/>
              </w:rPr>
              <w:t xml:space="preserve"> Austrian Insolvency law dates from 1914 when most businesses were small.  Entire procedure is well-suited for SMEs – proceedings are considered big if the claims total more than 10m EUR.  Current procedures considered sufficient.</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61" w:tooltip="Belgium" w:history="1">
              <w:r>
                <w:rPr>
                  <w:rStyle w:val="Hyperlink"/>
                  <w:rFonts w:ascii="Times New Roman" w:eastAsia="Calibri" w:hAnsi="Times New Roman" w:cs="Times New Roman"/>
                  <w:noProof/>
                  <w:color w:val="0B0080"/>
                  <w:sz w:val="20"/>
                  <w:szCs w:val="20"/>
                  <w:lang w:eastAsia="en-GB"/>
                </w:rPr>
                <w:t>Belgium</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No</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62" w:tooltip="Bulgaria" w:history="1">
              <w:r>
                <w:rPr>
                  <w:rStyle w:val="Hyperlink"/>
                  <w:rFonts w:ascii="Times New Roman" w:eastAsia="Calibri" w:hAnsi="Times New Roman" w:cs="Times New Roman"/>
                  <w:noProof/>
                  <w:color w:val="0B0080"/>
                  <w:sz w:val="20"/>
                  <w:szCs w:val="20"/>
                  <w:lang w:eastAsia="en-GB"/>
                </w:rPr>
                <w:t>Bulgaria</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No</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63" w:tooltip="Croatia" w:history="1">
              <w:r>
                <w:rPr>
                  <w:rStyle w:val="Hyperlink"/>
                  <w:rFonts w:ascii="Times New Roman" w:eastAsia="Calibri" w:hAnsi="Times New Roman" w:cs="Times New Roman"/>
                  <w:noProof/>
                  <w:color w:val="0B0080"/>
                  <w:sz w:val="20"/>
                  <w:szCs w:val="20"/>
                  <w:lang w:eastAsia="en-GB"/>
                </w:rPr>
                <w:t>Croatia</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No</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64" w:tooltip="Cyprus" w:history="1">
              <w:r>
                <w:rPr>
                  <w:rStyle w:val="Hyperlink"/>
                  <w:rFonts w:ascii="Times New Roman" w:eastAsia="Calibri" w:hAnsi="Times New Roman" w:cs="Times New Roman"/>
                  <w:noProof/>
                  <w:color w:val="0B0080"/>
                  <w:sz w:val="20"/>
                  <w:szCs w:val="20"/>
                  <w:lang w:eastAsia="en-GB"/>
                </w:rPr>
                <w:t>Cyprus</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No</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65" w:tooltip="Czech Republic" w:history="1">
              <w:r>
                <w:rPr>
                  <w:rStyle w:val="Hyperlink"/>
                  <w:rFonts w:ascii="Times New Roman" w:eastAsia="Calibri" w:hAnsi="Times New Roman" w:cs="Times New Roman"/>
                  <w:noProof/>
                  <w:color w:val="0B0080"/>
                  <w:sz w:val="20"/>
                  <w:szCs w:val="20"/>
                  <w:lang w:eastAsia="en-GB"/>
                </w:rPr>
                <w:t>Czech Republic</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color w:val="000000"/>
                <w:sz w:val="20"/>
                <w:szCs w:val="20"/>
              </w:rPr>
              <w:t>Streamlined liquidation proceedings are available for small business debtors. Indeed, the majority of busin</w:t>
            </w:r>
            <w:r>
              <w:rPr>
                <w:rFonts w:ascii="Times New Roman" w:eastAsia="Calibri" w:hAnsi="Times New Roman" w:cs="Times New Roman"/>
                <w:noProof/>
                <w:color w:val="000000"/>
                <w:sz w:val="20"/>
                <w:szCs w:val="20"/>
              </w:rPr>
              <w:t xml:space="preserve">ess insolvencies seem to take this form. </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66" w:tooltip="Denmark" w:history="1">
              <w:r>
                <w:rPr>
                  <w:rStyle w:val="Hyperlink"/>
                  <w:rFonts w:ascii="Times New Roman" w:eastAsia="Calibri" w:hAnsi="Times New Roman" w:cs="Times New Roman"/>
                  <w:noProof/>
                  <w:color w:val="0B0080"/>
                  <w:sz w:val="20"/>
                  <w:szCs w:val="20"/>
                  <w:lang w:eastAsia="en-GB"/>
                </w:rPr>
                <w:t>Denmark</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No</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67" w:tooltip="Estonia" w:history="1">
              <w:r>
                <w:rPr>
                  <w:rStyle w:val="Hyperlink"/>
                  <w:rFonts w:ascii="Times New Roman" w:eastAsia="Calibri" w:hAnsi="Times New Roman" w:cs="Times New Roman"/>
                  <w:noProof/>
                  <w:color w:val="0B0080"/>
                  <w:sz w:val="20"/>
                  <w:szCs w:val="20"/>
                  <w:lang w:eastAsia="en-GB"/>
                </w:rPr>
                <w:t>Estonia</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No – about 95% of existing companies in Estonia are SMEs</w:t>
            </w:r>
          </w:p>
          <w:p w:rsidR="00B32D69" w:rsidRDefault="00B32D69">
            <w:pPr>
              <w:spacing w:after="120"/>
              <w:jc w:val="both"/>
              <w:rPr>
                <w:rFonts w:ascii="Times New Roman" w:eastAsia="Calibri" w:hAnsi="Times New Roman" w:cs="Times New Roman"/>
                <w:noProof/>
                <w:sz w:val="20"/>
                <w:szCs w:val="20"/>
                <w:lang w:eastAsia="en-GB"/>
              </w:rPr>
            </w:pP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68" w:tooltip="Finland" w:history="1">
              <w:r>
                <w:rPr>
                  <w:rStyle w:val="Hyperlink"/>
                  <w:rFonts w:ascii="Times New Roman" w:eastAsia="Calibri" w:hAnsi="Times New Roman" w:cs="Times New Roman"/>
                  <w:noProof/>
                  <w:color w:val="0B0080"/>
                  <w:sz w:val="20"/>
                  <w:szCs w:val="20"/>
                  <w:lang w:eastAsia="en-GB"/>
                </w:rPr>
                <w:t>Finland</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 xml:space="preserve">No but the Restructuring Act enables simplified restructuring proceedings that are, in practice, more suitable for SMEs.  </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69" w:tooltip="France" w:history="1">
              <w:r>
                <w:rPr>
                  <w:rStyle w:val="Hyperlink"/>
                  <w:rFonts w:ascii="Times New Roman" w:eastAsia="Calibri" w:hAnsi="Times New Roman" w:cs="Times New Roman"/>
                  <w:noProof/>
                  <w:color w:val="0B0080"/>
                  <w:sz w:val="20"/>
                  <w:szCs w:val="20"/>
                  <w:lang w:eastAsia="en-GB"/>
                </w:rPr>
                <w:t>France</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 xml:space="preserve">Yes – for companies and individual debtors submitted to rescue proceedings – court appoints only IP for checking of claims and representing the collective interests of creditors – limits </w:t>
            </w:r>
            <w:r>
              <w:rPr>
                <w:rFonts w:ascii="Times New Roman" w:eastAsia="Calibri" w:hAnsi="Times New Roman" w:cs="Times New Roman"/>
                <w:noProof/>
                <w:sz w:val="20"/>
                <w:szCs w:val="20"/>
                <w:lang w:eastAsia="en-GB"/>
              </w:rPr>
              <w:t>no more than 20m Euros turnover or less than 20 employees. Simplified liquidation procedure for SMEs - no more than 750,000 euros turnover, 5 employees and no immovable assets. Procedures considered to be a convenient tool for many debtors i.e. individuals</w:t>
            </w:r>
            <w:r>
              <w:rPr>
                <w:rFonts w:ascii="Times New Roman" w:eastAsia="Calibri" w:hAnsi="Times New Roman" w:cs="Times New Roman"/>
                <w:noProof/>
                <w:sz w:val="20"/>
                <w:szCs w:val="20"/>
                <w:lang w:eastAsia="en-GB"/>
              </w:rPr>
              <w:t xml:space="preserve"> with few assets, by giving them a very efficient tool for a rescue through discharge. </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70" w:tooltip="Germany" w:history="1">
              <w:r>
                <w:rPr>
                  <w:rStyle w:val="Hyperlink"/>
                  <w:rFonts w:ascii="Times New Roman" w:eastAsia="Calibri" w:hAnsi="Times New Roman" w:cs="Times New Roman"/>
                  <w:noProof/>
                  <w:color w:val="0B0080"/>
                  <w:sz w:val="20"/>
                  <w:szCs w:val="20"/>
                  <w:lang w:eastAsia="en-GB"/>
                </w:rPr>
                <w:t>Germany</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No.  Germany Insolvency Law provides for one single and unitary insolvency procedure, no matt</w:t>
            </w:r>
            <w:r>
              <w:rPr>
                <w:rFonts w:ascii="Times New Roman" w:eastAsia="Calibri" w:hAnsi="Times New Roman" w:cs="Times New Roman"/>
                <w:noProof/>
                <w:sz w:val="20"/>
                <w:szCs w:val="20"/>
                <w:lang w:eastAsia="en-GB"/>
              </w:rPr>
              <w:t xml:space="preserve">er whether it pursues restructuring or liquidation and no matter whether the debtor is a natural or legal person or large or small company.  No special forms or templates. </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71" w:tooltip="Greece" w:history="1">
              <w:r>
                <w:rPr>
                  <w:rStyle w:val="Hyperlink"/>
                  <w:rFonts w:ascii="Times New Roman" w:eastAsia="Calibri" w:hAnsi="Times New Roman" w:cs="Times New Roman"/>
                  <w:noProof/>
                  <w:color w:val="0B0080"/>
                  <w:sz w:val="20"/>
                  <w:szCs w:val="20"/>
                  <w:lang w:eastAsia="en-GB"/>
                </w:rPr>
                <w:t>Greece</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 xml:space="preserve">Simplified </w:t>
            </w:r>
            <w:r>
              <w:rPr>
                <w:rFonts w:ascii="Times New Roman" w:eastAsia="Calibri" w:hAnsi="Times New Roman" w:cs="Times New Roman"/>
                <w:noProof/>
                <w:sz w:val="20"/>
                <w:szCs w:val="20"/>
                <w:lang w:eastAsia="en-GB"/>
              </w:rPr>
              <w:t>liquidation procedure for SMEs but only for companies with assets of less than 100,000 euros.</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72" w:tooltip="Hungary" w:history="1">
              <w:r>
                <w:rPr>
                  <w:rStyle w:val="Hyperlink"/>
                  <w:rFonts w:ascii="Times New Roman" w:eastAsia="Calibri" w:hAnsi="Times New Roman" w:cs="Times New Roman"/>
                  <w:noProof/>
                  <w:color w:val="0B0080"/>
                  <w:sz w:val="20"/>
                  <w:szCs w:val="20"/>
                  <w:lang w:eastAsia="en-GB"/>
                </w:rPr>
                <w:t>Hungary</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 xml:space="preserve">Some special rules for small businesses but no special procedures.  Standard forms and </w:t>
            </w:r>
            <w:r>
              <w:rPr>
                <w:rFonts w:ascii="Times New Roman" w:eastAsia="Calibri" w:hAnsi="Times New Roman" w:cs="Times New Roman"/>
                <w:noProof/>
                <w:sz w:val="20"/>
                <w:szCs w:val="20"/>
                <w:lang w:eastAsia="en-GB"/>
              </w:rPr>
              <w:t>templates.  The rules were introduced not for encouraging the quick rescue of small businesses but rather to minimise the opportunities for committing fraud.</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73" w:tooltip="Republic of Ireland" w:history="1">
              <w:r>
                <w:rPr>
                  <w:rStyle w:val="Hyperlink"/>
                  <w:rFonts w:ascii="Times New Roman" w:eastAsia="Calibri" w:hAnsi="Times New Roman" w:cs="Times New Roman"/>
                  <w:noProof/>
                  <w:color w:val="0B0080"/>
                  <w:sz w:val="20"/>
                  <w:szCs w:val="20"/>
                  <w:lang w:eastAsia="en-GB"/>
                </w:rPr>
                <w:t>Ireland</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Special procedure in that a small company is enabled to apply to the Circuit Court rather than the High Court to access the recovery procedure – promoted as a more cost efficient process but questionable since the working capital required to fund the comp</w:t>
            </w:r>
            <w:r>
              <w:rPr>
                <w:rFonts w:ascii="Times New Roman" w:eastAsia="Calibri" w:hAnsi="Times New Roman" w:cs="Times New Roman"/>
                <w:noProof/>
                <w:sz w:val="20"/>
                <w:szCs w:val="20"/>
                <w:lang w:eastAsia="en-GB"/>
              </w:rPr>
              <w:t>any during the process and the dividends for creditors will not change and High Court continues to hear cases that could have been heard in the Circuit Court.</w:t>
            </w:r>
          </w:p>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 xml:space="preserve">Changes not having a visible effect in practice. </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74" w:tooltip="Italy" w:history="1">
              <w:r>
                <w:rPr>
                  <w:rStyle w:val="Hyperlink"/>
                  <w:rFonts w:ascii="Times New Roman" w:eastAsia="Calibri" w:hAnsi="Times New Roman" w:cs="Times New Roman"/>
                  <w:noProof/>
                  <w:color w:val="0B0080"/>
                  <w:sz w:val="20"/>
                  <w:szCs w:val="20"/>
                  <w:lang w:eastAsia="en-GB"/>
                </w:rPr>
                <w:t>Italy</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No special insolvency arrangements applicable only to SMEs but simplified insolvency procedures, including liquidation and composition procedures that may be applied to SMEs. No special form</w:t>
            </w:r>
            <w:r>
              <w:rPr>
                <w:rFonts w:ascii="Times New Roman" w:eastAsia="Calibri" w:hAnsi="Times New Roman" w:cs="Times New Roman"/>
                <w:noProof/>
                <w:sz w:val="20"/>
                <w:szCs w:val="20"/>
                <w:lang w:eastAsia="en-GB"/>
              </w:rPr>
              <w:t>s or templates and as yet no evidence to suggest that the simplified procedures are particularly successful.</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75" w:tooltip="Latvia" w:history="1">
              <w:r>
                <w:rPr>
                  <w:rStyle w:val="Hyperlink"/>
                  <w:rFonts w:ascii="Times New Roman" w:eastAsia="Calibri" w:hAnsi="Times New Roman" w:cs="Times New Roman"/>
                  <w:noProof/>
                  <w:color w:val="0B0080"/>
                  <w:sz w:val="20"/>
                  <w:szCs w:val="20"/>
                  <w:lang w:eastAsia="en-GB"/>
                </w:rPr>
                <w:t>Latvia</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No</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76" w:tooltip="Lithuania" w:history="1">
              <w:r>
                <w:rPr>
                  <w:rStyle w:val="Hyperlink"/>
                  <w:rFonts w:ascii="Times New Roman" w:eastAsia="Calibri" w:hAnsi="Times New Roman" w:cs="Times New Roman"/>
                  <w:noProof/>
                  <w:color w:val="0B0080"/>
                  <w:sz w:val="20"/>
                  <w:szCs w:val="20"/>
                  <w:lang w:eastAsia="en-GB"/>
                </w:rPr>
                <w:t>L</w:t>
              </w:r>
              <w:r>
                <w:rPr>
                  <w:rStyle w:val="Hyperlink"/>
                  <w:rFonts w:ascii="Times New Roman" w:eastAsia="Calibri" w:hAnsi="Times New Roman" w:cs="Times New Roman"/>
                  <w:noProof/>
                  <w:color w:val="0B0080"/>
                  <w:sz w:val="20"/>
                  <w:szCs w:val="20"/>
                  <w:lang w:eastAsia="en-GB"/>
                </w:rPr>
                <w:t>ithuania</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Simplified and more expeditious bankruptcy procedure available when the court or IP established during the case that the enterprise has no assets or that its assets are insufficient to cover the legal and administrative expenses.  Considered usefu</w:t>
            </w:r>
            <w:r>
              <w:rPr>
                <w:rFonts w:ascii="Times New Roman" w:eastAsia="Calibri" w:hAnsi="Times New Roman" w:cs="Times New Roman"/>
                <w:noProof/>
                <w:sz w:val="20"/>
                <w:szCs w:val="20"/>
                <w:lang w:eastAsia="en-GB"/>
              </w:rPr>
              <w:t>l generally to have provisions specifically tailored for SMEs.</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77" w:tooltip="Luxembourg" w:history="1">
              <w:r>
                <w:rPr>
                  <w:rStyle w:val="Hyperlink"/>
                  <w:rFonts w:ascii="Times New Roman" w:eastAsia="Calibri" w:hAnsi="Times New Roman" w:cs="Times New Roman"/>
                  <w:noProof/>
                  <w:color w:val="0B0080"/>
                  <w:sz w:val="20"/>
                  <w:szCs w:val="20"/>
                  <w:lang w:eastAsia="en-GB"/>
                </w:rPr>
                <w:t>Luxembourg</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No</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78" w:tooltip="Malta" w:history="1">
              <w:r>
                <w:rPr>
                  <w:rStyle w:val="Hyperlink"/>
                  <w:rFonts w:ascii="Times New Roman" w:eastAsia="Calibri" w:hAnsi="Times New Roman" w:cs="Times New Roman"/>
                  <w:noProof/>
                  <w:color w:val="0B0080"/>
                  <w:sz w:val="20"/>
                  <w:szCs w:val="20"/>
                  <w:lang w:eastAsia="en-GB"/>
                </w:rPr>
                <w:t>Malta</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No and the provisions on corporate re</w:t>
            </w:r>
            <w:r>
              <w:rPr>
                <w:rFonts w:ascii="Times New Roman" w:eastAsia="Calibri" w:hAnsi="Times New Roman" w:cs="Times New Roman"/>
                <w:noProof/>
                <w:sz w:val="20"/>
                <w:szCs w:val="20"/>
                <w:lang w:eastAsia="en-GB"/>
              </w:rPr>
              <w:t>covery do not expressly apply to small companies as such term is defined in the Act.</w:t>
            </w:r>
          </w:p>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Considered that provisions allowing for a more expeditious and cost effective mode of insolvency for small and often family run enterprises would be a welcome development.</w:t>
            </w:r>
            <w:r>
              <w:rPr>
                <w:rFonts w:ascii="Times New Roman" w:eastAsia="Calibri" w:hAnsi="Times New Roman" w:cs="Times New Roman"/>
                <w:noProof/>
                <w:sz w:val="20"/>
                <w:szCs w:val="20"/>
                <w:lang w:eastAsia="en-GB"/>
              </w:rPr>
              <w:t xml:space="preserve"> </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79" w:tooltip="Netherlands" w:history="1">
              <w:r>
                <w:rPr>
                  <w:rStyle w:val="Hyperlink"/>
                  <w:rFonts w:ascii="Times New Roman" w:eastAsia="Calibri" w:hAnsi="Times New Roman" w:cs="Times New Roman"/>
                  <w:noProof/>
                  <w:color w:val="0B0080"/>
                  <w:sz w:val="20"/>
                  <w:szCs w:val="20"/>
                  <w:lang w:eastAsia="en-GB"/>
                </w:rPr>
                <w:t>Netherlands</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No.  But a characteristic feature of insolvency proceedings under Dutch law is the expedient and flexible manner in which proceedings can be conducted.  Examples include prompt commencement of the proceedings following a basic insolvency test and the short</w:t>
            </w:r>
            <w:r>
              <w:rPr>
                <w:rFonts w:ascii="Times New Roman" w:eastAsia="Calibri" w:hAnsi="Times New Roman" w:cs="Times New Roman"/>
                <w:noProof/>
                <w:sz w:val="20"/>
                <w:szCs w:val="20"/>
                <w:lang w:eastAsia="en-GB"/>
              </w:rPr>
              <w:t xml:space="preserve"> periods applicable to certain formal processes.  Limited court supervision and extensive powers of the IP to manage and realise the insolvent estate have further minimised procedural delays whilst maintaining a sufficient degree of checks and balances. </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rPr>
            </w:pPr>
            <w:hyperlink r:id="rId80" w:tooltip="Netherlands" w:history="1">
              <w:r>
                <w:rPr>
                  <w:rStyle w:val="Hyperlink"/>
                  <w:rFonts w:ascii="Times New Roman" w:eastAsia="Calibri" w:hAnsi="Times New Roman" w:cs="Times New Roman"/>
                  <w:noProof/>
                  <w:color w:val="0B0080"/>
                  <w:sz w:val="20"/>
                  <w:szCs w:val="20"/>
                  <w:lang w:eastAsia="en-GB"/>
                </w:rPr>
                <w:t>Norway</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No</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81" w:tooltip="Poland" w:history="1">
              <w:r>
                <w:rPr>
                  <w:rStyle w:val="Hyperlink"/>
                  <w:rFonts w:ascii="Times New Roman" w:eastAsia="Calibri" w:hAnsi="Times New Roman" w:cs="Times New Roman"/>
                  <w:noProof/>
                  <w:color w:val="0B0080"/>
                  <w:sz w:val="20"/>
                  <w:szCs w:val="20"/>
                  <w:lang w:eastAsia="en-GB"/>
                </w:rPr>
                <w:t>Poland</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 xml:space="preserve">No special procedures though size and nature of debtor’s enterprise is recognised as important </w:t>
            </w:r>
            <w:r>
              <w:rPr>
                <w:rFonts w:ascii="Times New Roman" w:eastAsia="Calibri" w:hAnsi="Times New Roman" w:cs="Times New Roman"/>
                <w:noProof/>
                <w:sz w:val="20"/>
                <w:szCs w:val="20"/>
                <w:lang w:eastAsia="en-GB"/>
              </w:rPr>
              <w:t>factor in certain provisions of the Insolvency law.</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82" w:tooltip="Portugal" w:history="1">
              <w:r>
                <w:rPr>
                  <w:rStyle w:val="Hyperlink"/>
                  <w:rFonts w:ascii="Times New Roman" w:eastAsia="Calibri" w:hAnsi="Times New Roman" w:cs="Times New Roman"/>
                  <w:noProof/>
                  <w:color w:val="0B0080"/>
                  <w:sz w:val="20"/>
                  <w:szCs w:val="20"/>
                  <w:lang w:eastAsia="en-GB"/>
                </w:rPr>
                <w:t>Portugal</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No</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83" w:tooltip="Romania" w:history="1">
              <w:r>
                <w:rPr>
                  <w:rStyle w:val="Hyperlink"/>
                  <w:rFonts w:ascii="Times New Roman" w:eastAsia="Calibri" w:hAnsi="Times New Roman" w:cs="Times New Roman"/>
                  <w:noProof/>
                  <w:color w:val="0B0080"/>
                  <w:sz w:val="20"/>
                  <w:szCs w:val="20"/>
                  <w:lang w:eastAsia="en-GB"/>
                </w:rPr>
                <w:t>Romania</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Simplified liquidation with special forms and te</w:t>
            </w:r>
            <w:r>
              <w:rPr>
                <w:rFonts w:ascii="Times New Roman" w:eastAsia="Calibri" w:hAnsi="Times New Roman" w:cs="Times New Roman"/>
                <w:noProof/>
                <w:sz w:val="20"/>
                <w:szCs w:val="20"/>
                <w:lang w:eastAsia="en-GB"/>
              </w:rPr>
              <w:t>mplates but the procedure is not designed at all for business rescue.</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84" w:tooltip="Slovakia" w:history="1">
              <w:r>
                <w:rPr>
                  <w:rStyle w:val="Hyperlink"/>
                  <w:rFonts w:ascii="Times New Roman" w:eastAsia="Calibri" w:hAnsi="Times New Roman" w:cs="Times New Roman"/>
                  <w:noProof/>
                  <w:color w:val="0B0080"/>
                  <w:sz w:val="20"/>
                  <w:szCs w:val="20"/>
                  <w:lang w:eastAsia="en-GB"/>
                </w:rPr>
                <w:t>Slovakia</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 xml:space="preserve">Simplified liquidation procedure with modified rules but no special templates.  A special restructuring </w:t>
            </w:r>
            <w:r>
              <w:rPr>
                <w:rFonts w:ascii="Times New Roman" w:eastAsia="Calibri" w:hAnsi="Times New Roman" w:cs="Times New Roman"/>
                <w:noProof/>
                <w:sz w:val="20"/>
                <w:szCs w:val="20"/>
                <w:lang w:eastAsia="en-GB"/>
              </w:rPr>
              <w:t>procedure for SMEs not considered to be realistic since the “restructuring process requires experienced experts with strong integrity, who are generally very few and the costs of their services are high.”</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85" w:tooltip="Slovenia" w:history="1">
              <w:r>
                <w:rPr>
                  <w:rStyle w:val="Hyperlink"/>
                  <w:rFonts w:ascii="Times New Roman" w:eastAsia="Calibri" w:hAnsi="Times New Roman" w:cs="Times New Roman"/>
                  <w:noProof/>
                  <w:color w:val="0B0080"/>
                  <w:sz w:val="20"/>
                  <w:szCs w:val="20"/>
                  <w:lang w:eastAsia="en-GB"/>
                </w:rPr>
                <w:t>Slovenia</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Simplified composition rather than liquidation procedures but a greater role for creditors in the procedure considered to be useful.</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86" w:tooltip="Spain" w:history="1">
              <w:r>
                <w:rPr>
                  <w:rStyle w:val="Hyperlink"/>
                  <w:rFonts w:ascii="Times New Roman" w:eastAsia="Calibri" w:hAnsi="Times New Roman" w:cs="Times New Roman"/>
                  <w:noProof/>
                  <w:color w:val="0B0080"/>
                  <w:sz w:val="20"/>
                  <w:szCs w:val="20"/>
                  <w:lang w:eastAsia="en-GB"/>
                </w:rPr>
                <w:t>Spain</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Speedy insolvency procedure</w:t>
            </w:r>
            <w:r>
              <w:rPr>
                <w:rFonts w:ascii="Times New Roman" w:eastAsia="Calibri" w:hAnsi="Times New Roman" w:cs="Times New Roman"/>
                <w:noProof/>
                <w:sz w:val="20"/>
                <w:szCs w:val="20"/>
                <w:lang w:eastAsia="en-GB"/>
              </w:rPr>
              <w:t xml:space="preserve"> for debtors with liabilities of less than 5m euros.  Also procedure with standard forms for an out-of-court restructuring plan specifically tailored for debtors with liabilities of less than 5m euros.  But the fact the State claimants have a privileged po</w:t>
            </w:r>
            <w:r>
              <w:rPr>
                <w:rFonts w:ascii="Times New Roman" w:eastAsia="Calibri" w:hAnsi="Times New Roman" w:cs="Times New Roman"/>
                <w:noProof/>
                <w:sz w:val="20"/>
                <w:szCs w:val="20"/>
                <w:lang w:eastAsia="en-GB"/>
              </w:rPr>
              <w:t xml:space="preserve">sition in the procedure appears to militate against their effectiveness. </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87" w:tooltip="Sweden" w:history="1">
              <w:r>
                <w:rPr>
                  <w:rStyle w:val="Hyperlink"/>
                  <w:rFonts w:ascii="Times New Roman" w:eastAsia="Calibri" w:hAnsi="Times New Roman" w:cs="Times New Roman"/>
                  <w:noProof/>
                  <w:color w:val="0B0080"/>
                  <w:sz w:val="20"/>
                  <w:szCs w:val="20"/>
                  <w:lang w:eastAsia="en-GB"/>
                </w:rPr>
                <w:t>Sweden</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No</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88" w:tooltip="United Kingdom" w:history="1">
              <w:r>
                <w:rPr>
                  <w:rStyle w:val="Hyperlink"/>
                  <w:rFonts w:ascii="Times New Roman" w:eastAsia="Calibri" w:hAnsi="Times New Roman" w:cs="Times New Roman"/>
                  <w:noProof/>
                  <w:color w:val="0B0080"/>
                  <w:sz w:val="20"/>
                  <w:szCs w:val="20"/>
                  <w:lang w:eastAsia="en-GB"/>
                </w:rPr>
                <w:t>United Kingdom</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 xml:space="preserve">Special arrangement introduced for SMEs but not widely used and not considered to be a great success. </w:t>
            </w:r>
          </w:p>
        </w:tc>
      </w:tr>
      <w:tr w:rsidR="00B32D69">
        <w:tc>
          <w:tcPr>
            <w:tcW w:w="1291"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color w:val="000000"/>
                <w:sz w:val="20"/>
                <w:szCs w:val="20"/>
                <w:lang w:eastAsia="en-GB"/>
              </w:rPr>
            </w:pPr>
            <w:hyperlink r:id="rId89" w:tooltip="United Kingdom" w:history="1">
              <w:r>
                <w:rPr>
                  <w:rStyle w:val="Hyperlink"/>
                  <w:rFonts w:ascii="Times New Roman" w:eastAsia="Calibri" w:hAnsi="Times New Roman" w:cs="Times New Roman"/>
                  <w:noProof/>
                  <w:color w:val="0B0080"/>
                  <w:sz w:val="20"/>
                  <w:szCs w:val="20"/>
                  <w:lang w:eastAsia="en-GB"/>
                </w:rPr>
                <w:t>US</w:t>
              </w:r>
            </w:hyperlink>
          </w:p>
        </w:tc>
        <w:tc>
          <w:tcPr>
            <w:tcW w:w="7765" w:type="dxa"/>
            <w:tcBorders>
              <w:top w:val="single" w:sz="6" w:space="0" w:color="AAAAAA"/>
              <w:left w:val="single" w:sz="6" w:space="0" w:color="AAAAAA"/>
              <w:bottom w:val="single" w:sz="6" w:space="0" w:color="AAAAAA"/>
              <w:right w:val="single" w:sz="6" w:space="0" w:color="AAAAAA"/>
            </w:tcBorders>
            <w:shd w:val="clear" w:color="auto" w:fill="F9F9F9"/>
            <w:tcMar>
              <w:top w:w="15" w:type="dxa"/>
              <w:left w:w="15" w:type="dxa"/>
              <w:bottom w:w="15" w:type="dxa"/>
              <w:right w:w="15" w:type="dxa"/>
            </w:tcMar>
            <w:vAlign w:val="center"/>
            <w:hideMark/>
          </w:tcPr>
          <w:p w:rsidR="00B32D69" w:rsidRDefault="00FB661A">
            <w:pPr>
              <w:spacing w:after="120"/>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Chapter 11 process is streamlined for ‘small business debtors’, which</w:t>
            </w:r>
            <w:r>
              <w:rPr>
                <w:rFonts w:ascii="Times New Roman" w:eastAsia="Calibri" w:hAnsi="Times New Roman" w:cs="Times New Roman"/>
                <w:noProof/>
                <w:sz w:val="20"/>
                <w:szCs w:val="20"/>
              </w:rPr>
              <w:t xml:space="preserve"> are defined as persons engaged in commercial or business activities that have aggregate noncontingent liquidated secured and unsecured debts as of the date of the filing of the bankruptcy petition in an amount not more than (currently) $2,490,925. The req</w:t>
            </w:r>
            <w:r>
              <w:rPr>
                <w:rFonts w:ascii="Times New Roman" w:eastAsia="Calibri" w:hAnsi="Times New Roman" w:cs="Times New Roman"/>
                <w:noProof/>
                <w:sz w:val="20"/>
                <w:szCs w:val="20"/>
              </w:rPr>
              <w:t>uirement for an official creditors’ committee can be relaxed by the court in small business cases. Other onerous disclosure requirements are substantially reduced. Otherwise, small business cases are subject to usual chapter 11 procedures.</w:t>
            </w:r>
          </w:p>
          <w:p w:rsidR="00B32D69" w:rsidRDefault="00FB661A">
            <w:pPr>
              <w:spacing w:after="120"/>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The small </w:t>
            </w:r>
            <w:r>
              <w:rPr>
                <w:rFonts w:ascii="Times New Roman" w:eastAsia="Calibri" w:hAnsi="Times New Roman" w:cs="Times New Roman"/>
                <w:noProof/>
                <w:sz w:val="20"/>
                <w:szCs w:val="20"/>
              </w:rPr>
              <w:t>business provisions are not thought to work well in practice because of their inflexibility and associated process costs. As a consequence, small businesses often seek recourse to alternative procedures outside of the bankruptcy system.</w:t>
            </w:r>
          </w:p>
          <w:p w:rsidR="00B32D69" w:rsidRDefault="00FB661A">
            <w:pPr>
              <w:spacing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rPr>
              <w:t>At present, it appe</w:t>
            </w:r>
            <w:r>
              <w:rPr>
                <w:rFonts w:ascii="Times New Roman" w:eastAsia="Calibri" w:hAnsi="Times New Roman" w:cs="Times New Roman"/>
                <w:noProof/>
                <w:sz w:val="20"/>
                <w:szCs w:val="20"/>
              </w:rPr>
              <w:t>ars that the small business provisions of the Bankruptcy Code are not effective for encouraging quick rescues. However, US experience suggests that it can be very difficult to strike a balance between streamlined process and effective protection for credit</w:t>
            </w:r>
            <w:r>
              <w:rPr>
                <w:rFonts w:ascii="Times New Roman" w:eastAsia="Calibri" w:hAnsi="Times New Roman" w:cs="Times New Roman"/>
                <w:noProof/>
                <w:sz w:val="20"/>
                <w:szCs w:val="20"/>
              </w:rPr>
              <w:t>ors. One concern that led to the tightening of the small business provisions in 2005 was that too many nonviable small businesses were using them to delay their inevitable failure, thus prolonging their demise at increased administrative cost, when an imme</w:t>
            </w:r>
            <w:r>
              <w:rPr>
                <w:rFonts w:ascii="Times New Roman" w:eastAsia="Calibri" w:hAnsi="Times New Roman" w:cs="Times New Roman"/>
                <w:noProof/>
                <w:sz w:val="20"/>
                <w:szCs w:val="20"/>
              </w:rPr>
              <w:t>diate orderly liquidation would have provided a better return to creditors.</w:t>
            </w:r>
          </w:p>
        </w:tc>
      </w:tr>
    </w:tbl>
    <w:p w:rsidR="00B32D69" w:rsidRDefault="00B32D69">
      <w:pPr>
        <w:spacing w:after="120"/>
        <w:jc w:val="both"/>
        <w:rPr>
          <w:rFonts w:ascii="Times New Roman" w:hAnsi="Times New Roman" w:cs="Times New Roman"/>
          <w:b/>
          <w:noProof/>
          <w:sz w:val="24"/>
          <w:szCs w:val="24"/>
        </w:rPr>
      </w:pPr>
    </w:p>
    <w:p w:rsidR="00B32D69" w:rsidRDefault="00FB661A">
      <w:pPr>
        <w:keepNext/>
        <w:spacing w:before="240" w:after="120"/>
        <w:ind w:left="360"/>
        <w:jc w:val="both"/>
        <w:rPr>
          <w:rFonts w:ascii="Times New Roman" w:hAnsi="Times New Roman" w:cs="Times New Roman"/>
          <w:b/>
          <w:i/>
          <w:noProof/>
          <w:color w:val="EE8032"/>
          <w:sz w:val="18"/>
          <w:szCs w:val="18"/>
          <w:lang w:eastAsia="en-GB"/>
        </w:rPr>
      </w:pPr>
      <w:r>
        <w:rPr>
          <w:rFonts w:ascii="Times New Roman" w:hAnsi="Times New Roman" w:cs="Times New Roman"/>
          <w:b/>
          <w:i/>
          <w:noProof/>
          <w:color w:val="EE8032"/>
          <w:sz w:val="18"/>
          <w:szCs w:val="18"/>
          <w:lang w:eastAsia="en-GB"/>
        </w:rPr>
        <w:t>Table 2. Trends in number of business bankruptcies and other forms of unvoluntary business cessations selected Member States 2007 to 2014 – 2009=100.</w:t>
      </w:r>
    </w:p>
    <w:tbl>
      <w:tblPr>
        <w:tblW w:w="9299" w:type="dxa"/>
        <w:tblInd w:w="113" w:type="dxa"/>
        <w:tblLook w:val="04A0" w:firstRow="1" w:lastRow="0" w:firstColumn="1" w:lastColumn="0" w:noHBand="0" w:noVBand="1"/>
      </w:tblPr>
      <w:tblGrid>
        <w:gridCol w:w="1033"/>
        <w:gridCol w:w="1033"/>
        <w:gridCol w:w="1033"/>
        <w:gridCol w:w="1033"/>
        <w:gridCol w:w="1034"/>
        <w:gridCol w:w="1033"/>
        <w:gridCol w:w="1033"/>
        <w:gridCol w:w="1033"/>
        <w:gridCol w:w="1034"/>
      </w:tblGrid>
      <w:tr w:rsidR="00B32D69">
        <w:trPr>
          <w:trHeight w:val="563"/>
        </w:trPr>
        <w:tc>
          <w:tcPr>
            <w:tcW w:w="1033" w:type="dxa"/>
            <w:tcBorders>
              <w:top w:val="single" w:sz="4" w:space="0" w:color="FFFFFF"/>
              <w:left w:val="single" w:sz="4" w:space="0" w:color="FFFFFF"/>
              <w:bottom w:val="single" w:sz="4" w:space="0" w:color="FFFFFF"/>
              <w:right w:val="single" w:sz="4" w:space="0" w:color="FFFFFF"/>
            </w:tcBorders>
            <w:shd w:val="clear" w:color="000000" w:fill="ED7D31"/>
            <w:noWrap/>
            <w:vAlign w:val="bottom"/>
          </w:tcPr>
          <w:p w:rsidR="00B32D69" w:rsidRDefault="00FB661A">
            <w:pPr>
              <w:spacing w:after="120"/>
              <w:jc w:val="both"/>
              <w:rPr>
                <w:rFonts w:ascii="Times New Roman" w:eastAsia="Times New Roman" w:hAnsi="Times New Roman" w:cs="Times New Roman"/>
                <w:noProof/>
                <w:color w:val="000000"/>
                <w:sz w:val="20"/>
                <w:szCs w:val="20"/>
                <w:lang w:eastAsia="en-GB"/>
              </w:rPr>
            </w:pPr>
            <w:r>
              <w:rPr>
                <w:rFonts w:ascii="Times New Roman" w:eastAsia="Times New Roman" w:hAnsi="Times New Roman" w:cs="Times New Roman"/>
                <w:noProof/>
                <w:color w:val="000000"/>
                <w:sz w:val="20"/>
                <w:szCs w:val="20"/>
                <w:lang w:eastAsia="en-GB"/>
              </w:rPr>
              <w:t>Member State</w:t>
            </w:r>
          </w:p>
        </w:tc>
        <w:tc>
          <w:tcPr>
            <w:tcW w:w="1033" w:type="dxa"/>
            <w:tcBorders>
              <w:top w:val="single" w:sz="4" w:space="0" w:color="FFFFFF"/>
              <w:left w:val="single" w:sz="4" w:space="0" w:color="FFFFFF"/>
              <w:bottom w:val="single" w:sz="4" w:space="0" w:color="FFFFFF"/>
              <w:right w:val="single" w:sz="4" w:space="0" w:color="FFFFFF"/>
            </w:tcBorders>
            <w:shd w:val="clear" w:color="000000" w:fill="ED7D31"/>
          </w:tcPr>
          <w:p w:rsidR="00B32D69" w:rsidRDefault="00FB661A">
            <w:pPr>
              <w:spacing w:after="120"/>
              <w:jc w:val="both"/>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2007</w:t>
            </w:r>
          </w:p>
        </w:tc>
        <w:tc>
          <w:tcPr>
            <w:tcW w:w="1033" w:type="dxa"/>
            <w:tcBorders>
              <w:top w:val="single" w:sz="4" w:space="0" w:color="FFFFFF"/>
              <w:left w:val="single" w:sz="4" w:space="0" w:color="FFFFFF"/>
              <w:bottom w:val="single" w:sz="4" w:space="0" w:color="FFFFFF"/>
              <w:right w:val="single" w:sz="4" w:space="0" w:color="FFFFFF"/>
            </w:tcBorders>
            <w:shd w:val="clear" w:color="000000" w:fill="ED7D31"/>
          </w:tcPr>
          <w:p w:rsidR="00B32D69" w:rsidRDefault="00FB661A">
            <w:pPr>
              <w:spacing w:after="120"/>
              <w:jc w:val="both"/>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2008</w:t>
            </w:r>
          </w:p>
        </w:tc>
        <w:tc>
          <w:tcPr>
            <w:tcW w:w="1033" w:type="dxa"/>
            <w:tcBorders>
              <w:top w:val="single" w:sz="4" w:space="0" w:color="FFFFFF"/>
              <w:left w:val="single" w:sz="4" w:space="0" w:color="FFFFFF"/>
              <w:bottom w:val="single" w:sz="4" w:space="0" w:color="FFFFFF"/>
              <w:right w:val="single" w:sz="4" w:space="0" w:color="FFFFFF"/>
            </w:tcBorders>
            <w:shd w:val="clear" w:color="000000" w:fill="ED7D31"/>
          </w:tcPr>
          <w:p w:rsidR="00B32D69" w:rsidRDefault="00FB661A">
            <w:pPr>
              <w:spacing w:after="120"/>
              <w:jc w:val="both"/>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2009</w:t>
            </w:r>
          </w:p>
        </w:tc>
        <w:tc>
          <w:tcPr>
            <w:tcW w:w="1034" w:type="dxa"/>
            <w:tcBorders>
              <w:top w:val="single" w:sz="4" w:space="0" w:color="FFFFFF"/>
              <w:left w:val="single" w:sz="4" w:space="0" w:color="FFFFFF"/>
              <w:bottom w:val="single" w:sz="4" w:space="0" w:color="FFFFFF"/>
              <w:right w:val="single" w:sz="4" w:space="0" w:color="FFFFFF"/>
            </w:tcBorders>
            <w:shd w:val="clear" w:color="000000" w:fill="ED7D31"/>
          </w:tcPr>
          <w:p w:rsidR="00B32D69" w:rsidRDefault="00FB661A">
            <w:pPr>
              <w:spacing w:after="120"/>
              <w:jc w:val="both"/>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2010</w:t>
            </w:r>
          </w:p>
        </w:tc>
        <w:tc>
          <w:tcPr>
            <w:tcW w:w="1033" w:type="dxa"/>
            <w:tcBorders>
              <w:top w:val="single" w:sz="4" w:space="0" w:color="FFFFFF"/>
              <w:left w:val="single" w:sz="4" w:space="0" w:color="FFFFFF"/>
              <w:bottom w:val="single" w:sz="4" w:space="0" w:color="FFFFFF"/>
              <w:right w:val="single" w:sz="4" w:space="0" w:color="FFFFFF"/>
            </w:tcBorders>
            <w:shd w:val="clear" w:color="000000" w:fill="ED7D31"/>
          </w:tcPr>
          <w:p w:rsidR="00B32D69" w:rsidRDefault="00FB661A">
            <w:pPr>
              <w:spacing w:after="120"/>
              <w:jc w:val="both"/>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2011</w:t>
            </w:r>
          </w:p>
        </w:tc>
        <w:tc>
          <w:tcPr>
            <w:tcW w:w="1033" w:type="dxa"/>
            <w:tcBorders>
              <w:top w:val="single" w:sz="4" w:space="0" w:color="FFFFFF"/>
              <w:left w:val="single" w:sz="4" w:space="0" w:color="FFFFFF"/>
              <w:bottom w:val="single" w:sz="4" w:space="0" w:color="FFFFFF"/>
              <w:right w:val="single" w:sz="4" w:space="0" w:color="FFFFFF"/>
            </w:tcBorders>
            <w:shd w:val="clear" w:color="000000" w:fill="ED7D31"/>
          </w:tcPr>
          <w:p w:rsidR="00B32D69" w:rsidRDefault="00FB661A">
            <w:pPr>
              <w:spacing w:after="120"/>
              <w:jc w:val="both"/>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2012</w:t>
            </w:r>
          </w:p>
        </w:tc>
        <w:tc>
          <w:tcPr>
            <w:tcW w:w="1033" w:type="dxa"/>
            <w:tcBorders>
              <w:top w:val="single" w:sz="4" w:space="0" w:color="FFFFFF"/>
              <w:left w:val="single" w:sz="4" w:space="0" w:color="FFFFFF"/>
              <w:bottom w:val="single" w:sz="4" w:space="0" w:color="FFFFFF"/>
              <w:right w:val="single" w:sz="4" w:space="0" w:color="FFFFFF"/>
            </w:tcBorders>
            <w:shd w:val="clear" w:color="000000" w:fill="ED7D31"/>
          </w:tcPr>
          <w:p w:rsidR="00B32D69" w:rsidRDefault="00FB661A">
            <w:pPr>
              <w:spacing w:after="120"/>
              <w:jc w:val="both"/>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2013</w:t>
            </w:r>
          </w:p>
        </w:tc>
        <w:tc>
          <w:tcPr>
            <w:tcW w:w="1034" w:type="dxa"/>
            <w:tcBorders>
              <w:top w:val="single" w:sz="4" w:space="0" w:color="FFFFFF"/>
              <w:left w:val="single" w:sz="4" w:space="0" w:color="FFFFFF"/>
              <w:bottom w:val="single" w:sz="4" w:space="0" w:color="FFFFFF"/>
              <w:right w:val="single" w:sz="4" w:space="0" w:color="FFFFFF"/>
            </w:tcBorders>
            <w:shd w:val="clear" w:color="000000" w:fill="ED7D31"/>
          </w:tcPr>
          <w:p w:rsidR="00B32D69" w:rsidRDefault="00FB661A">
            <w:pPr>
              <w:spacing w:after="120"/>
              <w:jc w:val="both"/>
              <w:rPr>
                <w:rFonts w:ascii="Times New Roman" w:eastAsia="Times New Roman" w:hAnsi="Times New Roman" w:cs="Times New Roman"/>
                <w:noProof/>
                <w:color w:val="000000"/>
                <w:sz w:val="20"/>
                <w:szCs w:val="20"/>
                <w:lang w:eastAsia="en-GB"/>
              </w:rPr>
            </w:pPr>
            <w:r>
              <w:rPr>
                <w:rFonts w:ascii="Times New Roman" w:hAnsi="Times New Roman" w:cs="Times New Roman"/>
                <w:noProof/>
                <w:sz w:val="20"/>
                <w:szCs w:val="20"/>
              </w:rPr>
              <w:t>2014</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AT</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91.2</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91.5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92.4</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85.0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87.5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79.1</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78.6</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BE</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81.5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90.0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101.6</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108.5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112.4</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124.6</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114.0</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BG</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B32D69">
            <w:pPr>
              <w:spacing w:after="120"/>
              <w:jc w:val="both"/>
              <w:rPr>
                <w:rFonts w:ascii="Times New Roman" w:eastAsia="Times New Roman" w:hAnsi="Times New Roman" w:cs="Times New Roman"/>
                <w:noProof/>
                <w:color w:val="000000"/>
                <w:sz w:val="18"/>
                <w:szCs w:val="18"/>
                <w:lang w:eastAsia="en-GB"/>
              </w:rPr>
            </w:pP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B32D69">
            <w:pPr>
              <w:spacing w:after="120"/>
              <w:jc w:val="both"/>
              <w:rPr>
                <w:rFonts w:ascii="Times New Roman" w:eastAsia="Times New Roman" w:hAnsi="Times New Roman" w:cs="Times New Roman"/>
                <w:noProof/>
                <w:color w:val="000000"/>
                <w:sz w:val="18"/>
                <w:szCs w:val="18"/>
                <w:lang w:eastAsia="en-GB"/>
              </w:rPr>
            </w:pP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125.2</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145.1</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177.6</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193.8</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170.6</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CY</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88.7</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84.9</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107.5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114.5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83.6</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118.9</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102.5</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CZ</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67.3</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72.3</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109.1</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119.7</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131.0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sz w:val="18"/>
                <w:szCs w:val="18"/>
                <w:lang w:eastAsia="en-GB"/>
              </w:rPr>
            </w:pPr>
            <w:r>
              <w:rPr>
                <w:rFonts w:ascii="Times New Roman" w:hAnsi="Times New Roman" w:cs="Times New Roman"/>
                <w:noProof/>
                <w:sz w:val="18"/>
                <w:szCs w:val="18"/>
              </w:rPr>
              <w:t>151.1</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144.3</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DK</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42.0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65.0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113.2</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95.8</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95.6</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87.4</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70.6</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EE</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19.1</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40.1</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97.4</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59.1</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46.9</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43.5</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40.6</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EL</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144.5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101.1</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125.4</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116.9</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110.4</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93.0</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ES</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19.9</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55.6</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94.5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109.5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148.9</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167.2</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114.0</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FI</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68.8</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79.8</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87.5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90.0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90.4</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95.6</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91.2</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FR</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81.2</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87.9</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95.5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94.1</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96.7</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99.0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98.9</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HU</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B32D69">
            <w:pPr>
              <w:spacing w:after="120"/>
              <w:jc w:val="both"/>
              <w:rPr>
                <w:rFonts w:ascii="Times New Roman" w:eastAsia="Times New Roman" w:hAnsi="Times New Roman" w:cs="Times New Roman"/>
                <w:noProof/>
                <w:color w:val="000000"/>
                <w:sz w:val="18"/>
                <w:szCs w:val="18"/>
                <w:lang w:eastAsia="en-GB"/>
              </w:rPr>
            </w:pP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84.7</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104.4</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83.0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68.7</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93.1</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149.1</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IR</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53.6</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66.0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100.8</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113.0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109.0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95.6</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B32D69">
            <w:pPr>
              <w:spacing w:after="120"/>
              <w:jc w:val="both"/>
              <w:rPr>
                <w:rFonts w:ascii="Times New Roman" w:eastAsia="Times New Roman" w:hAnsi="Times New Roman" w:cs="Times New Roman"/>
                <w:noProof/>
                <w:color w:val="000000"/>
                <w:sz w:val="18"/>
                <w:szCs w:val="18"/>
                <w:lang w:eastAsia="en-GB"/>
              </w:rPr>
            </w:pP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IT</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65.6</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80.0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119.7</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129.5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130.6</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150.6</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167.5</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LT</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32.9</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51.9</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88.8</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69.0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76.0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84.2</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91.4</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LU</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95.1</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82.8</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132.5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141.1</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151.5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151.4</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122.7</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after="120"/>
              <w:jc w:val="both"/>
              <w:rPr>
                <w:rFonts w:ascii="Times New Roman" w:hAnsi="Times New Roman" w:cs="Times New Roman"/>
                <w:noProof/>
                <w:sz w:val="18"/>
                <w:szCs w:val="18"/>
              </w:rPr>
            </w:pPr>
            <w:r>
              <w:rPr>
                <w:rFonts w:ascii="Times New Roman" w:hAnsi="Times New Roman" w:cs="Times New Roman"/>
                <w:noProof/>
                <w:sz w:val="18"/>
                <w:szCs w:val="18"/>
              </w:rPr>
              <w:t>LV</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0.0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56.4</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121.9</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41.2</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40.0</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36.5</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42.9</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NL</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B32D69">
            <w:pPr>
              <w:spacing w:after="120"/>
              <w:jc w:val="both"/>
              <w:rPr>
                <w:rFonts w:ascii="Times New Roman" w:eastAsia="Times New Roman" w:hAnsi="Times New Roman" w:cs="Times New Roman"/>
                <w:noProof/>
                <w:color w:val="000000"/>
                <w:sz w:val="18"/>
                <w:szCs w:val="18"/>
                <w:lang w:eastAsia="en-GB"/>
              </w:rPr>
            </w:pP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B32D69">
            <w:pPr>
              <w:spacing w:after="120"/>
              <w:jc w:val="both"/>
              <w:rPr>
                <w:rFonts w:ascii="Times New Roman" w:eastAsia="Times New Roman" w:hAnsi="Times New Roman" w:cs="Times New Roman"/>
                <w:noProof/>
                <w:color w:val="000000"/>
                <w:sz w:val="18"/>
                <w:szCs w:val="18"/>
                <w:lang w:eastAsia="en-GB"/>
              </w:rPr>
            </w:pP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88.8</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88.1</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105.9</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120.7</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95.7</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after="120"/>
              <w:jc w:val="both"/>
              <w:rPr>
                <w:rFonts w:ascii="Times New Roman" w:hAnsi="Times New Roman" w:cs="Times New Roman"/>
                <w:noProof/>
                <w:sz w:val="18"/>
                <w:szCs w:val="18"/>
              </w:rPr>
            </w:pPr>
            <w:r>
              <w:rPr>
                <w:rFonts w:ascii="Times New Roman" w:hAnsi="Times New Roman" w:cs="Times New Roman"/>
                <w:noProof/>
                <w:sz w:val="18"/>
                <w:szCs w:val="18"/>
              </w:rPr>
              <w:t>PT</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68.5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92.5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107.2</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124.4</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175.3</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158.1</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105.3</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after="120"/>
              <w:jc w:val="both"/>
              <w:rPr>
                <w:rFonts w:ascii="Times New Roman" w:hAnsi="Times New Roman" w:cs="Times New Roman"/>
                <w:noProof/>
                <w:sz w:val="18"/>
                <w:szCs w:val="18"/>
              </w:rPr>
            </w:pPr>
            <w:r>
              <w:rPr>
                <w:rFonts w:ascii="Times New Roman" w:hAnsi="Times New Roman" w:cs="Times New Roman"/>
                <w:noProof/>
                <w:sz w:val="18"/>
                <w:szCs w:val="18"/>
              </w:rPr>
              <w:t>SE</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75.8</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82.5</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95.2</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91.1</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97.8</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100.8</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93.7</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SK</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61.2</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90.9</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100.0</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124.6</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135.9</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130.4</w:t>
            </w: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142.8</w:t>
            </w: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148.6</w:t>
            </w:r>
          </w:p>
        </w:tc>
      </w:tr>
      <w:tr w:rsidR="00B32D69">
        <w:trPr>
          <w:trHeight w:val="300"/>
        </w:trPr>
        <w:tc>
          <w:tcPr>
            <w:tcW w:w="1033" w:type="dxa"/>
            <w:tcBorders>
              <w:top w:val="nil"/>
              <w:left w:val="single" w:sz="4" w:space="0" w:color="FFFFFF"/>
              <w:bottom w:val="nil"/>
              <w:right w:val="single" w:sz="4" w:space="0" w:color="FFFFFF"/>
            </w:tcBorders>
            <w:shd w:val="clear" w:color="000000" w:fill="F8CBAD"/>
            <w:noWrap/>
          </w:tcPr>
          <w:p w:rsidR="00B32D69" w:rsidRDefault="00FB661A">
            <w:pPr>
              <w:spacing w:after="120"/>
              <w:jc w:val="both"/>
              <w:rPr>
                <w:rFonts w:ascii="Times New Roman" w:hAnsi="Times New Roman" w:cs="Times New Roman"/>
                <w:noProof/>
                <w:sz w:val="18"/>
                <w:szCs w:val="18"/>
              </w:rPr>
            </w:pPr>
            <w:r>
              <w:rPr>
                <w:rFonts w:ascii="Times New Roman" w:hAnsi="Times New Roman" w:cs="Times New Roman"/>
                <w:noProof/>
                <w:sz w:val="18"/>
                <w:szCs w:val="18"/>
              </w:rPr>
              <w:t>UK</w:t>
            </w:r>
          </w:p>
        </w:tc>
        <w:tc>
          <w:tcPr>
            <w:tcW w:w="1033" w:type="dxa"/>
            <w:tcBorders>
              <w:top w:val="nil"/>
              <w:left w:val="single" w:sz="4" w:space="0" w:color="FFFFFF"/>
              <w:bottom w:val="nil"/>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62.8</w:t>
            </w:r>
          </w:p>
        </w:tc>
        <w:tc>
          <w:tcPr>
            <w:tcW w:w="1033" w:type="dxa"/>
            <w:tcBorders>
              <w:top w:val="nil"/>
              <w:left w:val="single" w:sz="4" w:space="0" w:color="FFFFFF"/>
              <w:bottom w:val="nil"/>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86.2</w:t>
            </w:r>
          </w:p>
        </w:tc>
        <w:tc>
          <w:tcPr>
            <w:tcW w:w="1033" w:type="dxa"/>
            <w:tcBorders>
              <w:top w:val="nil"/>
              <w:left w:val="single" w:sz="4" w:space="0" w:color="FFFFFF"/>
              <w:bottom w:val="nil"/>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100.0</w:t>
            </w:r>
          </w:p>
        </w:tc>
        <w:tc>
          <w:tcPr>
            <w:tcW w:w="1034" w:type="dxa"/>
            <w:tcBorders>
              <w:top w:val="nil"/>
              <w:left w:val="single" w:sz="4" w:space="0" w:color="FFFFFF"/>
              <w:bottom w:val="nil"/>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85.8</w:t>
            </w:r>
          </w:p>
        </w:tc>
        <w:tc>
          <w:tcPr>
            <w:tcW w:w="1033" w:type="dxa"/>
            <w:tcBorders>
              <w:top w:val="nil"/>
              <w:left w:val="single" w:sz="4" w:space="0" w:color="FFFFFF"/>
              <w:bottom w:val="nil"/>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89.7</w:t>
            </w:r>
          </w:p>
        </w:tc>
        <w:tc>
          <w:tcPr>
            <w:tcW w:w="1033" w:type="dxa"/>
            <w:tcBorders>
              <w:top w:val="nil"/>
              <w:left w:val="single" w:sz="4" w:space="0" w:color="FFFFFF"/>
              <w:bottom w:val="nil"/>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85.5</w:t>
            </w:r>
          </w:p>
        </w:tc>
        <w:tc>
          <w:tcPr>
            <w:tcW w:w="1033" w:type="dxa"/>
            <w:tcBorders>
              <w:top w:val="nil"/>
              <w:left w:val="single" w:sz="4" w:space="0" w:color="FFFFFF"/>
              <w:bottom w:val="nil"/>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75.9</w:t>
            </w:r>
          </w:p>
        </w:tc>
        <w:tc>
          <w:tcPr>
            <w:tcW w:w="1034" w:type="dxa"/>
            <w:tcBorders>
              <w:top w:val="nil"/>
              <w:left w:val="single" w:sz="4" w:space="0" w:color="FFFFFF"/>
              <w:bottom w:val="nil"/>
              <w:right w:val="single" w:sz="4" w:space="0" w:color="FFFFFF"/>
            </w:tcBorders>
            <w:shd w:val="clear" w:color="000000" w:fill="F8CBAD"/>
          </w:tcPr>
          <w:p w:rsidR="00B32D69" w:rsidRDefault="00FB661A">
            <w:pPr>
              <w:spacing w:after="120"/>
              <w:jc w:val="both"/>
              <w:rPr>
                <w:rFonts w:ascii="Times New Roman" w:eastAsia="Times New Roman" w:hAnsi="Times New Roman" w:cs="Times New Roman"/>
                <w:noProof/>
                <w:color w:val="000000"/>
                <w:sz w:val="18"/>
                <w:szCs w:val="18"/>
                <w:lang w:eastAsia="en-GB"/>
              </w:rPr>
            </w:pPr>
            <w:r>
              <w:rPr>
                <w:rFonts w:ascii="Times New Roman" w:hAnsi="Times New Roman" w:cs="Times New Roman"/>
                <w:noProof/>
                <w:sz w:val="18"/>
                <w:szCs w:val="18"/>
              </w:rPr>
              <w:t>69.7</w:t>
            </w:r>
          </w:p>
        </w:tc>
      </w:tr>
      <w:tr w:rsidR="00B32D69">
        <w:trPr>
          <w:trHeight w:val="300"/>
        </w:trPr>
        <w:tc>
          <w:tcPr>
            <w:tcW w:w="1033" w:type="dxa"/>
            <w:tcBorders>
              <w:top w:val="nil"/>
              <w:left w:val="single" w:sz="4" w:space="0" w:color="FFFFFF"/>
              <w:bottom w:val="single" w:sz="4" w:space="0" w:color="FFFFFF"/>
              <w:right w:val="single" w:sz="4" w:space="0" w:color="FFFFFF"/>
            </w:tcBorders>
            <w:shd w:val="clear" w:color="000000" w:fill="F8CBAD"/>
            <w:noWrap/>
          </w:tcPr>
          <w:p w:rsidR="00B32D69" w:rsidRDefault="00B32D69">
            <w:pPr>
              <w:spacing w:after="120"/>
              <w:jc w:val="both"/>
              <w:rPr>
                <w:rFonts w:ascii="Times New Roman" w:hAnsi="Times New Roman" w:cs="Times New Roman"/>
                <w:noProof/>
                <w:sz w:val="18"/>
                <w:szCs w:val="18"/>
              </w:rPr>
            </w:pP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B32D69">
            <w:pPr>
              <w:spacing w:after="120"/>
              <w:jc w:val="both"/>
              <w:rPr>
                <w:rFonts w:ascii="Times New Roman" w:hAnsi="Times New Roman" w:cs="Times New Roman"/>
                <w:noProof/>
                <w:sz w:val="18"/>
                <w:szCs w:val="18"/>
              </w:rPr>
            </w:pP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B32D69">
            <w:pPr>
              <w:spacing w:after="120"/>
              <w:jc w:val="both"/>
              <w:rPr>
                <w:rFonts w:ascii="Times New Roman" w:hAnsi="Times New Roman" w:cs="Times New Roman"/>
                <w:noProof/>
                <w:sz w:val="18"/>
                <w:szCs w:val="18"/>
              </w:rPr>
            </w:pP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B32D69">
            <w:pPr>
              <w:spacing w:after="120"/>
              <w:jc w:val="both"/>
              <w:rPr>
                <w:rFonts w:ascii="Times New Roman" w:hAnsi="Times New Roman" w:cs="Times New Roman"/>
                <w:noProof/>
                <w:sz w:val="18"/>
                <w:szCs w:val="18"/>
              </w:rPr>
            </w:pP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B32D69">
            <w:pPr>
              <w:spacing w:after="120"/>
              <w:jc w:val="both"/>
              <w:rPr>
                <w:rFonts w:ascii="Times New Roman" w:hAnsi="Times New Roman" w:cs="Times New Roman"/>
                <w:noProof/>
                <w:sz w:val="18"/>
                <w:szCs w:val="18"/>
              </w:rPr>
            </w:pP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B32D69">
            <w:pPr>
              <w:spacing w:after="120"/>
              <w:jc w:val="both"/>
              <w:rPr>
                <w:rFonts w:ascii="Times New Roman" w:hAnsi="Times New Roman" w:cs="Times New Roman"/>
                <w:noProof/>
                <w:sz w:val="18"/>
                <w:szCs w:val="18"/>
              </w:rPr>
            </w:pP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B32D69">
            <w:pPr>
              <w:spacing w:after="120"/>
              <w:jc w:val="both"/>
              <w:rPr>
                <w:rFonts w:ascii="Times New Roman" w:hAnsi="Times New Roman" w:cs="Times New Roman"/>
                <w:noProof/>
                <w:sz w:val="18"/>
                <w:szCs w:val="18"/>
              </w:rPr>
            </w:pPr>
          </w:p>
        </w:tc>
        <w:tc>
          <w:tcPr>
            <w:tcW w:w="1033" w:type="dxa"/>
            <w:tcBorders>
              <w:top w:val="nil"/>
              <w:left w:val="single" w:sz="4" w:space="0" w:color="FFFFFF"/>
              <w:bottom w:val="single" w:sz="4" w:space="0" w:color="FFFFFF"/>
              <w:right w:val="single" w:sz="4" w:space="0" w:color="FFFFFF"/>
            </w:tcBorders>
            <w:shd w:val="clear" w:color="000000" w:fill="F8CBAD"/>
          </w:tcPr>
          <w:p w:rsidR="00B32D69" w:rsidRDefault="00B32D69">
            <w:pPr>
              <w:spacing w:after="120"/>
              <w:jc w:val="both"/>
              <w:rPr>
                <w:rFonts w:ascii="Times New Roman" w:hAnsi="Times New Roman" w:cs="Times New Roman"/>
                <w:noProof/>
                <w:sz w:val="18"/>
                <w:szCs w:val="18"/>
              </w:rPr>
            </w:pPr>
          </w:p>
        </w:tc>
        <w:tc>
          <w:tcPr>
            <w:tcW w:w="1034" w:type="dxa"/>
            <w:tcBorders>
              <w:top w:val="nil"/>
              <w:left w:val="single" w:sz="4" w:space="0" w:color="FFFFFF"/>
              <w:bottom w:val="single" w:sz="4" w:space="0" w:color="FFFFFF"/>
              <w:right w:val="single" w:sz="4" w:space="0" w:color="FFFFFF"/>
            </w:tcBorders>
            <w:shd w:val="clear" w:color="000000" w:fill="F8CBAD"/>
          </w:tcPr>
          <w:p w:rsidR="00B32D69" w:rsidRDefault="00B32D69">
            <w:pPr>
              <w:spacing w:after="120"/>
              <w:jc w:val="both"/>
              <w:rPr>
                <w:rFonts w:ascii="Times New Roman" w:hAnsi="Times New Roman" w:cs="Times New Roman"/>
                <w:noProof/>
                <w:sz w:val="18"/>
                <w:szCs w:val="18"/>
              </w:rPr>
            </w:pPr>
          </w:p>
        </w:tc>
      </w:tr>
    </w:tbl>
    <w:p w:rsidR="00B32D69" w:rsidRDefault="00FB661A">
      <w:pPr>
        <w:autoSpaceDE w:val="0"/>
        <w:autoSpaceDN w:val="0"/>
        <w:adjustRightInd w:val="0"/>
        <w:spacing w:after="120"/>
        <w:jc w:val="both"/>
        <w:rPr>
          <w:rFonts w:ascii="Times New Roman" w:eastAsia="Times New Roman" w:hAnsi="Times New Roman" w:cs="Times New Roman"/>
          <w:i/>
          <w:noProof/>
          <w:sz w:val="16"/>
          <w:szCs w:val="16"/>
        </w:rPr>
      </w:pPr>
      <w:r>
        <w:rPr>
          <w:rFonts w:ascii="Times New Roman" w:eastAsia="Times New Roman" w:hAnsi="Times New Roman" w:cs="Times New Roman"/>
          <w:i/>
          <w:noProof/>
          <w:sz w:val="16"/>
          <w:szCs w:val="16"/>
        </w:rPr>
        <w:t xml:space="preserve">Sources: London Economics based on data from AT: Kreditschutzverband; BE: Statistics of the Belgium Federal Public Service Economy; BG: provided by official of Ministry of Economy; CY: Department of Registrar of </w:t>
      </w:r>
      <w:r>
        <w:rPr>
          <w:rFonts w:ascii="Times New Roman" w:eastAsia="Times New Roman" w:hAnsi="Times New Roman" w:cs="Times New Roman"/>
          <w:i/>
          <w:noProof/>
          <w:sz w:val="16"/>
          <w:szCs w:val="16"/>
        </w:rPr>
        <w:t>Companies and Official Receiver; CZ: CRIF from Insolvency Register of Ministry of Justice: DK: Statistics Denmark; EE: Krediitiinfo SA; ES: OECD; Statistics Finland; FR: Insee: EL: OECD; HU: Hungarian Central Statistical Office; IR: Dpt of Jobs, Enterprise</w:t>
      </w:r>
      <w:r>
        <w:rPr>
          <w:rFonts w:ascii="Times New Roman" w:eastAsia="Times New Roman" w:hAnsi="Times New Roman" w:cs="Times New Roman"/>
          <w:i/>
          <w:noProof/>
          <w:sz w:val="16"/>
          <w:szCs w:val="16"/>
        </w:rPr>
        <w:t xml:space="preserve"> and Innovation; IT: Cerved; LT: Statistics Lithuania; LU: Statec; LV: Lursoft; NL: Statistics Netherlands; PT: COSEC SA: Swedish Agency for Growth Policy Analysis; SE: SK: Ministry of Justice Slovakia; UK: Insolvency Service</w:t>
      </w:r>
      <w:r>
        <w:rPr>
          <w:rStyle w:val="FootnoteReference"/>
          <w:rFonts w:ascii="Times New Roman" w:eastAsia="Times New Roman" w:hAnsi="Times New Roman"/>
          <w:i/>
          <w:noProof/>
          <w:sz w:val="16"/>
          <w:szCs w:val="16"/>
        </w:rPr>
        <w:footnoteReference w:id="362"/>
      </w:r>
    </w:p>
    <w:p w:rsidR="00B32D69" w:rsidRDefault="00FB661A">
      <w:pPr>
        <w:spacing w:after="120"/>
        <w:jc w:val="both"/>
        <w:rPr>
          <w:rFonts w:ascii="Times New Roman" w:hAnsi="Times New Roman" w:cs="Times New Roman"/>
          <w:noProof/>
          <w:lang w:val="cs-CZ"/>
        </w:rPr>
      </w:pPr>
      <w:r>
        <w:rPr>
          <w:rFonts w:ascii="Times New Roman" w:hAnsi="Times New Roman" w:cs="Times New Roman"/>
          <w:noProof/>
          <w:lang w:val="cs-CZ"/>
        </w:rPr>
        <w:t xml:space="preserve">Table quoted from Annual </w:t>
      </w:r>
      <w:r>
        <w:rPr>
          <w:rFonts w:ascii="Times New Roman" w:hAnsi="Times New Roman" w:cs="Times New Roman"/>
          <w:noProof/>
          <w:lang w:val="cs-CZ"/>
        </w:rPr>
        <w:t>Report on European SMEs 2015/2016 p. 53</w:t>
      </w:r>
    </w:p>
    <w:p w:rsidR="00B32D69" w:rsidRDefault="00B32D69">
      <w:pPr>
        <w:spacing w:after="120"/>
        <w:jc w:val="both"/>
        <w:rPr>
          <w:rFonts w:ascii="Times New Roman" w:hAnsi="Times New Roman" w:cs="Times New Roman"/>
          <w:noProof/>
          <w:sz w:val="24"/>
          <w:szCs w:val="24"/>
          <w:lang w:val="cs-CZ"/>
        </w:rPr>
      </w:pPr>
    </w:p>
    <w:p w:rsidR="00B32D69" w:rsidRDefault="00FB661A">
      <w:pPr>
        <w:spacing w:after="120"/>
        <w:jc w:val="center"/>
        <w:rPr>
          <w:rFonts w:ascii="Times New Roman" w:hAnsi="Times New Roman" w:cs="Times New Roman"/>
          <w:noProof/>
          <w:sz w:val="24"/>
          <w:szCs w:val="24"/>
          <w:lang w:val="cs-CZ"/>
        </w:rPr>
      </w:pPr>
      <w:r>
        <w:rPr>
          <w:rFonts w:ascii="Times New Roman" w:hAnsi="Times New Roman" w:cs="Times New Roman"/>
          <w:noProof/>
          <w:sz w:val="24"/>
          <w:szCs w:val="24"/>
          <w:lang w:eastAsia="en-GB"/>
        </w:rPr>
        <w:drawing>
          <wp:inline distT="0" distB="0" distL="0" distR="0">
            <wp:extent cx="3487420" cy="43465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7420" cy="4346575"/>
                    </a:xfrm>
                    <a:prstGeom prst="rect">
                      <a:avLst/>
                    </a:prstGeom>
                    <a:noFill/>
                  </pic:spPr>
                </pic:pic>
              </a:graphicData>
            </a:graphic>
          </wp:inline>
        </w:drawing>
      </w:r>
    </w:p>
    <w:p w:rsidR="00B32D69" w:rsidRDefault="00FB661A">
      <w:pPr>
        <w:spacing w:after="120"/>
        <w:jc w:val="both"/>
        <w:rPr>
          <w:rFonts w:ascii="Times New Roman" w:hAnsi="Times New Roman" w:cs="Times New Roman"/>
          <w:b/>
          <w:noProof/>
          <w:sz w:val="24"/>
          <w:szCs w:val="24"/>
          <w:lang w:val="cs-CZ"/>
        </w:rPr>
      </w:pPr>
      <w:r>
        <w:rPr>
          <w:rFonts w:ascii="Times New Roman" w:hAnsi="Times New Roman" w:cs="Times New Roman"/>
          <w:noProof/>
          <w:lang w:val="cs-CZ"/>
        </w:rPr>
        <w:t>A recent study looked into the impact of different features of bankruptcy regime on entrepreneurship</w:t>
      </w:r>
      <w:r>
        <w:rPr>
          <w:rStyle w:val="FootnoteReference"/>
          <w:rFonts w:ascii="Times New Roman" w:hAnsi="Times New Roman"/>
          <w:noProof/>
          <w:lang w:val="cs-CZ"/>
        </w:rPr>
        <w:footnoteReference w:id="363"/>
      </w:r>
      <w:r>
        <w:rPr>
          <w:rFonts w:ascii="Times New Roman" w:hAnsi="Times New Roman" w:cs="Times New Roman"/>
          <w:noProof/>
          <w:lang w:val="cs-CZ"/>
        </w:rPr>
        <w:t xml:space="preserve">.  The features of bankruptcy that were taken into account contain: </w:t>
      </w:r>
    </w:p>
    <w:p w:rsidR="00B32D69" w:rsidRDefault="00FB661A">
      <w:pPr>
        <w:spacing w:after="120"/>
        <w:jc w:val="both"/>
        <w:rPr>
          <w:rFonts w:ascii="Times New Roman" w:hAnsi="Times New Roman" w:cs="Times New Roman"/>
          <w:noProof/>
          <w:lang w:val="cs-CZ"/>
        </w:rPr>
      </w:pPr>
      <w:r>
        <w:rPr>
          <w:rFonts w:ascii="Times New Roman" w:hAnsi="Times New Roman" w:cs="Times New Roman"/>
          <w:noProof/>
          <w:lang w:val="cs-CZ"/>
        </w:rPr>
        <w:t>- availability of discharge</w:t>
      </w:r>
    </w:p>
    <w:p w:rsidR="00B32D69" w:rsidRDefault="00FB661A">
      <w:pPr>
        <w:spacing w:after="120"/>
        <w:jc w:val="both"/>
        <w:rPr>
          <w:rFonts w:ascii="Times New Roman" w:hAnsi="Times New Roman" w:cs="Times New Roman"/>
          <w:noProof/>
          <w:lang w:val="cs-CZ"/>
        </w:rPr>
      </w:pPr>
      <w:r>
        <w:rPr>
          <w:rFonts w:ascii="Times New Roman" w:hAnsi="Times New Roman" w:cs="Times New Roman"/>
          <w:noProof/>
          <w:lang w:val="cs-CZ"/>
        </w:rPr>
        <w:t>- time to disch</w:t>
      </w:r>
      <w:r>
        <w:rPr>
          <w:rFonts w:ascii="Times New Roman" w:hAnsi="Times New Roman" w:cs="Times New Roman"/>
          <w:noProof/>
          <w:lang w:val="cs-CZ"/>
        </w:rPr>
        <w:t>arge</w:t>
      </w:r>
    </w:p>
    <w:p w:rsidR="00B32D69" w:rsidRDefault="00FB661A">
      <w:pPr>
        <w:spacing w:after="120"/>
        <w:jc w:val="both"/>
        <w:rPr>
          <w:rFonts w:ascii="Times New Roman" w:hAnsi="Times New Roman" w:cs="Times New Roman"/>
          <w:noProof/>
          <w:lang w:val="cs-CZ"/>
        </w:rPr>
      </w:pPr>
      <w:r>
        <w:rPr>
          <w:rFonts w:ascii="Times New Roman" w:hAnsi="Times New Roman" w:cs="Times New Roman"/>
          <w:noProof/>
          <w:lang w:val="cs-CZ"/>
        </w:rPr>
        <w:t>- generosity of exemptions</w:t>
      </w:r>
    </w:p>
    <w:p w:rsidR="00B32D69" w:rsidRDefault="00FB661A">
      <w:pPr>
        <w:spacing w:after="120"/>
        <w:jc w:val="both"/>
        <w:rPr>
          <w:rFonts w:ascii="Times New Roman" w:hAnsi="Times New Roman" w:cs="Times New Roman"/>
          <w:noProof/>
          <w:lang w:val="cs-CZ"/>
        </w:rPr>
      </w:pPr>
      <w:r>
        <w:rPr>
          <w:rFonts w:ascii="Times New Roman" w:hAnsi="Times New Roman" w:cs="Times New Roman"/>
          <w:noProof/>
          <w:lang w:val="cs-CZ"/>
        </w:rPr>
        <w:t>- impact on the bankruptees  civil and economic rights</w:t>
      </w:r>
    </w:p>
    <w:p w:rsidR="00B32D69" w:rsidRDefault="00FB661A">
      <w:pPr>
        <w:spacing w:after="120"/>
        <w:jc w:val="both"/>
        <w:rPr>
          <w:rFonts w:ascii="Times New Roman" w:hAnsi="Times New Roman" w:cs="Times New Roman"/>
          <w:noProof/>
          <w:lang w:val="cs-CZ"/>
        </w:rPr>
      </w:pPr>
      <w:r>
        <w:rPr>
          <w:rFonts w:ascii="Times New Roman" w:hAnsi="Times New Roman" w:cs="Times New Roman"/>
          <w:noProof/>
          <w:lang w:val="cs-CZ"/>
        </w:rPr>
        <w:t>- level of difficulty  a debtor faces in achieving discharge by agreement with creditors</w:t>
      </w:r>
    </w:p>
    <w:p w:rsidR="00B32D69" w:rsidRDefault="00FB661A">
      <w:pPr>
        <w:spacing w:after="120"/>
        <w:jc w:val="both"/>
        <w:rPr>
          <w:rFonts w:ascii="Times New Roman" w:hAnsi="Times New Roman" w:cs="Times New Roman"/>
          <w:noProof/>
          <w:lang w:val="cs-CZ"/>
        </w:rPr>
      </w:pPr>
      <w:r>
        <w:rPr>
          <w:rFonts w:ascii="Times New Roman" w:hAnsi="Times New Roman" w:cs="Times New Roman"/>
          <w:noProof/>
          <w:lang w:val="cs-CZ"/>
        </w:rPr>
        <w:t>- the minimum capital requirements for creating a limited liability company.</w:t>
      </w:r>
    </w:p>
    <w:p w:rsidR="00B32D69" w:rsidRDefault="00FB661A">
      <w:pPr>
        <w:spacing w:after="120"/>
        <w:jc w:val="both"/>
        <w:rPr>
          <w:rFonts w:ascii="Times New Roman" w:hAnsi="Times New Roman" w:cs="Times New Roman"/>
          <w:noProof/>
          <w:lang w:val="cs-CZ"/>
        </w:rPr>
      </w:pPr>
      <w:r>
        <w:rPr>
          <w:rFonts w:ascii="Times New Roman" w:hAnsi="Times New Roman" w:cs="Times New Roman"/>
          <w:noProof/>
          <w:lang w:val="cs-CZ"/>
        </w:rPr>
        <w:t>The</w:t>
      </w:r>
      <w:r>
        <w:rPr>
          <w:rFonts w:ascii="Times New Roman" w:hAnsi="Times New Roman" w:cs="Times New Roman"/>
          <w:noProof/>
          <w:lang w:val="cs-CZ"/>
        </w:rPr>
        <w:t xml:space="preserve"> impack of those variables on entrepreneurship (measured by self-employment and by business birth rate was analysed in the context of control variables such as GDP growth, stock market growth and income taxes on wages.</w:t>
      </w:r>
    </w:p>
    <w:p w:rsidR="00B32D69" w:rsidRDefault="00FB661A">
      <w:pPr>
        <w:spacing w:after="120"/>
        <w:jc w:val="both"/>
        <w:rPr>
          <w:rFonts w:ascii="Times New Roman" w:hAnsi="Times New Roman" w:cs="Times New Roman"/>
          <w:noProof/>
          <w:lang w:val="cs-CZ"/>
        </w:rPr>
      </w:pPr>
      <w:r>
        <w:rPr>
          <w:rFonts w:ascii="Times New Roman" w:hAnsi="Times New Roman" w:cs="Times New Roman"/>
          <w:noProof/>
          <w:lang w:val="cs-CZ"/>
        </w:rPr>
        <w:t>It was found that high number of year</w:t>
      </w:r>
      <w:r>
        <w:rPr>
          <w:rFonts w:ascii="Times New Roman" w:hAnsi="Times New Roman" w:cs="Times New Roman"/>
          <w:noProof/>
          <w:lang w:val="cs-CZ"/>
        </w:rPr>
        <w:t>s to discharge is a key deterrent of entrepreneurship.</w:t>
      </w:r>
    </w:p>
    <w:p w:rsidR="00B32D69" w:rsidRDefault="00B32D69">
      <w:pPr>
        <w:spacing w:after="120"/>
        <w:jc w:val="both"/>
        <w:rPr>
          <w:rFonts w:ascii="Times New Roman" w:hAnsi="Times New Roman" w:cs="Times New Roman"/>
          <w:noProof/>
        </w:rPr>
      </w:pPr>
    </w:p>
    <w:p w:rsidR="00B32D69" w:rsidRDefault="00B32D69">
      <w:pPr>
        <w:spacing w:after="120"/>
        <w:jc w:val="both"/>
        <w:rPr>
          <w:rFonts w:ascii="Times New Roman" w:hAnsi="Times New Roman" w:cs="Times New Roman"/>
          <w:b/>
          <w:noProof/>
          <w:sz w:val="24"/>
          <w:szCs w:val="24"/>
        </w:rPr>
      </w:pPr>
    </w:p>
    <w:p w:rsidR="00B32D69" w:rsidRDefault="00FB661A">
      <w:pPr>
        <w:spacing w:after="120"/>
        <w:jc w:val="both"/>
        <w:rPr>
          <w:rFonts w:ascii="Times New Roman" w:hAnsi="Times New Roman" w:cs="Times New Roman"/>
          <w:noProof/>
        </w:rPr>
      </w:pPr>
      <w:r>
        <w:rPr>
          <w:rFonts w:ascii="Times New Roman" w:hAnsi="Times New Roman" w:cs="Times New Roman"/>
          <w:noProof/>
        </w:rPr>
        <w:br w:type="page"/>
      </w:r>
    </w:p>
    <w:p w:rsidR="00B32D69" w:rsidRDefault="00FB661A">
      <w:pPr>
        <w:pStyle w:val="ManualHeading1"/>
        <w:rPr>
          <w:noProof/>
        </w:rPr>
      </w:pPr>
      <w:bookmarkStart w:id="136" w:name="_Toc460410732"/>
      <w:r>
        <w:rPr>
          <w:noProof/>
        </w:rPr>
        <w:tab/>
        <w:t>8. ADDITIONAL DATA</w:t>
      </w:r>
      <w:bookmarkEnd w:id="136"/>
    </w:p>
    <w:p w:rsidR="00B32D69" w:rsidRDefault="00B32D69">
      <w:pPr>
        <w:spacing w:after="120"/>
        <w:jc w:val="both"/>
        <w:rPr>
          <w:rFonts w:ascii="Times New Roman" w:hAnsi="Times New Roman" w:cs="Times New Roman"/>
          <w:noProof/>
        </w:rPr>
      </w:pP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Since 2004, the World Bank Doing Business initiative has scored countries on various aspects of institutional quality, including rule of law, creditor protection, and quality </w:t>
      </w:r>
      <w:r>
        <w:rPr>
          <w:rFonts w:ascii="Times New Roman" w:hAnsi="Times New Roman" w:cs="Times New Roman"/>
          <w:noProof/>
          <w:sz w:val="24"/>
          <w:szCs w:val="24"/>
        </w:rPr>
        <w:t>of the insolvency framework.</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In relation to resolving insolvency, the following types of data are available:</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 Quantitative data on insolvency outcomes. This covers the cost of insolvency proceedings, the time for creditors to recover credit, and recovery </w:t>
      </w:r>
      <w:r>
        <w:rPr>
          <w:rFonts w:ascii="Times New Roman" w:hAnsi="Times New Roman" w:cs="Times New Roman"/>
          <w:noProof/>
          <w:sz w:val="24"/>
          <w:szCs w:val="24"/>
        </w:rPr>
        <w:t>rates. These data are available back to 2004.</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 Qualitative data on strength of insolvency framework. This composite measure is based on four sub-indices covering: (i) a reorganisation index; (ii) a commencement of proceedings index (to gauge whether debto</w:t>
      </w:r>
      <w:r>
        <w:rPr>
          <w:rFonts w:ascii="Times New Roman" w:hAnsi="Times New Roman" w:cs="Times New Roman"/>
          <w:noProof/>
          <w:sz w:val="24"/>
          <w:szCs w:val="24"/>
        </w:rPr>
        <w:t xml:space="preserve">rs and/or creditors can initiate liquidation and/or reorganisation); (iii) a management of debtor’s assets index; and (iv) a creditors’ rights index. Each sub-index is given a rating of 0-4, and these are added to give a score of 0-16. This dataset starts </w:t>
      </w:r>
      <w:r>
        <w:rPr>
          <w:rFonts w:ascii="Times New Roman" w:hAnsi="Times New Roman" w:cs="Times New Roman"/>
          <w:noProof/>
          <w:sz w:val="24"/>
          <w:szCs w:val="24"/>
        </w:rPr>
        <w:t>in 2014.</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 Overall ‘distance to frontier’ score. The DTF is an overall score showing how a country is performing in relation to insolvency, drawing on the available measures. For each variable included, a country’s performance is measured relative to the w</w:t>
      </w:r>
      <w:r>
        <w:rPr>
          <w:rFonts w:ascii="Times New Roman" w:hAnsi="Times New Roman" w:cs="Times New Roman"/>
          <w:noProof/>
          <w:sz w:val="24"/>
          <w:szCs w:val="24"/>
        </w:rPr>
        <w:t>orst and best performers, expressed as a number from 0 to 100. These scores are then averaged to give the DTF score. This approach is used to summarise each aspect of institutional quality in Doing Business. Note that this measure was not used in earlier y</w:t>
      </w:r>
      <w:r>
        <w:rPr>
          <w:rFonts w:ascii="Times New Roman" w:hAnsi="Times New Roman" w:cs="Times New Roman"/>
          <w:noProof/>
          <w:sz w:val="24"/>
          <w:szCs w:val="24"/>
        </w:rPr>
        <w:t>ears, so any analysis of this variable over time would need to use a consistently derived measure</w:t>
      </w:r>
      <w:r>
        <w:rPr>
          <w:rStyle w:val="FootnoteReference"/>
          <w:rFonts w:ascii="Times New Roman" w:hAnsi="Times New Roman"/>
          <w:noProof/>
          <w:sz w:val="24"/>
          <w:szCs w:val="24"/>
        </w:rPr>
        <w:footnoteReference w:id="364"/>
      </w:r>
      <w:r>
        <w:rPr>
          <w:rFonts w:ascii="Times New Roman" w:hAnsi="Times New Roman" w:cs="Times New Roman"/>
          <w:noProof/>
          <w:sz w:val="24"/>
          <w:szCs w:val="24"/>
        </w:rPr>
        <w:t>.</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Figure 2 shows the EU28 countries ranked by insolvency DTF score in 2015. The bars show the 2015 DTF score. This ranking tends to place established EU membe</w:t>
      </w:r>
      <w:r>
        <w:rPr>
          <w:rFonts w:ascii="Times New Roman" w:hAnsi="Times New Roman" w:cs="Times New Roman"/>
          <w:noProof/>
          <w:sz w:val="24"/>
          <w:szCs w:val="24"/>
        </w:rPr>
        <w:t xml:space="preserve">rs higher, with the EU15 clustered to the upper end of the distribution and the accession countries clustered to the lower end. The only exceptions to this pattern are that the Czech Republic appears in 10th place amongst the EU15, and that Luxembourg and </w:t>
      </w:r>
      <w:r>
        <w:rPr>
          <w:rFonts w:ascii="Times New Roman" w:hAnsi="Times New Roman" w:cs="Times New Roman"/>
          <w:noProof/>
          <w:sz w:val="24"/>
          <w:szCs w:val="24"/>
        </w:rPr>
        <w:t>Greece are ranked much lower than other EU15  countries</w:t>
      </w:r>
      <w:r>
        <w:rPr>
          <w:rStyle w:val="FootnoteReference"/>
          <w:rFonts w:ascii="Times New Roman" w:hAnsi="Times New Roman"/>
          <w:noProof/>
          <w:sz w:val="24"/>
          <w:szCs w:val="24"/>
        </w:rPr>
        <w:footnoteReference w:id="365"/>
      </w:r>
      <w:r>
        <w:rPr>
          <w:rFonts w:ascii="Times New Roman" w:hAnsi="Times New Roman" w:cs="Times New Roman"/>
          <w:noProof/>
          <w:sz w:val="24"/>
          <w:szCs w:val="24"/>
        </w:rPr>
        <w:t>.</w:t>
      </w:r>
    </w:p>
    <w:p w:rsidR="00B32D69" w:rsidRDefault="00FB661A">
      <w:pPr>
        <w:spacing w:after="120"/>
        <w:jc w:val="both"/>
        <w:rPr>
          <w:rFonts w:ascii="Times New Roman" w:hAnsi="Times New Roman" w:cs="Times New Roman"/>
          <w:i/>
          <w:noProof/>
          <w:sz w:val="24"/>
          <w:szCs w:val="24"/>
        </w:rPr>
      </w:pPr>
      <w:r>
        <w:rPr>
          <w:rFonts w:ascii="Times New Roman" w:hAnsi="Times New Roman" w:cs="Times New Roman"/>
          <w:noProof/>
          <w:sz w:val="24"/>
          <w:szCs w:val="24"/>
        </w:rPr>
        <w:t>The two measures on which the 2015 DTF score is calculated – estimated recovery rate and strength of insolvency framework – are also shown. In general we see that the EU15 countries perform relative</w:t>
      </w:r>
      <w:r>
        <w:rPr>
          <w:rFonts w:ascii="Times New Roman" w:hAnsi="Times New Roman" w:cs="Times New Roman"/>
          <w:noProof/>
          <w:sz w:val="24"/>
          <w:szCs w:val="24"/>
        </w:rPr>
        <w:t>ly better in terms of estimated recovery rate, but not so well in terms of strength of framework, whereas the 13 Member States (EU13) which have joined since 2004 are rated better on strength of insolvency framework than on recovery rate.</w:t>
      </w:r>
    </w:p>
    <w:p w:rsidR="00B32D69" w:rsidRDefault="00FB661A">
      <w:pPr>
        <w:spacing w:after="120"/>
        <w:jc w:val="both"/>
        <w:rPr>
          <w:rFonts w:ascii="Times New Roman" w:hAnsi="Times New Roman" w:cs="Times New Roman"/>
          <w:i/>
          <w:noProof/>
          <w:sz w:val="24"/>
          <w:szCs w:val="24"/>
        </w:rPr>
      </w:pPr>
      <w:r>
        <w:rPr>
          <w:rFonts w:ascii="Times New Roman" w:hAnsi="Times New Roman" w:cs="Times New Roman"/>
          <w:i/>
          <w:noProof/>
          <w:sz w:val="24"/>
          <w:szCs w:val="24"/>
          <w:lang w:eastAsia="en-GB"/>
        </w:rPr>
        <w:drawing>
          <wp:inline distT="0" distB="0" distL="0" distR="0">
            <wp:extent cx="5760720" cy="39401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DTF_AFME-WB.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60720" cy="3940175"/>
                    </a:xfrm>
                    <a:prstGeom prst="rect">
                      <a:avLst/>
                    </a:prstGeom>
                  </pic:spPr>
                </pic:pic>
              </a:graphicData>
            </a:graphic>
          </wp:inline>
        </w:drawing>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The DTF scores </w:t>
      </w:r>
      <w:r>
        <w:rPr>
          <w:rFonts w:ascii="Times New Roman" w:hAnsi="Times New Roman" w:cs="Times New Roman"/>
          <w:noProof/>
          <w:sz w:val="24"/>
          <w:szCs w:val="24"/>
        </w:rPr>
        <w:t>of EU28 Member States range from 93.5 (Finland) to 44.78 (Malta), while recovery rates range from 90.2 (Finland) to 30.5 (Croatia). The large differences between countries highlight the potential benefits of harmonising insolvency regimes with adequate min</w:t>
      </w:r>
      <w:r>
        <w:rPr>
          <w:rFonts w:ascii="Times New Roman" w:hAnsi="Times New Roman" w:cs="Times New Roman"/>
          <w:noProof/>
          <w:sz w:val="24"/>
          <w:szCs w:val="24"/>
        </w:rPr>
        <w:t>imum standards. Likewise, the scope of each EU 28 member state to vary the manner in which it implements those standards should be limited; otherwise the DTF scores and recovery rates would preserve similar ranges of variation between countries, limiting i</w:t>
      </w:r>
      <w:r>
        <w:rPr>
          <w:rFonts w:ascii="Times New Roman" w:hAnsi="Times New Roman" w:cs="Times New Roman"/>
          <w:noProof/>
          <w:sz w:val="24"/>
          <w:szCs w:val="24"/>
        </w:rPr>
        <w:t>n turn the ‘single market’ benefits of harmonisation</w:t>
      </w:r>
      <w:r>
        <w:rPr>
          <w:rStyle w:val="FootnoteReference"/>
          <w:rFonts w:ascii="Times New Roman" w:hAnsi="Times New Roman"/>
          <w:noProof/>
          <w:sz w:val="24"/>
          <w:szCs w:val="24"/>
        </w:rPr>
        <w:footnoteReference w:id="366"/>
      </w:r>
      <w:r>
        <w:rPr>
          <w:rFonts w:ascii="Times New Roman" w:hAnsi="Times New Roman" w:cs="Times New Roman"/>
          <w:noProof/>
          <w:sz w:val="24"/>
          <w:szCs w:val="24"/>
        </w:rPr>
        <w:t>.</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Clearly, in the context of 28 divergent insolvency regimes in the EU, foreign investors are facing higher costs of assessing risks resulting from different insolvency regimes than in a jurisdiction wit</w:t>
      </w:r>
      <w:r>
        <w:rPr>
          <w:rFonts w:ascii="Times New Roman" w:hAnsi="Times New Roman" w:cs="Times New Roman"/>
          <w:noProof/>
          <w:sz w:val="24"/>
          <w:szCs w:val="24"/>
        </w:rPr>
        <w:t>h a single rule book on insolvency. Those individual differences can translate into differing strength on insolvency frameworks of individual Member States. Although the below mentioned table of the World Bank does not take into account all the aspects ind</w:t>
      </w:r>
      <w:r>
        <w:rPr>
          <w:rFonts w:ascii="Times New Roman" w:hAnsi="Times New Roman" w:cs="Times New Roman"/>
          <w:noProof/>
          <w:sz w:val="24"/>
          <w:szCs w:val="24"/>
        </w:rPr>
        <w:t xml:space="preserve">icated under letters (a) to (h) above in the subsection on drivers, it can serve as a valuable comparator of the key differences between Member State restructuring frameworks taking into account most of the abovementioned aspects. </w:t>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strength of insolven</w:t>
      </w:r>
      <w:r>
        <w:rPr>
          <w:rFonts w:ascii="Times New Roman" w:hAnsi="Times New Roman" w:cs="Times New Roman"/>
          <w:noProof/>
          <w:sz w:val="24"/>
          <w:szCs w:val="24"/>
        </w:rPr>
        <w:t>cy framework index is the sum of the scores on the commencement of proceedings index, management of debtor’s assets index, reorganization proceedings index and creditor participation index. The index ranges from 0 to 16, with higher values indicating insol</w:t>
      </w:r>
      <w:r>
        <w:rPr>
          <w:rFonts w:ascii="Times New Roman" w:hAnsi="Times New Roman" w:cs="Times New Roman"/>
          <w:noProof/>
          <w:sz w:val="24"/>
          <w:szCs w:val="24"/>
        </w:rPr>
        <w:t>vency legislation that is better designed for rehabilitating viable firms and liquidating nonviable ones (table 2). This methodology was developed by Djankov, Hart and others (2008) and is adopted here with several changes. The strength of insolvency frame</w:t>
      </w:r>
      <w:r>
        <w:rPr>
          <w:rFonts w:ascii="Times New Roman" w:hAnsi="Times New Roman" w:cs="Times New Roman"/>
          <w:noProof/>
          <w:sz w:val="24"/>
          <w:szCs w:val="24"/>
        </w:rPr>
        <w:t>work index was introduced in Doing Business 2015.</w:t>
      </w:r>
      <w:r>
        <w:rPr>
          <w:rStyle w:val="FootnoteReference"/>
          <w:rFonts w:ascii="Times New Roman" w:hAnsi="Times New Roman"/>
          <w:noProof/>
          <w:sz w:val="24"/>
          <w:szCs w:val="24"/>
        </w:rPr>
        <w:t xml:space="preserve"> </w:t>
      </w:r>
      <w:r>
        <w:rPr>
          <w:rStyle w:val="FootnoteReference"/>
          <w:rFonts w:ascii="Times New Roman" w:hAnsi="Times New Roman"/>
          <w:noProof/>
          <w:sz w:val="24"/>
          <w:szCs w:val="24"/>
        </w:rPr>
        <w:footnoteReference w:id="367"/>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lang w:eastAsia="en-GB"/>
        </w:rPr>
        <w:drawing>
          <wp:inline distT="0" distB="0" distL="0" distR="0">
            <wp:extent cx="5760720" cy="4781541"/>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60720" cy="4781541"/>
                    </a:xfrm>
                    <a:prstGeom prst="rect">
                      <a:avLst/>
                    </a:prstGeom>
                    <a:noFill/>
                    <a:ln>
                      <a:noFill/>
                    </a:ln>
                  </pic:spPr>
                </pic:pic>
              </a:graphicData>
            </a:graphic>
          </wp:inline>
        </w:drawing>
      </w:r>
    </w:p>
    <w:p w:rsidR="00B32D69" w:rsidRDefault="00FB661A">
      <w:pPr>
        <w:pStyle w:val="NormalWeb"/>
        <w:spacing w:after="120" w:afterAutospacing="0" w:line="276" w:lineRule="auto"/>
        <w:jc w:val="both"/>
        <w:rPr>
          <w:noProof/>
          <w:lang w:val="en-GB"/>
        </w:rPr>
      </w:pPr>
      <w:r>
        <w:rPr>
          <w:noProof/>
          <w:lang w:val="en-GB"/>
        </w:rPr>
        <w:t xml:space="preserve">The efficacy of the legal mechanisms and system that serve to protect creditors and provide recovery in the event of a default can increase or decrease the risk to the lender of investors. If one </w:t>
      </w:r>
      <w:r>
        <w:rPr>
          <w:noProof/>
          <w:lang w:val="en-GB"/>
        </w:rPr>
        <w:t>concludes that the enforcement or insolvency procedures will yield little or no return, than the chance of non-performance carries a higher risk of loss that must be factored into the cost of the credit at the front end of the transaction. This is typicall</w:t>
      </w:r>
      <w:r>
        <w:rPr>
          <w:noProof/>
          <w:lang w:val="en-GB"/>
        </w:rPr>
        <w:t>y reflected in higher interest rates and higher lending cost, which restrict access to credit by making it less accessible or accessible only it grater cost to the maker.</w:t>
      </w:r>
      <w:r>
        <w:rPr>
          <w:rStyle w:val="FootnoteReference"/>
          <w:noProof/>
          <w:lang w:val="en-GB"/>
        </w:rPr>
        <w:footnoteReference w:id="368"/>
      </w:r>
      <w:r>
        <w:rPr>
          <w:noProof/>
          <w:lang w:val="en-GB"/>
        </w:rPr>
        <w:t xml:space="preserve"> </w:t>
      </w:r>
    </w:p>
    <w:p w:rsidR="00B32D69" w:rsidRDefault="00B32D69">
      <w:pPr>
        <w:spacing w:after="120"/>
        <w:jc w:val="both"/>
        <w:rPr>
          <w:rFonts w:ascii="Times New Roman" w:hAnsi="Times New Roman" w:cs="Times New Roman"/>
          <w:noProof/>
        </w:rPr>
      </w:pPr>
    </w:p>
    <w:p w:rsidR="00B32D69" w:rsidRDefault="00B32D69">
      <w:pPr>
        <w:spacing w:after="120"/>
        <w:jc w:val="both"/>
        <w:rPr>
          <w:rFonts w:ascii="Times New Roman" w:hAnsi="Times New Roman" w:cs="Times New Roman"/>
          <w:noProof/>
        </w:rPr>
      </w:pPr>
    </w:p>
    <w:p w:rsidR="00B32D69" w:rsidRDefault="00B32D69">
      <w:pPr>
        <w:spacing w:after="120"/>
        <w:jc w:val="both"/>
        <w:rPr>
          <w:rFonts w:ascii="Times New Roman" w:hAnsi="Times New Roman" w:cs="Times New Roman"/>
          <w:noProof/>
        </w:rPr>
      </w:pPr>
    </w:p>
    <w:p w:rsidR="00B32D69" w:rsidRDefault="00B32D69">
      <w:pPr>
        <w:spacing w:after="120"/>
        <w:jc w:val="both"/>
        <w:rPr>
          <w:rFonts w:ascii="Times New Roman" w:hAnsi="Times New Roman" w:cs="Times New Roman"/>
          <w:noProof/>
        </w:rPr>
      </w:pPr>
    </w:p>
    <w:p w:rsidR="00B32D69" w:rsidRDefault="00FB661A">
      <w:pPr>
        <w:spacing w:after="120"/>
        <w:jc w:val="both"/>
        <w:rPr>
          <w:rFonts w:ascii="Times New Roman" w:hAnsi="Times New Roman" w:cs="Times New Roman"/>
          <w:noProof/>
        </w:rPr>
      </w:pPr>
      <w:r>
        <w:rPr>
          <w:rFonts w:ascii="Times New Roman" w:hAnsi="Times New Roman" w:cs="Times New Roman"/>
          <w:noProof/>
        </w:rPr>
        <w:t>In Doing Business database recovery rates are reported as the percentage of the</w:t>
      </w:r>
      <w:r>
        <w:rPr>
          <w:rFonts w:ascii="Times New Roman" w:hAnsi="Times New Roman" w:cs="Times New Roman"/>
          <w:noProof/>
        </w:rPr>
        <w:t xml:space="preserve"> initial value of the loan recovered by secured creditors.  The costs of proceedings are deduced form the value recovered and</w:t>
      </w:r>
      <w:r>
        <w:rPr>
          <w:rFonts w:ascii="Times New Roman" w:hAnsi="Times New Roman" w:cs="Times New Roman"/>
          <w:b/>
          <w:noProof/>
        </w:rPr>
        <w:t xml:space="preserve"> </w:t>
      </w:r>
      <w:r>
        <w:rPr>
          <w:rFonts w:ascii="Times New Roman" w:hAnsi="Times New Roman" w:cs="Times New Roman"/>
          <w:noProof/>
        </w:rPr>
        <w:t>depreciation of physical assets and actualisation of financial flows are taken into account. By this means duration of the procedu</w:t>
      </w:r>
      <w:r>
        <w:rPr>
          <w:rFonts w:ascii="Times New Roman" w:hAnsi="Times New Roman" w:cs="Times New Roman"/>
          <w:noProof/>
        </w:rPr>
        <w:t>re negatively impacts the value recovered.</w:t>
      </w:r>
    </w:p>
    <w:p w:rsidR="00B32D69" w:rsidRDefault="00FB661A">
      <w:pPr>
        <w:spacing w:after="120"/>
        <w:jc w:val="both"/>
        <w:rPr>
          <w:rFonts w:ascii="Times New Roman" w:hAnsi="Times New Roman" w:cs="Times New Roman"/>
          <w:noProof/>
        </w:rPr>
      </w:pPr>
      <w:r>
        <w:rPr>
          <w:rFonts w:ascii="Times New Roman" w:hAnsi="Times New Roman" w:cs="Times New Roman"/>
          <w:noProof/>
        </w:rPr>
        <w:t>The recovery rates calculated according to this definition, for the EU Member States, are presented in the table below, together with the data on time, cost of proceedings and its outcome.</w:t>
      </w:r>
    </w:p>
    <w:p w:rsidR="00B32D69" w:rsidRDefault="00B32D69">
      <w:pPr>
        <w:spacing w:after="120"/>
        <w:jc w:val="both"/>
        <w:rPr>
          <w:rFonts w:ascii="Times New Roman" w:hAnsi="Times New Roman" w:cs="Times New Roman"/>
          <w:noProof/>
        </w:rPr>
      </w:pPr>
    </w:p>
    <w:tbl>
      <w:tblPr>
        <w:tblStyle w:val="TableGrid"/>
        <w:tblW w:w="0" w:type="auto"/>
        <w:tblInd w:w="392" w:type="dxa"/>
        <w:tblLook w:val="04A0" w:firstRow="1" w:lastRow="0" w:firstColumn="1" w:lastColumn="0" w:noHBand="0" w:noVBand="1"/>
      </w:tblPr>
      <w:tblGrid>
        <w:gridCol w:w="1276"/>
        <w:gridCol w:w="2046"/>
        <w:gridCol w:w="1497"/>
        <w:gridCol w:w="1843"/>
        <w:gridCol w:w="2234"/>
      </w:tblGrid>
      <w:tr w:rsidR="00B32D69">
        <w:tc>
          <w:tcPr>
            <w:tcW w:w="1276" w:type="dxa"/>
          </w:tcPr>
          <w:p w:rsidR="00B32D69" w:rsidRDefault="00FB661A">
            <w:pPr>
              <w:spacing w:after="120"/>
              <w:jc w:val="both"/>
              <w:rPr>
                <w:rFonts w:ascii="Arial" w:hAnsi="Arial" w:cs="Arial"/>
                <w:b/>
                <w:noProof/>
              </w:rPr>
            </w:pPr>
            <w:r>
              <w:rPr>
                <w:rFonts w:ascii="Arial" w:hAnsi="Arial" w:cs="Arial"/>
                <w:b/>
                <w:noProof/>
              </w:rPr>
              <w:t>Country</w:t>
            </w:r>
          </w:p>
        </w:tc>
        <w:tc>
          <w:tcPr>
            <w:tcW w:w="2046" w:type="dxa"/>
          </w:tcPr>
          <w:p w:rsidR="00B32D69" w:rsidRDefault="00FB661A">
            <w:pPr>
              <w:spacing w:after="120"/>
              <w:jc w:val="both"/>
              <w:rPr>
                <w:rFonts w:ascii="Arial" w:hAnsi="Arial" w:cs="Arial"/>
                <w:b/>
                <w:noProof/>
              </w:rPr>
            </w:pPr>
            <w:r>
              <w:rPr>
                <w:rFonts w:ascii="Arial" w:hAnsi="Arial" w:cs="Arial"/>
                <w:b/>
                <w:noProof/>
              </w:rPr>
              <w:t xml:space="preserve">Recovery rate </w:t>
            </w:r>
            <w:r>
              <w:rPr>
                <w:rFonts w:ascii="Arial" w:hAnsi="Arial" w:cs="Arial"/>
                <w:b/>
                <w:noProof/>
              </w:rPr>
              <w:t>(cents on the euro)</w:t>
            </w:r>
          </w:p>
        </w:tc>
        <w:tc>
          <w:tcPr>
            <w:tcW w:w="1497" w:type="dxa"/>
          </w:tcPr>
          <w:p w:rsidR="00B32D69" w:rsidRDefault="00FB661A">
            <w:pPr>
              <w:spacing w:after="120"/>
              <w:jc w:val="both"/>
              <w:rPr>
                <w:rFonts w:ascii="Arial" w:hAnsi="Arial" w:cs="Arial"/>
                <w:b/>
                <w:noProof/>
              </w:rPr>
            </w:pPr>
            <w:r>
              <w:rPr>
                <w:rFonts w:ascii="Arial" w:hAnsi="Arial" w:cs="Arial"/>
                <w:b/>
                <w:noProof/>
              </w:rPr>
              <w:t>Time (years)</w:t>
            </w:r>
          </w:p>
        </w:tc>
        <w:tc>
          <w:tcPr>
            <w:tcW w:w="1843" w:type="dxa"/>
          </w:tcPr>
          <w:p w:rsidR="00B32D69" w:rsidRDefault="00FB661A">
            <w:pPr>
              <w:spacing w:after="120"/>
              <w:jc w:val="both"/>
              <w:rPr>
                <w:rFonts w:ascii="Arial" w:hAnsi="Arial" w:cs="Arial"/>
                <w:b/>
                <w:noProof/>
              </w:rPr>
            </w:pPr>
            <w:r>
              <w:rPr>
                <w:rFonts w:ascii="Arial" w:hAnsi="Arial" w:cs="Arial"/>
                <w:b/>
                <w:noProof/>
              </w:rPr>
              <w:t>Costs (% of estate)</w:t>
            </w:r>
          </w:p>
        </w:tc>
        <w:tc>
          <w:tcPr>
            <w:tcW w:w="2234" w:type="dxa"/>
          </w:tcPr>
          <w:p w:rsidR="00B32D69" w:rsidRDefault="00FB661A">
            <w:pPr>
              <w:spacing w:after="120"/>
              <w:jc w:val="both"/>
              <w:rPr>
                <w:rFonts w:ascii="Arial" w:hAnsi="Arial" w:cs="Arial"/>
                <w:b/>
                <w:noProof/>
              </w:rPr>
            </w:pPr>
            <w:r>
              <w:rPr>
                <w:rFonts w:ascii="Arial" w:hAnsi="Arial" w:cs="Arial"/>
                <w:b/>
                <w:noProof/>
              </w:rPr>
              <w:t>Outcome (0 – piecemeal sale, 1 – going concern)</w:t>
            </w:r>
          </w:p>
        </w:tc>
      </w:tr>
      <w:tr w:rsidR="00B32D69">
        <w:tc>
          <w:tcPr>
            <w:tcW w:w="1276" w:type="dxa"/>
          </w:tcPr>
          <w:p w:rsidR="00B32D69" w:rsidRDefault="00FB661A">
            <w:pPr>
              <w:spacing w:after="120"/>
              <w:jc w:val="both"/>
              <w:rPr>
                <w:rFonts w:ascii="Arial" w:hAnsi="Arial" w:cs="Arial"/>
                <w:noProof/>
              </w:rPr>
            </w:pPr>
            <w:r>
              <w:rPr>
                <w:rFonts w:ascii="Arial" w:hAnsi="Arial" w:cs="Arial"/>
                <w:noProof/>
              </w:rPr>
              <w:t>FI</w:t>
            </w:r>
          </w:p>
        </w:tc>
        <w:tc>
          <w:tcPr>
            <w:tcW w:w="2046" w:type="dxa"/>
          </w:tcPr>
          <w:p w:rsidR="00B32D69" w:rsidRDefault="00FB661A">
            <w:pPr>
              <w:spacing w:after="120"/>
              <w:jc w:val="both"/>
              <w:rPr>
                <w:rFonts w:ascii="Arial" w:hAnsi="Arial" w:cs="Arial"/>
                <w:noProof/>
              </w:rPr>
            </w:pPr>
            <w:r>
              <w:rPr>
                <w:rFonts w:ascii="Arial" w:hAnsi="Arial" w:cs="Arial"/>
                <w:noProof/>
              </w:rPr>
              <w:t>90,1</w:t>
            </w:r>
          </w:p>
        </w:tc>
        <w:tc>
          <w:tcPr>
            <w:tcW w:w="1497" w:type="dxa"/>
          </w:tcPr>
          <w:p w:rsidR="00B32D69" w:rsidRDefault="00FB661A">
            <w:pPr>
              <w:spacing w:after="120"/>
              <w:jc w:val="both"/>
              <w:rPr>
                <w:rFonts w:ascii="Arial" w:hAnsi="Arial" w:cs="Arial"/>
                <w:noProof/>
              </w:rPr>
            </w:pPr>
            <w:r>
              <w:rPr>
                <w:rFonts w:ascii="Arial" w:hAnsi="Arial" w:cs="Arial"/>
                <w:noProof/>
              </w:rPr>
              <w:t>0,9</w:t>
            </w:r>
          </w:p>
        </w:tc>
        <w:tc>
          <w:tcPr>
            <w:tcW w:w="1843" w:type="dxa"/>
          </w:tcPr>
          <w:p w:rsidR="00B32D69" w:rsidRDefault="00FB661A">
            <w:pPr>
              <w:spacing w:after="120"/>
              <w:jc w:val="both"/>
              <w:rPr>
                <w:rFonts w:ascii="Arial" w:hAnsi="Arial" w:cs="Arial"/>
                <w:noProof/>
              </w:rPr>
            </w:pPr>
            <w:r>
              <w:rPr>
                <w:rFonts w:ascii="Arial" w:hAnsi="Arial" w:cs="Arial"/>
                <w:noProof/>
              </w:rPr>
              <w:t>3,5</w:t>
            </w:r>
          </w:p>
        </w:tc>
        <w:tc>
          <w:tcPr>
            <w:tcW w:w="2234" w:type="dxa"/>
          </w:tcPr>
          <w:p w:rsidR="00B32D69" w:rsidRDefault="00FB661A">
            <w:pPr>
              <w:spacing w:after="120"/>
              <w:jc w:val="both"/>
              <w:rPr>
                <w:rFonts w:ascii="Arial" w:hAnsi="Arial" w:cs="Arial"/>
                <w:noProof/>
              </w:rPr>
            </w:pPr>
            <w:r>
              <w:rPr>
                <w:rFonts w:ascii="Arial" w:hAnsi="Arial" w:cs="Arial"/>
                <w:noProof/>
              </w:rPr>
              <w:t>1</w:t>
            </w:r>
          </w:p>
        </w:tc>
      </w:tr>
      <w:tr w:rsidR="00B32D69">
        <w:tc>
          <w:tcPr>
            <w:tcW w:w="1276" w:type="dxa"/>
          </w:tcPr>
          <w:p w:rsidR="00B32D69" w:rsidRDefault="00FB661A">
            <w:pPr>
              <w:spacing w:after="120"/>
              <w:jc w:val="both"/>
              <w:rPr>
                <w:rFonts w:ascii="Arial" w:hAnsi="Arial" w:cs="Arial"/>
                <w:noProof/>
              </w:rPr>
            </w:pPr>
            <w:r>
              <w:rPr>
                <w:rFonts w:ascii="Arial" w:hAnsi="Arial" w:cs="Arial"/>
                <w:noProof/>
              </w:rPr>
              <w:t>DE</w:t>
            </w:r>
          </w:p>
        </w:tc>
        <w:tc>
          <w:tcPr>
            <w:tcW w:w="2046" w:type="dxa"/>
          </w:tcPr>
          <w:p w:rsidR="00B32D69" w:rsidRDefault="00FB661A">
            <w:pPr>
              <w:spacing w:after="120"/>
              <w:jc w:val="both"/>
              <w:rPr>
                <w:rFonts w:ascii="Arial" w:hAnsi="Arial" w:cs="Arial"/>
                <w:noProof/>
              </w:rPr>
            </w:pPr>
            <w:r>
              <w:rPr>
                <w:rFonts w:ascii="Arial" w:hAnsi="Arial" w:cs="Arial"/>
                <w:noProof/>
              </w:rPr>
              <w:t>83,7</w:t>
            </w:r>
          </w:p>
        </w:tc>
        <w:tc>
          <w:tcPr>
            <w:tcW w:w="1497" w:type="dxa"/>
          </w:tcPr>
          <w:p w:rsidR="00B32D69" w:rsidRDefault="00FB661A">
            <w:pPr>
              <w:spacing w:after="120"/>
              <w:jc w:val="both"/>
              <w:rPr>
                <w:rFonts w:ascii="Arial" w:hAnsi="Arial" w:cs="Arial"/>
                <w:noProof/>
              </w:rPr>
            </w:pPr>
            <w:r>
              <w:rPr>
                <w:rFonts w:ascii="Arial" w:hAnsi="Arial" w:cs="Arial"/>
                <w:noProof/>
              </w:rPr>
              <w:t>1,2</w:t>
            </w:r>
          </w:p>
        </w:tc>
        <w:tc>
          <w:tcPr>
            <w:tcW w:w="1843" w:type="dxa"/>
          </w:tcPr>
          <w:p w:rsidR="00B32D69" w:rsidRDefault="00FB661A">
            <w:pPr>
              <w:spacing w:after="120"/>
              <w:jc w:val="both"/>
              <w:rPr>
                <w:rFonts w:ascii="Arial" w:hAnsi="Arial" w:cs="Arial"/>
                <w:noProof/>
              </w:rPr>
            </w:pPr>
            <w:r>
              <w:rPr>
                <w:rFonts w:ascii="Arial" w:hAnsi="Arial" w:cs="Arial"/>
                <w:noProof/>
              </w:rPr>
              <w:t>8</w:t>
            </w:r>
          </w:p>
        </w:tc>
        <w:tc>
          <w:tcPr>
            <w:tcW w:w="2234" w:type="dxa"/>
          </w:tcPr>
          <w:p w:rsidR="00B32D69" w:rsidRDefault="00FB661A">
            <w:pPr>
              <w:rPr>
                <w:rFonts w:ascii="Arial" w:hAnsi="Arial" w:cs="Arial"/>
                <w:noProof/>
              </w:rPr>
            </w:pPr>
            <w:r>
              <w:rPr>
                <w:rFonts w:ascii="Arial" w:hAnsi="Arial" w:cs="Arial"/>
                <w:noProof/>
              </w:rPr>
              <w:t>1</w:t>
            </w:r>
          </w:p>
        </w:tc>
      </w:tr>
      <w:tr w:rsidR="00B32D69">
        <w:tc>
          <w:tcPr>
            <w:tcW w:w="1276" w:type="dxa"/>
          </w:tcPr>
          <w:p w:rsidR="00B32D69" w:rsidRDefault="00FB661A">
            <w:pPr>
              <w:spacing w:after="120"/>
              <w:jc w:val="both"/>
              <w:rPr>
                <w:rFonts w:ascii="Arial" w:hAnsi="Arial" w:cs="Arial"/>
                <w:noProof/>
              </w:rPr>
            </w:pPr>
            <w:r>
              <w:rPr>
                <w:rFonts w:ascii="Arial" w:hAnsi="Arial" w:cs="Arial"/>
                <w:noProof/>
              </w:rPr>
              <w:t>PT</w:t>
            </w:r>
          </w:p>
        </w:tc>
        <w:tc>
          <w:tcPr>
            <w:tcW w:w="2046" w:type="dxa"/>
          </w:tcPr>
          <w:p w:rsidR="00B32D69" w:rsidRDefault="00FB661A">
            <w:pPr>
              <w:spacing w:after="120"/>
              <w:jc w:val="both"/>
              <w:rPr>
                <w:rFonts w:ascii="Arial" w:hAnsi="Arial" w:cs="Arial"/>
                <w:noProof/>
              </w:rPr>
            </w:pPr>
            <w:r>
              <w:rPr>
                <w:rFonts w:ascii="Arial" w:hAnsi="Arial" w:cs="Arial"/>
                <w:noProof/>
              </w:rPr>
              <w:t>73,4</w:t>
            </w:r>
          </w:p>
        </w:tc>
        <w:tc>
          <w:tcPr>
            <w:tcW w:w="1497" w:type="dxa"/>
          </w:tcPr>
          <w:p w:rsidR="00B32D69" w:rsidRDefault="00FB661A">
            <w:pPr>
              <w:spacing w:after="120"/>
              <w:jc w:val="both"/>
              <w:rPr>
                <w:rFonts w:ascii="Arial" w:hAnsi="Arial" w:cs="Arial"/>
                <w:noProof/>
              </w:rPr>
            </w:pPr>
            <w:r>
              <w:rPr>
                <w:rFonts w:ascii="Arial" w:hAnsi="Arial" w:cs="Arial"/>
                <w:noProof/>
              </w:rPr>
              <w:t>2,0</w:t>
            </w:r>
          </w:p>
        </w:tc>
        <w:tc>
          <w:tcPr>
            <w:tcW w:w="1843" w:type="dxa"/>
          </w:tcPr>
          <w:p w:rsidR="00B32D69" w:rsidRDefault="00FB661A">
            <w:pPr>
              <w:spacing w:after="120"/>
              <w:jc w:val="both"/>
              <w:rPr>
                <w:rFonts w:ascii="Arial" w:hAnsi="Arial" w:cs="Arial"/>
                <w:noProof/>
              </w:rPr>
            </w:pPr>
            <w:r>
              <w:rPr>
                <w:rFonts w:ascii="Arial" w:hAnsi="Arial" w:cs="Arial"/>
                <w:noProof/>
              </w:rPr>
              <w:t>9</w:t>
            </w:r>
          </w:p>
        </w:tc>
        <w:tc>
          <w:tcPr>
            <w:tcW w:w="2234" w:type="dxa"/>
          </w:tcPr>
          <w:p w:rsidR="00B32D69" w:rsidRDefault="00FB661A">
            <w:pPr>
              <w:rPr>
                <w:rFonts w:ascii="Arial" w:hAnsi="Arial" w:cs="Arial"/>
                <w:noProof/>
              </w:rPr>
            </w:pPr>
            <w:r>
              <w:rPr>
                <w:rFonts w:ascii="Arial" w:hAnsi="Arial" w:cs="Arial"/>
                <w:noProof/>
              </w:rPr>
              <w:t>1</w:t>
            </w:r>
          </w:p>
        </w:tc>
      </w:tr>
      <w:tr w:rsidR="00B32D69">
        <w:tc>
          <w:tcPr>
            <w:tcW w:w="1276" w:type="dxa"/>
          </w:tcPr>
          <w:p w:rsidR="00B32D69" w:rsidRDefault="00FB661A">
            <w:pPr>
              <w:spacing w:after="120"/>
              <w:jc w:val="both"/>
              <w:rPr>
                <w:rFonts w:ascii="Arial" w:hAnsi="Arial" w:cs="Arial"/>
                <w:noProof/>
              </w:rPr>
            </w:pPr>
            <w:r>
              <w:rPr>
                <w:rFonts w:ascii="Arial" w:hAnsi="Arial" w:cs="Arial"/>
                <w:noProof/>
              </w:rPr>
              <w:t>BE</w:t>
            </w:r>
          </w:p>
        </w:tc>
        <w:tc>
          <w:tcPr>
            <w:tcW w:w="2046" w:type="dxa"/>
          </w:tcPr>
          <w:p w:rsidR="00B32D69" w:rsidRDefault="00FB661A">
            <w:pPr>
              <w:spacing w:after="120"/>
              <w:jc w:val="both"/>
              <w:rPr>
                <w:rFonts w:ascii="Arial" w:hAnsi="Arial" w:cs="Arial"/>
                <w:noProof/>
              </w:rPr>
            </w:pPr>
            <w:r>
              <w:rPr>
                <w:rFonts w:ascii="Arial" w:hAnsi="Arial" w:cs="Arial"/>
                <w:noProof/>
              </w:rPr>
              <w:t>89,3</w:t>
            </w:r>
          </w:p>
        </w:tc>
        <w:tc>
          <w:tcPr>
            <w:tcW w:w="1497" w:type="dxa"/>
          </w:tcPr>
          <w:p w:rsidR="00B32D69" w:rsidRDefault="00FB661A">
            <w:pPr>
              <w:spacing w:after="120"/>
              <w:jc w:val="both"/>
              <w:rPr>
                <w:rFonts w:ascii="Arial" w:hAnsi="Arial" w:cs="Arial"/>
                <w:noProof/>
              </w:rPr>
            </w:pPr>
            <w:r>
              <w:rPr>
                <w:rFonts w:ascii="Arial" w:hAnsi="Arial" w:cs="Arial"/>
                <w:noProof/>
              </w:rPr>
              <w:t>0,9</w:t>
            </w:r>
          </w:p>
        </w:tc>
        <w:tc>
          <w:tcPr>
            <w:tcW w:w="1843" w:type="dxa"/>
          </w:tcPr>
          <w:p w:rsidR="00B32D69" w:rsidRDefault="00FB661A">
            <w:pPr>
              <w:spacing w:after="120"/>
              <w:jc w:val="both"/>
              <w:rPr>
                <w:rFonts w:ascii="Arial" w:hAnsi="Arial" w:cs="Arial"/>
                <w:noProof/>
              </w:rPr>
            </w:pPr>
            <w:r>
              <w:rPr>
                <w:rFonts w:ascii="Arial" w:hAnsi="Arial" w:cs="Arial"/>
                <w:noProof/>
              </w:rPr>
              <w:t>3,5</w:t>
            </w:r>
          </w:p>
        </w:tc>
        <w:tc>
          <w:tcPr>
            <w:tcW w:w="2234" w:type="dxa"/>
          </w:tcPr>
          <w:p w:rsidR="00B32D69" w:rsidRDefault="00FB661A">
            <w:pPr>
              <w:rPr>
                <w:rFonts w:ascii="Arial" w:hAnsi="Arial" w:cs="Arial"/>
                <w:noProof/>
              </w:rPr>
            </w:pPr>
            <w:r>
              <w:rPr>
                <w:rFonts w:ascii="Arial" w:hAnsi="Arial" w:cs="Arial"/>
                <w:noProof/>
              </w:rPr>
              <w:t>1</w:t>
            </w:r>
          </w:p>
        </w:tc>
      </w:tr>
      <w:tr w:rsidR="00B32D69">
        <w:tc>
          <w:tcPr>
            <w:tcW w:w="1276" w:type="dxa"/>
          </w:tcPr>
          <w:p w:rsidR="00B32D69" w:rsidRDefault="00FB661A">
            <w:pPr>
              <w:spacing w:after="120"/>
              <w:jc w:val="both"/>
              <w:rPr>
                <w:rFonts w:ascii="Arial" w:hAnsi="Arial" w:cs="Arial"/>
                <w:noProof/>
              </w:rPr>
            </w:pPr>
            <w:r>
              <w:rPr>
                <w:rFonts w:ascii="Arial" w:hAnsi="Arial" w:cs="Arial"/>
                <w:noProof/>
              </w:rPr>
              <w:t>NL</w:t>
            </w:r>
          </w:p>
        </w:tc>
        <w:tc>
          <w:tcPr>
            <w:tcW w:w="2046" w:type="dxa"/>
          </w:tcPr>
          <w:p w:rsidR="00B32D69" w:rsidRDefault="00FB661A">
            <w:pPr>
              <w:spacing w:after="120"/>
              <w:jc w:val="both"/>
              <w:rPr>
                <w:rFonts w:ascii="Arial" w:hAnsi="Arial" w:cs="Arial"/>
                <w:noProof/>
              </w:rPr>
            </w:pPr>
            <w:r>
              <w:rPr>
                <w:rFonts w:ascii="Arial" w:hAnsi="Arial" w:cs="Arial"/>
                <w:noProof/>
              </w:rPr>
              <w:t>88,9</w:t>
            </w:r>
          </w:p>
        </w:tc>
        <w:tc>
          <w:tcPr>
            <w:tcW w:w="1497" w:type="dxa"/>
          </w:tcPr>
          <w:p w:rsidR="00B32D69" w:rsidRDefault="00FB661A">
            <w:pPr>
              <w:spacing w:after="120"/>
              <w:jc w:val="both"/>
              <w:rPr>
                <w:rFonts w:ascii="Arial" w:hAnsi="Arial" w:cs="Arial"/>
                <w:noProof/>
              </w:rPr>
            </w:pPr>
            <w:r>
              <w:rPr>
                <w:rFonts w:ascii="Arial" w:hAnsi="Arial" w:cs="Arial"/>
                <w:noProof/>
              </w:rPr>
              <w:t>1,1</w:t>
            </w:r>
          </w:p>
        </w:tc>
        <w:tc>
          <w:tcPr>
            <w:tcW w:w="1843" w:type="dxa"/>
          </w:tcPr>
          <w:p w:rsidR="00B32D69" w:rsidRDefault="00FB661A">
            <w:pPr>
              <w:spacing w:after="120"/>
              <w:jc w:val="both"/>
              <w:rPr>
                <w:rFonts w:ascii="Arial" w:hAnsi="Arial" w:cs="Arial"/>
                <w:noProof/>
              </w:rPr>
            </w:pPr>
            <w:r>
              <w:rPr>
                <w:rFonts w:ascii="Arial" w:hAnsi="Arial" w:cs="Arial"/>
                <w:noProof/>
              </w:rPr>
              <w:t>3,5</w:t>
            </w:r>
          </w:p>
        </w:tc>
        <w:tc>
          <w:tcPr>
            <w:tcW w:w="2234" w:type="dxa"/>
          </w:tcPr>
          <w:p w:rsidR="00B32D69" w:rsidRDefault="00FB661A">
            <w:pPr>
              <w:rPr>
                <w:rFonts w:ascii="Arial" w:hAnsi="Arial" w:cs="Arial"/>
                <w:noProof/>
              </w:rPr>
            </w:pPr>
            <w:r>
              <w:rPr>
                <w:rFonts w:ascii="Arial" w:hAnsi="Arial" w:cs="Arial"/>
                <w:noProof/>
              </w:rPr>
              <w:t>1</w:t>
            </w:r>
          </w:p>
        </w:tc>
      </w:tr>
      <w:tr w:rsidR="00B32D69">
        <w:tc>
          <w:tcPr>
            <w:tcW w:w="1276" w:type="dxa"/>
          </w:tcPr>
          <w:p w:rsidR="00B32D69" w:rsidRDefault="00FB661A">
            <w:pPr>
              <w:spacing w:after="120"/>
              <w:jc w:val="both"/>
              <w:rPr>
                <w:rFonts w:ascii="Arial" w:hAnsi="Arial" w:cs="Arial"/>
                <w:noProof/>
              </w:rPr>
            </w:pPr>
            <w:r>
              <w:rPr>
                <w:rFonts w:ascii="Arial" w:hAnsi="Arial" w:cs="Arial"/>
                <w:noProof/>
              </w:rPr>
              <w:t>SI</w:t>
            </w:r>
          </w:p>
        </w:tc>
        <w:tc>
          <w:tcPr>
            <w:tcW w:w="2046" w:type="dxa"/>
          </w:tcPr>
          <w:p w:rsidR="00B32D69" w:rsidRDefault="00FB661A">
            <w:pPr>
              <w:spacing w:after="120"/>
              <w:jc w:val="both"/>
              <w:rPr>
                <w:rFonts w:ascii="Arial" w:hAnsi="Arial" w:cs="Arial"/>
                <w:noProof/>
              </w:rPr>
            </w:pPr>
            <w:r>
              <w:rPr>
                <w:rFonts w:ascii="Arial" w:hAnsi="Arial" w:cs="Arial"/>
                <w:noProof/>
              </w:rPr>
              <w:t>88,2</w:t>
            </w:r>
          </w:p>
        </w:tc>
        <w:tc>
          <w:tcPr>
            <w:tcW w:w="1497" w:type="dxa"/>
          </w:tcPr>
          <w:p w:rsidR="00B32D69" w:rsidRDefault="00FB661A">
            <w:pPr>
              <w:spacing w:after="120"/>
              <w:jc w:val="both"/>
              <w:rPr>
                <w:rFonts w:ascii="Arial" w:hAnsi="Arial" w:cs="Arial"/>
                <w:noProof/>
              </w:rPr>
            </w:pPr>
            <w:r>
              <w:rPr>
                <w:rFonts w:ascii="Arial" w:hAnsi="Arial" w:cs="Arial"/>
                <w:noProof/>
              </w:rPr>
              <w:t>0,8</w:t>
            </w:r>
          </w:p>
        </w:tc>
        <w:tc>
          <w:tcPr>
            <w:tcW w:w="1843" w:type="dxa"/>
          </w:tcPr>
          <w:p w:rsidR="00B32D69" w:rsidRDefault="00FB661A">
            <w:pPr>
              <w:spacing w:after="120"/>
              <w:jc w:val="both"/>
              <w:rPr>
                <w:rFonts w:ascii="Arial" w:hAnsi="Arial" w:cs="Arial"/>
                <w:noProof/>
              </w:rPr>
            </w:pPr>
            <w:r>
              <w:rPr>
                <w:rFonts w:ascii="Arial" w:hAnsi="Arial" w:cs="Arial"/>
                <w:noProof/>
              </w:rPr>
              <w:t>4</w:t>
            </w:r>
          </w:p>
        </w:tc>
        <w:tc>
          <w:tcPr>
            <w:tcW w:w="2234" w:type="dxa"/>
          </w:tcPr>
          <w:p w:rsidR="00B32D69" w:rsidRDefault="00FB661A">
            <w:pPr>
              <w:rPr>
                <w:rFonts w:ascii="Arial" w:hAnsi="Arial" w:cs="Arial"/>
                <w:noProof/>
              </w:rPr>
            </w:pPr>
            <w:r>
              <w:rPr>
                <w:rFonts w:ascii="Arial" w:hAnsi="Arial" w:cs="Arial"/>
                <w:noProof/>
              </w:rPr>
              <w:t>1</w:t>
            </w:r>
          </w:p>
        </w:tc>
      </w:tr>
      <w:tr w:rsidR="00B32D69">
        <w:tc>
          <w:tcPr>
            <w:tcW w:w="1276" w:type="dxa"/>
          </w:tcPr>
          <w:p w:rsidR="00B32D69" w:rsidRDefault="00FB661A">
            <w:pPr>
              <w:spacing w:after="120"/>
              <w:jc w:val="both"/>
              <w:rPr>
                <w:rFonts w:ascii="Arial" w:hAnsi="Arial" w:cs="Arial"/>
                <w:noProof/>
              </w:rPr>
            </w:pPr>
            <w:r>
              <w:rPr>
                <w:rFonts w:ascii="Arial" w:hAnsi="Arial" w:cs="Arial"/>
                <w:noProof/>
              </w:rPr>
              <w:t>CY</w:t>
            </w:r>
          </w:p>
        </w:tc>
        <w:tc>
          <w:tcPr>
            <w:tcW w:w="2046" w:type="dxa"/>
          </w:tcPr>
          <w:p w:rsidR="00B32D69" w:rsidRDefault="00FB661A">
            <w:pPr>
              <w:spacing w:after="120"/>
              <w:jc w:val="both"/>
              <w:rPr>
                <w:rFonts w:ascii="Arial" w:hAnsi="Arial" w:cs="Arial"/>
                <w:noProof/>
              </w:rPr>
            </w:pPr>
            <w:r>
              <w:rPr>
                <w:rFonts w:ascii="Arial" w:hAnsi="Arial" w:cs="Arial"/>
                <w:noProof/>
              </w:rPr>
              <w:t>71,4</w:t>
            </w:r>
          </w:p>
        </w:tc>
        <w:tc>
          <w:tcPr>
            <w:tcW w:w="1497" w:type="dxa"/>
          </w:tcPr>
          <w:p w:rsidR="00B32D69" w:rsidRDefault="00FB661A">
            <w:pPr>
              <w:spacing w:after="120"/>
              <w:jc w:val="both"/>
              <w:rPr>
                <w:rFonts w:ascii="Arial" w:hAnsi="Arial" w:cs="Arial"/>
                <w:noProof/>
              </w:rPr>
            </w:pPr>
            <w:r>
              <w:rPr>
                <w:rFonts w:ascii="Arial" w:hAnsi="Arial" w:cs="Arial"/>
                <w:noProof/>
              </w:rPr>
              <w:t>1,5</w:t>
            </w:r>
          </w:p>
        </w:tc>
        <w:tc>
          <w:tcPr>
            <w:tcW w:w="1843" w:type="dxa"/>
          </w:tcPr>
          <w:p w:rsidR="00B32D69" w:rsidRDefault="00FB661A">
            <w:pPr>
              <w:spacing w:after="120"/>
              <w:jc w:val="both"/>
              <w:rPr>
                <w:rFonts w:ascii="Arial" w:hAnsi="Arial" w:cs="Arial"/>
                <w:noProof/>
              </w:rPr>
            </w:pPr>
            <w:r>
              <w:rPr>
                <w:rFonts w:ascii="Arial" w:hAnsi="Arial" w:cs="Arial"/>
                <w:noProof/>
              </w:rPr>
              <w:t>14,5</w:t>
            </w:r>
          </w:p>
        </w:tc>
        <w:tc>
          <w:tcPr>
            <w:tcW w:w="2234" w:type="dxa"/>
          </w:tcPr>
          <w:p w:rsidR="00B32D69" w:rsidRDefault="00FB661A">
            <w:pPr>
              <w:rPr>
                <w:rFonts w:ascii="Arial" w:hAnsi="Arial" w:cs="Arial"/>
                <w:noProof/>
              </w:rPr>
            </w:pPr>
            <w:r>
              <w:rPr>
                <w:rFonts w:ascii="Arial" w:hAnsi="Arial" w:cs="Arial"/>
                <w:noProof/>
              </w:rPr>
              <w:t>1</w:t>
            </w:r>
          </w:p>
        </w:tc>
      </w:tr>
      <w:tr w:rsidR="00B32D69">
        <w:tc>
          <w:tcPr>
            <w:tcW w:w="1276" w:type="dxa"/>
          </w:tcPr>
          <w:p w:rsidR="00B32D69" w:rsidRDefault="00FB661A">
            <w:pPr>
              <w:spacing w:after="120"/>
              <w:jc w:val="both"/>
              <w:rPr>
                <w:rFonts w:ascii="Arial" w:hAnsi="Arial" w:cs="Arial"/>
                <w:noProof/>
              </w:rPr>
            </w:pPr>
            <w:r>
              <w:rPr>
                <w:rFonts w:ascii="Arial" w:hAnsi="Arial" w:cs="Arial"/>
                <w:noProof/>
              </w:rPr>
              <w:t>AT</w:t>
            </w:r>
          </w:p>
        </w:tc>
        <w:tc>
          <w:tcPr>
            <w:tcW w:w="2046" w:type="dxa"/>
          </w:tcPr>
          <w:p w:rsidR="00B32D69" w:rsidRDefault="00FB661A">
            <w:pPr>
              <w:spacing w:after="120"/>
              <w:jc w:val="both"/>
              <w:rPr>
                <w:rFonts w:ascii="Arial" w:hAnsi="Arial" w:cs="Arial"/>
                <w:noProof/>
              </w:rPr>
            </w:pPr>
            <w:r>
              <w:rPr>
                <w:rFonts w:ascii="Arial" w:hAnsi="Arial" w:cs="Arial"/>
                <w:noProof/>
              </w:rPr>
              <w:t>82,7</w:t>
            </w:r>
          </w:p>
        </w:tc>
        <w:tc>
          <w:tcPr>
            <w:tcW w:w="1497" w:type="dxa"/>
          </w:tcPr>
          <w:p w:rsidR="00B32D69" w:rsidRDefault="00FB661A">
            <w:pPr>
              <w:spacing w:after="120"/>
              <w:jc w:val="both"/>
              <w:rPr>
                <w:rFonts w:ascii="Arial" w:hAnsi="Arial" w:cs="Arial"/>
                <w:noProof/>
              </w:rPr>
            </w:pPr>
            <w:r>
              <w:rPr>
                <w:rFonts w:ascii="Arial" w:hAnsi="Arial" w:cs="Arial"/>
                <w:noProof/>
              </w:rPr>
              <w:t>1,1</w:t>
            </w:r>
          </w:p>
        </w:tc>
        <w:tc>
          <w:tcPr>
            <w:tcW w:w="1843" w:type="dxa"/>
          </w:tcPr>
          <w:p w:rsidR="00B32D69" w:rsidRDefault="00FB661A">
            <w:pPr>
              <w:spacing w:after="120"/>
              <w:jc w:val="both"/>
              <w:rPr>
                <w:rFonts w:ascii="Arial" w:hAnsi="Arial" w:cs="Arial"/>
                <w:noProof/>
              </w:rPr>
            </w:pPr>
            <w:r>
              <w:rPr>
                <w:rFonts w:ascii="Arial" w:hAnsi="Arial" w:cs="Arial"/>
                <w:noProof/>
              </w:rPr>
              <w:t>10</w:t>
            </w:r>
          </w:p>
        </w:tc>
        <w:tc>
          <w:tcPr>
            <w:tcW w:w="2234" w:type="dxa"/>
          </w:tcPr>
          <w:p w:rsidR="00B32D69" w:rsidRDefault="00FB661A">
            <w:pPr>
              <w:rPr>
                <w:rFonts w:ascii="Arial" w:hAnsi="Arial" w:cs="Arial"/>
                <w:noProof/>
              </w:rPr>
            </w:pPr>
            <w:r>
              <w:rPr>
                <w:rFonts w:ascii="Arial" w:hAnsi="Arial" w:cs="Arial"/>
                <w:noProof/>
              </w:rPr>
              <w:t>1</w:t>
            </w:r>
          </w:p>
        </w:tc>
      </w:tr>
      <w:tr w:rsidR="00B32D69">
        <w:tc>
          <w:tcPr>
            <w:tcW w:w="1276" w:type="dxa"/>
          </w:tcPr>
          <w:p w:rsidR="00B32D69" w:rsidRDefault="00FB661A">
            <w:pPr>
              <w:spacing w:after="120"/>
              <w:jc w:val="both"/>
              <w:rPr>
                <w:rFonts w:ascii="Arial" w:hAnsi="Arial" w:cs="Arial"/>
                <w:noProof/>
              </w:rPr>
            </w:pPr>
            <w:r>
              <w:rPr>
                <w:rFonts w:ascii="Arial" w:hAnsi="Arial" w:cs="Arial"/>
                <w:noProof/>
              </w:rPr>
              <w:t>IE</w:t>
            </w:r>
          </w:p>
        </w:tc>
        <w:tc>
          <w:tcPr>
            <w:tcW w:w="2046" w:type="dxa"/>
          </w:tcPr>
          <w:p w:rsidR="00B32D69" w:rsidRDefault="00FB661A">
            <w:pPr>
              <w:spacing w:after="120"/>
              <w:jc w:val="both"/>
              <w:rPr>
                <w:rFonts w:ascii="Arial" w:hAnsi="Arial" w:cs="Arial"/>
                <w:noProof/>
              </w:rPr>
            </w:pPr>
            <w:r>
              <w:rPr>
                <w:rFonts w:ascii="Arial" w:hAnsi="Arial" w:cs="Arial"/>
                <w:noProof/>
              </w:rPr>
              <w:t>87,7</w:t>
            </w:r>
          </w:p>
        </w:tc>
        <w:tc>
          <w:tcPr>
            <w:tcW w:w="1497" w:type="dxa"/>
          </w:tcPr>
          <w:p w:rsidR="00B32D69" w:rsidRDefault="00FB661A">
            <w:pPr>
              <w:spacing w:after="120"/>
              <w:jc w:val="both"/>
              <w:rPr>
                <w:rFonts w:ascii="Arial" w:hAnsi="Arial" w:cs="Arial"/>
                <w:noProof/>
              </w:rPr>
            </w:pPr>
            <w:r>
              <w:rPr>
                <w:rFonts w:ascii="Arial" w:hAnsi="Arial" w:cs="Arial"/>
                <w:noProof/>
              </w:rPr>
              <w:t>0,4</w:t>
            </w:r>
          </w:p>
        </w:tc>
        <w:tc>
          <w:tcPr>
            <w:tcW w:w="1843" w:type="dxa"/>
          </w:tcPr>
          <w:p w:rsidR="00B32D69" w:rsidRDefault="00FB661A">
            <w:pPr>
              <w:spacing w:after="120"/>
              <w:jc w:val="both"/>
              <w:rPr>
                <w:rFonts w:ascii="Arial" w:hAnsi="Arial" w:cs="Arial"/>
                <w:noProof/>
              </w:rPr>
            </w:pPr>
            <w:r>
              <w:rPr>
                <w:rFonts w:ascii="Arial" w:hAnsi="Arial" w:cs="Arial"/>
                <w:noProof/>
              </w:rPr>
              <w:t>9</w:t>
            </w:r>
          </w:p>
        </w:tc>
        <w:tc>
          <w:tcPr>
            <w:tcW w:w="2234" w:type="dxa"/>
          </w:tcPr>
          <w:p w:rsidR="00B32D69" w:rsidRDefault="00FB661A">
            <w:pPr>
              <w:rPr>
                <w:rFonts w:ascii="Arial" w:hAnsi="Arial" w:cs="Arial"/>
                <w:noProof/>
              </w:rPr>
            </w:pPr>
            <w:r>
              <w:rPr>
                <w:rFonts w:ascii="Arial" w:hAnsi="Arial" w:cs="Arial"/>
                <w:noProof/>
              </w:rPr>
              <w:t>1</w:t>
            </w:r>
          </w:p>
        </w:tc>
      </w:tr>
      <w:tr w:rsidR="00B32D69">
        <w:tc>
          <w:tcPr>
            <w:tcW w:w="1276" w:type="dxa"/>
          </w:tcPr>
          <w:p w:rsidR="00B32D69" w:rsidRDefault="00FB661A">
            <w:pPr>
              <w:spacing w:after="120"/>
              <w:jc w:val="both"/>
              <w:rPr>
                <w:rFonts w:ascii="Arial" w:hAnsi="Arial" w:cs="Arial"/>
                <w:noProof/>
              </w:rPr>
            </w:pPr>
            <w:r>
              <w:rPr>
                <w:rFonts w:ascii="Arial" w:hAnsi="Arial" w:cs="Arial"/>
                <w:noProof/>
              </w:rPr>
              <w:t>IT</w:t>
            </w:r>
          </w:p>
        </w:tc>
        <w:tc>
          <w:tcPr>
            <w:tcW w:w="2046" w:type="dxa"/>
          </w:tcPr>
          <w:p w:rsidR="00B32D69" w:rsidRDefault="00FB661A">
            <w:pPr>
              <w:spacing w:after="120"/>
              <w:jc w:val="both"/>
              <w:rPr>
                <w:rFonts w:ascii="Arial" w:hAnsi="Arial" w:cs="Arial"/>
                <w:noProof/>
              </w:rPr>
            </w:pPr>
            <w:r>
              <w:rPr>
                <w:rFonts w:ascii="Arial" w:hAnsi="Arial" w:cs="Arial"/>
                <w:noProof/>
              </w:rPr>
              <w:t>63,1</w:t>
            </w:r>
          </w:p>
        </w:tc>
        <w:tc>
          <w:tcPr>
            <w:tcW w:w="1497" w:type="dxa"/>
          </w:tcPr>
          <w:p w:rsidR="00B32D69" w:rsidRDefault="00FB661A">
            <w:pPr>
              <w:spacing w:after="120"/>
              <w:jc w:val="both"/>
              <w:rPr>
                <w:rFonts w:ascii="Arial" w:hAnsi="Arial" w:cs="Arial"/>
                <w:noProof/>
              </w:rPr>
            </w:pPr>
            <w:r>
              <w:rPr>
                <w:rFonts w:ascii="Arial" w:hAnsi="Arial" w:cs="Arial"/>
                <w:noProof/>
              </w:rPr>
              <w:t>1,8</w:t>
            </w:r>
          </w:p>
        </w:tc>
        <w:tc>
          <w:tcPr>
            <w:tcW w:w="1843" w:type="dxa"/>
          </w:tcPr>
          <w:p w:rsidR="00B32D69" w:rsidRDefault="00FB661A">
            <w:pPr>
              <w:spacing w:after="120"/>
              <w:jc w:val="both"/>
              <w:rPr>
                <w:rFonts w:ascii="Arial" w:hAnsi="Arial" w:cs="Arial"/>
                <w:noProof/>
              </w:rPr>
            </w:pPr>
            <w:r>
              <w:rPr>
                <w:rFonts w:ascii="Arial" w:hAnsi="Arial" w:cs="Arial"/>
                <w:noProof/>
              </w:rPr>
              <w:t>22</w:t>
            </w:r>
          </w:p>
        </w:tc>
        <w:tc>
          <w:tcPr>
            <w:tcW w:w="2234" w:type="dxa"/>
          </w:tcPr>
          <w:p w:rsidR="00B32D69" w:rsidRDefault="00FB661A">
            <w:pPr>
              <w:rPr>
                <w:rFonts w:ascii="Arial" w:hAnsi="Arial" w:cs="Arial"/>
                <w:noProof/>
              </w:rPr>
            </w:pPr>
            <w:r>
              <w:rPr>
                <w:rFonts w:ascii="Arial" w:hAnsi="Arial" w:cs="Arial"/>
                <w:noProof/>
              </w:rPr>
              <w:t>1</w:t>
            </w:r>
          </w:p>
        </w:tc>
      </w:tr>
      <w:tr w:rsidR="00B32D69">
        <w:tc>
          <w:tcPr>
            <w:tcW w:w="1276" w:type="dxa"/>
          </w:tcPr>
          <w:p w:rsidR="00B32D69" w:rsidRDefault="00FB661A">
            <w:pPr>
              <w:spacing w:after="120"/>
              <w:jc w:val="both"/>
              <w:rPr>
                <w:rFonts w:ascii="Arial" w:hAnsi="Arial" w:cs="Arial"/>
                <w:noProof/>
              </w:rPr>
            </w:pPr>
            <w:r>
              <w:rPr>
                <w:rFonts w:ascii="Arial" w:hAnsi="Arial" w:cs="Arial"/>
                <w:noProof/>
              </w:rPr>
              <w:t>FR</w:t>
            </w:r>
          </w:p>
        </w:tc>
        <w:tc>
          <w:tcPr>
            <w:tcW w:w="2046" w:type="dxa"/>
          </w:tcPr>
          <w:p w:rsidR="00B32D69" w:rsidRDefault="00FB661A">
            <w:pPr>
              <w:spacing w:after="120"/>
              <w:jc w:val="both"/>
              <w:rPr>
                <w:rFonts w:ascii="Arial" w:hAnsi="Arial" w:cs="Arial"/>
                <w:noProof/>
              </w:rPr>
            </w:pPr>
            <w:r>
              <w:rPr>
                <w:rFonts w:ascii="Arial" w:hAnsi="Arial" w:cs="Arial"/>
                <w:noProof/>
              </w:rPr>
              <w:t>77,5</w:t>
            </w:r>
          </w:p>
        </w:tc>
        <w:tc>
          <w:tcPr>
            <w:tcW w:w="1497" w:type="dxa"/>
          </w:tcPr>
          <w:p w:rsidR="00B32D69" w:rsidRDefault="00FB661A">
            <w:pPr>
              <w:spacing w:after="120"/>
              <w:jc w:val="both"/>
              <w:rPr>
                <w:rFonts w:ascii="Arial" w:hAnsi="Arial" w:cs="Arial"/>
                <w:noProof/>
              </w:rPr>
            </w:pPr>
            <w:r>
              <w:rPr>
                <w:rFonts w:ascii="Arial" w:hAnsi="Arial" w:cs="Arial"/>
                <w:noProof/>
              </w:rPr>
              <w:t>1,9</w:t>
            </w:r>
          </w:p>
        </w:tc>
        <w:tc>
          <w:tcPr>
            <w:tcW w:w="1843" w:type="dxa"/>
          </w:tcPr>
          <w:p w:rsidR="00B32D69" w:rsidRDefault="00FB661A">
            <w:pPr>
              <w:spacing w:after="120"/>
              <w:jc w:val="both"/>
              <w:rPr>
                <w:rFonts w:ascii="Arial" w:hAnsi="Arial" w:cs="Arial"/>
                <w:noProof/>
              </w:rPr>
            </w:pPr>
            <w:r>
              <w:rPr>
                <w:rFonts w:ascii="Arial" w:hAnsi="Arial" w:cs="Arial"/>
                <w:noProof/>
              </w:rPr>
              <w:t>9</w:t>
            </w:r>
          </w:p>
        </w:tc>
        <w:tc>
          <w:tcPr>
            <w:tcW w:w="2234" w:type="dxa"/>
          </w:tcPr>
          <w:p w:rsidR="00B32D69" w:rsidRDefault="00FB661A">
            <w:pPr>
              <w:rPr>
                <w:rFonts w:ascii="Arial" w:hAnsi="Arial" w:cs="Arial"/>
                <w:noProof/>
              </w:rPr>
            </w:pPr>
            <w:r>
              <w:rPr>
                <w:rFonts w:ascii="Arial" w:hAnsi="Arial" w:cs="Arial"/>
                <w:noProof/>
              </w:rPr>
              <w:t>1</w:t>
            </w:r>
          </w:p>
        </w:tc>
      </w:tr>
      <w:tr w:rsidR="00B32D69">
        <w:tc>
          <w:tcPr>
            <w:tcW w:w="1276" w:type="dxa"/>
          </w:tcPr>
          <w:p w:rsidR="00B32D69" w:rsidRDefault="00FB661A">
            <w:pPr>
              <w:spacing w:after="120"/>
              <w:jc w:val="both"/>
              <w:rPr>
                <w:rFonts w:ascii="Arial" w:hAnsi="Arial" w:cs="Arial"/>
                <w:noProof/>
              </w:rPr>
            </w:pPr>
            <w:r>
              <w:rPr>
                <w:rFonts w:ascii="Arial" w:hAnsi="Arial" w:cs="Arial"/>
                <w:noProof/>
              </w:rPr>
              <w:t>ES</w:t>
            </w:r>
          </w:p>
        </w:tc>
        <w:tc>
          <w:tcPr>
            <w:tcW w:w="2046" w:type="dxa"/>
          </w:tcPr>
          <w:p w:rsidR="00B32D69" w:rsidRDefault="00FB661A">
            <w:pPr>
              <w:spacing w:after="120"/>
              <w:jc w:val="both"/>
              <w:rPr>
                <w:rFonts w:ascii="Arial" w:hAnsi="Arial" w:cs="Arial"/>
                <w:noProof/>
              </w:rPr>
            </w:pPr>
            <w:r>
              <w:rPr>
                <w:rFonts w:ascii="Arial" w:hAnsi="Arial" w:cs="Arial"/>
                <w:noProof/>
              </w:rPr>
              <w:t>71,2</w:t>
            </w:r>
          </w:p>
        </w:tc>
        <w:tc>
          <w:tcPr>
            <w:tcW w:w="1497" w:type="dxa"/>
          </w:tcPr>
          <w:p w:rsidR="00B32D69" w:rsidRDefault="00FB661A">
            <w:pPr>
              <w:spacing w:after="120"/>
              <w:jc w:val="both"/>
              <w:rPr>
                <w:rFonts w:ascii="Arial" w:hAnsi="Arial" w:cs="Arial"/>
                <w:noProof/>
              </w:rPr>
            </w:pPr>
            <w:r>
              <w:rPr>
                <w:rFonts w:ascii="Arial" w:hAnsi="Arial" w:cs="Arial"/>
                <w:noProof/>
              </w:rPr>
              <w:t>1,5</w:t>
            </w:r>
          </w:p>
        </w:tc>
        <w:tc>
          <w:tcPr>
            <w:tcW w:w="1843" w:type="dxa"/>
          </w:tcPr>
          <w:p w:rsidR="00B32D69" w:rsidRDefault="00FB661A">
            <w:pPr>
              <w:spacing w:after="120"/>
              <w:jc w:val="both"/>
              <w:rPr>
                <w:rFonts w:ascii="Arial" w:hAnsi="Arial" w:cs="Arial"/>
                <w:noProof/>
              </w:rPr>
            </w:pPr>
            <w:r>
              <w:rPr>
                <w:rFonts w:ascii="Arial" w:hAnsi="Arial" w:cs="Arial"/>
                <w:noProof/>
              </w:rPr>
              <w:t>11</w:t>
            </w:r>
          </w:p>
        </w:tc>
        <w:tc>
          <w:tcPr>
            <w:tcW w:w="2234" w:type="dxa"/>
          </w:tcPr>
          <w:p w:rsidR="00B32D69" w:rsidRDefault="00FB661A">
            <w:pPr>
              <w:rPr>
                <w:rFonts w:ascii="Arial" w:hAnsi="Arial" w:cs="Arial"/>
                <w:noProof/>
              </w:rPr>
            </w:pPr>
            <w:r>
              <w:rPr>
                <w:rFonts w:ascii="Arial" w:hAnsi="Arial" w:cs="Arial"/>
                <w:noProof/>
              </w:rPr>
              <w:t>1</w:t>
            </w:r>
          </w:p>
        </w:tc>
      </w:tr>
      <w:tr w:rsidR="00B32D69">
        <w:tc>
          <w:tcPr>
            <w:tcW w:w="1276" w:type="dxa"/>
          </w:tcPr>
          <w:p w:rsidR="00B32D69" w:rsidRDefault="00FB661A">
            <w:pPr>
              <w:spacing w:after="120"/>
              <w:jc w:val="both"/>
              <w:rPr>
                <w:rFonts w:ascii="Arial" w:hAnsi="Arial" w:cs="Arial"/>
                <w:noProof/>
              </w:rPr>
            </w:pPr>
            <w:r>
              <w:rPr>
                <w:rFonts w:ascii="Arial" w:hAnsi="Arial" w:cs="Arial"/>
                <w:noProof/>
              </w:rPr>
              <w:t>SK</w:t>
            </w:r>
          </w:p>
        </w:tc>
        <w:tc>
          <w:tcPr>
            <w:tcW w:w="2046" w:type="dxa"/>
          </w:tcPr>
          <w:p w:rsidR="00B32D69" w:rsidRDefault="00FB661A">
            <w:pPr>
              <w:spacing w:after="120"/>
              <w:jc w:val="both"/>
              <w:rPr>
                <w:rFonts w:ascii="Arial" w:hAnsi="Arial" w:cs="Arial"/>
                <w:noProof/>
              </w:rPr>
            </w:pPr>
            <w:r>
              <w:rPr>
                <w:rFonts w:ascii="Arial" w:hAnsi="Arial" w:cs="Arial"/>
                <w:noProof/>
              </w:rPr>
              <w:t>54,7</w:t>
            </w:r>
          </w:p>
        </w:tc>
        <w:tc>
          <w:tcPr>
            <w:tcW w:w="1497" w:type="dxa"/>
          </w:tcPr>
          <w:p w:rsidR="00B32D69" w:rsidRDefault="00FB661A">
            <w:pPr>
              <w:spacing w:after="120"/>
              <w:jc w:val="both"/>
              <w:rPr>
                <w:rFonts w:ascii="Arial" w:hAnsi="Arial" w:cs="Arial"/>
                <w:noProof/>
              </w:rPr>
            </w:pPr>
            <w:r>
              <w:rPr>
                <w:rFonts w:ascii="Arial" w:hAnsi="Arial" w:cs="Arial"/>
                <w:noProof/>
              </w:rPr>
              <w:t>4,0</w:t>
            </w:r>
          </w:p>
        </w:tc>
        <w:tc>
          <w:tcPr>
            <w:tcW w:w="1843" w:type="dxa"/>
          </w:tcPr>
          <w:p w:rsidR="00B32D69" w:rsidRDefault="00FB661A">
            <w:pPr>
              <w:spacing w:after="120"/>
              <w:jc w:val="both"/>
              <w:rPr>
                <w:rFonts w:ascii="Arial" w:hAnsi="Arial" w:cs="Arial"/>
                <w:noProof/>
              </w:rPr>
            </w:pPr>
            <w:r>
              <w:rPr>
                <w:rFonts w:ascii="Arial" w:hAnsi="Arial" w:cs="Arial"/>
                <w:noProof/>
              </w:rPr>
              <w:t>18</w:t>
            </w:r>
          </w:p>
        </w:tc>
        <w:tc>
          <w:tcPr>
            <w:tcW w:w="2234" w:type="dxa"/>
          </w:tcPr>
          <w:p w:rsidR="00B32D69" w:rsidRDefault="00FB661A">
            <w:pPr>
              <w:rPr>
                <w:rFonts w:ascii="Arial" w:hAnsi="Arial" w:cs="Arial"/>
                <w:noProof/>
              </w:rPr>
            </w:pPr>
            <w:r>
              <w:rPr>
                <w:rFonts w:ascii="Arial" w:hAnsi="Arial" w:cs="Arial"/>
                <w:noProof/>
              </w:rPr>
              <w:t>1</w:t>
            </w:r>
          </w:p>
        </w:tc>
      </w:tr>
      <w:tr w:rsidR="00B32D69">
        <w:tc>
          <w:tcPr>
            <w:tcW w:w="1276" w:type="dxa"/>
          </w:tcPr>
          <w:p w:rsidR="00B32D69" w:rsidRDefault="00FB661A">
            <w:pPr>
              <w:spacing w:after="120"/>
              <w:jc w:val="both"/>
              <w:rPr>
                <w:rFonts w:ascii="Arial" w:hAnsi="Arial" w:cs="Arial"/>
                <w:noProof/>
              </w:rPr>
            </w:pPr>
            <w:r>
              <w:rPr>
                <w:rFonts w:ascii="Arial" w:hAnsi="Arial" w:cs="Arial"/>
                <w:noProof/>
              </w:rPr>
              <w:t>EE</w:t>
            </w:r>
          </w:p>
        </w:tc>
        <w:tc>
          <w:tcPr>
            <w:tcW w:w="2046" w:type="dxa"/>
          </w:tcPr>
          <w:p w:rsidR="00B32D69" w:rsidRDefault="00FB661A">
            <w:pPr>
              <w:spacing w:after="120"/>
              <w:jc w:val="both"/>
              <w:rPr>
                <w:rFonts w:ascii="Arial" w:hAnsi="Arial" w:cs="Arial"/>
                <w:noProof/>
              </w:rPr>
            </w:pPr>
            <w:r>
              <w:rPr>
                <w:rFonts w:ascii="Arial" w:hAnsi="Arial" w:cs="Arial"/>
                <w:noProof/>
              </w:rPr>
              <w:t>40,0</w:t>
            </w:r>
          </w:p>
        </w:tc>
        <w:tc>
          <w:tcPr>
            <w:tcW w:w="1497" w:type="dxa"/>
          </w:tcPr>
          <w:p w:rsidR="00B32D69" w:rsidRDefault="00FB661A">
            <w:pPr>
              <w:spacing w:after="120"/>
              <w:jc w:val="both"/>
              <w:rPr>
                <w:rFonts w:ascii="Arial" w:hAnsi="Arial" w:cs="Arial"/>
                <w:noProof/>
              </w:rPr>
            </w:pPr>
            <w:r>
              <w:rPr>
                <w:rFonts w:ascii="Arial" w:hAnsi="Arial" w:cs="Arial"/>
                <w:noProof/>
              </w:rPr>
              <w:t>3,0</w:t>
            </w:r>
          </w:p>
        </w:tc>
        <w:tc>
          <w:tcPr>
            <w:tcW w:w="1843" w:type="dxa"/>
          </w:tcPr>
          <w:p w:rsidR="00B32D69" w:rsidRDefault="00FB661A">
            <w:pPr>
              <w:spacing w:after="120"/>
              <w:jc w:val="both"/>
              <w:rPr>
                <w:rFonts w:ascii="Arial" w:hAnsi="Arial" w:cs="Arial"/>
                <w:noProof/>
              </w:rPr>
            </w:pPr>
            <w:r>
              <w:rPr>
                <w:rFonts w:ascii="Arial" w:hAnsi="Arial" w:cs="Arial"/>
                <w:noProof/>
              </w:rPr>
              <w:t>9</w:t>
            </w:r>
          </w:p>
        </w:tc>
        <w:tc>
          <w:tcPr>
            <w:tcW w:w="2234" w:type="dxa"/>
          </w:tcPr>
          <w:p w:rsidR="00B32D69" w:rsidRDefault="00FB661A">
            <w:pPr>
              <w:spacing w:after="120"/>
              <w:jc w:val="both"/>
              <w:rPr>
                <w:rFonts w:ascii="Arial" w:hAnsi="Arial" w:cs="Arial"/>
                <w:noProof/>
              </w:rPr>
            </w:pPr>
            <w:r>
              <w:rPr>
                <w:rFonts w:ascii="Arial" w:hAnsi="Arial" w:cs="Arial"/>
                <w:noProof/>
              </w:rPr>
              <w:t>0</w:t>
            </w:r>
          </w:p>
        </w:tc>
      </w:tr>
      <w:tr w:rsidR="00B32D69">
        <w:tc>
          <w:tcPr>
            <w:tcW w:w="1276" w:type="dxa"/>
          </w:tcPr>
          <w:p w:rsidR="00B32D69" w:rsidRDefault="00FB661A">
            <w:pPr>
              <w:spacing w:after="120"/>
              <w:jc w:val="both"/>
              <w:rPr>
                <w:rFonts w:ascii="Arial" w:hAnsi="Arial" w:cs="Arial"/>
                <w:noProof/>
              </w:rPr>
            </w:pPr>
            <w:r>
              <w:rPr>
                <w:rFonts w:ascii="Arial" w:hAnsi="Arial" w:cs="Arial"/>
                <w:noProof/>
              </w:rPr>
              <w:t>LV</w:t>
            </w:r>
          </w:p>
        </w:tc>
        <w:tc>
          <w:tcPr>
            <w:tcW w:w="2046" w:type="dxa"/>
          </w:tcPr>
          <w:p w:rsidR="00B32D69" w:rsidRDefault="00FB661A">
            <w:pPr>
              <w:spacing w:after="120"/>
              <w:jc w:val="both"/>
              <w:rPr>
                <w:rFonts w:ascii="Arial" w:hAnsi="Arial" w:cs="Arial"/>
                <w:noProof/>
              </w:rPr>
            </w:pPr>
            <w:r>
              <w:rPr>
                <w:rFonts w:ascii="Arial" w:hAnsi="Arial" w:cs="Arial"/>
                <w:noProof/>
              </w:rPr>
              <w:t>48,1</w:t>
            </w:r>
          </w:p>
        </w:tc>
        <w:tc>
          <w:tcPr>
            <w:tcW w:w="1497" w:type="dxa"/>
          </w:tcPr>
          <w:p w:rsidR="00B32D69" w:rsidRDefault="00FB661A">
            <w:pPr>
              <w:spacing w:after="120"/>
              <w:jc w:val="both"/>
              <w:rPr>
                <w:rFonts w:ascii="Arial" w:hAnsi="Arial" w:cs="Arial"/>
                <w:noProof/>
              </w:rPr>
            </w:pPr>
            <w:r>
              <w:rPr>
                <w:rFonts w:ascii="Arial" w:hAnsi="Arial" w:cs="Arial"/>
                <w:noProof/>
              </w:rPr>
              <w:t>1,5</w:t>
            </w:r>
          </w:p>
        </w:tc>
        <w:tc>
          <w:tcPr>
            <w:tcW w:w="1843" w:type="dxa"/>
          </w:tcPr>
          <w:p w:rsidR="00B32D69" w:rsidRDefault="00FB661A">
            <w:pPr>
              <w:spacing w:after="120"/>
              <w:jc w:val="both"/>
              <w:rPr>
                <w:rFonts w:ascii="Arial" w:hAnsi="Arial" w:cs="Arial"/>
                <w:noProof/>
              </w:rPr>
            </w:pPr>
            <w:r>
              <w:rPr>
                <w:rFonts w:ascii="Arial" w:hAnsi="Arial" w:cs="Arial"/>
                <w:noProof/>
              </w:rPr>
              <w:t>10</w:t>
            </w:r>
          </w:p>
        </w:tc>
        <w:tc>
          <w:tcPr>
            <w:tcW w:w="2234" w:type="dxa"/>
          </w:tcPr>
          <w:p w:rsidR="00B32D69" w:rsidRDefault="00FB661A">
            <w:pPr>
              <w:rPr>
                <w:rFonts w:ascii="Arial" w:hAnsi="Arial" w:cs="Arial"/>
                <w:noProof/>
              </w:rPr>
            </w:pPr>
            <w:r>
              <w:rPr>
                <w:rFonts w:ascii="Arial" w:hAnsi="Arial" w:cs="Arial"/>
                <w:noProof/>
              </w:rPr>
              <w:t>0</w:t>
            </w:r>
          </w:p>
        </w:tc>
      </w:tr>
      <w:tr w:rsidR="00B32D69">
        <w:tc>
          <w:tcPr>
            <w:tcW w:w="1276" w:type="dxa"/>
          </w:tcPr>
          <w:p w:rsidR="00B32D69" w:rsidRDefault="00FB661A">
            <w:pPr>
              <w:spacing w:after="120"/>
              <w:jc w:val="both"/>
              <w:rPr>
                <w:rFonts w:ascii="Arial" w:hAnsi="Arial" w:cs="Arial"/>
                <w:noProof/>
              </w:rPr>
            </w:pPr>
            <w:r>
              <w:rPr>
                <w:rFonts w:ascii="Arial" w:hAnsi="Arial" w:cs="Arial"/>
                <w:noProof/>
              </w:rPr>
              <w:t>EL</w:t>
            </w:r>
          </w:p>
        </w:tc>
        <w:tc>
          <w:tcPr>
            <w:tcW w:w="2046" w:type="dxa"/>
          </w:tcPr>
          <w:p w:rsidR="00B32D69" w:rsidRDefault="00FB661A">
            <w:pPr>
              <w:spacing w:after="120"/>
              <w:jc w:val="both"/>
              <w:rPr>
                <w:rFonts w:ascii="Arial" w:hAnsi="Arial" w:cs="Arial"/>
                <w:noProof/>
              </w:rPr>
            </w:pPr>
            <w:r>
              <w:rPr>
                <w:rFonts w:ascii="Arial" w:hAnsi="Arial" w:cs="Arial"/>
                <w:noProof/>
              </w:rPr>
              <w:t>34,9</w:t>
            </w:r>
          </w:p>
        </w:tc>
        <w:tc>
          <w:tcPr>
            <w:tcW w:w="1497" w:type="dxa"/>
          </w:tcPr>
          <w:p w:rsidR="00B32D69" w:rsidRDefault="00FB661A">
            <w:pPr>
              <w:spacing w:after="120"/>
              <w:jc w:val="both"/>
              <w:rPr>
                <w:rFonts w:ascii="Arial" w:hAnsi="Arial" w:cs="Arial"/>
                <w:noProof/>
              </w:rPr>
            </w:pPr>
            <w:r>
              <w:rPr>
                <w:rFonts w:ascii="Arial" w:hAnsi="Arial" w:cs="Arial"/>
                <w:noProof/>
              </w:rPr>
              <w:t>3,5</w:t>
            </w:r>
          </w:p>
        </w:tc>
        <w:tc>
          <w:tcPr>
            <w:tcW w:w="1843" w:type="dxa"/>
          </w:tcPr>
          <w:p w:rsidR="00B32D69" w:rsidRDefault="00FB661A">
            <w:pPr>
              <w:spacing w:after="120"/>
              <w:jc w:val="both"/>
              <w:rPr>
                <w:rFonts w:ascii="Arial" w:hAnsi="Arial" w:cs="Arial"/>
                <w:noProof/>
              </w:rPr>
            </w:pPr>
            <w:r>
              <w:rPr>
                <w:rFonts w:ascii="Arial" w:hAnsi="Arial" w:cs="Arial"/>
                <w:noProof/>
              </w:rPr>
              <w:t>9</w:t>
            </w:r>
          </w:p>
        </w:tc>
        <w:tc>
          <w:tcPr>
            <w:tcW w:w="2234" w:type="dxa"/>
          </w:tcPr>
          <w:p w:rsidR="00B32D69" w:rsidRDefault="00FB661A">
            <w:pPr>
              <w:rPr>
                <w:rFonts w:ascii="Arial" w:hAnsi="Arial" w:cs="Arial"/>
                <w:noProof/>
              </w:rPr>
            </w:pPr>
            <w:r>
              <w:rPr>
                <w:rFonts w:ascii="Arial" w:hAnsi="Arial" w:cs="Arial"/>
                <w:noProof/>
              </w:rPr>
              <w:t>0</w:t>
            </w:r>
          </w:p>
        </w:tc>
      </w:tr>
      <w:tr w:rsidR="00B32D69">
        <w:tc>
          <w:tcPr>
            <w:tcW w:w="1276" w:type="dxa"/>
          </w:tcPr>
          <w:p w:rsidR="00B32D69" w:rsidRDefault="00FB661A">
            <w:pPr>
              <w:spacing w:after="120"/>
              <w:jc w:val="both"/>
              <w:rPr>
                <w:rFonts w:ascii="Arial" w:hAnsi="Arial" w:cs="Arial"/>
                <w:noProof/>
              </w:rPr>
            </w:pPr>
            <w:r>
              <w:rPr>
                <w:rFonts w:ascii="Arial" w:hAnsi="Arial" w:cs="Arial"/>
                <w:noProof/>
              </w:rPr>
              <w:t>LT</w:t>
            </w:r>
          </w:p>
        </w:tc>
        <w:tc>
          <w:tcPr>
            <w:tcW w:w="2046" w:type="dxa"/>
          </w:tcPr>
          <w:p w:rsidR="00B32D69" w:rsidRDefault="00FB661A">
            <w:pPr>
              <w:spacing w:after="120"/>
              <w:jc w:val="both"/>
              <w:rPr>
                <w:rFonts w:ascii="Arial" w:hAnsi="Arial" w:cs="Arial"/>
                <w:noProof/>
              </w:rPr>
            </w:pPr>
            <w:r>
              <w:rPr>
                <w:rFonts w:ascii="Arial" w:hAnsi="Arial" w:cs="Arial"/>
                <w:noProof/>
              </w:rPr>
              <w:t>42,8</w:t>
            </w:r>
          </w:p>
        </w:tc>
        <w:tc>
          <w:tcPr>
            <w:tcW w:w="1497" w:type="dxa"/>
          </w:tcPr>
          <w:p w:rsidR="00B32D69" w:rsidRDefault="00FB661A">
            <w:pPr>
              <w:spacing w:after="120"/>
              <w:jc w:val="both"/>
              <w:rPr>
                <w:rFonts w:ascii="Arial" w:hAnsi="Arial" w:cs="Arial"/>
                <w:noProof/>
              </w:rPr>
            </w:pPr>
            <w:r>
              <w:rPr>
                <w:rFonts w:ascii="Arial" w:hAnsi="Arial" w:cs="Arial"/>
                <w:noProof/>
              </w:rPr>
              <w:t>2,3</w:t>
            </w:r>
          </w:p>
        </w:tc>
        <w:tc>
          <w:tcPr>
            <w:tcW w:w="1843" w:type="dxa"/>
          </w:tcPr>
          <w:p w:rsidR="00B32D69" w:rsidRDefault="00FB661A">
            <w:pPr>
              <w:spacing w:after="120"/>
              <w:jc w:val="both"/>
              <w:rPr>
                <w:rFonts w:ascii="Arial" w:hAnsi="Arial" w:cs="Arial"/>
                <w:noProof/>
              </w:rPr>
            </w:pPr>
            <w:r>
              <w:rPr>
                <w:rFonts w:ascii="Arial" w:hAnsi="Arial" w:cs="Arial"/>
                <w:noProof/>
              </w:rPr>
              <w:t>10</w:t>
            </w:r>
          </w:p>
        </w:tc>
        <w:tc>
          <w:tcPr>
            <w:tcW w:w="2234" w:type="dxa"/>
          </w:tcPr>
          <w:p w:rsidR="00B32D69" w:rsidRDefault="00FB661A">
            <w:pPr>
              <w:rPr>
                <w:rFonts w:ascii="Arial" w:hAnsi="Arial" w:cs="Arial"/>
                <w:noProof/>
              </w:rPr>
            </w:pPr>
            <w:r>
              <w:rPr>
                <w:rFonts w:ascii="Arial" w:hAnsi="Arial" w:cs="Arial"/>
                <w:noProof/>
              </w:rPr>
              <w:t>0</w:t>
            </w:r>
          </w:p>
        </w:tc>
      </w:tr>
      <w:tr w:rsidR="00B32D69">
        <w:tc>
          <w:tcPr>
            <w:tcW w:w="1276" w:type="dxa"/>
          </w:tcPr>
          <w:p w:rsidR="00B32D69" w:rsidRDefault="00FB661A">
            <w:pPr>
              <w:spacing w:after="120"/>
              <w:jc w:val="both"/>
              <w:rPr>
                <w:rFonts w:ascii="Arial" w:hAnsi="Arial" w:cs="Arial"/>
                <w:noProof/>
              </w:rPr>
            </w:pPr>
            <w:r>
              <w:rPr>
                <w:rFonts w:ascii="Arial" w:hAnsi="Arial" w:cs="Arial"/>
                <w:noProof/>
              </w:rPr>
              <w:t>LU</w:t>
            </w:r>
          </w:p>
        </w:tc>
        <w:tc>
          <w:tcPr>
            <w:tcW w:w="2046" w:type="dxa"/>
          </w:tcPr>
          <w:p w:rsidR="00B32D69" w:rsidRDefault="00FB661A">
            <w:pPr>
              <w:spacing w:after="120"/>
              <w:jc w:val="both"/>
              <w:rPr>
                <w:rFonts w:ascii="Arial" w:hAnsi="Arial" w:cs="Arial"/>
                <w:noProof/>
              </w:rPr>
            </w:pPr>
            <w:r>
              <w:rPr>
                <w:rFonts w:ascii="Arial" w:hAnsi="Arial" w:cs="Arial"/>
                <w:noProof/>
              </w:rPr>
              <w:t>43,8</w:t>
            </w:r>
          </w:p>
        </w:tc>
        <w:tc>
          <w:tcPr>
            <w:tcW w:w="1497" w:type="dxa"/>
          </w:tcPr>
          <w:p w:rsidR="00B32D69" w:rsidRDefault="00FB661A">
            <w:pPr>
              <w:spacing w:after="120"/>
              <w:jc w:val="both"/>
              <w:rPr>
                <w:rFonts w:ascii="Arial" w:hAnsi="Arial" w:cs="Arial"/>
                <w:noProof/>
              </w:rPr>
            </w:pPr>
            <w:r>
              <w:rPr>
                <w:rFonts w:ascii="Arial" w:hAnsi="Arial" w:cs="Arial"/>
                <w:noProof/>
              </w:rPr>
              <w:t>2,0</w:t>
            </w:r>
          </w:p>
        </w:tc>
        <w:tc>
          <w:tcPr>
            <w:tcW w:w="1843" w:type="dxa"/>
          </w:tcPr>
          <w:p w:rsidR="00B32D69" w:rsidRDefault="00FB661A">
            <w:pPr>
              <w:spacing w:after="120"/>
              <w:jc w:val="both"/>
              <w:rPr>
                <w:rFonts w:ascii="Arial" w:hAnsi="Arial" w:cs="Arial"/>
                <w:noProof/>
              </w:rPr>
            </w:pPr>
            <w:r>
              <w:rPr>
                <w:rFonts w:ascii="Arial" w:hAnsi="Arial" w:cs="Arial"/>
                <w:noProof/>
              </w:rPr>
              <w:t>14,5</w:t>
            </w:r>
          </w:p>
        </w:tc>
        <w:tc>
          <w:tcPr>
            <w:tcW w:w="2234" w:type="dxa"/>
          </w:tcPr>
          <w:p w:rsidR="00B32D69" w:rsidRDefault="00FB661A">
            <w:pPr>
              <w:rPr>
                <w:rFonts w:ascii="Arial" w:hAnsi="Arial" w:cs="Arial"/>
                <w:noProof/>
              </w:rPr>
            </w:pPr>
            <w:r>
              <w:rPr>
                <w:rFonts w:ascii="Arial" w:hAnsi="Arial" w:cs="Arial"/>
                <w:noProof/>
              </w:rPr>
              <w:t>0</w:t>
            </w:r>
          </w:p>
        </w:tc>
      </w:tr>
      <w:tr w:rsidR="00B32D69">
        <w:tc>
          <w:tcPr>
            <w:tcW w:w="1276" w:type="dxa"/>
          </w:tcPr>
          <w:p w:rsidR="00B32D69" w:rsidRDefault="00FB661A">
            <w:pPr>
              <w:spacing w:after="120"/>
              <w:jc w:val="both"/>
              <w:rPr>
                <w:rFonts w:ascii="Arial" w:hAnsi="Arial" w:cs="Arial"/>
                <w:noProof/>
              </w:rPr>
            </w:pPr>
            <w:r>
              <w:rPr>
                <w:rFonts w:ascii="Arial" w:hAnsi="Arial" w:cs="Arial"/>
                <w:noProof/>
              </w:rPr>
              <w:t>MT</w:t>
            </w:r>
          </w:p>
        </w:tc>
        <w:tc>
          <w:tcPr>
            <w:tcW w:w="2046" w:type="dxa"/>
          </w:tcPr>
          <w:p w:rsidR="00B32D69" w:rsidRDefault="00FB661A">
            <w:pPr>
              <w:spacing w:after="120"/>
              <w:jc w:val="both"/>
              <w:rPr>
                <w:rFonts w:ascii="Arial" w:hAnsi="Arial" w:cs="Arial"/>
                <w:noProof/>
              </w:rPr>
            </w:pPr>
            <w:r>
              <w:rPr>
                <w:rFonts w:ascii="Arial" w:hAnsi="Arial" w:cs="Arial"/>
                <w:noProof/>
              </w:rPr>
              <w:t>39,6</w:t>
            </w:r>
          </w:p>
        </w:tc>
        <w:tc>
          <w:tcPr>
            <w:tcW w:w="1497" w:type="dxa"/>
          </w:tcPr>
          <w:p w:rsidR="00B32D69" w:rsidRDefault="00FB661A">
            <w:pPr>
              <w:spacing w:after="120"/>
              <w:jc w:val="both"/>
              <w:rPr>
                <w:rFonts w:ascii="Arial" w:hAnsi="Arial" w:cs="Arial"/>
                <w:noProof/>
              </w:rPr>
            </w:pPr>
            <w:r>
              <w:rPr>
                <w:rFonts w:ascii="Arial" w:hAnsi="Arial" w:cs="Arial"/>
                <w:noProof/>
              </w:rPr>
              <w:t>3,0</w:t>
            </w:r>
          </w:p>
        </w:tc>
        <w:tc>
          <w:tcPr>
            <w:tcW w:w="1843" w:type="dxa"/>
          </w:tcPr>
          <w:p w:rsidR="00B32D69" w:rsidRDefault="00FB661A">
            <w:pPr>
              <w:spacing w:after="120"/>
              <w:jc w:val="both"/>
              <w:rPr>
                <w:rFonts w:ascii="Arial" w:hAnsi="Arial" w:cs="Arial"/>
                <w:noProof/>
              </w:rPr>
            </w:pPr>
            <w:r>
              <w:rPr>
                <w:rFonts w:ascii="Arial" w:hAnsi="Arial" w:cs="Arial"/>
                <w:noProof/>
              </w:rPr>
              <w:t>10</w:t>
            </w:r>
          </w:p>
        </w:tc>
        <w:tc>
          <w:tcPr>
            <w:tcW w:w="2234" w:type="dxa"/>
          </w:tcPr>
          <w:p w:rsidR="00B32D69" w:rsidRDefault="00FB661A">
            <w:pPr>
              <w:rPr>
                <w:rFonts w:ascii="Arial" w:hAnsi="Arial" w:cs="Arial"/>
                <w:noProof/>
              </w:rPr>
            </w:pPr>
            <w:r>
              <w:rPr>
                <w:rFonts w:ascii="Arial" w:hAnsi="Arial" w:cs="Arial"/>
                <w:noProof/>
              </w:rPr>
              <w:t>0</w:t>
            </w:r>
          </w:p>
        </w:tc>
      </w:tr>
      <w:tr w:rsidR="00B32D69">
        <w:tc>
          <w:tcPr>
            <w:tcW w:w="1276" w:type="dxa"/>
          </w:tcPr>
          <w:p w:rsidR="00B32D69" w:rsidRDefault="00FB661A">
            <w:pPr>
              <w:spacing w:after="120"/>
              <w:jc w:val="both"/>
              <w:rPr>
                <w:rFonts w:ascii="Arial" w:hAnsi="Arial" w:cs="Arial"/>
                <w:noProof/>
              </w:rPr>
            </w:pPr>
            <w:r>
              <w:rPr>
                <w:rFonts w:ascii="Arial" w:hAnsi="Arial" w:cs="Arial"/>
                <w:noProof/>
              </w:rPr>
              <w:t>EU average</w:t>
            </w:r>
          </w:p>
        </w:tc>
        <w:tc>
          <w:tcPr>
            <w:tcW w:w="2046" w:type="dxa"/>
          </w:tcPr>
          <w:p w:rsidR="00B32D69" w:rsidRDefault="00FB661A">
            <w:pPr>
              <w:spacing w:after="120"/>
              <w:jc w:val="both"/>
              <w:rPr>
                <w:rFonts w:ascii="Arial" w:hAnsi="Arial" w:cs="Arial"/>
                <w:noProof/>
              </w:rPr>
            </w:pPr>
            <w:r>
              <w:rPr>
                <w:rFonts w:ascii="Arial" w:hAnsi="Arial" w:cs="Arial"/>
                <w:noProof/>
              </w:rPr>
              <w:t>63,8</w:t>
            </w:r>
          </w:p>
        </w:tc>
        <w:tc>
          <w:tcPr>
            <w:tcW w:w="1497" w:type="dxa"/>
          </w:tcPr>
          <w:p w:rsidR="00B32D69" w:rsidRDefault="00FB661A">
            <w:pPr>
              <w:spacing w:after="120"/>
              <w:jc w:val="both"/>
              <w:rPr>
                <w:rFonts w:ascii="Arial" w:hAnsi="Arial" w:cs="Arial"/>
                <w:noProof/>
              </w:rPr>
            </w:pPr>
            <w:r>
              <w:rPr>
                <w:rFonts w:ascii="Arial" w:hAnsi="Arial" w:cs="Arial"/>
                <w:noProof/>
              </w:rPr>
              <w:t>2,0</w:t>
            </w:r>
          </w:p>
        </w:tc>
        <w:tc>
          <w:tcPr>
            <w:tcW w:w="1843" w:type="dxa"/>
          </w:tcPr>
          <w:p w:rsidR="00B32D69" w:rsidRDefault="00FB661A">
            <w:pPr>
              <w:spacing w:after="120"/>
              <w:jc w:val="both"/>
              <w:rPr>
                <w:rFonts w:ascii="Arial" w:hAnsi="Arial" w:cs="Arial"/>
                <w:noProof/>
              </w:rPr>
            </w:pPr>
            <w:r>
              <w:rPr>
                <w:rFonts w:ascii="Arial" w:hAnsi="Arial" w:cs="Arial"/>
                <w:noProof/>
              </w:rPr>
              <w:t>10,3</w:t>
            </w:r>
          </w:p>
        </w:tc>
        <w:tc>
          <w:tcPr>
            <w:tcW w:w="2234" w:type="dxa"/>
          </w:tcPr>
          <w:p w:rsidR="00B32D69" w:rsidRDefault="00FB661A">
            <w:pPr>
              <w:rPr>
                <w:rFonts w:ascii="Arial" w:hAnsi="Arial" w:cs="Arial"/>
                <w:noProof/>
              </w:rPr>
            </w:pPr>
            <w:r>
              <w:rPr>
                <w:rFonts w:ascii="Arial" w:hAnsi="Arial" w:cs="Arial"/>
                <w:noProof/>
              </w:rPr>
              <w:t>0</w:t>
            </w:r>
          </w:p>
        </w:tc>
      </w:tr>
      <w:tr w:rsidR="00B32D69">
        <w:tc>
          <w:tcPr>
            <w:tcW w:w="1276" w:type="dxa"/>
          </w:tcPr>
          <w:p w:rsidR="00B32D69" w:rsidRDefault="00FB661A">
            <w:pPr>
              <w:spacing w:after="120"/>
              <w:jc w:val="both"/>
              <w:rPr>
                <w:rFonts w:ascii="Arial" w:hAnsi="Arial" w:cs="Arial"/>
                <w:noProof/>
              </w:rPr>
            </w:pPr>
            <w:r>
              <w:rPr>
                <w:rFonts w:ascii="Arial" w:hAnsi="Arial" w:cs="Arial"/>
                <w:noProof/>
              </w:rPr>
              <w:t>EA average</w:t>
            </w:r>
          </w:p>
        </w:tc>
        <w:tc>
          <w:tcPr>
            <w:tcW w:w="2046" w:type="dxa"/>
          </w:tcPr>
          <w:p w:rsidR="00B32D69" w:rsidRDefault="00FB661A">
            <w:pPr>
              <w:spacing w:after="120"/>
              <w:jc w:val="both"/>
              <w:rPr>
                <w:rFonts w:ascii="Arial" w:hAnsi="Arial" w:cs="Arial"/>
                <w:noProof/>
              </w:rPr>
            </w:pPr>
            <w:r>
              <w:rPr>
                <w:rFonts w:ascii="Arial" w:hAnsi="Arial" w:cs="Arial"/>
                <w:noProof/>
              </w:rPr>
              <w:t>66,9</w:t>
            </w:r>
          </w:p>
        </w:tc>
        <w:tc>
          <w:tcPr>
            <w:tcW w:w="1497" w:type="dxa"/>
          </w:tcPr>
          <w:p w:rsidR="00B32D69" w:rsidRDefault="00FB661A">
            <w:pPr>
              <w:spacing w:after="120"/>
              <w:jc w:val="both"/>
              <w:rPr>
                <w:rFonts w:ascii="Arial" w:hAnsi="Arial" w:cs="Arial"/>
                <w:noProof/>
              </w:rPr>
            </w:pPr>
            <w:r>
              <w:rPr>
                <w:rFonts w:ascii="Arial" w:hAnsi="Arial" w:cs="Arial"/>
                <w:noProof/>
              </w:rPr>
              <w:t>1,8</w:t>
            </w:r>
          </w:p>
        </w:tc>
        <w:tc>
          <w:tcPr>
            <w:tcW w:w="1843" w:type="dxa"/>
          </w:tcPr>
          <w:p w:rsidR="00B32D69" w:rsidRDefault="00FB661A">
            <w:pPr>
              <w:spacing w:after="120"/>
              <w:jc w:val="both"/>
              <w:rPr>
                <w:rFonts w:ascii="Arial" w:hAnsi="Arial" w:cs="Arial"/>
                <w:noProof/>
              </w:rPr>
            </w:pPr>
            <w:r>
              <w:rPr>
                <w:rFonts w:ascii="Arial" w:hAnsi="Arial" w:cs="Arial"/>
                <w:noProof/>
              </w:rPr>
              <w:t>9,9</w:t>
            </w:r>
          </w:p>
        </w:tc>
        <w:tc>
          <w:tcPr>
            <w:tcW w:w="2234" w:type="dxa"/>
          </w:tcPr>
          <w:p w:rsidR="00B32D69" w:rsidRDefault="00FB661A">
            <w:pPr>
              <w:rPr>
                <w:rFonts w:ascii="Arial" w:hAnsi="Arial" w:cs="Arial"/>
                <w:noProof/>
              </w:rPr>
            </w:pPr>
            <w:r>
              <w:rPr>
                <w:rFonts w:ascii="Arial" w:hAnsi="Arial" w:cs="Arial"/>
                <w:noProof/>
              </w:rPr>
              <w:t>0</w:t>
            </w:r>
          </w:p>
        </w:tc>
      </w:tr>
      <w:tr w:rsidR="00B32D69">
        <w:tc>
          <w:tcPr>
            <w:tcW w:w="1276" w:type="dxa"/>
          </w:tcPr>
          <w:p w:rsidR="00B32D69" w:rsidRDefault="00FB661A">
            <w:pPr>
              <w:spacing w:after="120"/>
              <w:jc w:val="both"/>
              <w:rPr>
                <w:rFonts w:ascii="Arial" w:hAnsi="Arial" w:cs="Arial"/>
                <w:noProof/>
              </w:rPr>
            </w:pPr>
            <w:r>
              <w:rPr>
                <w:rFonts w:ascii="Arial" w:hAnsi="Arial" w:cs="Arial"/>
                <w:noProof/>
              </w:rPr>
              <w:t>World average</w:t>
            </w:r>
          </w:p>
        </w:tc>
        <w:tc>
          <w:tcPr>
            <w:tcW w:w="2046" w:type="dxa"/>
          </w:tcPr>
          <w:p w:rsidR="00B32D69" w:rsidRDefault="00FB661A">
            <w:pPr>
              <w:spacing w:after="120"/>
              <w:jc w:val="both"/>
              <w:rPr>
                <w:rFonts w:ascii="Arial" w:hAnsi="Arial" w:cs="Arial"/>
                <w:noProof/>
              </w:rPr>
            </w:pPr>
            <w:r>
              <w:rPr>
                <w:rFonts w:ascii="Arial" w:hAnsi="Arial" w:cs="Arial"/>
                <w:noProof/>
              </w:rPr>
              <w:t>43,7</w:t>
            </w:r>
          </w:p>
        </w:tc>
        <w:tc>
          <w:tcPr>
            <w:tcW w:w="1497" w:type="dxa"/>
          </w:tcPr>
          <w:p w:rsidR="00B32D69" w:rsidRDefault="00FB661A">
            <w:pPr>
              <w:spacing w:after="120"/>
              <w:jc w:val="both"/>
              <w:rPr>
                <w:rFonts w:ascii="Arial" w:hAnsi="Arial" w:cs="Arial"/>
                <w:noProof/>
              </w:rPr>
            </w:pPr>
            <w:r>
              <w:rPr>
                <w:rFonts w:ascii="Arial" w:hAnsi="Arial" w:cs="Arial"/>
                <w:noProof/>
              </w:rPr>
              <w:t>36,1</w:t>
            </w:r>
          </w:p>
        </w:tc>
        <w:tc>
          <w:tcPr>
            <w:tcW w:w="1843" w:type="dxa"/>
          </w:tcPr>
          <w:p w:rsidR="00B32D69" w:rsidRDefault="00FB661A">
            <w:pPr>
              <w:spacing w:after="120"/>
              <w:jc w:val="both"/>
              <w:rPr>
                <w:rFonts w:ascii="Arial" w:hAnsi="Arial" w:cs="Arial"/>
                <w:noProof/>
              </w:rPr>
            </w:pPr>
            <w:r>
              <w:rPr>
                <w:rFonts w:ascii="Arial" w:hAnsi="Arial" w:cs="Arial"/>
                <w:noProof/>
              </w:rPr>
              <w:t>2,6</w:t>
            </w:r>
          </w:p>
        </w:tc>
        <w:tc>
          <w:tcPr>
            <w:tcW w:w="2234" w:type="dxa"/>
          </w:tcPr>
          <w:p w:rsidR="00B32D69" w:rsidRDefault="00FB661A">
            <w:pPr>
              <w:rPr>
                <w:rFonts w:ascii="Arial" w:hAnsi="Arial" w:cs="Arial"/>
                <w:noProof/>
              </w:rPr>
            </w:pPr>
            <w:r>
              <w:rPr>
                <w:rFonts w:ascii="Arial" w:hAnsi="Arial" w:cs="Arial"/>
                <w:noProof/>
              </w:rPr>
              <w:t>0</w:t>
            </w:r>
          </w:p>
        </w:tc>
      </w:tr>
    </w:tbl>
    <w:p w:rsidR="00B32D69" w:rsidRDefault="00B32D69">
      <w:pPr>
        <w:spacing w:after="120"/>
        <w:jc w:val="both"/>
        <w:rPr>
          <w:rFonts w:ascii="Times New Roman" w:hAnsi="Times New Roman" w:cs="Times New Roman"/>
          <w:noProof/>
        </w:rPr>
      </w:pPr>
    </w:p>
    <w:p w:rsidR="00B32D69" w:rsidRDefault="00B32D69">
      <w:pPr>
        <w:spacing w:after="120"/>
        <w:ind w:left="993" w:hanging="993"/>
        <w:jc w:val="both"/>
        <w:rPr>
          <w:rFonts w:ascii="Times New Roman" w:hAnsi="Times New Roman" w:cs="Times New Roman"/>
          <w:b/>
          <w:noProof/>
        </w:rPr>
      </w:pPr>
    </w:p>
    <w:p w:rsidR="00B32D69" w:rsidRDefault="00B32D69">
      <w:pPr>
        <w:spacing w:after="120"/>
        <w:ind w:left="993" w:hanging="993"/>
        <w:jc w:val="both"/>
        <w:rPr>
          <w:rFonts w:ascii="Times New Roman" w:hAnsi="Times New Roman" w:cs="Times New Roman"/>
          <w:b/>
          <w:noProof/>
        </w:rPr>
      </w:pPr>
    </w:p>
    <w:p w:rsidR="00B32D69" w:rsidRDefault="00B32D69">
      <w:pPr>
        <w:spacing w:after="120"/>
        <w:ind w:left="993" w:hanging="993"/>
        <w:jc w:val="both"/>
        <w:rPr>
          <w:rFonts w:ascii="Times New Roman" w:hAnsi="Times New Roman" w:cs="Times New Roman"/>
          <w:b/>
          <w:noProof/>
        </w:rPr>
      </w:pPr>
    </w:p>
    <w:p w:rsidR="00B32D69" w:rsidRDefault="00B32D69">
      <w:pPr>
        <w:spacing w:after="120"/>
        <w:ind w:left="993" w:hanging="993"/>
        <w:jc w:val="both"/>
        <w:rPr>
          <w:rFonts w:ascii="Times New Roman" w:hAnsi="Times New Roman" w:cs="Times New Roman"/>
          <w:b/>
          <w:noProof/>
        </w:rPr>
      </w:pPr>
    </w:p>
    <w:p w:rsidR="00B32D69" w:rsidRDefault="00B32D69">
      <w:pPr>
        <w:spacing w:after="120"/>
        <w:ind w:left="993" w:hanging="993"/>
        <w:jc w:val="both"/>
        <w:rPr>
          <w:rFonts w:ascii="Times New Roman" w:hAnsi="Times New Roman" w:cs="Times New Roman"/>
          <w:b/>
          <w:noProof/>
        </w:rPr>
      </w:pPr>
    </w:p>
    <w:p w:rsidR="00B32D69" w:rsidRDefault="00FB661A">
      <w:pPr>
        <w:spacing w:after="120"/>
        <w:ind w:left="993" w:hanging="993"/>
        <w:jc w:val="both"/>
        <w:rPr>
          <w:rFonts w:ascii="Times New Roman" w:hAnsi="Times New Roman" w:cs="Times New Roman"/>
          <w:b/>
          <w:noProof/>
          <w:lang w:eastAsia="en-GB"/>
        </w:rPr>
      </w:pPr>
      <w:r>
        <w:rPr>
          <w:rFonts w:ascii="Times New Roman" w:hAnsi="Times New Roman" w:cs="Times New Roman"/>
          <w:b/>
          <w:noProof/>
        </w:rPr>
        <w:t xml:space="preserve"> Recovery rate (cents on the dollar)</w:t>
      </w:r>
    </w:p>
    <w:p w:rsidR="00B32D69" w:rsidRDefault="00FB661A">
      <w:pPr>
        <w:spacing w:after="120"/>
        <w:ind w:left="993" w:hanging="993"/>
        <w:jc w:val="both"/>
        <w:rPr>
          <w:rFonts w:ascii="Times New Roman" w:hAnsi="Times New Roman" w:cs="Times New Roman"/>
          <w:b/>
          <w:noProof/>
          <w:lang w:eastAsia="en-GB"/>
        </w:rPr>
      </w:pPr>
      <w:r>
        <w:rPr>
          <w:rFonts w:ascii="Times New Roman" w:hAnsi="Times New Roman" w:cs="Times New Roman"/>
          <w:b/>
          <w:noProof/>
          <w:szCs w:val="24"/>
          <w:lang w:eastAsia="en-GB"/>
        </w:rPr>
        <w:drawing>
          <wp:inline distT="0" distB="0" distL="0" distR="0">
            <wp:extent cx="4680000" cy="2137879"/>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680000" cy="2137879"/>
                    </a:xfrm>
                    <a:prstGeom prst="rect">
                      <a:avLst/>
                    </a:prstGeom>
                    <a:noFill/>
                    <a:ln>
                      <a:noFill/>
                    </a:ln>
                  </pic:spPr>
                </pic:pic>
              </a:graphicData>
            </a:graphic>
          </wp:inline>
        </w:drawing>
      </w:r>
    </w:p>
    <w:p w:rsidR="00B32D69" w:rsidRDefault="00B32D69">
      <w:pPr>
        <w:spacing w:after="120"/>
        <w:ind w:left="993" w:hanging="993"/>
        <w:jc w:val="both"/>
        <w:rPr>
          <w:rFonts w:ascii="Times New Roman" w:hAnsi="Times New Roman" w:cs="Times New Roman"/>
          <w:b/>
          <w:noProof/>
        </w:rPr>
      </w:pPr>
    </w:p>
    <w:tbl>
      <w:tblPr>
        <w:tblStyle w:val="TableGrid"/>
        <w:tblW w:w="0" w:type="auto"/>
        <w:tblInd w:w="108" w:type="dxa"/>
        <w:tblLook w:val="04A0" w:firstRow="1" w:lastRow="0" w:firstColumn="1" w:lastColumn="0" w:noHBand="0" w:noVBand="1"/>
      </w:tblPr>
      <w:tblGrid>
        <w:gridCol w:w="9134"/>
      </w:tblGrid>
      <w:tr w:rsidR="00B32D69">
        <w:tc>
          <w:tcPr>
            <w:tcW w:w="9134" w:type="dxa"/>
            <w:tcBorders>
              <w:top w:val="nil"/>
              <w:left w:val="nil"/>
              <w:bottom w:val="nil"/>
              <w:right w:val="nil"/>
            </w:tcBorders>
            <w:hideMark/>
          </w:tcPr>
          <w:p w:rsidR="00B32D69" w:rsidRDefault="00B32D69">
            <w:pPr>
              <w:spacing w:after="120" w:line="276" w:lineRule="auto"/>
              <w:jc w:val="both"/>
              <w:rPr>
                <w:rFonts w:ascii="Times New Roman" w:hAnsi="Times New Roman"/>
                <w:noProof/>
                <w:szCs w:val="24"/>
              </w:rPr>
            </w:pPr>
          </w:p>
        </w:tc>
      </w:tr>
      <w:tr w:rsidR="00B32D69">
        <w:tc>
          <w:tcPr>
            <w:tcW w:w="9134" w:type="dxa"/>
            <w:tcBorders>
              <w:top w:val="nil"/>
              <w:left w:val="nil"/>
              <w:bottom w:val="nil"/>
              <w:right w:val="nil"/>
            </w:tcBorders>
            <w:hideMark/>
          </w:tcPr>
          <w:p w:rsidR="00B32D69" w:rsidRDefault="00FB661A">
            <w:pPr>
              <w:spacing w:after="120" w:line="276" w:lineRule="auto"/>
              <w:jc w:val="both"/>
              <w:rPr>
                <w:rFonts w:ascii="Times New Roman" w:hAnsi="Times New Roman"/>
                <w:b/>
                <w:noProof/>
                <w:szCs w:val="24"/>
                <w:lang w:eastAsia="en-GB"/>
              </w:rPr>
            </w:pPr>
            <w:r>
              <w:rPr>
                <w:rFonts w:ascii="Times New Roman" w:hAnsi="Times New Roman"/>
                <w:b/>
                <w:noProof/>
                <w:sz w:val="22"/>
              </w:rPr>
              <w:t xml:space="preserve"> Time to resolve debt (years),</w:t>
            </w:r>
          </w:p>
          <w:p w:rsidR="00B32D69" w:rsidRDefault="00FB661A">
            <w:pPr>
              <w:spacing w:after="120" w:line="276" w:lineRule="auto"/>
              <w:jc w:val="both"/>
              <w:rPr>
                <w:rFonts w:ascii="Times New Roman" w:hAnsi="Times New Roman"/>
                <w:b/>
                <w:noProof/>
                <w:szCs w:val="24"/>
              </w:rPr>
            </w:pPr>
            <w:r>
              <w:rPr>
                <w:rFonts w:ascii="Times New Roman" w:hAnsi="Times New Roman"/>
                <w:noProof/>
                <w:lang w:eastAsia="en-GB"/>
              </w:rPr>
              <w:drawing>
                <wp:inline distT="0" distB="0" distL="0" distR="0">
                  <wp:extent cx="4680000" cy="2145000"/>
                  <wp:effectExtent l="0" t="0" r="635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680000" cy="2145000"/>
                          </a:xfrm>
                          <a:prstGeom prst="rect">
                            <a:avLst/>
                          </a:prstGeom>
                          <a:noFill/>
                          <a:ln>
                            <a:noFill/>
                          </a:ln>
                        </pic:spPr>
                      </pic:pic>
                    </a:graphicData>
                  </a:graphic>
                </wp:inline>
              </w:drawing>
            </w:r>
          </w:p>
          <w:p w:rsidR="00B32D69" w:rsidRDefault="00B32D69">
            <w:pPr>
              <w:spacing w:after="120" w:line="276" w:lineRule="auto"/>
              <w:jc w:val="both"/>
              <w:rPr>
                <w:rFonts w:ascii="Times New Roman" w:hAnsi="Times New Roman"/>
                <w:b/>
                <w:noProof/>
                <w:szCs w:val="24"/>
              </w:rPr>
            </w:pPr>
          </w:p>
          <w:p w:rsidR="00B32D69" w:rsidRDefault="00FB661A">
            <w:pPr>
              <w:spacing w:after="120" w:line="276" w:lineRule="auto"/>
              <w:jc w:val="both"/>
              <w:rPr>
                <w:rFonts w:ascii="Times New Roman" w:hAnsi="Times New Roman"/>
                <w:b/>
                <w:noProof/>
                <w:szCs w:val="24"/>
              </w:rPr>
            </w:pPr>
            <w:r>
              <w:rPr>
                <w:rFonts w:ascii="Times New Roman" w:hAnsi="Times New Roman"/>
                <w:b/>
                <w:noProof/>
                <w:sz w:val="22"/>
              </w:rPr>
              <w:t>Cost for resolving debt (% of estate value)</w:t>
            </w:r>
          </w:p>
          <w:p w:rsidR="00B32D69" w:rsidRDefault="00FB661A">
            <w:pPr>
              <w:spacing w:after="120" w:line="276" w:lineRule="auto"/>
              <w:jc w:val="both"/>
              <w:rPr>
                <w:rFonts w:ascii="Times New Roman" w:hAnsi="Times New Roman"/>
                <w:b/>
                <w:noProof/>
                <w:szCs w:val="24"/>
              </w:rPr>
            </w:pPr>
            <w:r>
              <w:rPr>
                <w:rFonts w:ascii="Times New Roman" w:hAnsi="Times New Roman"/>
                <w:b/>
                <w:noProof/>
                <w:szCs w:val="24"/>
                <w:lang w:eastAsia="en-GB"/>
              </w:rPr>
              <w:drawing>
                <wp:inline distT="0" distB="0" distL="0" distR="0">
                  <wp:extent cx="4680000" cy="2137879"/>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80000" cy="2137879"/>
                          </a:xfrm>
                          <a:prstGeom prst="rect">
                            <a:avLst/>
                          </a:prstGeom>
                          <a:noFill/>
                          <a:ln>
                            <a:noFill/>
                          </a:ln>
                        </pic:spPr>
                      </pic:pic>
                    </a:graphicData>
                  </a:graphic>
                </wp:inline>
              </w:drawing>
            </w:r>
          </w:p>
          <w:p w:rsidR="00B32D69" w:rsidRDefault="00B32D69">
            <w:pPr>
              <w:spacing w:after="120" w:line="276" w:lineRule="auto"/>
              <w:jc w:val="both"/>
              <w:rPr>
                <w:rFonts w:ascii="Times New Roman" w:hAnsi="Times New Roman"/>
                <w:b/>
                <w:noProof/>
                <w:szCs w:val="24"/>
              </w:rPr>
            </w:pPr>
          </w:p>
        </w:tc>
      </w:tr>
      <w:tr w:rsidR="00B32D69">
        <w:trPr>
          <w:trHeight w:val="200"/>
        </w:trPr>
        <w:tc>
          <w:tcPr>
            <w:tcW w:w="9134" w:type="dxa"/>
            <w:tcBorders>
              <w:top w:val="nil"/>
              <w:left w:val="nil"/>
              <w:bottom w:val="nil"/>
              <w:right w:val="nil"/>
            </w:tcBorders>
            <w:hideMark/>
          </w:tcPr>
          <w:p w:rsidR="00B32D69" w:rsidRDefault="00FB661A">
            <w:pPr>
              <w:spacing w:after="120" w:line="276" w:lineRule="auto"/>
              <w:jc w:val="both"/>
              <w:rPr>
                <w:rFonts w:ascii="Times New Roman" w:hAnsi="Times New Roman"/>
                <w:noProof/>
                <w:szCs w:val="24"/>
              </w:rPr>
            </w:pPr>
            <w:r>
              <w:rPr>
                <w:rFonts w:ascii="Times New Roman" w:hAnsi="Times New Roman"/>
                <w:noProof/>
                <w:szCs w:val="24"/>
              </w:rPr>
              <w:t>Source: Doing Business, World Bank, authors' calculations.</w:t>
            </w:r>
            <w:r>
              <w:rPr>
                <w:rFonts w:ascii="Times New Roman" w:hAnsi="Times New Roman"/>
                <w:noProof/>
                <w:szCs w:val="24"/>
              </w:rPr>
              <w:tab/>
            </w:r>
            <w:r>
              <w:rPr>
                <w:rFonts w:ascii="Times New Roman" w:hAnsi="Times New Roman"/>
                <w:noProof/>
                <w:szCs w:val="24"/>
              </w:rPr>
              <w:tab/>
            </w:r>
          </w:p>
          <w:p w:rsidR="00B32D69" w:rsidRDefault="00FB661A">
            <w:pPr>
              <w:spacing w:after="120" w:line="276" w:lineRule="auto"/>
              <w:jc w:val="both"/>
              <w:rPr>
                <w:rFonts w:ascii="Times New Roman" w:hAnsi="Times New Roman"/>
                <w:noProof/>
                <w:szCs w:val="24"/>
              </w:rPr>
            </w:pPr>
            <w:r>
              <w:rPr>
                <w:rFonts w:ascii="Times New Roman" w:hAnsi="Times New Roman"/>
                <w:noProof/>
                <w:szCs w:val="24"/>
              </w:rPr>
              <w:t xml:space="preserve">Note: there has been a recent change in methodology in Doing Business. </w:t>
            </w:r>
          </w:p>
        </w:tc>
      </w:tr>
    </w:tbl>
    <w:p w:rsidR="00B32D69" w:rsidRDefault="00FB661A">
      <w:pPr>
        <w:pStyle w:val="NormalWeb"/>
        <w:spacing w:after="120" w:afterAutospacing="0" w:line="276" w:lineRule="auto"/>
        <w:jc w:val="both"/>
        <w:rPr>
          <w:noProof/>
          <w:lang w:val="en-GB"/>
        </w:rPr>
      </w:pPr>
      <w:r>
        <w:rPr>
          <w:noProof/>
          <w:lang w:val="en-GB"/>
        </w:rPr>
        <w:t>The following figure indicates the areas where improvement of reorganisation proceedings is needed.</w:t>
      </w:r>
    </w:p>
    <w:p w:rsidR="00B32D69" w:rsidRDefault="00FB661A">
      <w:p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4629150" cy="38561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_DB_Improvement areas.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629796" cy="3856732"/>
                    </a:xfrm>
                    <a:prstGeom prst="rect">
                      <a:avLst/>
                    </a:prstGeom>
                  </pic:spPr>
                </pic:pic>
              </a:graphicData>
            </a:graphic>
          </wp:inline>
        </w:drawing>
      </w:r>
    </w:p>
    <w:p w:rsidR="00B32D69" w:rsidRDefault="00B32D69">
      <w:pPr>
        <w:autoSpaceDE w:val="0"/>
        <w:autoSpaceDN w:val="0"/>
        <w:adjustRightInd w:val="0"/>
        <w:spacing w:after="120"/>
        <w:jc w:val="both"/>
        <w:rPr>
          <w:rFonts w:ascii="Times New Roman" w:hAnsi="Times New Roman" w:cs="Times New Roman"/>
          <w:noProof/>
          <w:sz w:val="24"/>
          <w:szCs w:val="24"/>
        </w:rPr>
      </w:pPr>
    </w:p>
    <w:p w:rsidR="00B32D69" w:rsidRDefault="00FB661A">
      <w:p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Analysis of the data collected for the strength of insolvency framework index </w:t>
      </w:r>
      <w:r>
        <w:rPr>
          <w:rFonts w:ascii="Times New Roman" w:hAnsi="Times New Roman" w:cs="Times New Roman"/>
          <w:noProof/>
          <w:sz w:val="24"/>
          <w:szCs w:val="24"/>
        </w:rPr>
        <w:t>confirms the connection many researchers have made between insolvency laws and credit market development. Economies that score well on the index have higher levels of credit provided to the private sector by domestic financial institutions (figure 12.3). T</w:t>
      </w:r>
      <w:r>
        <w:rPr>
          <w:rFonts w:ascii="Times New Roman" w:hAnsi="Times New Roman" w:cs="Times New Roman"/>
          <w:noProof/>
          <w:sz w:val="24"/>
          <w:szCs w:val="24"/>
        </w:rPr>
        <w:t xml:space="preserve">hese results suggest that the quality of bankruptcy laws is important not for its own sake but as an indication of and perhaps a step toward a better developed financial system. Where credit institutions and entrepreneurs can anticipate the outcome of the </w:t>
      </w:r>
      <w:r>
        <w:rPr>
          <w:rFonts w:ascii="Times New Roman" w:hAnsi="Times New Roman" w:cs="Times New Roman"/>
          <w:noProof/>
          <w:sz w:val="24"/>
          <w:szCs w:val="24"/>
        </w:rPr>
        <w:t>worst-case scenario—when a business fails to pay its loans and several creditors must compete for the best return—more banks will be willing to lend and more entrepreneurs will be willing to take on the challenge of starting a business</w:t>
      </w:r>
      <w:r>
        <w:rPr>
          <w:rStyle w:val="FootnoteReference"/>
          <w:rFonts w:ascii="Times New Roman" w:hAnsi="Times New Roman"/>
          <w:noProof/>
          <w:sz w:val="24"/>
          <w:szCs w:val="24"/>
        </w:rPr>
        <w:footnoteReference w:id="369"/>
      </w:r>
      <w:r>
        <w:rPr>
          <w:rFonts w:ascii="Times New Roman" w:hAnsi="Times New Roman" w:cs="Times New Roman"/>
          <w:noProof/>
          <w:sz w:val="24"/>
          <w:szCs w:val="24"/>
        </w:rPr>
        <w:t xml:space="preserve">. </w:t>
      </w:r>
    </w:p>
    <w:p w:rsidR="00B32D69" w:rsidRDefault="00FB661A">
      <w:pPr>
        <w:autoSpaceDE w:val="0"/>
        <w:autoSpaceDN w:val="0"/>
        <w:adjustRightInd w:val="0"/>
        <w:spacing w:after="120"/>
        <w:jc w:val="both"/>
        <w:rPr>
          <w:rFonts w:ascii="Times New Roman" w:hAnsi="Times New Roman" w:cs="Times New Roman"/>
          <w:noProof/>
          <w:sz w:val="24"/>
          <w:szCs w:val="24"/>
        </w:rPr>
      </w:pPr>
      <w:r>
        <w:rPr>
          <w:rFonts w:ascii="Times New Roman" w:hAnsi="Times New Roman" w:cs="Times New Roman"/>
          <w:noProof/>
          <w:sz w:val="24"/>
          <w:szCs w:val="24"/>
        </w:rPr>
        <w:t>There is also evi</w:t>
      </w:r>
      <w:r>
        <w:rPr>
          <w:rFonts w:ascii="Times New Roman" w:hAnsi="Times New Roman" w:cs="Times New Roman"/>
          <w:noProof/>
          <w:sz w:val="24"/>
          <w:szCs w:val="24"/>
        </w:rPr>
        <w:t>dence on the relationship between the general score of Doing Business quality and FDI stock in a country.</w:t>
      </w:r>
    </w:p>
    <w:p w:rsidR="00B32D69" w:rsidRDefault="00B32D69">
      <w:pPr>
        <w:spacing w:after="120"/>
        <w:jc w:val="both"/>
        <w:rPr>
          <w:rFonts w:ascii="Times New Roman" w:hAnsi="Times New Roman" w:cs="Times New Roman"/>
          <w:noProof/>
          <w:color w:val="000000"/>
          <w:sz w:val="24"/>
          <w:szCs w:val="24"/>
        </w:rPr>
      </w:pP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058481" cy="451548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_DB_insolvency strength and credit.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058481" cy="4515481"/>
                    </a:xfrm>
                    <a:prstGeom prst="rect">
                      <a:avLst/>
                    </a:prstGeom>
                  </pic:spPr>
                </pic:pic>
              </a:graphicData>
            </a:graphic>
          </wp:inline>
        </w:drawing>
      </w: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lang w:eastAsia="en-GB"/>
        </w:rPr>
        <w:drawing>
          <wp:inline distT="0" distB="0" distL="0" distR="0">
            <wp:extent cx="5823432" cy="31432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23253" cy="3143154"/>
                    </a:xfrm>
                    <a:prstGeom prst="rect">
                      <a:avLst/>
                    </a:prstGeom>
                    <a:noFill/>
                    <a:ln>
                      <a:noFill/>
                    </a:ln>
                  </pic:spPr>
                </pic:pic>
              </a:graphicData>
            </a:graphic>
          </wp:inline>
        </w:drawing>
      </w:r>
    </w:p>
    <w:p w:rsidR="00B32D69" w:rsidRDefault="00FB661A">
      <w:pPr>
        <w:spacing w:after="120"/>
        <w:jc w:val="both"/>
        <w:rPr>
          <w:rStyle w:val="Hyperlink"/>
          <w:rFonts w:ascii="Times New Roman" w:hAnsi="Times New Roman" w:cs="Times New Roman"/>
          <w:noProof/>
          <w:color w:val="000000"/>
          <w:lang w:val="fr-BE"/>
        </w:rPr>
      </w:pPr>
      <w:r>
        <w:rPr>
          <w:rFonts w:ascii="Times New Roman" w:hAnsi="Times New Roman" w:cs="Times New Roman"/>
          <w:noProof/>
          <w:lang w:val="fr-BE"/>
        </w:rPr>
        <w:t xml:space="preserve">SOURCE: </w:t>
      </w:r>
      <w:hyperlink r:id="rId98" w:history="1">
        <w:r>
          <w:rPr>
            <w:rStyle w:val="Hyperlink"/>
            <w:rFonts w:ascii="Times New Roman" w:hAnsi="Times New Roman" w:cs="Times New Roman"/>
            <w:noProof/>
            <w:color w:val="000000"/>
            <w:lang w:val="fr-BE"/>
          </w:rPr>
          <w:t>http://www.globalopportunityindex.org/pdf/2015-Global-Opportunity-Index.pdf</w:t>
        </w:r>
      </w:hyperlink>
    </w:p>
    <w:p w:rsidR="00B32D69" w:rsidRDefault="00FB661A">
      <w:pPr>
        <w:spacing w:after="120"/>
        <w:jc w:val="both"/>
        <w:rPr>
          <w:rStyle w:val="Hyperlink"/>
          <w:rFonts w:ascii="Times New Roman" w:hAnsi="Times New Roman" w:cs="Times New Roman"/>
          <w:noProof/>
          <w:color w:val="000000"/>
        </w:rPr>
      </w:pPr>
      <w:r>
        <w:rPr>
          <w:rStyle w:val="Hyperlink"/>
          <w:rFonts w:ascii="Times New Roman" w:hAnsi="Times New Roman" w:cs="Times New Roman"/>
          <w:noProof/>
          <w:color w:val="000000"/>
        </w:rPr>
        <w:t>There is also evidence on the relationship between facilitation of continuaton of operations and debt sustainability in a country.</w:t>
      </w:r>
    </w:p>
    <w:tbl>
      <w:tblPr>
        <w:tblW w:w="5000" w:type="pct"/>
        <w:tblLayout w:type="fixed"/>
        <w:tblLook w:val="01E0" w:firstRow="1" w:lastRow="1" w:firstColumn="1" w:lastColumn="1" w:noHBand="0" w:noVBand="0"/>
      </w:tblPr>
      <w:tblGrid>
        <w:gridCol w:w="4609"/>
        <w:gridCol w:w="35"/>
        <w:gridCol w:w="4644"/>
      </w:tblGrid>
      <w:tr w:rsidR="00B32D69">
        <w:trPr>
          <w:trHeight w:val="400"/>
        </w:trPr>
        <w:tc>
          <w:tcPr>
            <w:tcW w:w="2500" w:type="pct"/>
            <w:gridSpan w:val="2"/>
            <w:shd w:val="clear" w:color="auto" w:fill="auto"/>
          </w:tcPr>
          <w:p w:rsidR="00B32D69" w:rsidRDefault="00FB661A">
            <w:pPr>
              <w:keepNext/>
              <w:keepLines/>
              <w:spacing w:before="100" w:beforeAutospacing="1" w:after="120"/>
              <w:jc w:val="both"/>
              <w:rPr>
                <w:rFonts w:ascii="Times New Roman" w:hAnsi="Times New Roman" w:cs="Times New Roman"/>
                <w:b/>
                <w:noProof/>
                <w:sz w:val="18"/>
                <w:szCs w:val="18"/>
              </w:rPr>
            </w:pPr>
            <w:r>
              <w:rPr>
                <w:rFonts w:ascii="Times New Roman" w:hAnsi="Times New Roman" w:cs="Times New Roman"/>
                <w:b/>
                <w:noProof/>
                <w:sz w:val="18"/>
                <w:szCs w:val="18"/>
              </w:rPr>
              <w:t>Figure 2. Composite indicators of preventive proc</w:t>
            </w:r>
            <w:r>
              <w:rPr>
                <w:rFonts w:ascii="Times New Roman" w:hAnsi="Times New Roman" w:cs="Times New Roman"/>
                <w:b/>
                <w:noProof/>
                <w:sz w:val="18"/>
                <w:szCs w:val="18"/>
              </w:rPr>
              <w:t>edures: Easiness vs. Direct and Indirect Costs.</w:t>
            </w:r>
          </w:p>
        </w:tc>
        <w:tc>
          <w:tcPr>
            <w:tcW w:w="2500" w:type="pct"/>
            <w:shd w:val="clear" w:color="auto" w:fill="auto"/>
          </w:tcPr>
          <w:p w:rsidR="00B32D69" w:rsidRDefault="00FB661A">
            <w:pPr>
              <w:keepNext/>
              <w:keepLines/>
              <w:spacing w:before="100" w:beforeAutospacing="1" w:after="120"/>
              <w:jc w:val="both"/>
              <w:rPr>
                <w:rFonts w:ascii="Times New Roman" w:hAnsi="Times New Roman" w:cs="Times New Roman"/>
                <w:b/>
                <w:noProof/>
                <w:sz w:val="18"/>
                <w:szCs w:val="18"/>
              </w:rPr>
            </w:pPr>
            <w:r>
              <w:rPr>
                <w:rFonts w:ascii="Times New Roman" w:hAnsi="Times New Roman" w:cs="Times New Roman"/>
                <w:b/>
                <w:noProof/>
                <w:sz w:val="18"/>
                <w:szCs w:val="18"/>
              </w:rPr>
              <w:t>Figure 3. Composite indicators of preventive procedures and discharge periods: Debt sustainability vs. Continuation of Operations.</w:t>
            </w:r>
          </w:p>
        </w:tc>
      </w:tr>
      <w:tr w:rsidR="00B32D69">
        <w:trPr>
          <w:trHeight w:val="3051"/>
        </w:trPr>
        <w:tc>
          <w:tcPr>
            <w:tcW w:w="2481" w:type="pct"/>
            <w:shd w:val="clear" w:color="auto" w:fill="auto"/>
          </w:tcPr>
          <w:p w:rsidR="00B32D69" w:rsidRDefault="00FB661A">
            <w:pPr>
              <w:keepNext/>
              <w:keepLines/>
              <w:spacing w:before="100" w:beforeAutospacing="1" w:after="120"/>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774950" cy="2456180"/>
                  <wp:effectExtent l="0" t="0" r="635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74950" cy="2456180"/>
                          </a:xfrm>
                          <a:prstGeom prst="rect">
                            <a:avLst/>
                          </a:prstGeom>
                          <a:noFill/>
                          <a:ln>
                            <a:noFill/>
                          </a:ln>
                        </pic:spPr>
                      </pic:pic>
                    </a:graphicData>
                  </a:graphic>
                </wp:inline>
              </w:drawing>
            </w:r>
          </w:p>
        </w:tc>
        <w:tc>
          <w:tcPr>
            <w:tcW w:w="2519" w:type="pct"/>
            <w:gridSpan w:val="2"/>
            <w:shd w:val="clear" w:color="auto" w:fill="auto"/>
          </w:tcPr>
          <w:p w:rsidR="00B32D69" w:rsidRDefault="00FB661A">
            <w:pPr>
              <w:keepNext/>
              <w:keepLines/>
              <w:spacing w:before="100" w:beforeAutospacing="1" w:after="120"/>
              <w:jc w:val="both"/>
              <w:rPr>
                <w:rFonts w:ascii="Times New Roman" w:hAnsi="Times New Roman" w:cs="Times New Roman"/>
                <w:noProof/>
              </w:rPr>
            </w:pPr>
            <w:r>
              <w:rPr>
                <w:rFonts w:ascii="Times New Roman" w:hAnsi="Times New Roman" w:cs="Times New Roman"/>
                <w:noProof/>
                <w:lang w:eastAsia="en-GB"/>
              </w:rPr>
              <w:drawing>
                <wp:inline distT="0" distB="0" distL="0" distR="0">
                  <wp:extent cx="2817495" cy="2487930"/>
                  <wp:effectExtent l="0" t="0" r="190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17495" cy="2487930"/>
                          </a:xfrm>
                          <a:prstGeom prst="rect">
                            <a:avLst/>
                          </a:prstGeom>
                          <a:noFill/>
                          <a:ln>
                            <a:noFill/>
                          </a:ln>
                        </pic:spPr>
                      </pic:pic>
                    </a:graphicData>
                  </a:graphic>
                </wp:inline>
              </w:drawing>
            </w:r>
          </w:p>
        </w:tc>
      </w:tr>
      <w:tr w:rsidR="00B32D69">
        <w:trPr>
          <w:trHeight w:val="221"/>
        </w:trPr>
        <w:tc>
          <w:tcPr>
            <w:tcW w:w="5000" w:type="pct"/>
            <w:gridSpan w:val="3"/>
            <w:shd w:val="clear" w:color="auto" w:fill="auto"/>
          </w:tcPr>
          <w:p w:rsidR="00B32D69" w:rsidRDefault="00FB661A">
            <w:pPr>
              <w:keepNext/>
              <w:keepLines/>
              <w:spacing w:after="120"/>
              <w:jc w:val="both"/>
              <w:rPr>
                <w:rFonts w:ascii="Times New Roman" w:hAnsi="Times New Roman" w:cs="Times New Roman"/>
                <w:noProof/>
                <w:sz w:val="16"/>
                <w:szCs w:val="16"/>
              </w:rPr>
            </w:pPr>
            <w:r>
              <w:rPr>
                <w:rFonts w:ascii="Times New Roman" w:hAnsi="Times New Roman" w:cs="Times New Roman"/>
                <w:noProof/>
                <w:sz w:val="16"/>
                <w:szCs w:val="16"/>
              </w:rPr>
              <w:t>Source: Staff calculations</w:t>
            </w:r>
            <w:r>
              <w:rPr>
                <w:rStyle w:val="FootnoteReference"/>
                <w:rFonts w:ascii="Times New Roman" w:hAnsi="Times New Roman"/>
                <w:noProof/>
                <w:sz w:val="16"/>
                <w:szCs w:val="16"/>
              </w:rPr>
              <w:footnoteReference w:id="370"/>
            </w:r>
          </w:p>
        </w:tc>
      </w:tr>
    </w:tbl>
    <w:p w:rsidR="00B32D69" w:rsidRDefault="00B32D69">
      <w:pPr>
        <w:spacing w:after="120"/>
        <w:jc w:val="both"/>
        <w:rPr>
          <w:rFonts w:ascii="Times New Roman" w:hAnsi="Times New Roman" w:cs="Times New Roman"/>
          <w:noProof/>
          <w:sz w:val="24"/>
          <w:szCs w:val="24"/>
        </w:rPr>
      </w:pPr>
    </w:p>
    <w:p w:rsidR="00B32D69" w:rsidRDefault="00B32D69">
      <w:pPr>
        <w:spacing w:after="120"/>
        <w:jc w:val="both"/>
        <w:rPr>
          <w:rFonts w:ascii="Times New Roman" w:hAnsi="Times New Roman" w:cs="Times New Roman"/>
          <w:noProof/>
          <w:sz w:val="24"/>
          <w:szCs w:val="24"/>
        </w:rPr>
      </w:pPr>
    </w:p>
    <w:p w:rsidR="00B32D69" w:rsidRDefault="00B32D69">
      <w:pPr>
        <w:spacing w:after="120"/>
        <w:jc w:val="both"/>
        <w:rPr>
          <w:rFonts w:ascii="Times New Roman" w:hAnsi="Times New Roman" w:cs="Times New Roman"/>
          <w:noProof/>
          <w:sz w:val="24"/>
          <w:szCs w:val="24"/>
        </w:rPr>
      </w:pPr>
    </w:p>
    <w:p w:rsidR="00B32D69" w:rsidRDefault="00FB661A">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Annex 6 of this Report provides </w:t>
      </w:r>
      <w:r>
        <w:rPr>
          <w:rFonts w:ascii="Times New Roman" w:hAnsi="Times New Roman" w:cs="Times New Roman"/>
          <w:noProof/>
          <w:sz w:val="24"/>
          <w:szCs w:val="24"/>
        </w:rPr>
        <w:t>comparative elements of reorganisation and discharge in the member States of the European Union.</w:t>
      </w:r>
    </w:p>
    <w:p w:rsidR="00B32D69" w:rsidRDefault="00B32D69">
      <w:pPr>
        <w:spacing w:after="120"/>
        <w:jc w:val="both"/>
        <w:rPr>
          <w:rFonts w:ascii="Times New Roman" w:hAnsi="Times New Roman" w:cs="Times New Roman"/>
          <w:noProof/>
          <w:sz w:val="24"/>
          <w:szCs w:val="24"/>
        </w:rPr>
      </w:pPr>
    </w:p>
    <w:p w:rsidR="00B32D69" w:rsidRDefault="00B32D69">
      <w:pPr>
        <w:spacing w:after="120"/>
        <w:jc w:val="both"/>
        <w:rPr>
          <w:rFonts w:ascii="Times New Roman" w:hAnsi="Times New Roman" w:cs="Times New Roman"/>
          <w:noProof/>
          <w:sz w:val="24"/>
          <w:szCs w:val="24"/>
        </w:rPr>
      </w:pPr>
    </w:p>
    <w:p w:rsidR="00B32D69" w:rsidRDefault="00B32D69">
      <w:pPr>
        <w:spacing w:after="120"/>
        <w:jc w:val="both"/>
        <w:rPr>
          <w:rFonts w:ascii="Times New Roman" w:hAnsi="Times New Roman" w:cs="Times New Roman"/>
          <w:noProof/>
          <w:sz w:val="24"/>
          <w:szCs w:val="24"/>
        </w:rPr>
      </w:pPr>
    </w:p>
    <w:p w:rsidR="00B32D69" w:rsidRDefault="00B32D69">
      <w:pPr>
        <w:spacing w:after="120"/>
        <w:jc w:val="both"/>
        <w:rPr>
          <w:rFonts w:ascii="Times New Roman" w:hAnsi="Times New Roman" w:cs="Times New Roman"/>
          <w:noProof/>
          <w:sz w:val="24"/>
          <w:szCs w:val="24"/>
        </w:rPr>
        <w:sectPr w:rsidR="00B32D69">
          <w:headerReference w:type="even" r:id="rId101"/>
          <w:headerReference w:type="default" r:id="rId102"/>
          <w:footerReference w:type="even" r:id="rId103"/>
          <w:footerReference w:type="default" r:id="rId104"/>
          <w:headerReference w:type="first" r:id="rId105"/>
          <w:footerReference w:type="first" r:id="rId106"/>
          <w:pgSz w:w="11906" w:h="16838"/>
          <w:pgMar w:top="1417" w:right="1417" w:bottom="1417" w:left="1417" w:header="708" w:footer="708" w:gutter="0"/>
          <w:cols w:space="708"/>
          <w:docGrid w:linePitch="360"/>
        </w:sectPr>
      </w:pPr>
    </w:p>
    <w:p w:rsidR="00B32D69" w:rsidRDefault="00B32D69">
      <w:pPr>
        <w:spacing w:after="120"/>
        <w:jc w:val="both"/>
        <w:rPr>
          <w:rFonts w:ascii="Times New Roman" w:hAnsi="Times New Roman" w:cs="Times New Roman"/>
          <w:noProof/>
          <w:sz w:val="24"/>
          <w:szCs w:val="24"/>
        </w:rPr>
      </w:pPr>
    </w:p>
    <w:p w:rsidR="00B32D69" w:rsidRDefault="00FB661A">
      <w:pPr>
        <w:spacing w:after="120"/>
        <w:jc w:val="both"/>
        <w:rPr>
          <w:rFonts w:ascii="Times New Roman" w:hAnsi="Times New Roman" w:cs="Times New Roman"/>
          <w:noProof/>
        </w:rPr>
      </w:pPr>
      <w:r>
        <w:rPr>
          <w:rFonts w:ascii="Times New Roman" w:hAnsi="Times New Roman" w:cs="Times New Roman"/>
          <w:noProof/>
        </w:rPr>
        <w:t xml:space="preserve">The graph below illustrates the methodology of assessing quality of insolvency frameworks from </w:t>
      </w:r>
      <w:r>
        <w:rPr>
          <w:rFonts w:ascii="Times New Roman" w:hAnsi="Times New Roman" w:cs="Times New Roman"/>
          <w:noProof/>
        </w:rPr>
        <w:t>creditors risk perspective (Standard&amp;Poors). It illustrates how complex the process is. .</w:t>
      </w:r>
      <w:r>
        <w:rPr>
          <w:rStyle w:val="FootnoteReference"/>
          <w:rFonts w:ascii="Times New Roman" w:hAnsi="Times New Roman"/>
          <w:noProof/>
        </w:rPr>
        <w:footnoteReference w:id="371"/>
      </w:r>
    </w:p>
    <w:p w:rsidR="00B32D69" w:rsidRDefault="00B32D69">
      <w:pPr>
        <w:spacing w:after="120"/>
        <w:jc w:val="both"/>
        <w:rPr>
          <w:rFonts w:ascii="Times New Roman" w:hAnsi="Times New Roman" w:cs="Times New Roman"/>
          <w:b/>
          <w:noProof/>
          <w:sz w:val="24"/>
          <w:szCs w:val="24"/>
          <w:lang w:val="cs-CZ"/>
        </w:rPr>
      </w:pPr>
    </w:p>
    <w:p w:rsidR="00B32D69" w:rsidRDefault="00FB661A">
      <w:pPr>
        <w:spacing w:after="120"/>
        <w:jc w:val="both"/>
        <w:rPr>
          <w:rFonts w:ascii="Times New Roman" w:hAnsi="Times New Roman" w:cs="Times New Roman"/>
          <w:b/>
          <w:noProof/>
          <w:sz w:val="24"/>
          <w:szCs w:val="24"/>
          <w:lang w:val="cs-CZ"/>
        </w:rPr>
      </w:pPr>
      <w:r>
        <w:rPr>
          <w:rFonts w:ascii="Times New Roman" w:hAnsi="Times New Roman" w:cs="Times New Roman"/>
          <w:noProof/>
          <w:lang w:eastAsia="en-GB"/>
        </w:rPr>
        <w:drawing>
          <wp:inline distT="0" distB="0" distL="0" distR="0">
            <wp:extent cx="5760720" cy="60481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60720" cy="6048103"/>
                    </a:xfrm>
                    <a:prstGeom prst="rect">
                      <a:avLst/>
                    </a:prstGeom>
                    <a:noFill/>
                    <a:ln>
                      <a:noFill/>
                    </a:ln>
                  </pic:spPr>
                </pic:pic>
              </a:graphicData>
            </a:graphic>
          </wp:inline>
        </w:drawing>
      </w:r>
    </w:p>
    <w:p w:rsidR="00B32D69" w:rsidRDefault="00FB661A">
      <w:pPr>
        <w:spacing w:after="120"/>
        <w:jc w:val="both"/>
        <w:rPr>
          <w:rFonts w:ascii="Times New Roman" w:hAnsi="Times New Roman" w:cs="Times New Roman"/>
          <w:b/>
          <w:noProof/>
          <w:sz w:val="24"/>
          <w:szCs w:val="24"/>
          <w:lang w:val="cs-CZ"/>
        </w:rPr>
      </w:pPr>
      <w:r>
        <w:rPr>
          <w:rFonts w:ascii="Times New Roman" w:hAnsi="Times New Roman" w:cs="Times New Roman"/>
          <w:b/>
          <w:noProof/>
          <w:sz w:val="24"/>
          <w:szCs w:val="24"/>
          <w:lang w:val="cs-CZ"/>
        </w:rPr>
        <w:br w:type="page"/>
      </w:r>
    </w:p>
    <w:p w:rsidR="00B32D69" w:rsidRDefault="00B32D69">
      <w:pPr>
        <w:spacing w:line="240" w:lineRule="auto"/>
        <w:jc w:val="both"/>
        <w:rPr>
          <w:rFonts w:ascii="Times New Roman" w:hAnsi="Times New Roman" w:cs="Times New Roman"/>
          <w:noProof/>
          <w:sz w:val="24"/>
          <w:szCs w:val="24"/>
        </w:rPr>
      </w:pPr>
    </w:p>
    <w:p w:rsidR="00B32D69" w:rsidRDefault="00FB661A">
      <w:pPr>
        <w:spacing w:line="240" w:lineRule="auto"/>
        <w:jc w:val="center"/>
        <w:rPr>
          <w:rFonts w:ascii="Times New Roman" w:hAnsi="Times New Roman" w:cs="Times New Roman"/>
          <w:b/>
          <w:noProof/>
          <w:sz w:val="24"/>
          <w:szCs w:val="24"/>
          <w:lang w:val="cs-CZ"/>
        </w:rPr>
      </w:pPr>
      <w:r>
        <w:rPr>
          <w:rFonts w:ascii="Times New Roman" w:hAnsi="Times New Roman" w:cs="Times New Roman"/>
          <w:b/>
          <w:noProof/>
          <w:sz w:val="24"/>
          <w:szCs w:val="24"/>
          <w:lang w:val="cs-CZ"/>
        </w:rPr>
        <w:t>ANNEX 4</w:t>
      </w:r>
    </w:p>
    <w:p w:rsidR="00B32D69" w:rsidRDefault="00FB661A">
      <w:pPr>
        <w:spacing w:line="240" w:lineRule="auto"/>
        <w:jc w:val="center"/>
        <w:rPr>
          <w:rFonts w:ascii="Times New Roman" w:hAnsi="Times New Roman" w:cs="Times New Roman"/>
          <w:b/>
          <w:noProof/>
          <w:sz w:val="24"/>
          <w:szCs w:val="24"/>
          <w:lang w:val="cs-CZ"/>
        </w:rPr>
      </w:pPr>
      <w:r>
        <w:rPr>
          <w:rFonts w:ascii="Times New Roman" w:hAnsi="Times New Roman" w:cs="Times New Roman"/>
          <w:b/>
          <w:noProof/>
          <w:sz w:val="24"/>
          <w:szCs w:val="24"/>
          <w:lang w:val="cs-CZ"/>
        </w:rPr>
        <w:t>LEGAL BACKGROUND</w:t>
      </w:r>
    </w:p>
    <w:p w:rsidR="00B32D69" w:rsidRDefault="00FB661A">
      <w:pPr>
        <w:spacing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Reforming insolvency law in Europe is driven by the objective of promoting economic recovery after the years of crisis. It is pursued to the benefit of the citizens of the European Union, since higher investment rate and reinforced businesses bring more jo</w:t>
      </w:r>
      <w:r>
        <w:rPr>
          <w:rFonts w:ascii="Times New Roman" w:eastAsia="Times New Roman" w:hAnsi="Times New Roman" w:cs="Times New Roman"/>
          <w:noProof/>
          <w:color w:val="000000"/>
          <w:sz w:val="24"/>
          <w:szCs w:val="24"/>
        </w:rPr>
        <w:t>bs and prosperity. Growth in Europe cannot be achieved without a new insolvency culture, which looks at business failure as an opportunity rather than a loss, or which helps viable businesses in financial distress instead of punishing them. Modern insolven</w:t>
      </w:r>
      <w:r>
        <w:rPr>
          <w:rFonts w:ascii="Times New Roman" w:eastAsia="Times New Roman" w:hAnsi="Times New Roman" w:cs="Times New Roman"/>
          <w:noProof/>
          <w:color w:val="000000"/>
          <w:sz w:val="24"/>
          <w:szCs w:val="24"/>
        </w:rPr>
        <w:t xml:space="preserve">cy law should ensure that procedures are speedy and efficient, in the interest of both debtors and creditors, including investors, and should help safeguard jobs, help suppliers to keep their customers, and owners to retain value in viable companies. </w:t>
      </w:r>
    </w:p>
    <w:p w:rsidR="00B32D69" w:rsidRDefault="00FB661A">
      <w:pPr>
        <w:spacing w:line="240" w:lineRule="auto"/>
        <w:jc w:val="both"/>
        <w:rPr>
          <w:rFonts w:ascii="Times New Roman" w:hAnsi="Times New Roman" w:cs="Times New Roman"/>
          <w:noProof/>
          <w:sz w:val="24"/>
          <w:szCs w:val="24"/>
        </w:rPr>
      </w:pPr>
      <w:r>
        <w:rPr>
          <w:rFonts w:ascii="Times New Roman" w:eastAsia="Times New Roman" w:hAnsi="Times New Roman" w:cs="Times New Roman"/>
          <w:noProof/>
          <w:color w:val="000000"/>
          <w:sz w:val="24"/>
          <w:szCs w:val="24"/>
        </w:rPr>
        <w:t>Mode</w:t>
      </w:r>
      <w:r>
        <w:rPr>
          <w:rFonts w:ascii="Times New Roman" w:eastAsia="Times New Roman" w:hAnsi="Times New Roman" w:cs="Times New Roman"/>
          <w:noProof/>
          <w:color w:val="000000"/>
          <w:sz w:val="24"/>
          <w:szCs w:val="24"/>
        </w:rPr>
        <w:t>rnizing insolvency rules in Europe has been identified since many years as an important tool for achieving the key priority of growth and investment of the European Union. Already the 2009 Stockholm Programme for the European area of justice</w:t>
      </w:r>
      <w:r>
        <w:rPr>
          <w:rStyle w:val="FootnoteReference"/>
          <w:rFonts w:ascii="Times New Roman" w:hAnsi="Times New Roman"/>
          <w:noProof/>
          <w:color w:val="000000"/>
          <w:sz w:val="24"/>
          <w:szCs w:val="24"/>
        </w:rPr>
        <w:footnoteReference w:id="372"/>
      </w:r>
      <w:r>
        <w:rPr>
          <w:rFonts w:ascii="Times New Roman" w:eastAsia="Times New Roman" w:hAnsi="Times New Roman" w:cs="Times New Roman"/>
          <w:noProof/>
          <w:color w:val="000000"/>
          <w:sz w:val="24"/>
          <w:szCs w:val="24"/>
        </w:rPr>
        <w:t xml:space="preserve"> highlighted t</w:t>
      </w:r>
      <w:r>
        <w:rPr>
          <w:rFonts w:ascii="Times New Roman" w:eastAsia="Times New Roman" w:hAnsi="Times New Roman" w:cs="Times New Roman"/>
          <w:noProof/>
          <w:color w:val="000000"/>
          <w:sz w:val="24"/>
          <w:szCs w:val="24"/>
        </w:rPr>
        <w:t>he importance of insolvency rules in supporting economic activity. In the Single Market Act II</w:t>
      </w:r>
      <w:r>
        <w:rPr>
          <w:rStyle w:val="FootnoteReference"/>
          <w:rFonts w:ascii="Times New Roman" w:hAnsi="Times New Roman"/>
          <w:noProof/>
          <w:color w:val="000000"/>
          <w:sz w:val="24"/>
          <w:szCs w:val="24"/>
        </w:rPr>
        <w:footnoteReference w:id="373"/>
      </w:r>
      <w:r>
        <w:rPr>
          <w:rFonts w:ascii="Times New Roman" w:eastAsia="Times New Roman" w:hAnsi="Times New Roman" w:cs="Times New Roman"/>
          <w:noProof/>
          <w:color w:val="000000"/>
          <w:sz w:val="24"/>
          <w:szCs w:val="24"/>
        </w:rPr>
        <w:t xml:space="preserve"> of 3 October 2012, the Commission undertook as a key action to modernise the Union insolvency rules in order to facilitate the survival of businesses and presen</w:t>
      </w:r>
      <w:r>
        <w:rPr>
          <w:rFonts w:ascii="Times New Roman" w:eastAsia="Times New Roman" w:hAnsi="Times New Roman" w:cs="Times New Roman"/>
          <w:noProof/>
          <w:color w:val="000000"/>
          <w:sz w:val="24"/>
          <w:szCs w:val="24"/>
        </w:rPr>
        <w:t xml:space="preserve">t a second chance to entrepreneurs. </w:t>
      </w:r>
      <w:r>
        <w:rPr>
          <w:rFonts w:ascii="Times New Roman" w:hAnsi="Times New Roman" w:cs="Times New Roman"/>
          <w:noProof/>
          <w:sz w:val="24"/>
          <w:szCs w:val="24"/>
        </w:rPr>
        <w:t>Furthermore, the "Five Presidents' report" of 22 June 2015 on "Completing Europe's Economic and Monetary Union"</w:t>
      </w:r>
      <w:r>
        <w:rPr>
          <w:rStyle w:val="FootnoteReference"/>
          <w:rFonts w:ascii="Times New Roman" w:hAnsi="Times New Roman"/>
          <w:noProof/>
          <w:sz w:val="24"/>
          <w:szCs w:val="24"/>
        </w:rPr>
        <w:footnoteReference w:id="374"/>
      </w:r>
      <w:r>
        <w:rPr>
          <w:rFonts w:ascii="Times New Roman" w:hAnsi="Times New Roman" w:cs="Times New Roman"/>
          <w:noProof/>
          <w:sz w:val="24"/>
          <w:szCs w:val="24"/>
        </w:rPr>
        <w:t xml:space="preserve"> listed the area of insolvency law among the most important bottlenecks preventing the integration of capital markets. </w:t>
      </w:r>
    </w:p>
    <w:p w:rsidR="00B32D69" w:rsidRDefault="00B32D69">
      <w:pPr>
        <w:spacing w:line="240" w:lineRule="auto"/>
        <w:jc w:val="both"/>
        <w:rPr>
          <w:rFonts w:ascii="Times New Roman" w:eastAsia="Times New Roman" w:hAnsi="Times New Roman" w:cs="Times New Roman"/>
          <w:noProof/>
          <w:color w:val="000000"/>
          <w:sz w:val="24"/>
          <w:szCs w:val="24"/>
        </w:rPr>
      </w:pPr>
    </w:p>
    <w:p w:rsidR="00B32D69" w:rsidRDefault="00FB661A">
      <w:pPr>
        <w:pStyle w:val="ListParagraph"/>
        <w:numPr>
          <w:ilvl w:val="0"/>
          <w:numId w:val="61"/>
        </w:numPr>
        <w:spacing w:line="240" w:lineRule="auto"/>
        <w:jc w:val="both"/>
        <w:rPr>
          <w:rFonts w:ascii="Times New Roman" w:eastAsia="Times New Roman" w:hAnsi="Times New Roman" w:cs="Times New Roman"/>
          <w:b/>
          <w:smallCaps/>
          <w:noProof/>
          <w:color w:val="000000"/>
          <w:sz w:val="24"/>
          <w:szCs w:val="24"/>
        </w:rPr>
      </w:pPr>
      <w:r>
        <w:rPr>
          <w:rFonts w:ascii="Times New Roman" w:eastAsia="Times New Roman" w:hAnsi="Times New Roman" w:cs="Times New Roman"/>
          <w:b/>
          <w:smallCaps/>
          <w:noProof/>
          <w:color w:val="000000"/>
          <w:sz w:val="24"/>
          <w:szCs w:val="24"/>
        </w:rPr>
        <w:t xml:space="preserve">The EU-law context </w:t>
      </w:r>
    </w:p>
    <w:p w:rsidR="00B32D69" w:rsidRDefault="00B32D69">
      <w:pPr>
        <w:pStyle w:val="ListParagraph"/>
        <w:spacing w:line="240" w:lineRule="auto"/>
        <w:jc w:val="both"/>
        <w:rPr>
          <w:rFonts w:ascii="Times New Roman" w:eastAsia="Times New Roman" w:hAnsi="Times New Roman" w:cs="Times New Roman"/>
          <w:b/>
          <w:smallCaps/>
          <w:noProof/>
          <w:color w:val="000000"/>
          <w:sz w:val="24"/>
          <w:szCs w:val="24"/>
        </w:rPr>
      </w:pPr>
    </w:p>
    <w:p w:rsidR="00B32D69" w:rsidRDefault="00FB661A">
      <w:pPr>
        <w:pStyle w:val="ListParagraph"/>
        <w:numPr>
          <w:ilvl w:val="1"/>
          <w:numId w:val="61"/>
        </w:numPr>
        <w:spacing w:line="240" w:lineRule="auto"/>
        <w:ind w:left="993" w:hanging="567"/>
        <w:jc w:val="both"/>
        <w:rPr>
          <w:rFonts w:ascii="Times New Roman" w:eastAsia="Times New Roman" w:hAnsi="Times New Roman" w:cs="Times New Roman"/>
          <w:i/>
          <w:noProof/>
          <w:color w:val="000000"/>
          <w:sz w:val="24"/>
          <w:szCs w:val="24"/>
        </w:rPr>
      </w:pPr>
      <w:r>
        <w:rPr>
          <w:rFonts w:ascii="Times New Roman" w:eastAsia="Times New Roman" w:hAnsi="Times New Roman" w:cs="Times New Roman"/>
          <w:i/>
          <w:noProof/>
          <w:color w:val="000000"/>
          <w:sz w:val="24"/>
          <w:szCs w:val="24"/>
        </w:rPr>
        <w:t>Contribution of the revision of the Insolvency Regulation to the insolvency reform in Europe</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Both the original Eur</w:t>
      </w:r>
      <w:r>
        <w:rPr>
          <w:rFonts w:ascii="Times New Roman" w:hAnsi="Times New Roman" w:cs="Times New Roman"/>
          <w:noProof/>
          <w:sz w:val="24"/>
          <w:szCs w:val="24"/>
        </w:rPr>
        <w:t>opean Insolvency Regulation</w:t>
      </w:r>
      <w:r>
        <w:rPr>
          <w:rStyle w:val="FootnoteReference"/>
          <w:rFonts w:ascii="Times New Roman" w:hAnsi="Times New Roman"/>
          <w:noProof/>
          <w:sz w:val="24"/>
          <w:szCs w:val="24"/>
        </w:rPr>
        <w:footnoteReference w:id="375"/>
      </w:r>
      <w:r>
        <w:rPr>
          <w:rFonts w:ascii="Times New Roman" w:hAnsi="Times New Roman" w:cs="Times New Roman"/>
          <w:noProof/>
          <w:sz w:val="24"/>
          <w:szCs w:val="24"/>
        </w:rPr>
        <w:t xml:space="preserve"> and its recently adopted recast</w:t>
      </w:r>
      <w:r>
        <w:rPr>
          <w:rStyle w:val="FootnoteReference"/>
          <w:rFonts w:ascii="Times New Roman" w:hAnsi="Times New Roman"/>
          <w:noProof/>
          <w:sz w:val="24"/>
          <w:szCs w:val="24"/>
        </w:rPr>
        <w:footnoteReference w:id="376"/>
      </w:r>
      <w:r>
        <w:rPr>
          <w:rFonts w:ascii="Times New Roman" w:hAnsi="Times New Roman" w:cs="Times New Roman"/>
          <w:noProof/>
          <w:sz w:val="24"/>
          <w:szCs w:val="24"/>
        </w:rPr>
        <w:t xml:space="preserve"> deal with the private international law dimension of issues related to insolvency. The regulations aim at facilitating the treatment of cross-border insolvencies by creating uniform rules on con</w:t>
      </w:r>
      <w:r>
        <w:rPr>
          <w:rFonts w:ascii="Times New Roman" w:hAnsi="Times New Roman" w:cs="Times New Roman"/>
          <w:noProof/>
          <w:sz w:val="24"/>
          <w:szCs w:val="24"/>
        </w:rPr>
        <w:t xml:space="preserve">flicts of laws and jurisdictions and on the recognition and enforcement of foreign decisions arising from insolvency proceedings opened in another Member States or of judgments which are directly linked to these proceedings. They also contain rules on the </w:t>
      </w:r>
      <w:r>
        <w:rPr>
          <w:rFonts w:ascii="Times New Roman" w:hAnsi="Times New Roman" w:cs="Times New Roman"/>
          <w:noProof/>
          <w:sz w:val="24"/>
          <w:szCs w:val="24"/>
        </w:rPr>
        <w:t xml:space="preserve">coordination between various proceedings commenced in different Member States on the same insolvency estate. </w:t>
      </w:r>
    </w:p>
    <w:p w:rsidR="00B32D69" w:rsidRDefault="00FB661A">
      <w:pPr>
        <w:spacing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The modernised rules of the Regulation will make it easier for businesses to restructure and for creditors to get their money back, while ensuring</w:t>
      </w:r>
      <w:r>
        <w:rPr>
          <w:rFonts w:ascii="Times New Roman" w:eastAsia="Times New Roman" w:hAnsi="Times New Roman" w:cs="Times New Roman"/>
          <w:noProof/>
          <w:color w:val="000000"/>
          <w:sz w:val="24"/>
          <w:szCs w:val="24"/>
        </w:rPr>
        <w:t xml:space="preserve"> that procedures for cross-border insolvencies are effective and efficient. The recast Regulation has a broadened scope which encompasses also less formal restructuring schemes of national laws, which are speedier, less costly and are carried out partly ou</w:t>
      </w:r>
      <w:r>
        <w:rPr>
          <w:rFonts w:ascii="Times New Roman" w:eastAsia="Times New Roman" w:hAnsi="Times New Roman" w:cs="Times New Roman"/>
          <w:noProof/>
          <w:color w:val="000000"/>
          <w:sz w:val="24"/>
          <w:szCs w:val="24"/>
        </w:rPr>
        <w:t>t-of-court. The renewed Regulation will increase legal certainty by establishing clearer conditions in determining the State having jurisdiction for insolvency proceedings and by introducing additional safeguards against so called "bankruptcy tourism". The</w:t>
      </w:r>
      <w:r>
        <w:rPr>
          <w:rFonts w:ascii="Times New Roman" w:eastAsia="Times New Roman" w:hAnsi="Times New Roman" w:cs="Times New Roman"/>
          <w:noProof/>
          <w:color w:val="000000"/>
          <w:sz w:val="24"/>
          <w:szCs w:val="24"/>
        </w:rPr>
        <w:t xml:space="preserve"> Regulation will increase chances to rescue a company in a cross-border context, by avoiding the unnecessary opening of secondary proceedings in other Member States. It also addresses for the first time the insolvency of groups of companies. Finally, it cr</w:t>
      </w:r>
      <w:r>
        <w:rPr>
          <w:rFonts w:ascii="Times New Roman" w:eastAsia="Times New Roman" w:hAnsi="Times New Roman" w:cs="Times New Roman"/>
          <w:noProof/>
          <w:color w:val="000000"/>
          <w:sz w:val="24"/>
          <w:szCs w:val="24"/>
        </w:rPr>
        <w:t xml:space="preserve">eates transparency about on-going insolvency proceedings by the establishment of the EU-wide interconnection of national insolvency registers through the European e-Justice Portal. </w:t>
      </w:r>
    </w:p>
    <w:p w:rsidR="00B32D69" w:rsidRDefault="00FB661A">
      <w:pPr>
        <w:spacing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While the existing Insolvency Regulation and its recast have substantially</w:t>
      </w:r>
      <w:r>
        <w:rPr>
          <w:rFonts w:ascii="Times New Roman" w:eastAsia="Times New Roman" w:hAnsi="Times New Roman" w:cs="Times New Roman"/>
          <w:noProof/>
          <w:color w:val="000000"/>
          <w:sz w:val="24"/>
          <w:szCs w:val="24"/>
        </w:rPr>
        <w:t xml:space="preserve"> improved legal certainty and have succeeded in minimizing parallel insolvency proceedings, the existing instruments cannot prevent debtors from taking advantage of more favourable insolvency regimes in other Member States, possibly to the detriment of cre</w:t>
      </w:r>
      <w:r>
        <w:rPr>
          <w:rFonts w:ascii="Times New Roman" w:eastAsia="Times New Roman" w:hAnsi="Times New Roman" w:cs="Times New Roman"/>
          <w:noProof/>
          <w:color w:val="000000"/>
          <w:sz w:val="24"/>
          <w:szCs w:val="24"/>
        </w:rPr>
        <w:t xml:space="preserve">ditors and investors. </w:t>
      </w:r>
    </w:p>
    <w:p w:rsidR="00B32D69" w:rsidRDefault="00FB661A">
      <w:pPr>
        <w:spacing w:line="240" w:lineRule="auto"/>
        <w:jc w:val="both"/>
        <w:rPr>
          <w:rFonts w:ascii="Times New Roman" w:eastAsia="Calibri" w:hAnsi="Times New Roman" w:cs="Times New Roman"/>
          <w:noProof/>
          <w:sz w:val="24"/>
          <w:szCs w:val="24"/>
        </w:rPr>
      </w:pPr>
      <w:r>
        <w:rPr>
          <w:rFonts w:ascii="Times New Roman" w:eastAsia="Times New Roman" w:hAnsi="Times New Roman" w:cs="Times New Roman"/>
          <w:noProof/>
          <w:color w:val="000000"/>
          <w:sz w:val="24"/>
          <w:szCs w:val="24"/>
        </w:rPr>
        <w:t xml:space="preserve">Also, the existing instruments cannot ensure a coherent substantive treatment of cross-border insolvencies. Indeed, </w:t>
      </w:r>
      <w:r>
        <w:rPr>
          <w:rFonts w:ascii="Times New Roman" w:eastAsia="Calibri" w:hAnsi="Times New Roman" w:cs="Times New Roman"/>
          <w:noProof/>
          <w:color w:val="000000"/>
          <w:sz w:val="24"/>
          <w:szCs w:val="24"/>
        </w:rPr>
        <w:t xml:space="preserve">the existing Regulations follow the so called "principle of mitigated universality" and are based on the approach of a system of satellite secondary bankruptcies which revolve around and give assistance to a main core proceeding. This system acknowledges, </w:t>
      </w:r>
      <w:r>
        <w:rPr>
          <w:rFonts w:ascii="Times New Roman" w:eastAsia="Calibri" w:hAnsi="Times New Roman" w:cs="Times New Roman"/>
          <w:noProof/>
          <w:color w:val="000000"/>
          <w:sz w:val="24"/>
          <w:szCs w:val="24"/>
        </w:rPr>
        <w:t xml:space="preserve">based on economic necessity and political feasibility, the legitimacy of the opening of secondary or other local proceedings in parallel to the main insolvency proceedings. In such a system, it is accepted that the insolvency laws of several States may be </w:t>
      </w:r>
      <w:r>
        <w:rPr>
          <w:rFonts w:ascii="Times New Roman" w:eastAsia="Calibri" w:hAnsi="Times New Roman" w:cs="Times New Roman"/>
          <w:noProof/>
          <w:color w:val="000000"/>
          <w:sz w:val="24"/>
          <w:szCs w:val="24"/>
        </w:rPr>
        <w:t xml:space="preserve">applied to various questions of the insolvency estate. </w:t>
      </w:r>
    </w:p>
    <w:p w:rsidR="00B32D69" w:rsidRDefault="00FB661A">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It is to be noted that the uncompromised “universality principle” for cross-border insolvencies would imply that the court having jurisdiction to the insolvency proceedings encompasses all assets and </w:t>
      </w:r>
      <w:r>
        <w:rPr>
          <w:rFonts w:ascii="Times New Roman" w:eastAsia="Calibri" w:hAnsi="Times New Roman" w:cs="Times New Roman"/>
          <w:noProof/>
          <w:sz w:val="24"/>
          <w:szCs w:val="24"/>
        </w:rPr>
        <w:t>creditors of the debtors’ estate, and that the law applied by this court (the "</w:t>
      </w:r>
      <w:r>
        <w:rPr>
          <w:rFonts w:ascii="Times New Roman" w:eastAsia="Calibri" w:hAnsi="Times New Roman" w:cs="Times New Roman"/>
          <w:i/>
          <w:noProof/>
          <w:sz w:val="24"/>
          <w:szCs w:val="24"/>
        </w:rPr>
        <w:t>lex fori concursus</w:t>
      </w:r>
      <w:r>
        <w:rPr>
          <w:rFonts w:ascii="Times New Roman" w:eastAsia="Calibri" w:hAnsi="Times New Roman" w:cs="Times New Roman"/>
          <w:noProof/>
          <w:sz w:val="24"/>
          <w:szCs w:val="24"/>
        </w:rPr>
        <w:t>") applies to all questions emerging during the proceedings. However, a fully-fledged application of the universality principle proved not to be realistic in t</w:t>
      </w:r>
      <w:r>
        <w:rPr>
          <w:rFonts w:ascii="Times New Roman" w:eastAsia="Calibri" w:hAnsi="Times New Roman" w:cs="Times New Roman"/>
          <w:noProof/>
          <w:sz w:val="24"/>
          <w:szCs w:val="24"/>
        </w:rPr>
        <w:t>he EU. The rationale for this decision is explained by the Virgos-Schmit Report prepared to the 1995 Convention on insolvency proceedings which was the direct predecessor of the old Regulation. The Report states that "the idea of a single exclusive univers</w:t>
      </w:r>
      <w:r>
        <w:rPr>
          <w:rFonts w:ascii="Times New Roman" w:eastAsia="Calibri" w:hAnsi="Times New Roman" w:cs="Times New Roman"/>
          <w:noProof/>
          <w:sz w:val="24"/>
          <w:szCs w:val="24"/>
        </w:rPr>
        <w:t>al form of insolvency proceedings for the whole of the Community is difficult to implement without modifying, by the application of the law of the State of the opening of proceedings, pre-existing rights created before insolvency under the different nation</w:t>
      </w:r>
      <w:r>
        <w:rPr>
          <w:rFonts w:ascii="Times New Roman" w:eastAsia="Calibri" w:hAnsi="Times New Roman" w:cs="Times New Roman"/>
          <w:noProof/>
          <w:sz w:val="24"/>
          <w:szCs w:val="24"/>
        </w:rPr>
        <w:t xml:space="preserve">al laws of other Contracting States. The reason for this lies in the absence of a uniform system of security rights in Europe, and in the great diversity of national insolvency laws as regards criteria for the priority to be given to the different classes </w:t>
      </w:r>
      <w:r>
        <w:rPr>
          <w:rFonts w:ascii="Times New Roman" w:eastAsia="Calibri" w:hAnsi="Times New Roman" w:cs="Times New Roman"/>
          <w:noProof/>
          <w:sz w:val="24"/>
          <w:szCs w:val="24"/>
        </w:rPr>
        <w:t>of creditors. In this legal context, the Convention seeks to reconcile the advantages of the principle of universality and the necessary protection of local interests. This explains why a combined model has been adopted which permits local proceedings to c</w:t>
      </w:r>
      <w:r>
        <w:rPr>
          <w:rFonts w:ascii="Times New Roman" w:eastAsia="Calibri" w:hAnsi="Times New Roman" w:cs="Times New Roman"/>
          <w:noProof/>
          <w:sz w:val="24"/>
          <w:szCs w:val="24"/>
        </w:rPr>
        <w:t>oexist with the main universal proceedings".</w:t>
      </w:r>
      <w:r>
        <w:rPr>
          <w:rStyle w:val="FootnoteReference"/>
          <w:rFonts w:ascii="Times New Roman" w:eastAsia="Calibri" w:hAnsi="Times New Roman"/>
          <w:noProof/>
          <w:sz w:val="24"/>
          <w:szCs w:val="24"/>
        </w:rPr>
        <w:footnoteReference w:id="377"/>
      </w:r>
    </w:p>
    <w:p w:rsidR="00B32D69" w:rsidRDefault="00FB661A">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Consequently, even the recently adopted Insolvency Regulation keeps wide ranging possibilities of opening secondary or other local proceedings in parallel to the main insolvency proceedings in other Member Stat</w:t>
      </w:r>
      <w:r>
        <w:rPr>
          <w:rFonts w:ascii="Times New Roman" w:eastAsia="Calibri" w:hAnsi="Times New Roman" w:cs="Times New Roman"/>
          <w:noProof/>
          <w:sz w:val="24"/>
          <w:szCs w:val="24"/>
        </w:rPr>
        <w:t>es, thus resulting in the parallel application of insolvency laws of different Member States to a single economic unit operating in several Member States. Therefore, the handling of cross-border insolvencies requires not only the handling of competing righ</w:t>
      </w:r>
      <w:r>
        <w:rPr>
          <w:rFonts w:ascii="Times New Roman" w:eastAsia="Calibri" w:hAnsi="Times New Roman" w:cs="Times New Roman"/>
          <w:noProof/>
          <w:sz w:val="24"/>
          <w:szCs w:val="24"/>
        </w:rPr>
        <w:t xml:space="preserve">ts and interests, but also the handling of competing jurisdictions and competing laws. The diverging national insolvency regimes provide for incentives for forum shopping and undue economically measureable differences in outcomes for creditors, investors, </w:t>
      </w:r>
      <w:r>
        <w:rPr>
          <w:rFonts w:ascii="Times New Roman" w:eastAsia="Calibri" w:hAnsi="Times New Roman" w:cs="Times New Roman"/>
          <w:noProof/>
          <w:sz w:val="24"/>
          <w:szCs w:val="24"/>
        </w:rPr>
        <w:t xml:space="preserve">and debtors in financial distress. </w:t>
      </w:r>
    </w:p>
    <w:p w:rsidR="00B32D69" w:rsidRDefault="00FB661A">
      <w:pPr>
        <w:spacing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In a situation where in case of insolvency with cross-border elements parallel national proceedings may exist, complementary action is therefore needed to ensure legal certainty for and appropriate protection of creditor</w:t>
      </w:r>
      <w:r>
        <w:rPr>
          <w:rFonts w:ascii="Times New Roman" w:eastAsia="Calibri" w:hAnsi="Times New Roman" w:cs="Times New Roman"/>
          <w:noProof/>
          <w:color w:val="000000"/>
          <w:sz w:val="24"/>
          <w:szCs w:val="24"/>
        </w:rPr>
        <w:t>s and investors throughout Europe and to ensure a coherent treatment of cross-border insolvencies. Such action may consist of a harmonisation of certain substantive law aspects of the national proceedings. The more similar national insolvency or restructur</w:t>
      </w:r>
      <w:r>
        <w:rPr>
          <w:rFonts w:ascii="Times New Roman" w:eastAsia="Calibri" w:hAnsi="Times New Roman" w:cs="Times New Roman"/>
          <w:noProof/>
          <w:color w:val="000000"/>
          <w:sz w:val="24"/>
          <w:szCs w:val="24"/>
        </w:rPr>
        <w:t>ing proceedings are in their substantive aspects, the smoother they will be running and the better their outcome will be, in particular if they run in parallel in respect of an insolvent corporate entity with assets, liabilities or participations spread ov</w:t>
      </w:r>
      <w:r>
        <w:rPr>
          <w:rFonts w:ascii="Times New Roman" w:eastAsia="Calibri" w:hAnsi="Times New Roman" w:cs="Times New Roman"/>
          <w:noProof/>
          <w:color w:val="000000"/>
          <w:sz w:val="24"/>
          <w:szCs w:val="24"/>
        </w:rPr>
        <w:t>er several Member States.</w:t>
      </w:r>
    </w:p>
    <w:p w:rsidR="00B32D69" w:rsidRDefault="00FB661A">
      <w:pPr>
        <w:pStyle w:val="ListParagraph"/>
        <w:numPr>
          <w:ilvl w:val="1"/>
          <w:numId w:val="61"/>
        </w:numPr>
        <w:spacing w:line="240" w:lineRule="auto"/>
        <w:ind w:left="993" w:hanging="633"/>
        <w:jc w:val="both"/>
        <w:rPr>
          <w:rFonts w:ascii="Times New Roman" w:eastAsia="Times New Roman" w:hAnsi="Times New Roman" w:cs="Times New Roman"/>
          <w:i/>
          <w:noProof/>
          <w:color w:val="000000"/>
          <w:sz w:val="24"/>
          <w:szCs w:val="24"/>
        </w:rPr>
      </w:pPr>
      <w:r>
        <w:rPr>
          <w:rFonts w:ascii="Times New Roman" w:eastAsia="Times New Roman" w:hAnsi="Times New Roman" w:cs="Times New Roman"/>
          <w:i/>
          <w:noProof/>
          <w:color w:val="000000"/>
          <w:sz w:val="24"/>
          <w:szCs w:val="24"/>
        </w:rPr>
        <w:t xml:space="preserve">Steps taken in the EU towards a greater convergence of selected aspects of domestic insolvency laws </w:t>
      </w:r>
    </w:p>
    <w:p w:rsidR="00B32D69" w:rsidRDefault="00B32D69">
      <w:pPr>
        <w:pStyle w:val="ListParagraph"/>
        <w:spacing w:line="240" w:lineRule="auto"/>
        <w:ind w:left="993"/>
        <w:jc w:val="both"/>
        <w:rPr>
          <w:rFonts w:ascii="Times New Roman" w:eastAsia="Times New Roman" w:hAnsi="Times New Roman" w:cs="Times New Roman"/>
          <w:i/>
          <w:noProof/>
          <w:color w:val="000000"/>
          <w:sz w:val="24"/>
          <w:szCs w:val="24"/>
        </w:rPr>
      </w:pPr>
    </w:p>
    <w:p w:rsidR="00B32D69" w:rsidRDefault="00FB661A">
      <w:pPr>
        <w:spacing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In its conclusions of 30 May 2011, t</w:t>
      </w:r>
      <w:r>
        <w:rPr>
          <w:rFonts w:ascii="Times New Roman" w:hAnsi="Times New Roman" w:cs="Times New Roman"/>
          <w:noProof/>
          <w:sz w:val="24"/>
          <w:szCs w:val="24"/>
        </w:rPr>
        <w:t xml:space="preserve">he Competitiveness Council invited the Member States to promote a second chance for </w:t>
      </w:r>
      <w:r>
        <w:rPr>
          <w:rFonts w:ascii="Times New Roman" w:hAnsi="Times New Roman" w:cs="Times New Roman"/>
          <w:noProof/>
          <w:sz w:val="24"/>
          <w:szCs w:val="24"/>
        </w:rPr>
        <w:t>entrepreneurs by limiting, when possible, the discharge time and debt settlement for an honest entrepreneur after bankruptcy to a maximum of three years by 2013.</w:t>
      </w:r>
    </w:p>
    <w:p w:rsidR="00B32D69" w:rsidRDefault="00FB661A">
      <w:pPr>
        <w:spacing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In November 2011, the European Parliament adopted a Resolution</w:t>
      </w:r>
      <w:r>
        <w:rPr>
          <w:rStyle w:val="FootnoteReference"/>
          <w:rFonts w:ascii="Times New Roman" w:eastAsia="Times New Roman" w:hAnsi="Times New Roman"/>
          <w:noProof/>
          <w:color w:val="000000"/>
          <w:sz w:val="24"/>
          <w:szCs w:val="24"/>
        </w:rPr>
        <w:footnoteReference w:id="378"/>
      </w:r>
      <w:r>
        <w:rPr>
          <w:rFonts w:ascii="Times New Roman" w:eastAsia="Times New Roman" w:hAnsi="Times New Roman" w:cs="Times New Roman"/>
          <w:noProof/>
          <w:color w:val="000000"/>
          <w:sz w:val="24"/>
          <w:szCs w:val="24"/>
        </w:rPr>
        <w:t xml:space="preserve"> on insolvency proceedings which, in addition to recommendations regarding the revision of Council Regulation (EC) No 1346/2000 of 29 May 2000 on insolvency proceedings, included recommendations for harmonising specific aspects of national insolvency law. </w:t>
      </w:r>
      <w:r>
        <w:rPr>
          <w:rFonts w:ascii="Times New Roman" w:hAnsi="Times New Roman" w:cs="Times New Roman"/>
          <w:noProof/>
          <w:sz w:val="24"/>
          <w:szCs w:val="24"/>
        </w:rPr>
        <w:t>A study commissioned by the European Parliament</w:t>
      </w:r>
      <w:r>
        <w:rPr>
          <w:rStyle w:val="FootnoteReference"/>
          <w:rFonts w:ascii="Times New Roman" w:hAnsi="Times New Roman"/>
          <w:noProof/>
          <w:sz w:val="24"/>
          <w:szCs w:val="24"/>
        </w:rPr>
        <w:footnoteReference w:id="379"/>
      </w:r>
      <w:r>
        <w:rPr>
          <w:rFonts w:ascii="Times New Roman" w:hAnsi="Times New Roman" w:cs="Times New Roman"/>
          <w:noProof/>
          <w:sz w:val="24"/>
          <w:szCs w:val="24"/>
        </w:rPr>
        <w:t xml:space="preserve"> in this context had shown that disparities between national insolvency laws can create obstacles, competitive advantages and/or disadvantages and difficulties for companies with cross-border activities or ow</w:t>
      </w:r>
      <w:r>
        <w:rPr>
          <w:rFonts w:ascii="Times New Roman" w:hAnsi="Times New Roman" w:cs="Times New Roman"/>
          <w:noProof/>
          <w:sz w:val="24"/>
          <w:szCs w:val="24"/>
        </w:rPr>
        <w:t>nership within the EU. That study concluded that ‘there are certain areas of insolvency law where harmonisation is worthwhile and achievable', which would increase the efficiency of restructuring procedures and the returns to creditors.</w:t>
      </w:r>
    </w:p>
    <w:p w:rsidR="00B32D69" w:rsidRDefault="00FB661A">
      <w:pPr>
        <w:spacing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Based on these reco</w:t>
      </w:r>
      <w:r>
        <w:rPr>
          <w:rFonts w:ascii="Times New Roman" w:eastAsia="Times New Roman" w:hAnsi="Times New Roman" w:cs="Times New Roman"/>
          <w:noProof/>
          <w:color w:val="000000"/>
          <w:sz w:val="24"/>
          <w:szCs w:val="24"/>
        </w:rPr>
        <w:t>mmendations, the Commission Communication of December 2012</w:t>
      </w:r>
      <w:r>
        <w:rPr>
          <w:rStyle w:val="FootnoteReference"/>
          <w:rFonts w:ascii="Times New Roman" w:hAnsi="Times New Roman"/>
          <w:noProof/>
          <w:color w:val="000000"/>
          <w:sz w:val="24"/>
          <w:szCs w:val="24"/>
        </w:rPr>
        <w:footnoteReference w:id="380"/>
      </w:r>
      <w:r>
        <w:rPr>
          <w:rFonts w:ascii="Times New Roman" w:eastAsia="Times New Roman" w:hAnsi="Times New Roman" w:cs="Times New Roman"/>
          <w:noProof/>
          <w:color w:val="000000"/>
          <w:sz w:val="24"/>
          <w:szCs w:val="24"/>
        </w:rPr>
        <w:t xml:space="preserve"> identified certain areas where differences between domestic insolvency laws may hamper the establishment of an efficient internal market, which included among others discharge periods for honest e</w:t>
      </w:r>
      <w:r>
        <w:rPr>
          <w:rFonts w:ascii="Times New Roman" w:eastAsia="Times New Roman" w:hAnsi="Times New Roman" w:cs="Times New Roman"/>
          <w:noProof/>
          <w:color w:val="000000"/>
          <w:sz w:val="24"/>
          <w:szCs w:val="24"/>
        </w:rPr>
        <w:t xml:space="preserve">ntrepreneurs, chances of restructuring of businesses due to rules relating to opening of insolvency proceedings and rules promoting the acceptance of restructuring plans. </w:t>
      </w:r>
    </w:p>
    <w:p w:rsidR="00B32D69" w:rsidRDefault="00FB661A">
      <w:pPr>
        <w:spacing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Under an economic recovery programme, the Commission has identified the key role of </w:t>
      </w:r>
      <w:r>
        <w:rPr>
          <w:rFonts w:ascii="Times New Roman" w:eastAsia="Times New Roman" w:hAnsi="Times New Roman" w:cs="Times New Roman"/>
          <w:noProof/>
          <w:color w:val="000000"/>
          <w:sz w:val="24"/>
          <w:szCs w:val="24"/>
        </w:rPr>
        <w:t xml:space="preserve">judicial reforms, including reforms of national insolvency laws, as a means to promote economic recovery. A number of Member States received country-specific recommendations relating to conditions for rescuing and restructuring of firms in difficulties as </w:t>
      </w:r>
      <w:r>
        <w:rPr>
          <w:rFonts w:ascii="Times New Roman" w:eastAsia="Times New Roman" w:hAnsi="Times New Roman" w:cs="Times New Roman"/>
          <w:noProof/>
          <w:color w:val="000000"/>
          <w:sz w:val="24"/>
          <w:szCs w:val="24"/>
        </w:rPr>
        <w:t>part of the European Semester in 2013.</w:t>
      </w:r>
      <w:r>
        <w:rPr>
          <w:rStyle w:val="FootnoteReference"/>
          <w:rFonts w:ascii="Times New Roman" w:hAnsi="Times New Roman"/>
          <w:noProof/>
          <w:color w:val="000000"/>
          <w:sz w:val="24"/>
          <w:szCs w:val="24"/>
        </w:rPr>
        <w:footnoteReference w:id="381"/>
      </w:r>
      <w:r>
        <w:rPr>
          <w:rFonts w:ascii="Times New Roman" w:eastAsia="Times New Roman" w:hAnsi="Times New Roman" w:cs="Times New Roman"/>
          <w:noProof/>
          <w:color w:val="000000"/>
          <w:sz w:val="24"/>
          <w:szCs w:val="24"/>
        </w:rPr>
        <w:t xml:space="preserve"> On 9 January 2013 the Commission adopted the Entrepreneurship 2020 Action Plan</w:t>
      </w:r>
      <w:r>
        <w:rPr>
          <w:rStyle w:val="FootnoteReference"/>
          <w:rFonts w:ascii="Times New Roman" w:hAnsi="Times New Roman"/>
          <w:noProof/>
          <w:color w:val="000000"/>
          <w:sz w:val="24"/>
          <w:szCs w:val="24"/>
        </w:rPr>
        <w:footnoteReference w:id="382"/>
      </w:r>
      <w:r>
        <w:rPr>
          <w:rFonts w:ascii="Times New Roman" w:eastAsia="Times New Roman" w:hAnsi="Times New Roman" w:cs="Times New Roman"/>
          <w:noProof/>
          <w:color w:val="000000"/>
          <w:sz w:val="24"/>
          <w:szCs w:val="24"/>
        </w:rPr>
        <w:t xml:space="preserve"> where the Member States are invited, among others, to reduce when possible, the discharge time and debt settlement for an honest entrepr</w:t>
      </w:r>
      <w:r>
        <w:rPr>
          <w:rFonts w:ascii="Times New Roman" w:eastAsia="Times New Roman" w:hAnsi="Times New Roman" w:cs="Times New Roman"/>
          <w:noProof/>
          <w:color w:val="000000"/>
          <w:sz w:val="24"/>
          <w:szCs w:val="24"/>
        </w:rPr>
        <w:t xml:space="preserve">eneur after bankruptcy to a maximum of three years by 2013 and to offer support services to businesses for early restructuring, advice to prevent bankruptcies and support for SMEs to restructure and re-launch.  </w:t>
      </w:r>
    </w:p>
    <w:p w:rsidR="00B32D69" w:rsidRDefault="00FB661A">
      <w:pPr>
        <w:spacing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On 12 March 2014 the Commission adopted a Re</w:t>
      </w:r>
      <w:r>
        <w:rPr>
          <w:rFonts w:ascii="Times New Roman" w:eastAsia="Times New Roman" w:hAnsi="Times New Roman" w:cs="Times New Roman"/>
          <w:noProof/>
          <w:color w:val="000000"/>
          <w:sz w:val="24"/>
          <w:szCs w:val="24"/>
        </w:rPr>
        <w:t>commendation on a new approach to business failure and insolvency addressed to the Member States.</w:t>
      </w:r>
      <w:r>
        <w:rPr>
          <w:rStyle w:val="FootnoteReference"/>
          <w:rFonts w:ascii="Times New Roman" w:hAnsi="Times New Roman"/>
          <w:noProof/>
          <w:color w:val="000000"/>
          <w:sz w:val="24"/>
          <w:szCs w:val="24"/>
        </w:rPr>
        <w:footnoteReference w:id="383"/>
      </w:r>
      <w:r>
        <w:rPr>
          <w:rFonts w:ascii="Times New Roman" w:eastAsia="Times New Roman" w:hAnsi="Times New Roman" w:cs="Times New Roman"/>
          <w:noProof/>
          <w:color w:val="000000"/>
          <w:sz w:val="24"/>
          <w:szCs w:val="24"/>
        </w:rPr>
        <w:t xml:space="preserve"> This Recommendation aims at establishing minimum standards for: (i) preventive restructuring procedures enabling debtors in financial difficulty to restructu</w:t>
      </w:r>
      <w:r>
        <w:rPr>
          <w:rFonts w:ascii="Times New Roman" w:eastAsia="Times New Roman" w:hAnsi="Times New Roman" w:cs="Times New Roman"/>
          <w:noProof/>
          <w:color w:val="000000"/>
          <w:sz w:val="24"/>
          <w:szCs w:val="24"/>
        </w:rPr>
        <w:t xml:space="preserve">re at an early stage with the objective of averting insolvency, and (ii) debt discharge, within prescribed periods, for honest bankrupt entrepreneurs as one of the steps necessary to provide them with a second chance. </w:t>
      </w:r>
    </w:p>
    <w:p w:rsidR="00B32D69" w:rsidRDefault="00FB661A">
      <w:pPr>
        <w:spacing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The Member States were invited to imp</w:t>
      </w:r>
      <w:r>
        <w:rPr>
          <w:rFonts w:ascii="Times New Roman" w:eastAsia="Times New Roman" w:hAnsi="Times New Roman" w:cs="Times New Roman"/>
          <w:noProof/>
          <w:color w:val="000000"/>
          <w:sz w:val="24"/>
          <w:szCs w:val="24"/>
        </w:rPr>
        <w:t xml:space="preserve">lement the Recommendation by 14 March 2015. </w:t>
      </w:r>
      <w:r>
        <w:rPr>
          <w:rFonts w:ascii="Times New Roman" w:hAnsi="Times New Roman" w:cs="Times New Roman"/>
          <w:noProof/>
          <w:sz w:val="24"/>
          <w:szCs w:val="24"/>
        </w:rPr>
        <w:t>An evaluation carried out on the basis of this information by the Commission concluded that the Recommendation has been only partially taken up by some Member States, including by those receiving insolvency-relat</w:t>
      </w:r>
      <w:r>
        <w:rPr>
          <w:rFonts w:ascii="Times New Roman" w:hAnsi="Times New Roman" w:cs="Times New Roman"/>
          <w:noProof/>
          <w:sz w:val="24"/>
          <w:szCs w:val="24"/>
        </w:rPr>
        <w:t>ed recommendations in the context of the European Semester exercise addressing macro-economic imbalances. Even those Member States which have taken up the Recommendation did so in a selective manner, meaning that differences remain.</w:t>
      </w:r>
      <w:r>
        <w:rPr>
          <w:rStyle w:val="FootnoteReference"/>
          <w:rFonts w:ascii="Times New Roman" w:hAnsi="Times New Roman"/>
          <w:noProof/>
          <w:color w:val="000000"/>
          <w:sz w:val="24"/>
          <w:szCs w:val="24"/>
        </w:rPr>
        <w:footnoteReference w:id="384"/>
      </w:r>
    </w:p>
    <w:p w:rsidR="00B32D69" w:rsidRDefault="00FB661A">
      <w:pPr>
        <w:spacing w:line="24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The public consultatio</w:t>
      </w:r>
      <w:r>
        <w:rPr>
          <w:rFonts w:ascii="Times New Roman" w:eastAsia="Times New Roman" w:hAnsi="Times New Roman" w:cs="Times New Roman"/>
          <w:noProof/>
          <w:color w:val="000000"/>
          <w:sz w:val="24"/>
          <w:szCs w:val="24"/>
        </w:rPr>
        <w:t>n on the Capital Markets Union</w:t>
      </w:r>
      <w:r>
        <w:rPr>
          <w:rStyle w:val="FootnoteReference"/>
          <w:rFonts w:ascii="Times New Roman" w:hAnsi="Times New Roman"/>
          <w:noProof/>
          <w:color w:val="000000"/>
          <w:sz w:val="24"/>
          <w:szCs w:val="24"/>
        </w:rPr>
        <w:footnoteReference w:id="385"/>
      </w:r>
      <w:r>
        <w:rPr>
          <w:rFonts w:ascii="Times New Roman" w:eastAsia="Times New Roman" w:hAnsi="Times New Roman" w:cs="Times New Roman"/>
          <w:noProof/>
          <w:color w:val="000000"/>
          <w:sz w:val="24"/>
          <w:szCs w:val="24"/>
        </w:rPr>
        <w:t xml:space="preserve"> asked for stakeholders' views as to what specific aspects of insolvency laws would need to be harmonised in order to support the EU capital market. A number of investors advocated an approach aiming at least at the identific</w:t>
      </w:r>
      <w:r>
        <w:rPr>
          <w:rFonts w:ascii="Times New Roman" w:eastAsia="Times New Roman" w:hAnsi="Times New Roman" w:cs="Times New Roman"/>
          <w:noProof/>
          <w:color w:val="000000"/>
          <w:sz w:val="24"/>
          <w:szCs w:val="24"/>
        </w:rPr>
        <w:t xml:space="preserve">ation of common principles in the area of insolvency at the EU level. </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On 30 September 2015 the Commission published the Capital Markets Union Action Plan</w:t>
      </w:r>
      <w:r>
        <w:rPr>
          <w:rStyle w:val="FootnoteReference"/>
          <w:rFonts w:ascii="Times New Roman" w:hAnsi="Times New Roman"/>
          <w:noProof/>
          <w:sz w:val="24"/>
          <w:szCs w:val="24"/>
        </w:rPr>
        <w:footnoteReference w:id="386"/>
      </w:r>
      <w:r>
        <w:rPr>
          <w:rFonts w:ascii="Times New Roman" w:hAnsi="Times New Roman" w:cs="Times New Roman"/>
          <w:noProof/>
          <w:sz w:val="24"/>
          <w:szCs w:val="24"/>
        </w:rPr>
        <w:t xml:space="preserve"> which indicated, amongst other things, that the Commission would consult on the key insolvency barri</w:t>
      </w:r>
      <w:r>
        <w:rPr>
          <w:rFonts w:ascii="Times New Roman" w:hAnsi="Times New Roman" w:cs="Times New Roman"/>
          <w:noProof/>
          <w:sz w:val="24"/>
          <w:szCs w:val="24"/>
        </w:rPr>
        <w:t>ers and take forward a legislative initiative on business insolvency, including early restructuring and second chance, drawing on the experience of the Recommendation. It was announced that the initiative will address the most important barriers to the fre</w:t>
      </w:r>
      <w:r>
        <w:rPr>
          <w:rFonts w:ascii="Times New Roman" w:hAnsi="Times New Roman" w:cs="Times New Roman"/>
          <w:noProof/>
          <w:sz w:val="24"/>
          <w:szCs w:val="24"/>
        </w:rPr>
        <w:t>e flow of capital and building on national regimes that work well.</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Also the Single Market Strategy</w:t>
      </w:r>
      <w:r>
        <w:rPr>
          <w:rStyle w:val="FootnoteReference"/>
          <w:rFonts w:ascii="Times New Roman" w:hAnsi="Times New Roman"/>
          <w:noProof/>
          <w:sz w:val="24"/>
          <w:szCs w:val="24"/>
        </w:rPr>
        <w:footnoteReference w:id="387"/>
      </w:r>
      <w:r>
        <w:rPr>
          <w:rFonts w:ascii="Times New Roman" w:hAnsi="Times New Roman" w:cs="Times New Roman"/>
          <w:noProof/>
          <w:sz w:val="24"/>
          <w:szCs w:val="24"/>
        </w:rPr>
        <w:t xml:space="preserve"> indicated that the Commission would support bona fide entrepreneurs and propose legislation to ensure that Member States provide a regulatory environment th</w:t>
      </w:r>
      <w:r>
        <w:rPr>
          <w:rFonts w:ascii="Times New Roman" w:hAnsi="Times New Roman" w:cs="Times New Roman"/>
          <w:noProof/>
          <w:sz w:val="24"/>
          <w:szCs w:val="24"/>
        </w:rPr>
        <w:t xml:space="preserve">at is able to accommodate failure without dissuading entrepreneurs from trying new ideas. </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More recently, the Council highlighted, in its Conclusions on the Commission Action Plan on building a Capital Markets Union</w:t>
      </w:r>
      <w:r>
        <w:rPr>
          <w:rStyle w:val="FootnoteReference"/>
          <w:rFonts w:ascii="Times New Roman" w:hAnsi="Times New Roman"/>
          <w:noProof/>
          <w:color w:val="000000"/>
          <w:sz w:val="24"/>
          <w:szCs w:val="24"/>
        </w:rPr>
        <w:footnoteReference w:id="388"/>
      </w:r>
      <w:r>
        <w:rPr>
          <w:rFonts w:ascii="Times New Roman" w:hAnsi="Times New Roman" w:cs="Times New Roman"/>
          <w:noProof/>
          <w:color w:val="000000"/>
          <w:sz w:val="24"/>
          <w:szCs w:val="24"/>
        </w:rPr>
        <w:t xml:space="preserve">, the insolvency initiative and invited </w:t>
      </w:r>
      <w:r>
        <w:rPr>
          <w:rFonts w:ascii="Times New Roman" w:hAnsi="Times New Roman" w:cs="Times New Roman"/>
          <w:noProof/>
          <w:color w:val="000000"/>
          <w:sz w:val="24"/>
          <w:szCs w:val="24"/>
        </w:rPr>
        <w:t xml:space="preserve">the Commission to consult the Member States in order to identify business insolvency law-related barriers to the development of a single market for capital. Furthermore, </w:t>
      </w:r>
      <w:r>
        <w:rPr>
          <w:rFonts w:ascii="Times New Roman" w:hAnsi="Times New Roman" w:cs="Times New Roman"/>
          <w:noProof/>
          <w:sz w:val="24"/>
          <w:szCs w:val="24"/>
        </w:rPr>
        <w:t>the Eurogroup stated, on 22 April 2016, that 'early restructuring procedures with limi</w:t>
      </w:r>
      <w:r>
        <w:rPr>
          <w:rFonts w:ascii="Times New Roman" w:hAnsi="Times New Roman" w:cs="Times New Roman"/>
          <w:noProof/>
          <w:sz w:val="24"/>
          <w:szCs w:val="24"/>
        </w:rPr>
        <w:t xml:space="preserve">ted court involvement – in particular out-of-court settlement – should be developed further as a priority and resorted to where appropriate. Insolvency procedures should be easily accessible and affordable for both debtors and creditors. Honest distressed </w:t>
      </w:r>
      <w:r>
        <w:rPr>
          <w:rFonts w:ascii="Times New Roman" w:hAnsi="Times New Roman" w:cs="Times New Roman"/>
          <w:noProof/>
          <w:sz w:val="24"/>
          <w:szCs w:val="24"/>
        </w:rPr>
        <w:t xml:space="preserve">debtors should also be given a second chance after a certain period of time.' Finally, </w:t>
      </w:r>
      <w:r>
        <w:rPr>
          <w:rFonts w:ascii="Times New Roman" w:hAnsi="Times New Roman" w:cs="Times New Roman"/>
          <w:noProof/>
          <w:color w:val="000000"/>
          <w:sz w:val="24"/>
          <w:szCs w:val="24"/>
        </w:rPr>
        <w:t>t</w:t>
      </w:r>
      <w:r>
        <w:rPr>
          <w:rFonts w:ascii="Times New Roman" w:hAnsi="Times New Roman" w:cs="Times New Roman"/>
          <w:noProof/>
          <w:sz w:val="24"/>
          <w:szCs w:val="24"/>
        </w:rPr>
        <w:t xml:space="preserve">he Council Conclusions on a roadmap to complete the Banking Union adopted on 17 June 2016 underline the work being carried out by the Commission on ' a legislative </w:t>
      </w:r>
      <w:r>
        <w:rPr>
          <w:rFonts w:ascii="Times New Roman" w:hAnsi="Times New Roman" w:cs="Times New Roman"/>
          <w:noProof/>
          <w:sz w:val="24"/>
          <w:szCs w:val="24"/>
        </w:rPr>
        <w:t>proposal for minimum harmonisation in the field of insolvency law in the context of the Capital Markets Union (CMU), which may also support efforts to reduce future levels of non-performing loans'.</w:t>
      </w:r>
    </w:p>
    <w:p w:rsidR="00B32D69" w:rsidRDefault="00B32D69">
      <w:pPr>
        <w:spacing w:line="240" w:lineRule="auto"/>
        <w:jc w:val="both"/>
        <w:rPr>
          <w:rFonts w:ascii="Times New Roman" w:eastAsia="Times New Roman" w:hAnsi="Times New Roman" w:cs="Times New Roman"/>
          <w:noProof/>
          <w:color w:val="000000"/>
          <w:sz w:val="24"/>
          <w:szCs w:val="24"/>
        </w:rPr>
      </w:pPr>
    </w:p>
    <w:p w:rsidR="00B32D69" w:rsidRDefault="00FB661A">
      <w:pPr>
        <w:pStyle w:val="ListParagraph"/>
        <w:numPr>
          <w:ilvl w:val="0"/>
          <w:numId w:val="61"/>
        </w:numPr>
        <w:spacing w:line="240" w:lineRule="auto"/>
        <w:jc w:val="both"/>
        <w:rPr>
          <w:rFonts w:ascii="Times New Roman" w:eastAsia="Times New Roman" w:hAnsi="Times New Roman" w:cs="Times New Roman"/>
          <w:b/>
          <w:smallCaps/>
          <w:noProof/>
          <w:color w:val="000000"/>
          <w:sz w:val="24"/>
          <w:szCs w:val="24"/>
        </w:rPr>
      </w:pPr>
      <w:r>
        <w:rPr>
          <w:rFonts w:ascii="Times New Roman" w:eastAsia="Times New Roman" w:hAnsi="Times New Roman" w:cs="Times New Roman"/>
          <w:b/>
          <w:smallCaps/>
          <w:noProof/>
          <w:color w:val="000000"/>
          <w:sz w:val="24"/>
          <w:szCs w:val="24"/>
        </w:rPr>
        <w:t>The international context</w:t>
      </w:r>
    </w:p>
    <w:p w:rsidR="00B32D69" w:rsidRDefault="00B32D69">
      <w:pPr>
        <w:pStyle w:val="ListParagraph"/>
        <w:spacing w:line="240" w:lineRule="auto"/>
        <w:jc w:val="both"/>
        <w:rPr>
          <w:rFonts w:ascii="Times New Roman" w:eastAsia="Times New Roman" w:hAnsi="Times New Roman" w:cs="Times New Roman"/>
          <w:b/>
          <w:smallCaps/>
          <w:noProof/>
          <w:color w:val="000000"/>
          <w:sz w:val="24"/>
          <w:szCs w:val="24"/>
        </w:rPr>
      </w:pPr>
    </w:p>
    <w:p w:rsidR="00B32D69" w:rsidRDefault="00FB661A">
      <w:pPr>
        <w:pStyle w:val="ListParagraph"/>
        <w:numPr>
          <w:ilvl w:val="1"/>
          <w:numId w:val="61"/>
        </w:numPr>
        <w:spacing w:line="240" w:lineRule="auto"/>
        <w:ind w:left="993" w:hanging="426"/>
        <w:jc w:val="both"/>
        <w:rPr>
          <w:rFonts w:ascii="Times New Roman" w:eastAsia="Times New Roman" w:hAnsi="Times New Roman" w:cs="Times New Roman"/>
          <w:i/>
          <w:noProof/>
          <w:color w:val="000000"/>
          <w:sz w:val="24"/>
          <w:szCs w:val="24"/>
        </w:rPr>
      </w:pPr>
      <w:r>
        <w:rPr>
          <w:rFonts w:ascii="Times New Roman" w:eastAsia="Times New Roman" w:hAnsi="Times New Roman" w:cs="Times New Roman"/>
          <w:i/>
          <w:smallCaps/>
          <w:noProof/>
          <w:color w:val="000000"/>
          <w:sz w:val="24"/>
          <w:szCs w:val="24"/>
        </w:rPr>
        <w:t xml:space="preserve"> </w:t>
      </w:r>
      <w:r>
        <w:rPr>
          <w:rFonts w:ascii="Times New Roman" w:eastAsia="Times New Roman" w:hAnsi="Times New Roman" w:cs="Times New Roman"/>
          <w:i/>
          <w:smallCaps/>
          <w:noProof/>
          <w:color w:val="000000"/>
          <w:sz w:val="24"/>
          <w:szCs w:val="24"/>
        </w:rPr>
        <w:tab/>
      </w:r>
      <w:r>
        <w:rPr>
          <w:rFonts w:ascii="Times New Roman" w:eastAsia="Times New Roman" w:hAnsi="Times New Roman" w:cs="Times New Roman"/>
          <w:i/>
          <w:noProof/>
          <w:color w:val="000000"/>
          <w:sz w:val="24"/>
          <w:szCs w:val="24"/>
        </w:rPr>
        <w:t>UNCITRAL</w:t>
      </w:r>
    </w:p>
    <w:p w:rsidR="00B32D69" w:rsidRDefault="00B32D69">
      <w:pPr>
        <w:pStyle w:val="ListParagraph"/>
        <w:spacing w:line="240" w:lineRule="auto"/>
        <w:jc w:val="both"/>
        <w:rPr>
          <w:rFonts w:ascii="Times New Roman" w:eastAsia="Times New Roman" w:hAnsi="Times New Roman" w:cs="Times New Roman"/>
          <w:b/>
          <w:smallCaps/>
          <w:noProof/>
          <w:color w:val="000000"/>
          <w:sz w:val="24"/>
          <w:szCs w:val="24"/>
        </w:rPr>
      </w:pPr>
    </w:p>
    <w:p w:rsidR="00B32D69" w:rsidRDefault="00FB661A">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UNCITRAL has been </w:t>
      </w:r>
      <w:r>
        <w:rPr>
          <w:rFonts w:ascii="Times New Roman" w:eastAsia="Calibri" w:hAnsi="Times New Roman" w:cs="Times New Roman"/>
          <w:noProof/>
          <w:sz w:val="24"/>
          <w:szCs w:val="24"/>
        </w:rPr>
        <w:t>working on insolvency law for a number of years. UNCITRAL first focussed on cross-border insolvency and adopted a Model Law on this issue in 1997. The material scope of the Model Law broadly corresponds to that of the Insolvency Regulation. Work then conce</w:t>
      </w:r>
      <w:r>
        <w:rPr>
          <w:rFonts w:ascii="Times New Roman" w:eastAsia="Calibri" w:hAnsi="Times New Roman" w:cs="Times New Roman"/>
          <w:noProof/>
          <w:sz w:val="24"/>
          <w:szCs w:val="24"/>
        </w:rPr>
        <w:t xml:space="preserve">ntrated on substantive insolvency law. A Legislative Guide on insolvency law was adopted in 2004 (Part I and II); this was supplemented more recently by a part three on the treatment of enterprise groups (2010) and a part four on directors' obligations in </w:t>
      </w:r>
      <w:r>
        <w:rPr>
          <w:rFonts w:ascii="Times New Roman" w:eastAsia="Calibri" w:hAnsi="Times New Roman" w:cs="Times New Roman"/>
          <w:noProof/>
          <w:sz w:val="24"/>
          <w:szCs w:val="24"/>
        </w:rPr>
        <w:t xml:space="preserve">the period approaching insolvency (2014). </w:t>
      </w:r>
    </w:p>
    <w:p w:rsidR="00B32D69" w:rsidRDefault="00FB661A">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Although these instruments have a long record of shaping national insolvency reforms throughout the world, they are not appropriate to serve the objectives set by the current EU legislative initiative:</w:t>
      </w:r>
    </w:p>
    <w:p w:rsidR="00B32D69" w:rsidRDefault="00FB661A">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On the one </w:t>
      </w:r>
      <w:r>
        <w:rPr>
          <w:rFonts w:ascii="Times New Roman" w:eastAsia="Calibri" w:hAnsi="Times New Roman" w:cs="Times New Roman"/>
          <w:noProof/>
          <w:sz w:val="24"/>
          <w:szCs w:val="24"/>
        </w:rPr>
        <w:t>hand, the subject matter scope of the UNCITRAL instruments does not have its focus on the preventive restructuring mechanisms. The Legislative Guide addresses insolvency law in an overarching manner and provides a comprehensive statement of the key objecti</w:t>
      </w:r>
      <w:r>
        <w:rPr>
          <w:rFonts w:ascii="Times New Roman" w:eastAsia="Calibri" w:hAnsi="Times New Roman" w:cs="Times New Roman"/>
          <w:noProof/>
          <w:sz w:val="24"/>
          <w:szCs w:val="24"/>
        </w:rPr>
        <w:t>ves, structures and principles that should be reflected in a State's insolvency laws. Although the Guide contains some pieces of information about existing models of voluntary restructuring or (in the context of insolvency proceedings) about pre-insolvency</w:t>
      </w:r>
      <w:r>
        <w:rPr>
          <w:rFonts w:ascii="Times New Roman" w:eastAsia="Calibri" w:hAnsi="Times New Roman" w:cs="Times New Roman"/>
          <w:noProof/>
          <w:sz w:val="24"/>
          <w:szCs w:val="24"/>
        </w:rPr>
        <w:t xml:space="preserve"> schemes of certain legal systems</w:t>
      </w:r>
      <w:r>
        <w:rPr>
          <w:rStyle w:val="FootnoteReference"/>
          <w:rFonts w:ascii="Times New Roman" w:eastAsia="Calibri" w:hAnsi="Times New Roman"/>
          <w:noProof/>
          <w:sz w:val="24"/>
          <w:szCs w:val="24"/>
        </w:rPr>
        <w:footnoteReference w:id="389"/>
      </w:r>
      <w:r>
        <w:rPr>
          <w:rFonts w:ascii="Times New Roman" w:eastAsia="Calibri" w:hAnsi="Times New Roman" w:cs="Times New Roman"/>
          <w:noProof/>
          <w:sz w:val="24"/>
          <w:szCs w:val="24"/>
        </w:rPr>
        <w:t xml:space="preserve">, it does not contain specific recommendations on this issue. </w:t>
      </w:r>
    </w:p>
    <w:p w:rsidR="00B32D69" w:rsidRDefault="00FB661A">
      <w:pPr>
        <w:spacing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On the other hand, the type of the instrument of the Legislative Guide is not a tool specifically designed for the approximation of laws. “The Legislative </w:t>
      </w:r>
      <w:r>
        <w:rPr>
          <w:rFonts w:ascii="Times New Roman" w:eastAsia="Calibri" w:hAnsi="Times New Roman" w:cs="Times New Roman"/>
          <w:noProof/>
          <w:sz w:val="24"/>
          <w:szCs w:val="24"/>
        </w:rPr>
        <w:t>Guide does not provide a single set of model solutions to address the issues central to an effective and efficient insolvency law, but assists the reader to evaluate different approaches available and to choose the one most suitable in the national or loca</w:t>
      </w:r>
      <w:r>
        <w:rPr>
          <w:rFonts w:ascii="Times New Roman" w:eastAsia="Calibri" w:hAnsi="Times New Roman" w:cs="Times New Roman"/>
          <w:noProof/>
          <w:sz w:val="24"/>
          <w:szCs w:val="24"/>
        </w:rPr>
        <w:t>l context.”</w:t>
      </w:r>
      <w:r>
        <w:rPr>
          <w:rStyle w:val="FootnoteReference"/>
          <w:rFonts w:ascii="Times New Roman" w:eastAsia="Calibri" w:hAnsi="Times New Roman"/>
          <w:noProof/>
          <w:sz w:val="24"/>
          <w:szCs w:val="24"/>
        </w:rPr>
        <w:footnoteReference w:id="390"/>
      </w:r>
      <w:r>
        <w:rPr>
          <w:rFonts w:ascii="Times New Roman" w:eastAsia="Calibri" w:hAnsi="Times New Roman" w:cs="Times New Roman"/>
          <w:noProof/>
          <w:sz w:val="24"/>
          <w:szCs w:val="24"/>
        </w:rPr>
        <w:t xml:space="preserve"> </w:t>
      </w:r>
    </w:p>
    <w:p w:rsidR="00B32D69" w:rsidRDefault="00FB661A">
      <w:pPr>
        <w:pStyle w:val="ListParagraph"/>
        <w:numPr>
          <w:ilvl w:val="1"/>
          <w:numId w:val="61"/>
        </w:numPr>
        <w:spacing w:line="240" w:lineRule="auto"/>
        <w:ind w:left="1418" w:hanging="851"/>
        <w:jc w:val="both"/>
        <w:rPr>
          <w:rFonts w:ascii="Times New Roman" w:eastAsia="Times New Roman" w:hAnsi="Times New Roman" w:cs="Times New Roman"/>
          <w:i/>
          <w:noProof/>
          <w:color w:val="000000"/>
          <w:sz w:val="24"/>
          <w:szCs w:val="24"/>
        </w:rPr>
      </w:pPr>
      <w:r>
        <w:rPr>
          <w:rFonts w:ascii="Times New Roman" w:eastAsia="Times New Roman" w:hAnsi="Times New Roman" w:cs="Times New Roman"/>
          <w:i/>
          <w:noProof/>
          <w:color w:val="000000"/>
          <w:sz w:val="24"/>
          <w:szCs w:val="24"/>
        </w:rPr>
        <w:t>United States</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this context it appears worthwhile to underpin the differences which the preferred option of this Impact Assessment has compared to the procedure in Chapter 11 of the US bankruptcy code. </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Chapter 11 deals with the </w:t>
      </w:r>
      <w:r>
        <w:rPr>
          <w:rFonts w:ascii="Times New Roman" w:hAnsi="Times New Roman" w:cs="Times New Roman"/>
          <w:noProof/>
          <w:sz w:val="24"/>
          <w:szCs w:val="24"/>
        </w:rPr>
        <w:t>restructuring of ailing businesses. It is generally filed by corporations that require time to restructure their debts, and it gives the debtor a fresh start, subject to the debtor's fulfilment of his obligations under the plan of reorganization. In most c</w:t>
      </w:r>
      <w:r>
        <w:rPr>
          <w:rFonts w:ascii="Times New Roman" w:hAnsi="Times New Roman" w:cs="Times New Roman"/>
          <w:noProof/>
          <w:sz w:val="24"/>
          <w:szCs w:val="24"/>
        </w:rPr>
        <w:t>ases, Chapter 11 is run as a "debtor in possession" procedure, however, under the protection of the procedure the business is banned from making certain decisions without the permission of the courts. Entry into Chapter 11 bankruptcy in the US is also perm</w:t>
      </w:r>
      <w:r>
        <w:rPr>
          <w:rFonts w:ascii="Times New Roman" w:hAnsi="Times New Roman" w:cs="Times New Roman"/>
          <w:noProof/>
          <w:sz w:val="24"/>
          <w:szCs w:val="24"/>
        </w:rPr>
        <w:t>itted when a company is not insolvent. But if a company is not insolvent then entry into Chapter 11 proceedings is often tactical and to allow the directors to renegotiate pre-existing contracts, particularly with employees.</w:t>
      </w:r>
      <w:r>
        <w:rPr>
          <w:rStyle w:val="FootnoteReference"/>
          <w:rFonts w:ascii="Times New Roman" w:hAnsi="Times New Roman"/>
          <w:noProof/>
          <w:sz w:val="24"/>
          <w:szCs w:val="24"/>
        </w:rPr>
        <w:footnoteReference w:id="391"/>
      </w:r>
      <w:r>
        <w:rPr>
          <w:rFonts w:ascii="Times New Roman" w:hAnsi="Times New Roman" w:cs="Times New Roman"/>
          <w:noProof/>
          <w:sz w:val="24"/>
          <w:szCs w:val="24"/>
        </w:rPr>
        <w:t xml:space="preserve"> Chapter 11 </w:t>
      </w:r>
      <w:r>
        <w:rPr>
          <w:rFonts w:ascii="Times New Roman" w:hAnsi="Times New Roman" w:cs="Times New Roman"/>
          <w:noProof/>
          <w:sz w:val="24"/>
          <w:szCs w:val="24"/>
          <w:lang w:val="en"/>
        </w:rPr>
        <w:t>is available to eve</w:t>
      </w:r>
      <w:r>
        <w:rPr>
          <w:rFonts w:ascii="Times New Roman" w:hAnsi="Times New Roman" w:cs="Times New Roman"/>
          <w:noProof/>
          <w:sz w:val="24"/>
          <w:szCs w:val="24"/>
          <w:lang w:val="en"/>
        </w:rPr>
        <w:t>ry types of business</w:t>
      </w:r>
      <w:r>
        <w:rPr>
          <w:rFonts w:ascii="Times New Roman" w:hAnsi="Times New Roman" w:cs="Times New Roman"/>
          <w:noProof/>
          <w:sz w:val="24"/>
          <w:szCs w:val="24"/>
        </w:rPr>
        <w:t xml:space="preserve"> </w:t>
      </w:r>
      <w:r>
        <w:rPr>
          <w:rFonts w:ascii="Times New Roman" w:hAnsi="Times New Roman" w:cs="Times New Roman"/>
          <w:noProof/>
          <w:sz w:val="24"/>
          <w:szCs w:val="24"/>
          <w:lang w:val="en"/>
        </w:rPr>
        <w:t xml:space="preserve">and to individuals, although it is most prominently used by corporate entities. </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main difference between Chapter 11 and the preferred option of this report is the formal and complex nature of the US proceeding. Chapter 11 is a full</w:t>
      </w:r>
      <w:r>
        <w:rPr>
          <w:rFonts w:ascii="Times New Roman" w:hAnsi="Times New Roman" w:cs="Times New Roman"/>
          <w:noProof/>
          <w:sz w:val="24"/>
          <w:szCs w:val="24"/>
        </w:rPr>
        <w:t xml:space="preserve">y judicial procedure, while the EU initiative provides a flexible framework which combines out-of-court elements with judicial intervention at key moments in the procedure, where the rights of creditors may be unduly affected (stay of enforcement actions, </w:t>
      </w:r>
      <w:r>
        <w:rPr>
          <w:rFonts w:ascii="Times New Roman" w:hAnsi="Times New Roman" w:cs="Times New Roman"/>
          <w:noProof/>
          <w:sz w:val="24"/>
          <w:szCs w:val="24"/>
        </w:rPr>
        <w:t>cram down). From this complexity of the procedure and from the costs involved follows that protection under Chapter 11 is mainly required by large companies. Although the US legislator made several steps to streamline the procedure to the needs of SMEs, th</w:t>
      </w:r>
      <w:r>
        <w:rPr>
          <w:rFonts w:ascii="Times New Roman" w:hAnsi="Times New Roman" w:cs="Times New Roman"/>
          <w:noProof/>
          <w:sz w:val="24"/>
          <w:szCs w:val="24"/>
        </w:rPr>
        <w:t>ese small business provisions are not thought to work well in practice however. Certainly, they have not met with universal support and small businesses often seek recourse to alternative procedures outside of the bankruptcy system. The detailed record kee</w:t>
      </w:r>
      <w:r>
        <w:rPr>
          <w:rFonts w:ascii="Times New Roman" w:hAnsi="Times New Roman" w:cs="Times New Roman"/>
          <w:noProof/>
          <w:sz w:val="24"/>
          <w:szCs w:val="24"/>
        </w:rPr>
        <w:t>ping required by the procedure increases the cost for small businesses seeking bankruptcy protection.</w:t>
      </w:r>
      <w:r>
        <w:rPr>
          <w:rStyle w:val="FootnoteReference"/>
          <w:rFonts w:ascii="Times New Roman" w:hAnsi="Times New Roman"/>
          <w:noProof/>
          <w:sz w:val="24"/>
          <w:szCs w:val="24"/>
        </w:rPr>
        <w:footnoteReference w:id="392"/>
      </w:r>
      <w:r>
        <w:rPr>
          <w:rFonts w:ascii="Times New Roman" w:hAnsi="Times New Roman" w:cs="Times New Roman"/>
          <w:noProof/>
          <w:sz w:val="24"/>
          <w:szCs w:val="24"/>
        </w:rPr>
        <w:t xml:space="preserve"> </w:t>
      </w:r>
    </w:p>
    <w:p w:rsidR="00B32D69" w:rsidRDefault="00B32D69">
      <w:pPr>
        <w:spacing w:line="240" w:lineRule="auto"/>
        <w:rPr>
          <w:noProof/>
          <w:lang w:val="cs-CZ"/>
        </w:rPr>
      </w:pPr>
    </w:p>
    <w:p w:rsidR="00B32D69" w:rsidRDefault="00B32D69">
      <w:pPr>
        <w:spacing w:line="240" w:lineRule="auto"/>
        <w:jc w:val="both"/>
        <w:rPr>
          <w:rFonts w:ascii="Times New Roman" w:hAnsi="Times New Roman" w:cs="Times New Roman"/>
          <w:noProof/>
          <w:sz w:val="24"/>
          <w:szCs w:val="24"/>
        </w:rPr>
      </w:pPr>
    </w:p>
    <w:p w:rsidR="00B32D69" w:rsidRDefault="00FB661A">
      <w:pPr>
        <w:rPr>
          <w:noProof/>
        </w:rPr>
      </w:pPr>
      <w:r>
        <w:rPr>
          <w:noProof/>
        </w:rPr>
        <w:br w:type="page"/>
      </w:r>
    </w:p>
    <w:p w:rsidR="00B32D69" w:rsidRDefault="00FB661A">
      <w:pPr>
        <w:jc w:val="center"/>
        <w:rPr>
          <w:rFonts w:ascii="Times New Roman" w:hAnsi="Times New Roman" w:cs="Times New Roman"/>
          <w:b/>
          <w:noProof/>
          <w:sz w:val="24"/>
          <w:szCs w:val="24"/>
        </w:rPr>
      </w:pPr>
      <w:r>
        <w:rPr>
          <w:rFonts w:ascii="Times New Roman" w:hAnsi="Times New Roman" w:cs="Times New Roman"/>
          <w:b/>
          <w:noProof/>
          <w:sz w:val="24"/>
          <w:szCs w:val="24"/>
        </w:rPr>
        <w:t>ANNEX 5</w:t>
      </w:r>
    </w:p>
    <w:p w:rsidR="00B32D69" w:rsidRDefault="00FB661A">
      <w:pPr>
        <w:jc w:val="center"/>
        <w:rPr>
          <w:rFonts w:ascii="Times New Roman" w:hAnsi="Times New Roman" w:cs="Times New Roman"/>
          <w:b/>
          <w:noProof/>
          <w:sz w:val="24"/>
          <w:szCs w:val="24"/>
        </w:rPr>
      </w:pPr>
      <w:r>
        <w:rPr>
          <w:rFonts w:ascii="Times New Roman" w:hAnsi="Times New Roman" w:cs="Times New Roman"/>
          <w:b/>
          <w:noProof/>
          <w:sz w:val="24"/>
          <w:szCs w:val="24"/>
        </w:rPr>
        <w:t>Glossary</w:t>
      </w:r>
      <w:r>
        <w:rPr>
          <w:rStyle w:val="FootnoteReference"/>
          <w:rFonts w:ascii="Times New Roman" w:hAnsi="Times New Roman"/>
          <w:b/>
          <w:noProof/>
          <w:sz w:val="24"/>
          <w:szCs w:val="24"/>
        </w:rPr>
        <w:footnoteReference w:id="393"/>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Avoidance actions</w:t>
      </w:r>
      <w:r>
        <w:rPr>
          <w:rFonts w:ascii="Times New Roman" w:hAnsi="Times New Roman" w:cs="Times New Roman"/>
          <w:noProof/>
          <w:sz w:val="24"/>
          <w:szCs w:val="24"/>
        </w:rPr>
        <w:t xml:space="preserve"> – An avoidance action provides for setting aside transfers of property that are made to defeat or delay the claims of creditors or to put the property beyond the reach of creditors.</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Bankruptcy</w:t>
      </w:r>
      <w:r>
        <w:rPr>
          <w:rFonts w:ascii="Times New Roman" w:hAnsi="Times New Roman" w:cs="Times New Roman"/>
          <w:noProof/>
          <w:sz w:val="24"/>
          <w:szCs w:val="24"/>
        </w:rPr>
        <w:t xml:space="preserve"> – A legal process in which the debtors’ assets are liquidated </w:t>
      </w:r>
      <w:r>
        <w:rPr>
          <w:rFonts w:ascii="Times New Roman" w:hAnsi="Times New Roman" w:cs="Times New Roman"/>
          <w:noProof/>
          <w:sz w:val="24"/>
          <w:szCs w:val="24"/>
        </w:rPr>
        <w:t>and the proceeds of sale are distributed to creditors.</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 xml:space="preserve">‘Best interests’ test </w:t>
      </w:r>
      <w:r>
        <w:rPr>
          <w:rFonts w:ascii="Times New Roman" w:hAnsi="Times New Roman" w:cs="Times New Roman"/>
          <w:noProof/>
          <w:sz w:val="24"/>
          <w:szCs w:val="24"/>
        </w:rPr>
        <w:t>–</w:t>
      </w:r>
      <w:r>
        <w:rPr>
          <w:rFonts w:ascii="Times New Roman" w:hAnsi="Times New Roman" w:cs="Times New Roman"/>
          <w:b/>
          <w:noProof/>
          <w:sz w:val="24"/>
          <w:szCs w:val="24"/>
        </w:rPr>
        <w:t xml:space="preserve"> </w:t>
      </w:r>
      <w:r>
        <w:rPr>
          <w:rFonts w:ascii="Times New Roman" w:hAnsi="Times New Roman" w:cs="Times New Roman"/>
          <w:noProof/>
          <w:sz w:val="24"/>
          <w:szCs w:val="24"/>
        </w:rPr>
        <w:t>This is a test which requires that creditors should receive at least as much under a restructuring plan as they would receive in a liquidation of the business.</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Centre of Main In</w:t>
      </w:r>
      <w:r>
        <w:rPr>
          <w:rFonts w:ascii="Times New Roman" w:hAnsi="Times New Roman" w:cs="Times New Roman"/>
          <w:b/>
          <w:noProof/>
          <w:sz w:val="24"/>
          <w:szCs w:val="24"/>
        </w:rPr>
        <w:t>terests (COMI)</w:t>
      </w:r>
      <w:r>
        <w:rPr>
          <w:rFonts w:ascii="Times New Roman" w:hAnsi="Times New Roman" w:cs="Times New Roman"/>
          <w:noProof/>
          <w:sz w:val="24"/>
          <w:szCs w:val="24"/>
        </w:rPr>
        <w:t xml:space="preserve"> – The place where main insolvency proceedings commenced under the European Regulation on Insolvency Proceedings must be opened. </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 xml:space="preserve">Consumer </w:t>
      </w:r>
      <w:r>
        <w:rPr>
          <w:rFonts w:ascii="Times New Roman" w:hAnsi="Times New Roman" w:cs="Times New Roman"/>
          <w:noProof/>
          <w:sz w:val="24"/>
          <w:szCs w:val="24"/>
        </w:rPr>
        <w:t>– Natural person who is not an entrepreneur.</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Co-obligor</w:t>
      </w:r>
      <w:r>
        <w:rPr>
          <w:rFonts w:ascii="Times New Roman" w:hAnsi="Times New Roman" w:cs="Times New Roman"/>
          <w:noProof/>
          <w:sz w:val="24"/>
          <w:szCs w:val="24"/>
        </w:rPr>
        <w:t xml:space="preserve"> – A person bound with other(s) by an obligation</w:t>
      </w:r>
      <w:r>
        <w:rPr>
          <w:rFonts w:ascii="Times New Roman" w:hAnsi="Times New Roman" w:cs="Times New Roman"/>
          <w:noProof/>
          <w:sz w:val="24"/>
          <w:szCs w:val="24"/>
        </w:rPr>
        <w:t>.</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Cram down</w:t>
      </w:r>
      <w:r>
        <w:rPr>
          <w:rFonts w:ascii="Times New Roman" w:hAnsi="Times New Roman" w:cs="Times New Roman"/>
          <w:noProof/>
          <w:sz w:val="24"/>
          <w:szCs w:val="24"/>
        </w:rPr>
        <w:t xml:space="preserve"> – The judicial power to confirm or modify a plan against the wishes of certain classes of interest or claim holders.</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Cross-class cram down</w:t>
      </w:r>
      <w:r>
        <w:rPr>
          <w:rFonts w:ascii="Times New Roman" w:hAnsi="Times New Roman" w:cs="Times New Roman"/>
          <w:noProof/>
          <w:sz w:val="24"/>
          <w:szCs w:val="24"/>
        </w:rPr>
        <w:t xml:space="preserve"> – A situation where not all creditor groups have approved a restructuring plan but it is proposed to appr</w:t>
      </w:r>
      <w:r>
        <w:rPr>
          <w:rFonts w:ascii="Times New Roman" w:hAnsi="Times New Roman" w:cs="Times New Roman"/>
          <w:noProof/>
          <w:sz w:val="24"/>
          <w:szCs w:val="24"/>
        </w:rPr>
        <w:t>ove the plan regardless.</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Debt discharge</w:t>
      </w:r>
      <w:r>
        <w:rPr>
          <w:rFonts w:ascii="Times New Roman" w:hAnsi="Times New Roman" w:cs="Times New Roman"/>
          <w:noProof/>
          <w:sz w:val="24"/>
          <w:szCs w:val="24"/>
        </w:rPr>
        <w:t xml:space="preserve"> – Permanent release from a debt obligation. This may be straight discharge (unconditional freedom from debt) or conditional discharge (dependent upon some payment of debt).</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 xml:space="preserve">Debtor-in-possession </w:t>
      </w:r>
      <w:r>
        <w:rPr>
          <w:rFonts w:ascii="Times New Roman" w:hAnsi="Times New Roman" w:cs="Times New Roman"/>
          <w:noProof/>
          <w:sz w:val="24"/>
          <w:szCs w:val="24"/>
        </w:rPr>
        <w:t>– A debtor in financia</w:t>
      </w:r>
      <w:r>
        <w:rPr>
          <w:rFonts w:ascii="Times New Roman" w:hAnsi="Times New Roman" w:cs="Times New Roman"/>
          <w:noProof/>
          <w:sz w:val="24"/>
          <w:szCs w:val="24"/>
        </w:rPr>
        <w:t>l difficulties or in the state of over-indebtedness who as a fiduciary of the creditors keeps control over his estate and, as a result, has an obligation to refrain from acting in a manner which could damage the estate, or hinder a successful reorganizatio</w:t>
      </w:r>
      <w:r>
        <w:rPr>
          <w:rFonts w:ascii="Times New Roman" w:hAnsi="Times New Roman" w:cs="Times New Roman"/>
          <w:noProof/>
          <w:sz w:val="24"/>
          <w:szCs w:val="24"/>
        </w:rPr>
        <w:t>n.</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Discharge period</w:t>
      </w:r>
      <w:r>
        <w:rPr>
          <w:rFonts w:ascii="Times New Roman" w:hAnsi="Times New Roman" w:cs="Times New Roman"/>
          <w:noProof/>
          <w:sz w:val="24"/>
          <w:szCs w:val="24"/>
        </w:rPr>
        <w:t xml:space="preserve"> – A period after which the debtor is released from his/her debt obligations.</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Disqualification</w:t>
      </w:r>
      <w:r>
        <w:rPr>
          <w:rFonts w:ascii="Times New Roman" w:hAnsi="Times New Roman" w:cs="Times New Roman"/>
          <w:noProof/>
          <w:sz w:val="24"/>
          <w:szCs w:val="24"/>
        </w:rPr>
        <w:t xml:space="preserve"> –</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A process that leads to a director being unable to act as a director and, in some jurisdictions, act in other capacities. </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Dissenting (credi</w:t>
      </w:r>
      <w:r>
        <w:rPr>
          <w:rFonts w:ascii="Times New Roman" w:hAnsi="Times New Roman" w:cs="Times New Roman"/>
          <w:b/>
          <w:noProof/>
          <w:sz w:val="24"/>
          <w:szCs w:val="24"/>
        </w:rPr>
        <w:t>tor, class)</w:t>
      </w:r>
      <w:r>
        <w:rPr>
          <w:rFonts w:ascii="Times New Roman" w:hAnsi="Times New Roman" w:cs="Times New Roman"/>
          <w:noProof/>
          <w:sz w:val="24"/>
          <w:szCs w:val="24"/>
        </w:rPr>
        <w:t xml:space="preserve"> – Creditors or group of creditors who object to the terms of a restructuring plan.</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 xml:space="preserve">Enforcement  </w:t>
      </w:r>
      <w:r>
        <w:rPr>
          <w:rFonts w:ascii="Times New Roman" w:hAnsi="Times New Roman" w:cs="Times New Roman"/>
          <w:noProof/>
          <w:sz w:val="24"/>
          <w:szCs w:val="24"/>
        </w:rPr>
        <w:t xml:space="preserve">– A procedure under the control of a court for collecting debt in respect of which there has been a court order, which may include seizing assets. </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Entrepreneur</w:t>
      </w:r>
      <w:r>
        <w:rPr>
          <w:rFonts w:ascii="Times New Roman" w:hAnsi="Times New Roman" w:cs="Times New Roman"/>
          <w:noProof/>
          <w:sz w:val="24"/>
          <w:szCs w:val="24"/>
        </w:rPr>
        <w:t xml:space="preserve"> – An individual, with unlimited liability, carrying out a trade, profession, craft or business as a natural person.</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 xml:space="preserve">Equity holder </w:t>
      </w:r>
      <w:r>
        <w:rPr>
          <w:rFonts w:ascii="Times New Roman" w:hAnsi="Times New Roman" w:cs="Times New Roman"/>
          <w:noProof/>
          <w:sz w:val="24"/>
          <w:szCs w:val="24"/>
        </w:rPr>
        <w:t xml:space="preserve">– Same as shareholder, see below </w:t>
      </w:r>
      <w:r>
        <w:rPr>
          <w:rFonts w:ascii="Times New Roman" w:hAnsi="Times New Roman" w:cs="Times New Roman"/>
          <w:b/>
          <w:noProof/>
          <w:sz w:val="24"/>
          <w:szCs w:val="24"/>
        </w:rPr>
        <w:t>Shareholder</w:t>
      </w:r>
      <w:r>
        <w:rPr>
          <w:rFonts w:ascii="Times New Roman" w:hAnsi="Times New Roman" w:cs="Times New Roman"/>
          <w:noProof/>
          <w:sz w:val="24"/>
          <w:szCs w:val="24"/>
        </w:rPr>
        <w:t>.</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GDP</w:t>
      </w:r>
      <w:r>
        <w:rPr>
          <w:rFonts w:ascii="Times New Roman" w:hAnsi="Times New Roman" w:cs="Times New Roman"/>
          <w:noProof/>
          <w:sz w:val="24"/>
          <w:szCs w:val="24"/>
        </w:rPr>
        <w:t xml:space="preserve"> – Gross domestic product</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Going concern value</w:t>
      </w:r>
      <w:r>
        <w:rPr>
          <w:rFonts w:ascii="Times New Roman" w:hAnsi="Times New Roman" w:cs="Times New Roman"/>
          <w:noProof/>
          <w:sz w:val="24"/>
          <w:szCs w:val="24"/>
        </w:rPr>
        <w:t xml:space="preserve"> – The value of the debtor’s business if it is kept alive rather than liquidated.</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Haircut</w:t>
      </w:r>
      <w:r>
        <w:rPr>
          <w:rFonts w:ascii="Times New Roman" w:hAnsi="Times New Roman" w:cs="Times New Roman"/>
          <w:noProof/>
          <w:sz w:val="24"/>
          <w:szCs w:val="24"/>
        </w:rPr>
        <w:t xml:space="preserve"> – A reduction of the rights of creditors in restructuring or insolvency.</w:t>
      </w:r>
    </w:p>
    <w:p w:rsidR="00B32D69" w:rsidRDefault="00FB661A">
      <w:pPr>
        <w:pStyle w:val="NormalWeb"/>
        <w:shd w:val="clear" w:color="auto" w:fill="FFFFFF"/>
        <w:spacing w:before="0" w:beforeAutospacing="0" w:after="0" w:afterAutospacing="0" w:line="276" w:lineRule="auto"/>
        <w:jc w:val="both"/>
        <w:rPr>
          <w:noProof/>
          <w:lang w:val="en-US"/>
        </w:rPr>
      </w:pPr>
      <w:r>
        <w:rPr>
          <w:rFonts w:eastAsia="Arial Unicode MS"/>
          <w:b/>
          <w:noProof/>
          <w:lang w:val="en-US" w:eastAsia="zh-TW"/>
        </w:rPr>
        <w:t xml:space="preserve">Insolvency </w:t>
      </w:r>
      <w:r>
        <w:rPr>
          <w:rFonts w:eastAsia="Arial Unicode MS"/>
          <w:noProof/>
          <w:lang w:val="en-US" w:eastAsia="zh-TW"/>
        </w:rPr>
        <w:t>–</w:t>
      </w:r>
      <w:r>
        <w:rPr>
          <w:rFonts w:eastAsia="Arial Unicode MS"/>
          <w:b/>
          <w:noProof/>
          <w:lang w:val="en-US" w:eastAsia="zh-TW"/>
        </w:rPr>
        <w:t xml:space="preserve"> </w:t>
      </w:r>
      <w:r>
        <w:rPr>
          <w:rFonts w:eastAsia="Arial Unicode MS"/>
          <w:noProof/>
          <w:lang w:val="en-US" w:eastAsia="zh-TW"/>
        </w:rPr>
        <w:t xml:space="preserve">The state of being unable to pay the money owed, by a person or company, on </w:t>
      </w:r>
      <w:r>
        <w:rPr>
          <w:rFonts w:eastAsia="Arial Unicode MS"/>
          <w:noProof/>
          <w:lang w:val="en-US" w:eastAsia="zh-TW"/>
        </w:rPr>
        <w:t>time. There are two forms: cash-flow insolvency and balance-sheet insolvency. Cash-flow insolvency is when a person or company has enough assets to pay what is owed, but does not have the appropriate form of payment (liquidity shortcoming). Balance-sheet i</w:t>
      </w:r>
      <w:r>
        <w:rPr>
          <w:rFonts w:eastAsia="Arial Unicode MS"/>
          <w:noProof/>
          <w:lang w:val="en-US" w:eastAsia="zh-TW"/>
        </w:rPr>
        <w:t>nsolvency is when a person or company does not have enough assets to pay all of their debts.</w:t>
      </w:r>
      <w:r>
        <w:rPr>
          <w:noProof/>
          <w:lang w:val="en-US"/>
        </w:rPr>
        <w:t xml:space="preserve"> </w:t>
      </w:r>
    </w:p>
    <w:p w:rsidR="00B32D69" w:rsidRDefault="00FB661A">
      <w:pPr>
        <w:spacing w:before="240"/>
        <w:jc w:val="both"/>
        <w:rPr>
          <w:rFonts w:ascii="Times New Roman" w:hAnsi="Times New Roman" w:cs="Times New Roman"/>
          <w:noProof/>
          <w:sz w:val="24"/>
          <w:szCs w:val="24"/>
        </w:rPr>
      </w:pPr>
      <w:r>
        <w:rPr>
          <w:rFonts w:ascii="Times New Roman" w:hAnsi="Times New Roman" w:cs="Times New Roman"/>
          <w:b/>
          <w:noProof/>
          <w:sz w:val="24"/>
          <w:szCs w:val="24"/>
        </w:rPr>
        <w:t>Insolvency administrator</w:t>
      </w:r>
      <w:r>
        <w:rPr>
          <w:rFonts w:ascii="Times New Roman" w:hAnsi="Times New Roman" w:cs="Times New Roman"/>
          <w:noProof/>
          <w:sz w:val="24"/>
          <w:szCs w:val="24"/>
        </w:rPr>
        <w:t xml:space="preserve"> – An individual who acts in a bankruptcy to liquidate assets and distribute proceeds of sale to creditors.</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Insolvency practitioner</w:t>
      </w:r>
      <w:r>
        <w:rPr>
          <w:rFonts w:ascii="Times New Roman" w:hAnsi="Times New Roman" w:cs="Times New Roman"/>
          <w:noProof/>
          <w:sz w:val="24"/>
          <w:szCs w:val="24"/>
        </w:rPr>
        <w:t xml:space="preserve"> – A pe</w:t>
      </w:r>
      <w:r>
        <w:rPr>
          <w:rFonts w:ascii="Times New Roman" w:hAnsi="Times New Roman" w:cs="Times New Roman"/>
          <w:noProof/>
          <w:sz w:val="24"/>
          <w:szCs w:val="24"/>
        </w:rPr>
        <w:t>rson specialised in representing creditors and to administer or liquidate the assets of which the debtor has been divested or to supervise the administration of the debtor's affairs.</w:t>
      </w:r>
    </w:p>
    <w:p w:rsidR="00B32D69" w:rsidRDefault="00FB661A">
      <w:pPr>
        <w:jc w:val="both"/>
        <w:rPr>
          <w:rFonts w:ascii="Times New Roman" w:hAnsi="Times New Roman" w:cs="Times New Roman"/>
          <w:noProof/>
          <w:sz w:val="24"/>
          <w:szCs w:val="24"/>
          <w:lang w:val="en-US"/>
        </w:rPr>
      </w:pPr>
      <w:r>
        <w:rPr>
          <w:rFonts w:ascii="Times New Roman" w:eastAsia="Arial Unicode MS" w:hAnsi="Times New Roman" w:cs="Times New Roman"/>
          <w:b/>
          <w:noProof/>
          <w:sz w:val="24"/>
          <w:szCs w:val="24"/>
          <w:lang w:val="en-US"/>
        </w:rPr>
        <w:t xml:space="preserve">Insolvency proceedings – </w:t>
      </w:r>
      <w:r>
        <w:rPr>
          <w:rFonts w:ascii="Times New Roman" w:eastAsia="Arial Unicode MS" w:hAnsi="Times New Roman" w:cs="Times New Roman"/>
          <w:noProof/>
          <w:sz w:val="24"/>
          <w:szCs w:val="24"/>
          <w:lang w:val="en-US"/>
        </w:rPr>
        <w:t>Means collective insolvency proceedings which en</w:t>
      </w:r>
      <w:r>
        <w:rPr>
          <w:rFonts w:ascii="Times New Roman" w:eastAsia="Arial Unicode MS" w:hAnsi="Times New Roman" w:cs="Times New Roman"/>
          <w:noProof/>
          <w:sz w:val="24"/>
          <w:szCs w:val="24"/>
          <w:lang w:val="en-US"/>
        </w:rPr>
        <w:t>tail the partial or total divestment of a debtor and the appointment of a liquidator or an administrator normally applicable to institutions under national law and either specific to those institutions or generally applicable to any natural or legal person</w:t>
      </w:r>
      <w:r>
        <w:rPr>
          <w:rFonts w:ascii="Times New Roman" w:eastAsia="Arial Unicode MS" w:hAnsi="Times New Roman" w:cs="Times New Roman"/>
          <w:noProof/>
          <w:sz w:val="24"/>
          <w:szCs w:val="24"/>
          <w:lang w:val="en-US"/>
        </w:rPr>
        <w:t>.</w:t>
      </w:r>
      <w:r>
        <w:rPr>
          <w:rFonts w:ascii="Times New Roman" w:hAnsi="Times New Roman" w:cs="Times New Roman"/>
          <w:noProof/>
          <w:sz w:val="24"/>
          <w:szCs w:val="24"/>
          <w:vertAlign w:val="superscript"/>
        </w:rPr>
        <w:footnoteReference w:id="394"/>
      </w:r>
      <w:r>
        <w:rPr>
          <w:rFonts w:ascii="Times New Roman" w:eastAsia="Arial Unicode MS" w:hAnsi="Times New Roman" w:cs="Times New Roman"/>
          <w:noProof/>
          <w:sz w:val="24"/>
          <w:szCs w:val="24"/>
          <w:lang w:val="en-US"/>
        </w:rPr>
        <w:t xml:space="preserve"> </w:t>
      </w:r>
    </w:p>
    <w:p w:rsidR="00B32D69" w:rsidRDefault="00FB661A">
      <w:pPr>
        <w:pStyle w:val="ListParagraph"/>
        <w:numPr>
          <w:ilvl w:val="0"/>
          <w:numId w:val="64"/>
        </w:numPr>
        <w:spacing w:after="120" w:line="288" w:lineRule="auto"/>
        <w:ind w:left="357" w:hanging="357"/>
        <w:contextualSpacing w:val="0"/>
        <w:jc w:val="both"/>
        <w:rPr>
          <w:rFonts w:ascii="Times New Roman" w:hAnsi="Times New Roman"/>
          <w:noProof/>
          <w:sz w:val="24"/>
          <w:szCs w:val="24"/>
          <w:lang w:val="en-US"/>
        </w:rPr>
      </w:pPr>
      <w:r>
        <w:rPr>
          <w:rFonts w:ascii="Times New Roman" w:hAnsi="Times New Roman"/>
          <w:b/>
          <w:bCs/>
          <w:noProof/>
          <w:sz w:val="24"/>
          <w:szCs w:val="24"/>
        </w:rPr>
        <w:t xml:space="preserve">Formal insolvency proceedings – </w:t>
      </w:r>
      <w:r>
        <w:rPr>
          <w:rFonts w:ascii="Times New Roman" w:hAnsi="Times New Roman"/>
          <w:noProof/>
          <w:sz w:val="24"/>
          <w:szCs w:val="24"/>
        </w:rPr>
        <w:t>They are those provided by national laws.</w:t>
      </w:r>
      <w:r>
        <w:rPr>
          <w:rFonts w:ascii="Times New Roman" w:hAnsi="Times New Roman"/>
          <w:b/>
          <w:bCs/>
          <w:noProof/>
          <w:sz w:val="24"/>
          <w:szCs w:val="24"/>
        </w:rPr>
        <w:t xml:space="preserve"> </w:t>
      </w:r>
    </w:p>
    <w:p w:rsidR="00B32D69" w:rsidRDefault="00FB661A">
      <w:pPr>
        <w:pStyle w:val="ListParagraph"/>
        <w:numPr>
          <w:ilvl w:val="0"/>
          <w:numId w:val="64"/>
        </w:numPr>
        <w:spacing w:after="0" w:line="288" w:lineRule="auto"/>
        <w:jc w:val="both"/>
        <w:rPr>
          <w:rFonts w:ascii="Times New Roman" w:hAnsi="Times New Roman"/>
          <w:noProof/>
          <w:sz w:val="24"/>
          <w:szCs w:val="24"/>
          <w:lang w:val="en-US"/>
        </w:rPr>
      </w:pPr>
      <w:r>
        <w:rPr>
          <w:rFonts w:ascii="Times New Roman" w:hAnsi="Times New Roman"/>
          <w:b/>
          <w:bCs/>
          <w:noProof/>
          <w:sz w:val="24"/>
          <w:szCs w:val="24"/>
        </w:rPr>
        <w:t>Informal insolvency proceedings</w:t>
      </w:r>
      <w:r>
        <w:rPr>
          <w:rFonts w:ascii="Times New Roman" w:hAnsi="Times New Roman"/>
          <w:noProof/>
          <w:sz w:val="24"/>
          <w:szCs w:val="24"/>
        </w:rPr>
        <w:t xml:space="preserve"> – When creditors negotiate informally with a debtor to achieve a restructuring by consensus. Creditors with sufficiently similar interests and in</w:t>
      </w:r>
      <w:r>
        <w:rPr>
          <w:rFonts w:ascii="Times New Roman" w:hAnsi="Times New Roman"/>
          <w:noProof/>
          <w:sz w:val="24"/>
          <w:szCs w:val="24"/>
        </w:rPr>
        <w:t>centives (such as banks) may also develop their own restructuring processes, for use where a debtor with exposure to multiple creditors of that class becomes distressed.</w:t>
      </w:r>
      <w:r>
        <w:rPr>
          <w:rStyle w:val="FootnoteReference"/>
          <w:rFonts w:ascii="Times New Roman" w:hAnsi="Times New Roman"/>
          <w:noProof/>
          <w:sz w:val="24"/>
          <w:szCs w:val="24"/>
        </w:rPr>
        <w:footnoteReference w:id="395"/>
      </w:r>
      <w:r>
        <w:rPr>
          <w:rFonts w:ascii="Times New Roman" w:hAnsi="Times New Roman"/>
          <w:noProof/>
          <w:sz w:val="24"/>
          <w:szCs w:val="24"/>
          <w:vertAlign w:val="superscript"/>
        </w:rPr>
        <w:t xml:space="preserve"> </w:t>
      </w:r>
    </w:p>
    <w:p w:rsidR="00B32D69" w:rsidRDefault="00FB661A">
      <w:pPr>
        <w:spacing w:before="240"/>
        <w:jc w:val="both"/>
        <w:rPr>
          <w:rFonts w:ascii="Times New Roman" w:hAnsi="Times New Roman" w:cs="Times New Roman"/>
          <w:noProof/>
          <w:sz w:val="24"/>
          <w:szCs w:val="24"/>
        </w:rPr>
      </w:pPr>
      <w:r>
        <w:rPr>
          <w:rFonts w:ascii="Times New Roman" w:hAnsi="Times New Roman" w:cs="Times New Roman"/>
          <w:b/>
          <w:noProof/>
          <w:sz w:val="24"/>
          <w:szCs w:val="24"/>
        </w:rPr>
        <w:t>Liquidation</w:t>
      </w:r>
      <w:r>
        <w:rPr>
          <w:rFonts w:ascii="Times New Roman" w:hAnsi="Times New Roman" w:cs="Times New Roman"/>
          <w:noProof/>
          <w:sz w:val="24"/>
          <w:szCs w:val="24"/>
        </w:rPr>
        <w:t xml:space="preserve"> – A process where the assets of an insolvent company are sold and after the paying of expenses the balance to paid out to creditors according to the provisions of the appropriate statute or other legal provision. </w:t>
      </w:r>
    </w:p>
    <w:p w:rsidR="00B32D69" w:rsidRDefault="00FB661A">
      <w:pPr>
        <w:spacing w:before="240"/>
        <w:jc w:val="both"/>
        <w:rPr>
          <w:rFonts w:ascii="Times New Roman" w:hAnsi="Times New Roman" w:cs="Times New Roman"/>
          <w:noProof/>
          <w:sz w:val="24"/>
          <w:szCs w:val="24"/>
        </w:rPr>
      </w:pPr>
      <w:r>
        <w:rPr>
          <w:rFonts w:ascii="Times New Roman" w:hAnsi="Times New Roman" w:cs="Times New Roman"/>
          <w:b/>
          <w:noProof/>
          <w:sz w:val="24"/>
          <w:szCs w:val="24"/>
        </w:rPr>
        <w:t>Liquidation value</w:t>
      </w:r>
      <w:r>
        <w:rPr>
          <w:rFonts w:ascii="Times New Roman" w:hAnsi="Times New Roman" w:cs="Times New Roman"/>
          <w:noProof/>
          <w:sz w:val="24"/>
          <w:szCs w:val="24"/>
        </w:rPr>
        <w:t xml:space="preserve"> – A value received by c</w:t>
      </w:r>
      <w:r>
        <w:rPr>
          <w:rFonts w:ascii="Times New Roman" w:hAnsi="Times New Roman" w:cs="Times New Roman"/>
          <w:noProof/>
          <w:sz w:val="24"/>
          <w:szCs w:val="24"/>
        </w:rPr>
        <w:t>reditors under a restructuring plan which corresponds to what they would receive in a liquidation of the business.</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 xml:space="preserve">Mediator </w:t>
      </w:r>
      <w:r>
        <w:rPr>
          <w:rFonts w:ascii="Times New Roman" w:hAnsi="Times New Roman" w:cs="Times New Roman"/>
          <w:noProof/>
          <w:sz w:val="24"/>
          <w:szCs w:val="24"/>
        </w:rPr>
        <w:t>– A person who assists the debtor and creditors in negotiations on a restructuring plan.</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Moratorium</w:t>
      </w:r>
      <w:r>
        <w:rPr>
          <w:rFonts w:ascii="Times New Roman" w:hAnsi="Times New Roman" w:cs="Times New Roman"/>
          <w:noProof/>
          <w:sz w:val="24"/>
          <w:szCs w:val="24"/>
        </w:rPr>
        <w:t xml:space="preserve"> – See </w:t>
      </w:r>
      <w:r>
        <w:rPr>
          <w:rFonts w:ascii="Times New Roman" w:hAnsi="Times New Roman" w:cs="Times New Roman"/>
          <w:b/>
          <w:noProof/>
          <w:sz w:val="24"/>
          <w:szCs w:val="24"/>
        </w:rPr>
        <w:t>Stay</w:t>
      </w:r>
      <w:r>
        <w:rPr>
          <w:rFonts w:ascii="Times New Roman" w:hAnsi="Times New Roman" w:cs="Times New Roman"/>
          <w:noProof/>
          <w:sz w:val="24"/>
          <w:szCs w:val="24"/>
        </w:rPr>
        <w:t>.</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New finance</w:t>
      </w:r>
      <w:r>
        <w:rPr>
          <w:rFonts w:ascii="Times New Roman" w:hAnsi="Times New Roman" w:cs="Times New Roman"/>
          <w:noProof/>
          <w:sz w:val="24"/>
          <w:szCs w:val="24"/>
        </w:rPr>
        <w:t xml:space="preserve"> – Financ</w:t>
      </w:r>
      <w:r>
        <w:rPr>
          <w:rFonts w:ascii="Times New Roman" w:hAnsi="Times New Roman" w:cs="Times New Roman"/>
          <w:noProof/>
          <w:sz w:val="24"/>
          <w:szCs w:val="24"/>
        </w:rPr>
        <w:t>e that is provided to a person or company in financial distress or even when insolvent.</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NINA (person)</w:t>
      </w:r>
      <w:r>
        <w:rPr>
          <w:rFonts w:ascii="Times New Roman" w:hAnsi="Times New Roman" w:cs="Times New Roman"/>
          <w:noProof/>
          <w:sz w:val="24"/>
          <w:szCs w:val="24"/>
        </w:rPr>
        <w:t xml:space="preserve"> – No income, no asset person. It refers to persons, most unemployed, which do not have any revenues and property.</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Non-performing loan</w:t>
      </w:r>
      <w:r>
        <w:rPr>
          <w:rFonts w:ascii="Times New Roman" w:hAnsi="Times New Roman" w:cs="Times New Roman"/>
          <w:noProof/>
          <w:sz w:val="24"/>
          <w:szCs w:val="24"/>
        </w:rPr>
        <w:t xml:space="preserve"> – It is a loan that </w:t>
      </w:r>
      <w:r>
        <w:rPr>
          <w:rFonts w:ascii="Times New Roman" w:hAnsi="Times New Roman" w:cs="Times New Roman"/>
          <w:noProof/>
          <w:sz w:val="24"/>
          <w:szCs w:val="24"/>
        </w:rPr>
        <w:t>is in default or close to being in default, generally after being in default for at least 90 days.</w:t>
      </w:r>
    </w:p>
    <w:p w:rsidR="00B32D69" w:rsidRDefault="00FB661A">
      <w:pPr>
        <w:jc w:val="both"/>
        <w:rPr>
          <w:rFonts w:ascii="Times New Roman" w:hAnsi="Times New Roman" w:cs="Times New Roman"/>
          <w:noProof/>
          <w:sz w:val="24"/>
          <w:szCs w:val="24"/>
          <w:lang w:val="cs-CZ"/>
        </w:rPr>
      </w:pPr>
      <w:r>
        <w:rPr>
          <w:rFonts w:ascii="Times New Roman" w:eastAsia="Calibri" w:hAnsi="Times New Roman" w:cs="Times New Roman"/>
          <w:b/>
          <w:noProof/>
          <w:sz w:val="24"/>
          <w:szCs w:val="24"/>
        </w:rPr>
        <w:t>Non-related party (transaction)</w:t>
      </w:r>
      <w:r>
        <w:rPr>
          <w:rFonts w:ascii="Times New Roman" w:eastAsia="Calibri" w:hAnsi="Times New Roman" w:cs="Times New Roman"/>
          <w:noProof/>
          <w:sz w:val="24"/>
          <w:szCs w:val="24"/>
        </w:rPr>
        <w:t xml:space="preserve"> – A person or a company that is not connected to the insolvent, usually through association or other economic interest.</w:t>
      </w:r>
    </w:p>
    <w:p w:rsidR="00B32D69" w:rsidRDefault="00FB661A">
      <w:pPr>
        <w:jc w:val="both"/>
        <w:rPr>
          <w:rFonts w:ascii="Times New Roman" w:hAnsi="Times New Roman" w:cs="Times New Roman"/>
          <w:noProof/>
          <w:sz w:val="24"/>
          <w:szCs w:val="24"/>
          <w:lang w:val="cs-CZ"/>
        </w:rPr>
      </w:pPr>
      <w:r>
        <w:rPr>
          <w:rFonts w:ascii="Times New Roman" w:hAnsi="Times New Roman" w:cs="Times New Roman"/>
          <w:b/>
          <w:noProof/>
          <w:sz w:val="24"/>
          <w:szCs w:val="24"/>
        </w:rPr>
        <w:t>Over-</w:t>
      </w:r>
      <w:r>
        <w:rPr>
          <w:rFonts w:ascii="Times New Roman" w:hAnsi="Times New Roman" w:cs="Times New Roman"/>
          <w:b/>
          <w:noProof/>
          <w:sz w:val="24"/>
          <w:szCs w:val="24"/>
        </w:rPr>
        <w:t>indebtedness</w:t>
      </w:r>
      <w:r>
        <w:rPr>
          <w:rFonts w:ascii="Times New Roman" w:hAnsi="Times New Roman" w:cs="Times New Roman"/>
          <w:noProof/>
          <w:sz w:val="24"/>
          <w:szCs w:val="24"/>
        </w:rPr>
        <w:t xml:space="preserve"> – A situation where a company or a person’s assets do not cover their liabilities.</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Personal insolvency</w:t>
      </w:r>
      <w:r>
        <w:rPr>
          <w:rFonts w:ascii="Times New Roman" w:hAnsi="Times New Roman" w:cs="Times New Roman"/>
          <w:noProof/>
          <w:sz w:val="24"/>
          <w:szCs w:val="24"/>
        </w:rPr>
        <w:t xml:space="preserve"> – Insolvency of a consumer or entrepreneur.</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Pre-pack</w:t>
      </w:r>
      <w:r>
        <w:rPr>
          <w:rFonts w:ascii="Times New Roman" w:hAnsi="Times New Roman" w:cs="Times New Roman"/>
          <w:noProof/>
          <w:sz w:val="24"/>
          <w:szCs w:val="24"/>
        </w:rPr>
        <w:t xml:space="preserve"> – An agreement for the sale of all or part of the debtor’s business or assets which is </w:t>
      </w:r>
      <w:r>
        <w:rPr>
          <w:rFonts w:ascii="Times New Roman" w:hAnsi="Times New Roman" w:cs="Times New Roman"/>
          <w:noProof/>
          <w:sz w:val="24"/>
          <w:szCs w:val="24"/>
        </w:rPr>
        <w:t>entered into before the commencement of formal insolvency proceedings.</w:t>
      </w:r>
      <w:r>
        <w:rPr>
          <w:rFonts w:ascii="Times New Roman" w:hAnsi="Times New Roman" w:cs="Times New Roman"/>
          <w:b/>
          <w:noProof/>
          <w:sz w:val="24"/>
          <w:szCs w:val="24"/>
        </w:rPr>
        <w:t xml:space="preserve">  </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 xml:space="preserve">Restructuring </w:t>
      </w:r>
      <w:r>
        <w:rPr>
          <w:rFonts w:ascii="Times New Roman" w:hAnsi="Times New Roman" w:cs="Times New Roman"/>
          <w:noProof/>
          <w:sz w:val="24"/>
          <w:szCs w:val="24"/>
        </w:rPr>
        <w:t xml:space="preserve">– Changing the composition, conditions, or structure of assets and liabilities of debtors, or a combination of those elements, with the objective of enabling the </w:t>
      </w:r>
      <w:r>
        <w:rPr>
          <w:rFonts w:ascii="Times New Roman" w:hAnsi="Times New Roman" w:cs="Times New Roman"/>
          <w:noProof/>
          <w:sz w:val="24"/>
          <w:szCs w:val="24"/>
        </w:rPr>
        <w:t>continuation, in whole or in part, of the debtors' activity.</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Restructuring plan</w:t>
      </w:r>
      <w:r>
        <w:rPr>
          <w:rFonts w:ascii="Times New Roman" w:hAnsi="Times New Roman" w:cs="Times New Roman"/>
          <w:noProof/>
          <w:sz w:val="24"/>
          <w:szCs w:val="24"/>
        </w:rPr>
        <w:t xml:space="preserve"> – A plan aimed at restructuring of a business usually containing a description of the following elements: identification of the creditors who would be affected by the plan; the</w:t>
      </w:r>
      <w:r>
        <w:rPr>
          <w:rFonts w:ascii="Times New Roman" w:hAnsi="Times New Roman" w:cs="Times New Roman"/>
          <w:noProof/>
          <w:sz w:val="24"/>
          <w:szCs w:val="24"/>
        </w:rPr>
        <w:t xml:space="preserve"> effects of the proposed restructuring on individual debts or categories of debts; the position taken by affected creditors on the restructuring plan; where applicable, the conditions for new financing; and the potential of the plan to prevent the insolven</w:t>
      </w:r>
      <w:r>
        <w:rPr>
          <w:rFonts w:ascii="Times New Roman" w:hAnsi="Times New Roman" w:cs="Times New Roman"/>
          <w:noProof/>
          <w:sz w:val="24"/>
          <w:szCs w:val="24"/>
        </w:rPr>
        <w:t>cy of the debtor and ensure the viability of the business.</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Ranking of claims</w:t>
      </w:r>
      <w:r>
        <w:rPr>
          <w:rFonts w:ascii="Times New Roman" w:hAnsi="Times New Roman" w:cs="Times New Roman"/>
          <w:noProof/>
          <w:sz w:val="24"/>
          <w:szCs w:val="24"/>
        </w:rPr>
        <w:t xml:space="preserve"> – The order of priority established by the national legislation for the repayment of creditors in the insolvency proceedings.</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Recovery rate</w:t>
      </w:r>
      <w:r>
        <w:rPr>
          <w:rFonts w:ascii="Times New Roman" w:hAnsi="Times New Roman" w:cs="Times New Roman"/>
          <w:noProof/>
          <w:sz w:val="24"/>
          <w:szCs w:val="24"/>
        </w:rPr>
        <w:t xml:space="preserve"> – A function of the outcome, time and c</w:t>
      </w:r>
      <w:r>
        <w:rPr>
          <w:rFonts w:ascii="Times New Roman" w:hAnsi="Times New Roman" w:cs="Times New Roman"/>
          <w:noProof/>
          <w:sz w:val="24"/>
          <w:szCs w:val="24"/>
        </w:rPr>
        <w:t>ost of insolvency proceedings in respect of a particular kind of local company.</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Second chance</w:t>
      </w:r>
      <w:r>
        <w:rPr>
          <w:rFonts w:ascii="Times New Roman" w:hAnsi="Times New Roman" w:cs="Times New Roman"/>
          <w:noProof/>
          <w:sz w:val="24"/>
          <w:szCs w:val="24"/>
        </w:rPr>
        <w:t xml:space="preserve"> – The opportunity to start again in terms of Entrepreneurial activity.</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Secured creditor</w:t>
      </w:r>
      <w:r>
        <w:rPr>
          <w:rFonts w:ascii="Times New Roman" w:hAnsi="Times New Roman" w:cs="Times New Roman"/>
          <w:noProof/>
          <w:sz w:val="24"/>
          <w:szCs w:val="24"/>
        </w:rPr>
        <w:t xml:space="preserve"> – A person having a security interest that is the right over property to ensure the payment of money or the performance of some other obligation.</w:t>
      </w:r>
    </w:p>
    <w:p w:rsidR="00B32D69" w:rsidRDefault="00FB661A">
      <w:pPr>
        <w:pStyle w:val="PlainText"/>
        <w:spacing w:line="276" w:lineRule="auto"/>
        <w:jc w:val="both"/>
        <w:rPr>
          <w:rFonts w:ascii="Times New Roman" w:eastAsia="Times New Roman" w:hAnsi="Times New Roman" w:cs="Times New Roman"/>
          <w:noProof/>
          <w:sz w:val="24"/>
          <w:szCs w:val="24"/>
          <w:lang w:val="en-US"/>
        </w:rPr>
      </w:pPr>
      <w:r>
        <w:rPr>
          <w:rFonts w:ascii="Times New Roman" w:eastAsia="Arial Unicode MS" w:hAnsi="Times New Roman" w:cs="Times New Roman"/>
          <w:b/>
          <w:noProof/>
          <w:sz w:val="24"/>
          <w:szCs w:val="24"/>
          <w:lang w:val="en-US"/>
        </w:rPr>
        <w:t xml:space="preserve">Self-employed – </w:t>
      </w:r>
      <w:r>
        <w:rPr>
          <w:rFonts w:ascii="Times New Roman" w:eastAsia="Times New Roman" w:hAnsi="Times New Roman" w:cs="Times New Roman"/>
          <w:noProof/>
          <w:sz w:val="24"/>
          <w:szCs w:val="24"/>
          <w:lang w:val="en-US"/>
        </w:rPr>
        <w:t>Self-employed persons are defined as persons who are the sole owners, or joint owners, of the</w:t>
      </w:r>
      <w:r>
        <w:rPr>
          <w:rFonts w:ascii="Times New Roman" w:eastAsia="Times New Roman" w:hAnsi="Times New Roman" w:cs="Times New Roman"/>
          <w:noProof/>
          <w:sz w:val="24"/>
          <w:szCs w:val="24"/>
          <w:lang w:val="en-US"/>
        </w:rPr>
        <w:t xml:space="preserve"> unincorporated enterprises in which they work, excluding those unincorporated enterprises that are classified as quasi-corporations. Self-employed persons are classified here if they are not also in a paid employment which constitutes their principal acti</w:t>
      </w:r>
      <w:r>
        <w:rPr>
          <w:rFonts w:ascii="Times New Roman" w:eastAsia="Times New Roman" w:hAnsi="Times New Roman" w:cs="Times New Roman"/>
          <w:noProof/>
          <w:sz w:val="24"/>
          <w:szCs w:val="24"/>
          <w:lang w:val="en-US"/>
        </w:rPr>
        <w:t>vity: in that latter case they are classified under employees.</w:t>
      </w:r>
      <w:r>
        <w:rPr>
          <w:rStyle w:val="FootnoteReference"/>
          <w:rFonts w:ascii="Times New Roman" w:eastAsia="Times New Roman" w:hAnsi="Times New Roman"/>
          <w:noProof/>
          <w:sz w:val="24"/>
          <w:szCs w:val="24"/>
          <w:lang w:val="en-US"/>
        </w:rPr>
        <w:footnoteReference w:id="396"/>
      </w:r>
    </w:p>
    <w:p w:rsidR="00B32D69" w:rsidRDefault="00FB661A">
      <w:pPr>
        <w:spacing w:before="240"/>
        <w:jc w:val="both"/>
        <w:rPr>
          <w:rFonts w:ascii="Times New Roman" w:hAnsi="Times New Roman" w:cs="Times New Roman"/>
          <w:noProof/>
          <w:sz w:val="24"/>
          <w:szCs w:val="24"/>
        </w:rPr>
      </w:pPr>
      <w:r>
        <w:rPr>
          <w:rFonts w:ascii="Times New Roman" w:hAnsi="Times New Roman" w:cs="Times New Roman"/>
          <w:b/>
          <w:noProof/>
          <w:sz w:val="24"/>
          <w:szCs w:val="24"/>
        </w:rPr>
        <w:t xml:space="preserve">Shareholder </w:t>
      </w:r>
      <w:r>
        <w:rPr>
          <w:rFonts w:ascii="Times New Roman" w:hAnsi="Times New Roman" w:cs="Times New Roman"/>
          <w:noProof/>
          <w:sz w:val="24"/>
          <w:szCs w:val="24"/>
        </w:rPr>
        <w:t>– An owner of a company.</w:t>
      </w:r>
    </w:p>
    <w:p w:rsidR="00B32D69" w:rsidRDefault="00FB661A">
      <w:pPr>
        <w:spacing w:before="240"/>
        <w:jc w:val="both"/>
        <w:rPr>
          <w:rFonts w:ascii="Times New Roman" w:hAnsi="Times New Roman" w:cs="Times New Roman"/>
          <w:noProof/>
          <w:sz w:val="24"/>
          <w:szCs w:val="24"/>
        </w:rPr>
      </w:pPr>
      <w:r>
        <w:rPr>
          <w:rFonts w:ascii="Times New Roman" w:hAnsi="Times New Roman" w:cs="Times New Roman"/>
          <w:b/>
          <w:noProof/>
          <w:sz w:val="24"/>
          <w:szCs w:val="24"/>
        </w:rPr>
        <w:t>SME – Small and medium enterprise</w:t>
      </w:r>
      <w:r>
        <w:rPr>
          <w:rFonts w:ascii="Times New Roman" w:hAnsi="Times New Roman" w:cs="Times New Roman"/>
          <w:noProof/>
          <w:sz w:val="24"/>
          <w:szCs w:val="24"/>
        </w:rPr>
        <w:t xml:space="preserve"> – The category of micro, small and medium-sized enterprises (SMEs) is made up of enterprises which employ fewer than 250 </w:t>
      </w:r>
      <w:r>
        <w:rPr>
          <w:rFonts w:ascii="Times New Roman" w:hAnsi="Times New Roman" w:cs="Times New Roman"/>
          <w:noProof/>
          <w:sz w:val="24"/>
          <w:szCs w:val="24"/>
        </w:rPr>
        <w:t xml:space="preserve">persons and which have an annual turnover not exceeding EUR 50 million, and/or an annual balance sheet total not exceeding EUR 43 million.  A small enterprise is defined as an enterprise which employs fewer than 50 persons and whose annual turnover and/or </w:t>
      </w:r>
      <w:r>
        <w:rPr>
          <w:rFonts w:ascii="Times New Roman" w:hAnsi="Times New Roman" w:cs="Times New Roman"/>
          <w:noProof/>
          <w:sz w:val="24"/>
          <w:szCs w:val="24"/>
        </w:rPr>
        <w:t>annual balance sheet total does not exceed EUR 10 million. A microenterprise is defined as an enterprise which employs fewer than 10 persons and whose annual turnover and/or annual balance sheet total does not exceed EUR 2 million.</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Stay (moratorium) on enf</w:t>
      </w:r>
      <w:r>
        <w:rPr>
          <w:rFonts w:ascii="Times New Roman" w:hAnsi="Times New Roman" w:cs="Times New Roman"/>
          <w:b/>
          <w:noProof/>
          <w:sz w:val="24"/>
          <w:szCs w:val="24"/>
        </w:rPr>
        <w:t>orcement actions</w:t>
      </w:r>
      <w:r>
        <w:rPr>
          <w:rFonts w:ascii="Times New Roman" w:hAnsi="Times New Roman" w:cs="Times New Roman"/>
          <w:noProof/>
          <w:sz w:val="24"/>
          <w:szCs w:val="24"/>
        </w:rPr>
        <w:t xml:space="preserve"> – A legal bar on creditors commencing or continuing legal action to recover debt.</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Super-priority (for new financing) or also absolute priority rule</w:t>
      </w:r>
      <w:r>
        <w:rPr>
          <w:rFonts w:ascii="Times New Roman" w:hAnsi="Times New Roman" w:cs="Times New Roman"/>
          <w:noProof/>
          <w:sz w:val="24"/>
          <w:szCs w:val="24"/>
        </w:rPr>
        <w:t xml:space="preserve"> – This is a principle requiring that creditors and other claimants against the debtor’s est</w:t>
      </w:r>
      <w:r>
        <w:rPr>
          <w:rFonts w:ascii="Times New Roman" w:hAnsi="Times New Roman" w:cs="Times New Roman"/>
          <w:noProof/>
          <w:sz w:val="24"/>
          <w:szCs w:val="24"/>
        </w:rPr>
        <w:t>ate should be paid in the same order under a restructuring plan as they would be paid in a liquidation of the debtor’s business.</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 xml:space="preserve">Supervisor </w:t>
      </w:r>
      <w:r>
        <w:rPr>
          <w:rFonts w:ascii="Times New Roman" w:hAnsi="Times New Roman" w:cs="Times New Roman"/>
          <w:noProof/>
          <w:sz w:val="24"/>
          <w:szCs w:val="24"/>
        </w:rPr>
        <w:t>– A person who oversees the activities of the debtor and takes the necessary measures to safeguard the legitimate in</w:t>
      </w:r>
      <w:r>
        <w:rPr>
          <w:rFonts w:ascii="Times New Roman" w:hAnsi="Times New Roman" w:cs="Times New Roman"/>
          <w:noProof/>
          <w:sz w:val="24"/>
          <w:szCs w:val="24"/>
        </w:rPr>
        <w:t>terests of creditors and other interested parties.</w:t>
      </w:r>
    </w:p>
    <w:p w:rsidR="00B32D69" w:rsidRDefault="00FB661A">
      <w:pPr>
        <w:jc w:val="both"/>
        <w:rPr>
          <w:rFonts w:ascii="Times New Roman" w:hAnsi="Times New Roman" w:cs="Times New Roman"/>
          <w:noProof/>
          <w:sz w:val="24"/>
          <w:szCs w:val="24"/>
          <w:lang w:val="cs-CZ"/>
        </w:rPr>
      </w:pPr>
      <w:r>
        <w:rPr>
          <w:rFonts w:ascii="Times New Roman" w:hAnsi="Times New Roman" w:cs="Times New Roman"/>
          <w:b/>
          <w:noProof/>
          <w:sz w:val="24"/>
          <w:szCs w:val="24"/>
          <w:lang w:val="cs-CZ"/>
        </w:rPr>
        <w:t>Work-out (plan)</w:t>
      </w:r>
      <w:r>
        <w:rPr>
          <w:rFonts w:ascii="Times New Roman" w:hAnsi="Times New Roman" w:cs="Times New Roman"/>
          <w:noProof/>
          <w:sz w:val="24"/>
          <w:szCs w:val="24"/>
          <w:lang w:val="cs-CZ"/>
        </w:rPr>
        <w:t xml:space="preserve"> – Same as Restructuring plan.</w:t>
      </w:r>
    </w:p>
    <w:p w:rsidR="00B32D69" w:rsidRDefault="00FB661A">
      <w:pPr>
        <w:rPr>
          <w:noProof/>
        </w:rPr>
        <w:sectPr w:rsidR="00B32D69">
          <w:headerReference w:type="even" r:id="rId108"/>
          <w:headerReference w:type="default" r:id="rId109"/>
          <w:footerReference w:type="even" r:id="rId110"/>
          <w:footerReference w:type="default" r:id="rId111"/>
          <w:headerReference w:type="first" r:id="rId112"/>
          <w:footerReference w:type="first" r:id="rId113"/>
          <w:pgSz w:w="11906" w:h="16838"/>
          <w:pgMar w:top="1417" w:right="1417" w:bottom="1417" w:left="1417" w:header="708" w:footer="708" w:gutter="0"/>
          <w:cols w:space="708"/>
          <w:docGrid w:linePitch="360"/>
        </w:sectPr>
      </w:pPr>
      <w:r>
        <w:rPr>
          <w:noProof/>
        </w:rPr>
        <w:br w:type="page"/>
      </w:r>
    </w:p>
    <w:p w:rsidR="00B32D69" w:rsidRDefault="00B32D69">
      <w:pPr>
        <w:rPr>
          <w:noProof/>
        </w:rPr>
      </w:pPr>
    </w:p>
    <w:p w:rsidR="00B32D69" w:rsidRDefault="00FB661A">
      <w:pPr>
        <w:rPr>
          <w:b/>
          <w:bCs/>
          <w:iCs/>
          <w:smallCaps/>
          <w:noProof/>
        </w:rPr>
      </w:pPr>
      <w:r>
        <w:rPr>
          <w:b/>
          <w:bCs/>
          <w:iCs/>
          <w:smallCaps/>
          <w:noProof/>
        </w:rPr>
        <w:t>ANNEX 6</w:t>
      </w:r>
    </w:p>
    <w:tbl>
      <w:tblPr>
        <w:tblW w:w="0" w:type="auto"/>
        <w:tblLook w:val="04A0" w:firstRow="1" w:lastRow="0" w:firstColumn="1" w:lastColumn="0" w:noHBand="0" w:noVBand="1"/>
      </w:tblPr>
      <w:tblGrid>
        <w:gridCol w:w="922"/>
        <w:gridCol w:w="1316"/>
        <w:gridCol w:w="895"/>
        <w:gridCol w:w="1190"/>
        <w:gridCol w:w="2845"/>
        <w:gridCol w:w="3086"/>
        <w:gridCol w:w="1657"/>
        <w:gridCol w:w="1408"/>
        <w:gridCol w:w="1467"/>
        <w:gridCol w:w="1612"/>
        <w:gridCol w:w="1707"/>
        <w:gridCol w:w="1435"/>
        <w:gridCol w:w="1656"/>
      </w:tblGrid>
      <w:tr w:rsidR="00B32D69">
        <w:trPr>
          <w:trHeight w:val="6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MS</w:t>
            </w:r>
          </w:p>
        </w:tc>
        <w:tc>
          <w:tcPr>
            <w:tcW w:w="0" w:type="auto"/>
            <w:tcBorders>
              <w:top w:val="single" w:sz="4" w:space="0" w:color="7F7F7F"/>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Restructuring possibilities</w:t>
            </w:r>
          </w:p>
        </w:tc>
        <w:tc>
          <w:tcPr>
            <w:tcW w:w="0" w:type="auto"/>
            <w:tcBorders>
              <w:top w:val="single" w:sz="4" w:space="0" w:color="7F7F7F"/>
              <w:left w:val="nil"/>
              <w:bottom w:val="single" w:sz="4" w:space="0" w:color="7F7F7F"/>
              <w:right w:val="single" w:sz="4" w:space="0" w:color="7F7F7F"/>
            </w:tcBorders>
            <w:shd w:val="clear" w:color="000000" w:fill="FFCC99"/>
            <w:vAlign w:val="bottom"/>
            <w:hideMark/>
          </w:tcPr>
          <w:p w:rsidR="00B32D69" w:rsidRDefault="00FB661A">
            <w:pPr>
              <w:spacing w:after="0" w:line="240" w:lineRule="auto"/>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Early warning tools</w:t>
            </w:r>
          </w:p>
        </w:tc>
        <w:tc>
          <w:tcPr>
            <w:tcW w:w="0" w:type="auto"/>
            <w:tcBorders>
              <w:top w:val="single" w:sz="4" w:space="0" w:color="7F7F7F"/>
              <w:left w:val="nil"/>
              <w:bottom w:val="single" w:sz="4" w:space="0" w:color="7F7F7F"/>
              <w:right w:val="single" w:sz="4" w:space="0" w:color="7F7F7F"/>
            </w:tcBorders>
            <w:shd w:val="clear" w:color="000000" w:fill="FFCC99"/>
            <w:vAlign w:val="bottom"/>
            <w:hideMark/>
          </w:tcPr>
          <w:p w:rsidR="00B32D69" w:rsidRDefault="00FB661A">
            <w:pPr>
              <w:spacing w:after="0" w:line="240" w:lineRule="auto"/>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Length of insolvency proceedings</w:t>
            </w:r>
          </w:p>
        </w:tc>
        <w:tc>
          <w:tcPr>
            <w:tcW w:w="0" w:type="auto"/>
            <w:tcBorders>
              <w:top w:val="single" w:sz="4" w:space="0" w:color="7F7F7F"/>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Restructuring</w:t>
            </w:r>
            <w:r>
              <w:rPr>
                <w:rFonts w:ascii="Calibri" w:eastAsia="Times New Roman" w:hAnsi="Calibri" w:cs="Times New Roman"/>
                <w:b/>
                <w:bCs/>
                <w:noProof/>
                <w:color w:val="FA7D00"/>
                <w:sz w:val="16"/>
                <w:szCs w:val="16"/>
                <w:lang w:eastAsia="en-GB"/>
              </w:rPr>
              <w:t xml:space="preserve"> procedure scored</w:t>
            </w:r>
          </w:p>
        </w:tc>
        <w:tc>
          <w:tcPr>
            <w:tcW w:w="0" w:type="auto"/>
            <w:tcBorders>
              <w:top w:val="single" w:sz="4" w:space="0" w:color="7F7F7F"/>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Conditions for initiating the procedure</w:t>
            </w:r>
          </w:p>
        </w:tc>
        <w:tc>
          <w:tcPr>
            <w:tcW w:w="0" w:type="auto"/>
            <w:tcBorders>
              <w:top w:val="single" w:sz="4" w:space="0" w:color="7F7F7F"/>
              <w:left w:val="nil"/>
              <w:bottom w:val="single" w:sz="4" w:space="0" w:color="7F7F7F"/>
              <w:right w:val="single" w:sz="4" w:space="0" w:color="7F7F7F"/>
            </w:tcBorders>
            <w:shd w:val="clear" w:color="000000" w:fill="F2F2F2"/>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Debtor in possession</w:t>
            </w:r>
          </w:p>
        </w:tc>
        <w:tc>
          <w:tcPr>
            <w:tcW w:w="0" w:type="auto"/>
            <w:tcBorders>
              <w:top w:val="single" w:sz="4" w:space="0" w:color="7F7F7F"/>
              <w:left w:val="nil"/>
              <w:bottom w:val="single" w:sz="4" w:space="0" w:color="7F7F7F"/>
              <w:right w:val="single" w:sz="4" w:space="0" w:color="7F7F7F"/>
            </w:tcBorders>
            <w:shd w:val="clear" w:color="000000" w:fill="F2F2F2"/>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 xml:space="preserve">Possibility of stay </w:t>
            </w:r>
          </w:p>
        </w:tc>
        <w:tc>
          <w:tcPr>
            <w:tcW w:w="0" w:type="auto"/>
            <w:tcBorders>
              <w:top w:val="single" w:sz="4" w:space="0" w:color="7F7F7F"/>
              <w:left w:val="nil"/>
              <w:bottom w:val="single" w:sz="4" w:space="0" w:color="7F7F7F"/>
              <w:right w:val="single" w:sz="4" w:space="0" w:color="7F7F7F"/>
            </w:tcBorders>
            <w:shd w:val="clear" w:color="000000" w:fill="F2F2F2"/>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Length of stay</w:t>
            </w:r>
          </w:p>
        </w:tc>
        <w:tc>
          <w:tcPr>
            <w:tcW w:w="0" w:type="auto"/>
            <w:tcBorders>
              <w:top w:val="single" w:sz="4" w:space="0" w:color="7F7F7F"/>
              <w:left w:val="nil"/>
              <w:bottom w:val="single" w:sz="4" w:space="0" w:color="7F7F7F"/>
              <w:right w:val="single" w:sz="4" w:space="0" w:color="7F7F7F"/>
            </w:tcBorders>
            <w:shd w:val="clear" w:color="000000" w:fill="F2F2F2"/>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Cram-down involving all classes of creditors</w:t>
            </w:r>
          </w:p>
        </w:tc>
        <w:tc>
          <w:tcPr>
            <w:tcW w:w="0" w:type="auto"/>
            <w:tcBorders>
              <w:top w:val="single" w:sz="4" w:space="0" w:color="7F7F7F"/>
              <w:left w:val="nil"/>
              <w:bottom w:val="single" w:sz="4" w:space="0" w:color="7F7F7F"/>
              <w:right w:val="single" w:sz="4" w:space="0" w:color="7F7F7F"/>
            </w:tcBorders>
            <w:shd w:val="clear" w:color="000000" w:fill="F2F2F2"/>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New financing support measures</w:t>
            </w:r>
          </w:p>
        </w:tc>
        <w:tc>
          <w:tcPr>
            <w:tcW w:w="0" w:type="auto"/>
            <w:tcBorders>
              <w:top w:val="single" w:sz="4" w:space="0" w:color="7F7F7F"/>
              <w:left w:val="nil"/>
              <w:bottom w:val="single" w:sz="4" w:space="0" w:color="7F7F7F"/>
              <w:right w:val="single" w:sz="4" w:space="0" w:color="7F7F7F"/>
            </w:tcBorders>
            <w:shd w:val="clear" w:color="000000" w:fill="F2F2F2"/>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 xml:space="preserve">Court involvement </w:t>
            </w:r>
          </w:p>
        </w:tc>
        <w:tc>
          <w:tcPr>
            <w:tcW w:w="0" w:type="auto"/>
            <w:tcBorders>
              <w:top w:val="single" w:sz="4" w:space="0" w:color="B2B2B2"/>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Discharge periods</w:t>
            </w:r>
          </w:p>
        </w:tc>
      </w:tr>
      <w:tr w:rsidR="00B32D69">
        <w:trPr>
          <w:trHeight w:val="5100"/>
        </w:trPr>
        <w:tc>
          <w:tcPr>
            <w:tcW w:w="0" w:type="auto"/>
            <w:tcBorders>
              <w:top w:val="nil"/>
              <w:left w:val="nil"/>
              <w:bottom w:val="nil"/>
              <w:right w:val="nil"/>
            </w:tcBorders>
            <w:shd w:val="clear" w:color="auto" w:fill="auto"/>
            <w:noWrap/>
            <w:hideMark/>
          </w:tcPr>
          <w:p w:rsidR="00B32D69" w:rsidRDefault="00B32D69">
            <w:pPr>
              <w:spacing w:after="0" w:line="240" w:lineRule="auto"/>
              <w:rPr>
                <w:rFonts w:ascii="Calibri" w:eastAsia="Times New Roman" w:hAnsi="Calibri" w:cs="Times New Roman"/>
                <w:noProof/>
                <w:color w:val="000000"/>
                <w:sz w:val="16"/>
                <w:szCs w:val="16"/>
                <w:lang w:eastAsia="en-GB"/>
              </w:rPr>
            </w:pPr>
          </w:p>
        </w:tc>
        <w:tc>
          <w:tcPr>
            <w:tcW w:w="0" w:type="auto"/>
            <w:tcBorders>
              <w:top w:val="nil"/>
              <w:left w:val="single" w:sz="4" w:space="0" w:color="7F7F7F"/>
              <w:bottom w:val="single" w:sz="4" w:space="0" w:color="7F7F7F"/>
              <w:right w:val="single" w:sz="4" w:space="0" w:color="7F7F7F"/>
            </w:tcBorders>
            <w:shd w:val="clear" w:color="000000" w:fill="FFCC99"/>
            <w:hideMark/>
          </w:tcPr>
          <w:p w:rsidR="00B32D69" w:rsidRDefault="00FB661A">
            <w:pPr>
              <w:spacing w:after="0" w:line="240" w:lineRule="auto"/>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 xml:space="preserve">0 - no possibility of restructuring, 1-late possibility inside insolvency procedures, 2-somewhat earlier possibility, when firm is only in imminent insolvency; 3-early possibility, when debtor is in financial difficulties </w:t>
            </w:r>
          </w:p>
        </w:tc>
        <w:tc>
          <w:tcPr>
            <w:tcW w:w="0" w:type="auto"/>
            <w:tcBorders>
              <w:top w:val="nil"/>
              <w:left w:val="nil"/>
              <w:bottom w:val="single" w:sz="4" w:space="0" w:color="7F7F7F"/>
              <w:right w:val="single" w:sz="4" w:space="0" w:color="7F7F7F"/>
            </w:tcBorders>
            <w:shd w:val="clear" w:color="000000" w:fill="FFCC99"/>
            <w:hideMark/>
          </w:tcPr>
          <w:p w:rsidR="00B32D69" w:rsidRDefault="00FB661A">
            <w:pPr>
              <w:spacing w:after="0" w:line="240" w:lineRule="auto"/>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0-no tools; 1-1 or 2 tools; 2-3 o</w:t>
            </w:r>
            <w:r>
              <w:rPr>
                <w:rFonts w:ascii="Calibri" w:eastAsia="Times New Roman" w:hAnsi="Calibri" w:cs="Times New Roman"/>
                <w:noProof/>
                <w:color w:val="3F3F76"/>
                <w:sz w:val="16"/>
                <w:szCs w:val="16"/>
                <w:lang w:eastAsia="en-GB"/>
              </w:rPr>
              <w:t>r 4 tools; 3-5 tools or more</w:t>
            </w:r>
          </w:p>
        </w:tc>
        <w:tc>
          <w:tcPr>
            <w:tcW w:w="0" w:type="auto"/>
            <w:tcBorders>
              <w:top w:val="nil"/>
              <w:left w:val="nil"/>
              <w:bottom w:val="single" w:sz="4" w:space="0" w:color="7F7F7F"/>
              <w:right w:val="single" w:sz="4" w:space="0" w:color="7F7F7F"/>
            </w:tcBorders>
            <w:shd w:val="clear" w:color="000000" w:fill="FFCC99"/>
            <w:hideMark/>
          </w:tcPr>
          <w:p w:rsidR="00B32D69" w:rsidRDefault="00FB661A">
            <w:pPr>
              <w:spacing w:after="0" w:line="240" w:lineRule="auto"/>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0-more than 2 years; 1-between 1.5 and 2 years; 2- between 1 and 1.5 years; 3-under 1 year</w:t>
            </w:r>
          </w:p>
        </w:tc>
        <w:tc>
          <w:tcPr>
            <w:tcW w:w="0" w:type="auto"/>
            <w:tcBorders>
              <w:top w:val="nil"/>
              <w:left w:val="nil"/>
              <w:bottom w:val="single" w:sz="4" w:space="0" w:color="7F7F7F"/>
              <w:right w:val="single" w:sz="4" w:space="0" w:color="7F7F7F"/>
            </w:tcBorders>
            <w:shd w:val="clear" w:color="000000" w:fill="F2F2F2"/>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 xml:space="preserve">Where more than one restructuring procedures exists in the Member States, the information in this table relates to that procedure which </w:t>
            </w:r>
            <w:r>
              <w:rPr>
                <w:rFonts w:ascii="Calibri" w:eastAsia="Times New Roman" w:hAnsi="Calibri" w:cs="Times New Roman"/>
                <w:b/>
                <w:bCs/>
                <w:noProof/>
                <w:color w:val="FA7D00"/>
                <w:sz w:val="16"/>
                <w:szCs w:val="16"/>
                <w:lang w:eastAsia="en-GB"/>
              </w:rPr>
              <w:t>yielded higher scores on most of the dimensions analysed.</w:t>
            </w:r>
          </w:p>
        </w:tc>
        <w:tc>
          <w:tcPr>
            <w:tcW w:w="0" w:type="auto"/>
            <w:tcBorders>
              <w:top w:val="nil"/>
              <w:left w:val="nil"/>
              <w:bottom w:val="single" w:sz="4" w:space="0" w:color="7F7F7F"/>
              <w:right w:val="single" w:sz="4" w:space="0" w:color="7F7F7F"/>
            </w:tcBorders>
            <w:shd w:val="clear" w:color="000000" w:fill="F2F2F2"/>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 xml:space="preserve">0-debtor must be insolvent; 1- insolvency must be imminent, and produce a certificate or other expert evidence; or the procedure must be launched with a big majority of creditors agreeing (60% in </w:t>
            </w:r>
            <w:r>
              <w:rPr>
                <w:rFonts w:ascii="Calibri" w:eastAsia="Times New Roman" w:hAnsi="Calibri" w:cs="Times New Roman"/>
                <w:b/>
                <w:bCs/>
                <w:noProof/>
                <w:color w:val="FA7D00"/>
                <w:sz w:val="16"/>
                <w:szCs w:val="16"/>
                <w:lang w:eastAsia="en-GB"/>
              </w:rPr>
              <w:t>IT); 2-insolvency must be imminent, but no expert evidence required; 3-debtor must be in financial difficulties; 4-no test required</w:t>
            </w:r>
          </w:p>
        </w:tc>
        <w:tc>
          <w:tcPr>
            <w:tcW w:w="0" w:type="auto"/>
            <w:tcBorders>
              <w:top w:val="nil"/>
              <w:left w:val="nil"/>
              <w:bottom w:val="single" w:sz="4" w:space="0" w:color="7F7F7F"/>
              <w:right w:val="single" w:sz="4" w:space="0" w:color="7F7F7F"/>
            </w:tcBorders>
            <w:shd w:val="clear" w:color="000000" w:fill="F2F2F2"/>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0-debtor may be divested of the day-to-day operation of business and an insolvency practitioner appointed by court; 1-an ins</w:t>
            </w:r>
            <w:r>
              <w:rPr>
                <w:rFonts w:ascii="Calibri" w:eastAsia="Times New Roman" w:hAnsi="Calibri" w:cs="Times New Roman"/>
                <w:b/>
                <w:bCs/>
                <w:noProof/>
                <w:color w:val="FA7D00"/>
                <w:sz w:val="16"/>
                <w:szCs w:val="16"/>
                <w:lang w:eastAsia="en-GB"/>
              </w:rPr>
              <w:t>olvency practitioner is appointed by the court, but he does not take over the administration of business, or the court itself supervises the procedure; 2- an insolvency practitioner can be appointed outside court (e.g. elected by the committee of creditors</w:t>
            </w:r>
            <w:r>
              <w:rPr>
                <w:rFonts w:ascii="Calibri" w:eastAsia="Times New Roman" w:hAnsi="Calibri" w:cs="Times New Roman"/>
                <w:b/>
                <w:bCs/>
                <w:noProof/>
                <w:color w:val="FA7D00"/>
                <w:sz w:val="16"/>
                <w:szCs w:val="16"/>
                <w:lang w:eastAsia="en-GB"/>
              </w:rPr>
              <w:t>); 3-no obligation to appoint an insolvency practitioner</w:t>
            </w:r>
          </w:p>
        </w:tc>
        <w:tc>
          <w:tcPr>
            <w:tcW w:w="0" w:type="auto"/>
            <w:tcBorders>
              <w:top w:val="nil"/>
              <w:left w:val="nil"/>
              <w:bottom w:val="single" w:sz="4" w:space="0" w:color="7F7F7F"/>
              <w:right w:val="single" w:sz="4" w:space="0" w:color="7F7F7F"/>
            </w:tcBorders>
            <w:shd w:val="clear" w:color="000000" w:fill="F2F2F2"/>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 xml:space="preserve"> 0-no possibility of stay; 1-stay is general and automatic; 2- stay is general but on request; 3-stay is targeted and on request </w:t>
            </w:r>
          </w:p>
        </w:tc>
        <w:tc>
          <w:tcPr>
            <w:tcW w:w="0" w:type="auto"/>
            <w:tcBorders>
              <w:top w:val="nil"/>
              <w:left w:val="nil"/>
              <w:bottom w:val="single" w:sz="4" w:space="0" w:color="7F7F7F"/>
              <w:right w:val="single" w:sz="4" w:space="0" w:color="7F7F7F"/>
            </w:tcBorders>
            <w:shd w:val="clear" w:color="000000" w:fill="F2F2F2"/>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 xml:space="preserve"> 0-no possibility of stay; 1-possibility of stay for longer than 4 months or for an indefinite period; 2-possibility of stay for less than 2 months; 3-possibility of stay between 2 and 4 months</w:t>
            </w:r>
          </w:p>
        </w:tc>
        <w:tc>
          <w:tcPr>
            <w:tcW w:w="0" w:type="auto"/>
            <w:tcBorders>
              <w:top w:val="nil"/>
              <w:left w:val="nil"/>
              <w:bottom w:val="single" w:sz="4" w:space="0" w:color="7F7F7F"/>
              <w:right w:val="single" w:sz="4" w:space="0" w:color="7F7F7F"/>
            </w:tcBorders>
            <w:shd w:val="clear" w:color="000000" w:fill="F2F2F2"/>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0-no possibility of cram-down or no possibility of affecting t</w:t>
            </w:r>
            <w:r>
              <w:rPr>
                <w:rFonts w:ascii="Calibri" w:eastAsia="Times New Roman" w:hAnsi="Calibri" w:cs="Times New Roman"/>
                <w:b/>
                <w:bCs/>
                <w:noProof/>
                <w:color w:val="FA7D00"/>
                <w:sz w:val="16"/>
                <w:szCs w:val="16"/>
                <w:lang w:eastAsia="en-GB"/>
              </w:rPr>
              <w:t>he rights of creditors; 1-possibility of cram-down , but certain creditors excluded(tax authorities, employees, secured creditors, commercial creditors); 2-possibility of cram-down involving all types of creditors and all creditors, whether affected or not</w:t>
            </w:r>
            <w:r>
              <w:rPr>
                <w:rFonts w:ascii="Calibri" w:eastAsia="Times New Roman" w:hAnsi="Calibri" w:cs="Times New Roman"/>
                <w:b/>
                <w:bCs/>
                <w:noProof/>
                <w:color w:val="FA7D00"/>
                <w:sz w:val="16"/>
                <w:szCs w:val="16"/>
                <w:lang w:eastAsia="en-GB"/>
              </w:rPr>
              <w:t xml:space="preserve">; 3-possibility of cram-down involving all types of creditors and possibility to involve only those who would be affected by the plan </w:t>
            </w:r>
          </w:p>
        </w:tc>
        <w:tc>
          <w:tcPr>
            <w:tcW w:w="0" w:type="auto"/>
            <w:tcBorders>
              <w:top w:val="nil"/>
              <w:left w:val="nil"/>
              <w:bottom w:val="single" w:sz="4" w:space="0" w:color="7F7F7F"/>
              <w:right w:val="single" w:sz="4" w:space="0" w:color="7F7F7F"/>
            </w:tcBorders>
            <w:shd w:val="clear" w:color="000000" w:fill="F2F2F2"/>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0-new finance not allowed; 1-new finance not forbidden, but on the risk of debtor; 2-new finance can have super-priority;</w:t>
            </w:r>
            <w:r>
              <w:rPr>
                <w:rFonts w:ascii="Calibri" w:eastAsia="Times New Roman" w:hAnsi="Calibri" w:cs="Times New Roman"/>
                <w:b/>
                <w:bCs/>
                <w:noProof/>
                <w:color w:val="FA7D00"/>
                <w:sz w:val="16"/>
                <w:szCs w:val="16"/>
                <w:lang w:eastAsia="en-GB"/>
              </w:rPr>
              <w:t xml:space="preserve"> 3-new finance is exempted from avoidance actions</w:t>
            </w:r>
          </w:p>
        </w:tc>
        <w:tc>
          <w:tcPr>
            <w:tcW w:w="0" w:type="auto"/>
            <w:tcBorders>
              <w:top w:val="nil"/>
              <w:left w:val="nil"/>
              <w:bottom w:val="single" w:sz="4" w:space="0" w:color="7F7F7F"/>
              <w:right w:val="single" w:sz="4" w:space="0" w:color="7F7F7F"/>
            </w:tcBorders>
            <w:shd w:val="clear" w:color="000000" w:fill="F2F2F2"/>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 xml:space="preserve">0-full court involvement, from launch of the procedure to end, including appointing an insolvency practitioner and voting by creditors in court; 1-court involvement from launch, but negotiations and voting </w:t>
            </w:r>
            <w:r>
              <w:rPr>
                <w:rFonts w:ascii="Calibri" w:eastAsia="Times New Roman" w:hAnsi="Calibri" w:cs="Times New Roman"/>
                <w:b/>
                <w:bCs/>
                <w:noProof/>
                <w:color w:val="FA7D00"/>
                <w:sz w:val="16"/>
                <w:szCs w:val="16"/>
                <w:lang w:eastAsia="en-GB"/>
              </w:rPr>
              <w:t>out-side court; 2-limited court involvement, only for appointing the insolvency practitioner or the confirmation of plan;</w:t>
            </w:r>
          </w:p>
        </w:tc>
        <w:tc>
          <w:tcPr>
            <w:tcW w:w="0" w:type="auto"/>
            <w:tcBorders>
              <w:top w:val="nil"/>
              <w:left w:val="single" w:sz="4" w:space="0" w:color="B2B2B2"/>
              <w:bottom w:val="single" w:sz="4" w:space="0" w:color="B2B2B2"/>
              <w:right w:val="single" w:sz="4" w:space="0" w:color="B2B2B2"/>
            </w:tcBorders>
            <w:shd w:val="clear" w:color="000000" w:fill="FFFFCC"/>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 xml:space="preserve">0-no discharge; 1-indefinite discharge period,  discretion for the judge or discharge period of more than 3 years; 2-discharge period </w:t>
            </w:r>
            <w:r>
              <w:rPr>
                <w:rFonts w:ascii="Calibri" w:eastAsia="Times New Roman" w:hAnsi="Calibri" w:cs="Times New Roman"/>
                <w:noProof/>
                <w:color w:val="000000"/>
                <w:sz w:val="16"/>
                <w:szCs w:val="16"/>
                <w:lang w:eastAsia="en-GB"/>
              </w:rPr>
              <w:t xml:space="preserve">of 3 years but conditional on certain factors, eg payment of a percentage of debt; 3-discharge period of 3 years or less with no repayment threshold </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AT</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0</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 </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2</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BE</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3</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3</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 xml:space="preserve">Formal reorganisation </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1</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BG</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0</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0</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 </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0</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CY</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3</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1</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Examinership</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2</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CZ</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1</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1</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0</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 </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1</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DK</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1</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3</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 </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1</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EE</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3</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0</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 </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1</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FI</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3</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3</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 </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2</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FR</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3</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1</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Procedure de sauvegarde</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2</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DE</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3</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Protective shield procedure</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2</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EL</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3</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0</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Rehabilitation procedure</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3</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HU</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1</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1</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1</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Bankruptcy procedure</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1</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IE</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1</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3</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Examinership procedure</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1</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IT</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3</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1</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1</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val="it-IT" w:eastAsia="en-GB"/>
              </w:rPr>
            </w:pPr>
            <w:r>
              <w:rPr>
                <w:rFonts w:ascii="Calibri" w:eastAsia="Times New Roman" w:hAnsi="Calibri" w:cs="Times New Roman"/>
                <w:b/>
                <w:bCs/>
                <w:noProof/>
                <w:color w:val="FA7D00"/>
                <w:sz w:val="16"/>
                <w:szCs w:val="16"/>
                <w:lang w:val="it-IT" w:eastAsia="en-GB"/>
              </w:rPr>
              <w:t xml:space="preserve">Accordo di ristrutturazione dei debiti </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1</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LV</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3</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 xml:space="preserve">Restructuring proceedings </w:t>
            </w:r>
            <w:r>
              <w:rPr>
                <w:rFonts w:ascii="Calibri" w:eastAsia="Times New Roman" w:hAnsi="Calibri" w:cs="Times New Roman"/>
                <w:b/>
                <w:bCs/>
                <w:noProof/>
                <w:color w:val="FA7D00"/>
                <w:sz w:val="16"/>
                <w:szCs w:val="16"/>
                <w:lang w:eastAsia="en-GB"/>
              </w:rPr>
              <w:t>(in-court)</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1</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LT</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1</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0</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Interim measure during insolvency</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2</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LU</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1</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Concordat preventif de faillite</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1</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MT</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0</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0</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Company recovery procedure</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1</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NL</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3</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Surseance van betaling</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3</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PL</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0</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Arrangement proceedings</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1</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PT</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3</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3</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1</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SIREVE</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1</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RO</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3</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1</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0</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Preventive scheme of composition</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1</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SK</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1</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1</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0</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 </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0</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single" w:sz="4" w:space="0" w:color="B2B2B2"/>
              <w:bottom w:val="single" w:sz="4" w:space="0" w:color="B2B2B2"/>
              <w:right w:val="single" w:sz="4" w:space="0" w:color="B2B2B2"/>
            </w:tcBorders>
            <w:shd w:val="clear" w:color="000000" w:fill="FFFFCC"/>
            <w:noWrap/>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2</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SI</w:t>
            </w:r>
          </w:p>
        </w:tc>
        <w:tc>
          <w:tcPr>
            <w:tcW w:w="0" w:type="auto"/>
            <w:tcBorders>
              <w:top w:val="nil"/>
              <w:left w:val="single" w:sz="4" w:space="0" w:color="7F7F7F"/>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3</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1</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3</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Compulsory settlement procedure</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2</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ES</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Cram-down procedure</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single" w:sz="4" w:space="0" w:color="B2B2B2"/>
              <w:bottom w:val="single" w:sz="4" w:space="0" w:color="B2B2B2"/>
              <w:right w:val="single" w:sz="4" w:space="0" w:color="B2B2B2"/>
            </w:tcBorders>
            <w:shd w:val="clear" w:color="000000" w:fill="FFFFCC"/>
            <w:noWrap/>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1</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SE</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3</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2</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1</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 </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3</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UK</w:t>
            </w:r>
          </w:p>
        </w:tc>
        <w:tc>
          <w:tcPr>
            <w:tcW w:w="0" w:type="auto"/>
            <w:tcBorders>
              <w:top w:val="nil"/>
              <w:left w:val="single" w:sz="4" w:space="0" w:color="7F7F7F"/>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3</w:t>
            </w:r>
          </w:p>
        </w:tc>
        <w:tc>
          <w:tcPr>
            <w:tcW w:w="0" w:type="auto"/>
            <w:tcBorders>
              <w:top w:val="nil"/>
              <w:left w:val="nil"/>
              <w:bottom w:val="single" w:sz="4" w:space="0" w:color="7F7F7F"/>
              <w:right w:val="single" w:sz="4" w:space="0" w:color="7F7F7F"/>
            </w:tcBorders>
            <w:shd w:val="clear" w:color="000000" w:fill="FFCC99"/>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3</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3</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Company Voluntary Arrangement</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4</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2</w:t>
            </w:r>
          </w:p>
        </w:tc>
        <w:tc>
          <w:tcPr>
            <w:tcW w:w="0" w:type="auto"/>
            <w:tcBorders>
              <w:top w:val="nil"/>
              <w:left w:val="single" w:sz="4" w:space="0" w:color="B2B2B2"/>
              <w:bottom w:val="single" w:sz="4" w:space="0" w:color="B2B2B2"/>
              <w:right w:val="single" w:sz="4" w:space="0" w:color="B2B2B2"/>
            </w:tcBorders>
            <w:shd w:val="clear" w:color="000000" w:fill="FFFFCC"/>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3</w:t>
            </w:r>
          </w:p>
        </w:tc>
      </w:tr>
      <w:tr w:rsidR="00B32D69">
        <w:trPr>
          <w:trHeight w:val="300"/>
        </w:trPr>
        <w:tc>
          <w:tcPr>
            <w:tcW w:w="0" w:type="auto"/>
            <w:tcBorders>
              <w:top w:val="nil"/>
              <w:left w:val="nil"/>
              <w:bottom w:val="nil"/>
              <w:right w:val="nil"/>
            </w:tcBorders>
            <w:shd w:val="clear" w:color="auto" w:fill="auto"/>
            <w:noWrap/>
            <w:vAlign w:val="bottom"/>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HR</w:t>
            </w:r>
          </w:p>
        </w:tc>
        <w:tc>
          <w:tcPr>
            <w:tcW w:w="0" w:type="auto"/>
            <w:tcBorders>
              <w:top w:val="nil"/>
              <w:left w:val="single" w:sz="4" w:space="0" w:color="7F7F7F"/>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1</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0</w:t>
            </w:r>
          </w:p>
        </w:tc>
        <w:tc>
          <w:tcPr>
            <w:tcW w:w="0" w:type="auto"/>
            <w:tcBorders>
              <w:top w:val="nil"/>
              <w:left w:val="nil"/>
              <w:bottom w:val="single" w:sz="4" w:space="0" w:color="7F7F7F"/>
              <w:right w:val="single" w:sz="4" w:space="0" w:color="7F7F7F"/>
            </w:tcBorders>
            <w:shd w:val="clear" w:color="000000" w:fill="FFCC99"/>
            <w:noWrap/>
            <w:vAlign w:val="bottom"/>
            <w:hideMark/>
          </w:tcPr>
          <w:p w:rsidR="00B32D69" w:rsidRDefault="00FB661A">
            <w:pPr>
              <w:spacing w:after="0" w:line="240" w:lineRule="auto"/>
              <w:jc w:val="right"/>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0</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 </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3</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nil"/>
              <w:bottom w:val="single" w:sz="4" w:space="0" w:color="7F7F7F"/>
              <w:right w:val="single" w:sz="4" w:space="0" w:color="7F7F7F"/>
            </w:tcBorders>
            <w:shd w:val="clear" w:color="000000" w:fill="F2F2F2"/>
            <w:noWrap/>
            <w:vAlign w:val="bottom"/>
            <w:hideMark/>
          </w:tcPr>
          <w:p w:rsidR="00B32D69" w:rsidRDefault="00FB661A">
            <w:pPr>
              <w:spacing w:after="0" w:line="240" w:lineRule="auto"/>
              <w:jc w:val="right"/>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1</w:t>
            </w:r>
          </w:p>
        </w:tc>
        <w:tc>
          <w:tcPr>
            <w:tcW w:w="0" w:type="auto"/>
            <w:tcBorders>
              <w:top w:val="nil"/>
              <w:left w:val="single" w:sz="4" w:space="0" w:color="B2B2B2"/>
              <w:bottom w:val="single" w:sz="4" w:space="0" w:color="B2B2B2"/>
              <w:right w:val="single" w:sz="4" w:space="0" w:color="B2B2B2"/>
            </w:tcBorders>
            <w:shd w:val="clear" w:color="000000" w:fill="FFFFCC"/>
            <w:noWrap/>
            <w:vAlign w:val="bottom"/>
            <w:hideMark/>
          </w:tcPr>
          <w:p w:rsidR="00B32D69" w:rsidRDefault="00FB661A">
            <w:pPr>
              <w:spacing w:after="0" w:line="240" w:lineRule="auto"/>
              <w:jc w:val="right"/>
              <w:rPr>
                <w:rFonts w:ascii="Calibri" w:eastAsia="Times New Roman" w:hAnsi="Calibri" w:cs="Times New Roman"/>
                <w:noProof/>
                <w:sz w:val="16"/>
                <w:szCs w:val="16"/>
                <w:lang w:eastAsia="en-GB"/>
              </w:rPr>
            </w:pPr>
            <w:r>
              <w:rPr>
                <w:rFonts w:ascii="Calibri" w:eastAsia="Times New Roman" w:hAnsi="Calibri" w:cs="Times New Roman"/>
                <w:noProof/>
                <w:sz w:val="16"/>
                <w:szCs w:val="16"/>
                <w:lang w:eastAsia="en-GB"/>
              </w:rPr>
              <w:t>1</w:t>
            </w:r>
          </w:p>
        </w:tc>
      </w:tr>
      <w:tr w:rsidR="00B32D69">
        <w:trPr>
          <w:trHeight w:val="705"/>
        </w:trPr>
        <w:tc>
          <w:tcPr>
            <w:tcW w:w="0" w:type="auto"/>
            <w:tcBorders>
              <w:top w:val="nil"/>
              <w:left w:val="nil"/>
              <w:bottom w:val="nil"/>
              <w:right w:val="nil"/>
            </w:tcBorders>
            <w:shd w:val="clear" w:color="auto" w:fill="auto"/>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Source</w:t>
            </w:r>
          </w:p>
        </w:tc>
        <w:tc>
          <w:tcPr>
            <w:tcW w:w="0" w:type="auto"/>
            <w:tcBorders>
              <w:top w:val="nil"/>
              <w:left w:val="single" w:sz="4" w:space="0" w:color="7F7F7F"/>
              <w:bottom w:val="single" w:sz="4" w:space="0" w:color="7F7F7F"/>
              <w:right w:val="single" w:sz="4" w:space="0" w:color="7F7F7F"/>
            </w:tcBorders>
            <w:shd w:val="clear" w:color="000000" w:fill="FFCC99"/>
            <w:hideMark/>
          </w:tcPr>
          <w:p w:rsidR="00B32D69" w:rsidRDefault="00FB661A">
            <w:pPr>
              <w:spacing w:after="0" w:line="240" w:lineRule="auto"/>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INSOL Study</w:t>
            </w:r>
          </w:p>
        </w:tc>
        <w:tc>
          <w:tcPr>
            <w:tcW w:w="0" w:type="auto"/>
            <w:tcBorders>
              <w:top w:val="nil"/>
              <w:left w:val="nil"/>
              <w:bottom w:val="single" w:sz="4" w:space="0" w:color="7F7F7F"/>
              <w:right w:val="single" w:sz="4" w:space="0" w:color="7F7F7F"/>
            </w:tcBorders>
            <w:shd w:val="clear" w:color="000000" w:fill="FFCC99"/>
            <w:hideMark/>
          </w:tcPr>
          <w:p w:rsidR="00B32D69" w:rsidRDefault="00FB661A">
            <w:pPr>
              <w:spacing w:after="0" w:line="240" w:lineRule="auto"/>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Business Dynamics study</w:t>
            </w:r>
          </w:p>
        </w:tc>
        <w:tc>
          <w:tcPr>
            <w:tcW w:w="0" w:type="auto"/>
            <w:tcBorders>
              <w:top w:val="nil"/>
              <w:left w:val="nil"/>
              <w:bottom w:val="single" w:sz="4" w:space="0" w:color="7F7F7F"/>
              <w:right w:val="single" w:sz="4" w:space="0" w:color="7F7F7F"/>
            </w:tcBorders>
            <w:shd w:val="clear" w:color="000000" w:fill="FFCC99"/>
            <w:hideMark/>
          </w:tcPr>
          <w:p w:rsidR="00B32D69" w:rsidRDefault="00FB661A">
            <w:pPr>
              <w:spacing w:after="0" w:line="240" w:lineRule="auto"/>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 xml:space="preserve">The EU Justice Scoreboard 2016 </w:t>
            </w:r>
          </w:p>
        </w:tc>
        <w:tc>
          <w:tcPr>
            <w:tcW w:w="0" w:type="auto"/>
            <w:tcBorders>
              <w:top w:val="nil"/>
              <w:left w:val="nil"/>
              <w:bottom w:val="single" w:sz="4" w:space="0" w:color="7F7F7F"/>
              <w:right w:val="single" w:sz="4" w:space="0" w:color="7F7F7F"/>
            </w:tcBorders>
            <w:shd w:val="clear" w:color="000000" w:fill="F2F2F2"/>
            <w:noWrap/>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 </w:t>
            </w:r>
          </w:p>
        </w:tc>
        <w:tc>
          <w:tcPr>
            <w:tcW w:w="0" w:type="auto"/>
            <w:tcBorders>
              <w:top w:val="nil"/>
              <w:left w:val="nil"/>
              <w:bottom w:val="single" w:sz="4" w:space="0" w:color="7F7F7F"/>
              <w:right w:val="single" w:sz="4" w:space="0" w:color="7F7F7F"/>
            </w:tcBorders>
            <w:shd w:val="clear" w:color="000000" w:fill="F2F2F2"/>
            <w:noWrap/>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INSOL Study</w:t>
            </w:r>
          </w:p>
        </w:tc>
        <w:tc>
          <w:tcPr>
            <w:tcW w:w="0" w:type="auto"/>
            <w:tcBorders>
              <w:top w:val="nil"/>
              <w:left w:val="nil"/>
              <w:bottom w:val="single" w:sz="4" w:space="0" w:color="7F7F7F"/>
              <w:right w:val="single" w:sz="4" w:space="0" w:color="7F7F7F"/>
            </w:tcBorders>
            <w:shd w:val="clear" w:color="000000" w:fill="F2F2F2"/>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INSOL Study</w:t>
            </w:r>
          </w:p>
        </w:tc>
        <w:tc>
          <w:tcPr>
            <w:tcW w:w="0" w:type="auto"/>
            <w:tcBorders>
              <w:top w:val="nil"/>
              <w:left w:val="nil"/>
              <w:bottom w:val="single" w:sz="4" w:space="0" w:color="7F7F7F"/>
              <w:right w:val="single" w:sz="4" w:space="0" w:color="7F7F7F"/>
            </w:tcBorders>
            <w:shd w:val="clear" w:color="000000" w:fill="F2F2F2"/>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INSOL Study</w:t>
            </w:r>
          </w:p>
        </w:tc>
        <w:tc>
          <w:tcPr>
            <w:tcW w:w="0" w:type="auto"/>
            <w:tcBorders>
              <w:top w:val="nil"/>
              <w:left w:val="nil"/>
              <w:bottom w:val="single" w:sz="4" w:space="0" w:color="7F7F7F"/>
              <w:right w:val="single" w:sz="4" w:space="0" w:color="7F7F7F"/>
            </w:tcBorders>
            <w:shd w:val="clear" w:color="000000" w:fill="F2F2F2"/>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INSOL Study</w:t>
            </w:r>
          </w:p>
        </w:tc>
        <w:tc>
          <w:tcPr>
            <w:tcW w:w="0" w:type="auto"/>
            <w:tcBorders>
              <w:top w:val="nil"/>
              <w:left w:val="nil"/>
              <w:bottom w:val="single" w:sz="4" w:space="0" w:color="7F7F7F"/>
              <w:right w:val="single" w:sz="4" w:space="0" w:color="7F7F7F"/>
            </w:tcBorders>
            <w:shd w:val="clear" w:color="000000" w:fill="F2F2F2"/>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 xml:space="preserve">INSOL </w:t>
            </w:r>
            <w:r>
              <w:rPr>
                <w:rFonts w:ascii="Calibri" w:eastAsia="Times New Roman" w:hAnsi="Calibri" w:cs="Times New Roman"/>
                <w:b/>
                <w:bCs/>
                <w:noProof/>
                <w:color w:val="FA7D00"/>
                <w:sz w:val="16"/>
                <w:szCs w:val="16"/>
                <w:lang w:eastAsia="en-GB"/>
              </w:rPr>
              <w:t>Study</w:t>
            </w:r>
          </w:p>
        </w:tc>
        <w:tc>
          <w:tcPr>
            <w:tcW w:w="0" w:type="auto"/>
            <w:tcBorders>
              <w:top w:val="nil"/>
              <w:left w:val="nil"/>
              <w:bottom w:val="single" w:sz="4" w:space="0" w:color="7F7F7F"/>
              <w:right w:val="single" w:sz="4" w:space="0" w:color="7F7F7F"/>
            </w:tcBorders>
            <w:shd w:val="clear" w:color="000000" w:fill="F2F2F2"/>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INSOL Study</w:t>
            </w:r>
          </w:p>
        </w:tc>
        <w:tc>
          <w:tcPr>
            <w:tcW w:w="0" w:type="auto"/>
            <w:tcBorders>
              <w:top w:val="nil"/>
              <w:left w:val="nil"/>
              <w:bottom w:val="single" w:sz="4" w:space="0" w:color="7F7F7F"/>
              <w:right w:val="single" w:sz="4" w:space="0" w:color="7F7F7F"/>
            </w:tcBorders>
            <w:shd w:val="clear" w:color="000000" w:fill="F2F2F2"/>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INSOL Study</w:t>
            </w:r>
          </w:p>
        </w:tc>
        <w:tc>
          <w:tcPr>
            <w:tcW w:w="0" w:type="auto"/>
            <w:tcBorders>
              <w:top w:val="nil"/>
              <w:left w:val="single" w:sz="4" w:space="0" w:color="B2B2B2"/>
              <w:bottom w:val="single" w:sz="4" w:space="0" w:color="B2B2B2"/>
              <w:right w:val="single" w:sz="4" w:space="0" w:color="B2B2B2"/>
            </w:tcBorders>
            <w:shd w:val="clear" w:color="000000" w:fill="FFFFCC"/>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Business Dynamics Study+Review of 2014 Recommendation</w:t>
            </w:r>
          </w:p>
        </w:tc>
      </w:tr>
      <w:tr w:rsidR="00B32D69">
        <w:trPr>
          <w:trHeight w:val="7200"/>
        </w:trPr>
        <w:tc>
          <w:tcPr>
            <w:tcW w:w="0" w:type="auto"/>
            <w:tcBorders>
              <w:top w:val="nil"/>
              <w:left w:val="nil"/>
              <w:bottom w:val="nil"/>
              <w:right w:val="nil"/>
            </w:tcBorders>
            <w:shd w:val="clear" w:color="auto" w:fill="auto"/>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Comments</w:t>
            </w:r>
          </w:p>
        </w:tc>
        <w:tc>
          <w:tcPr>
            <w:tcW w:w="0" w:type="auto"/>
            <w:tcBorders>
              <w:top w:val="nil"/>
              <w:left w:val="single" w:sz="4" w:space="0" w:color="7F7F7F"/>
              <w:bottom w:val="single" w:sz="4" w:space="0" w:color="7F7F7F"/>
              <w:right w:val="single" w:sz="4" w:space="0" w:color="7F7F7F"/>
            </w:tcBorders>
            <w:shd w:val="clear" w:color="000000" w:fill="FFCC99"/>
            <w:hideMark/>
          </w:tcPr>
          <w:p w:rsidR="00B32D69" w:rsidRDefault="00FB661A">
            <w:pPr>
              <w:spacing w:after="0" w:line="240" w:lineRule="auto"/>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 </w:t>
            </w:r>
          </w:p>
        </w:tc>
        <w:tc>
          <w:tcPr>
            <w:tcW w:w="0" w:type="auto"/>
            <w:tcBorders>
              <w:top w:val="nil"/>
              <w:left w:val="nil"/>
              <w:bottom w:val="single" w:sz="4" w:space="0" w:color="7F7F7F"/>
              <w:right w:val="single" w:sz="4" w:space="0" w:color="7F7F7F"/>
            </w:tcBorders>
            <w:shd w:val="clear" w:color="000000" w:fill="FFCC99"/>
            <w:hideMark/>
          </w:tcPr>
          <w:p w:rsidR="00B32D69" w:rsidRDefault="00FB661A">
            <w:pPr>
              <w:spacing w:after="0" w:line="240" w:lineRule="auto"/>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 </w:t>
            </w:r>
          </w:p>
        </w:tc>
        <w:tc>
          <w:tcPr>
            <w:tcW w:w="0" w:type="auto"/>
            <w:tcBorders>
              <w:top w:val="nil"/>
              <w:left w:val="nil"/>
              <w:bottom w:val="single" w:sz="4" w:space="0" w:color="7F7F7F"/>
              <w:right w:val="single" w:sz="4" w:space="0" w:color="7F7F7F"/>
            </w:tcBorders>
            <w:shd w:val="clear" w:color="000000" w:fill="FFCC99"/>
            <w:hideMark/>
          </w:tcPr>
          <w:p w:rsidR="00B32D69" w:rsidRDefault="00FB661A">
            <w:pPr>
              <w:spacing w:after="0" w:line="240" w:lineRule="auto"/>
              <w:rPr>
                <w:rFonts w:ascii="Calibri" w:eastAsia="Times New Roman" w:hAnsi="Calibri" w:cs="Times New Roman"/>
                <w:noProof/>
                <w:color w:val="3F3F76"/>
                <w:sz w:val="16"/>
                <w:szCs w:val="16"/>
                <w:lang w:eastAsia="en-GB"/>
              </w:rPr>
            </w:pPr>
            <w:r>
              <w:rPr>
                <w:rFonts w:ascii="Calibri" w:eastAsia="Times New Roman" w:hAnsi="Calibri" w:cs="Times New Roman"/>
                <w:noProof/>
                <w:color w:val="3F3F76"/>
                <w:sz w:val="16"/>
                <w:szCs w:val="16"/>
                <w:lang w:eastAsia="en-GB"/>
              </w:rPr>
              <w:t>The longer the insolvency proceedings, the less incentive to try early restructuring.</w:t>
            </w:r>
          </w:p>
        </w:tc>
        <w:tc>
          <w:tcPr>
            <w:tcW w:w="0" w:type="auto"/>
            <w:tcBorders>
              <w:top w:val="nil"/>
              <w:left w:val="nil"/>
              <w:bottom w:val="single" w:sz="4" w:space="0" w:color="7F7F7F"/>
              <w:right w:val="single" w:sz="4" w:space="0" w:color="7F7F7F"/>
            </w:tcBorders>
            <w:shd w:val="clear" w:color="000000" w:fill="F2F2F2"/>
            <w:noWrap/>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 </w:t>
            </w:r>
          </w:p>
        </w:tc>
        <w:tc>
          <w:tcPr>
            <w:tcW w:w="0" w:type="auto"/>
            <w:tcBorders>
              <w:top w:val="nil"/>
              <w:left w:val="nil"/>
              <w:bottom w:val="single" w:sz="4" w:space="0" w:color="7F7F7F"/>
              <w:right w:val="single" w:sz="4" w:space="0" w:color="7F7F7F"/>
            </w:tcBorders>
            <w:shd w:val="clear" w:color="000000" w:fill="F2F2F2"/>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 xml:space="preserve">The earlier the possibility of restructuring the higher the success </w:t>
            </w:r>
            <w:r>
              <w:rPr>
                <w:rFonts w:ascii="Calibri" w:eastAsia="Times New Roman" w:hAnsi="Calibri" w:cs="Times New Roman"/>
                <w:b/>
                <w:bCs/>
                <w:noProof/>
                <w:color w:val="FA7D00"/>
                <w:sz w:val="16"/>
                <w:szCs w:val="16"/>
                <w:lang w:eastAsia="en-GB"/>
              </w:rPr>
              <w:t>rate. For PT, a score of 1 is given because the IAPMEI needs to approve the plan.</w:t>
            </w:r>
          </w:p>
        </w:tc>
        <w:tc>
          <w:tcPr>
            <w:tcW w:w="0" w:type="auto"/>
            <w:tcBorders>
              <w:top w:val="nil"/>
              <w:left w:val="nil"/>
              <w:bottom w:val="single" w:sz="4" w:space="0" w:color="7F7F7F"/>
              <w:right w:val="single" w:sz="4" w:space="0" w:color="7F7F7F"/>
            </w:tcBorders>
            <w:shd w:val="clear" w:color="000000" w:fill="F2F2F2"/>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 xml:space="preserve">There is an expectation that the higher the control the debtor keeps on his assets and his affairs, the higher the incentives for him to attempt early restructuring.  Losing </w:t>
            </w:r>
            <w:r>
              <w:rPr>
                <w:rFonts w:ascii="Calibri" w:eastAsia="Times New Roman" w:hAnsi="Calibri" w:cs="Times New Roman"/>
                <w:b/>
                <w:bCs/>
                <w:noProof/>
                <w:color w:val="FA7D00"/>
                <w:sz w:val="16"/>
                <w:szCs w:val="16"/>
                <w:lang w:eastAsia="en-GB"/>
              </w:rPr>
              <w:t>control over the business may create a barrier to engaging in a process of restructuring.</w:t>
            </w:r>
          </w:p>
        </w:tc>
        <w:tc>
          <w:tcPr>
            <w:tcW w:w="0" w:type="auto"/>
            <w:tcBorders>
              <w:top w:val="nil"/>
              <w:left w:val="nil"/>
              <w:bottom w:val="single" w:sz="4" w:space="0" w:color="7F7F7F"/>
              <w:right w:val="single" w:sz="4" w:space="0" w:color="7F7F7F"/>
            </w:tcBorders>
            <w:shd w:val="clear" w:color="000000" w:fill="F2F2F2"/>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Where certain creditors are excluded (eg secured creditors - SE, PL, or dissenting creditors - PT) from the stay, a score of 1 is given (eg SE,PL). Stay must be a too</w:t>
            </w:r>
            <w:r>
              <w:rPr>
                <w:rFonts w:ascii="Calibri" w:eastAsia="Times New Roman" w:hAnsi="Calibri" w:cs="Times New Roman"/>
                <w:b/>
                <w:bCs/>
                <w:noProof/>
                <w:color w:val="FA7D00"/>
                <w:sz w:val="16"/>
                <w:szCs w:val="16"/>
                <w:lang w:eastAsia="en-GB"/>
              </w:rPr>
              <w:t>l to support negotiations, it must be effective as against dissenting creditors, not just those who agree to negotiate (as is the case in PT SIREVE)</w:t>
            </w:r>
          </w:p>
        </w:tc>
        <w:tc>
          <w:tcPr>
            <w:tcW w:w="0" w:type="auto"/>
            <w:tcBorders>
              <w:top w:val="nil"/>
              <w:left w:val="nil"/>
              <w:bottom w:val="single" w:sz="4" w:space="0" w:color="7F7F7F"/>
              <w:right w:val="single" w:sz="4" w:space="0" w:color="7F7F7F"/>
            </w:tcBorders>
            <w:shd w:val="clear" w:color="000000" w:fill="F2F2F2"/>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Where there is no set duration for the stay but there is a maximum duration for the entire procedure, and t</w:t>
            </w:r>
            <w:r>
              <w:rPr>
                <w:rFonts w:ascii="Calibri" w:eastAsia="Times New Roman" w:hAnsi="Calibri" w:cs="Times New Roman"/>
                <w:b/>
                <w:bCs/>
                <w:noProof/>
                <w:color w:val="FA7D00"/>
                <w:sz w:val="16"/>
                <w:szCs w:val="16"/>
                <w:lang w:eastAsia="en-GB"/>
              </w:rPr>
              <w:t>he stay is granted from the beginning of the procedure until the end, the duration of the stay will be given by the maximum duration of the procedure (eg PT). Where there is a set duration for the stay, but the period can be extended by application to a co</w:t>
            </w:r>
            <w:r>
              <w:rPr>
                <w:rFonts w:ascii="Calibri" w:eastAsia="Times New Roman" w:hAnsi="Calibri" w:cs="Times New Roman"/>
                <w:b/>
                <w:bCs/>
                <w:noProof/>
                <w:color w:val="FA7D00"/>
                <w:sz w:val="16"/>
                <w:szCs w:val="16"/>
                <w:lang w:eastAsia="en-GB"/>
              </w:rPr>
              <w:t xml:space="preserve">urt up to a certain maximum, the initial period of stay shall be taken into account. In such cases, it can assume that the length of the stay is a measure of the complexity of the case, and not of unjustified delays. </w:t>
            </w:r>
          </w:p>
        </w:tc>
        <w:tc>
          <w:tcPr>
            <w:tcW w:w="0" w:type="auto"/>
            <w:tcBorders>
              <w:top w:val="nil"/>
              <w:left w:val="nil"/>
              <w:bottom w:val="single" w:sz="4" w:space="0" w:color="7F7F7F"/>
              <w:right w:val="single" w:sz="4" w:space="0" w:color="7F7F7F"/>
            </w:tcBorders>
            <w:shd w:val="clear" w:color="000000" w:fill="F2F2F2"/>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In a situtaion where a quorum represen</w:t>
            </w:r>
            <w:r>
              <w:rPr>
                <w:rFonts w:ascii="Calibri" w:eastAsia="Times New Roman" w:hAnsi="Calibri" w:cs="Times New Roman"/>
                <w:b/>
                <w:bCs/>
                <w:noProof/>
                <w:color w:val="FA7D00"/>
                <w:sz w:val="16"/>
                <w:szCs w:val="16"/>
                <w:lang w:eastAsia="en-GB"/>
              </w:rPr>
              <w:t>ting a majority of the value of debts of creditors (eg PT has a 50% quorum, EL has 60% plus 40% of secured creditors) will fall in category 1. This is because the procedure would not permit the debtor to select only those creditors whose rights woudl be af</w:t>
            </w:r>
            <w:r>
              <w:rPr>
                <w:rFonts w:ascii="Calibri" w:eastAsia="Times New Roman" w:hAnsi="Calibri" w:cs="Times New Roman"/>
                <w:b/>
                <w:bCs/>
                <w:noProof/>
                <w:color w:val="FA7D00"/>
                <w:sz w:val="16"/>
                <w:szCs w:val="16"/>
                <w:lang w:eastAsia="en-GB"/>
              </w:rPr>
              <w:t>fected by the restructuring plan, but a fix number irrespective of whether their rights would be affected or not. Furthermore, this solution makes it possible that the debtor does not involve creditors which rights would be in fact affected by the restruct</w:t>
            </w:r>
            <w:r>
              <w:rPr>
                <w:rFonts w:ascii="Calibri" w:eastAsia="Times New Roman" w:hAnsi="Calibri" w:cs="Times New Roman"/>
                <w:b/>
                <w:bCs/>
                <w:noProof/>
                <w:color w:val="FA7D00"/>
                <w:sz w:val="16"/>
                <w:szCs w:val="16"/>
                <w:lang w:eastAsia="en-GB"/>
              </w:rPr>
              <w:t>uring plan. All creditors except unsecured creditors are excluded from the cram-down possibility in SE, SI. ES: no principal haircut is a disincentive.</w:t>
            </w:r>
          </w:p>
        </w:tc>
        <w:tc>
          <w:tcPr>
            <w:tcW w:w="0" w:type="auto"/>
            <w:tcBorders>
              <w:top w:val="nil"/>
              <w:left w:val="nil"/>
              <w:bottom w:val="single" w:sz="4" w:space="0" w:color="7F7F7F"/>
              <w:right w:val="single" w:sz="4" w:space="0" w:color="7F7F7F"/>
            </w:tcBorders>
            <w:shd w:val="clear" w:color="000000" w:fill="F2F2F2"/>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 xml:space="preserve">Protection of new finance is an important ingredient for the successful implementation of restructuring </w:t>
            </w:r>
            <w:r>
              <w:rPr>
                <w:rFonts w:ascii="Calibri" w:eastAsia="Times New Roman" w:hAnsi="Calibri" w:cs="Times New Roman"/>
                <w:b/>
                <w:bCs/>
                <w:noProof/>
                <w:color w:val="FA7D00"/>
                <w:sz w:val="16"/>
                <w:szCs w:val="16"/>
                <w:lang w:eastAsia="en-GB"/>
              </w:rPr>
              <w:t>plans.  Protection against avoidance actions is key to providers of new financing. A super-priority rule is also helpful; however, since it may change the order of priority of pre-existing creditors, it may also have the adverse effect of discouraging cred</w:t>
            </w:r>
            <w:r>
              <w:rPr>
                <w:rFonts w:ascii="Calibri" w:eastAsia="Times New Roman" w:hAnsi="Calibri" w:cs="Times New Roman"/>
                <w:b/>
                <w:bCs/>
                <w:noProof/>
                <w:color w:val="FA7D00"/>
                <w:sz w:val="16"/>
                <w:szCs w:val="16"/>
                <w:lang w:eastAsia="en-GB"/>
              </w:rPr>
              <w:t xml:space="preserve">itors from supporting the restructuring plan. </w:t>
            </w:r>
          </w:p>
        </w:tc>
        <w:tc>
          <w:tcPr>
            <w:tcW w:w="0" w:type="auto"/>
            <w:tcBorders>
              <w:top w:val="nil"/>
              <w:left w:val="nil"/>
              <w:bottom w:val="single" w:sz="4" w:space="0" w:color="7F7F7F"/>
              <w:right w:val="single" w:sz="4" w:space="0" w:color="7F7F7F"/>
            </w:tcBorders>
            <w:shd w:val="clear" w:color="000000" w:fill="F2F2F2"/>
            <w:hideMark/>
          </w:tcPr>
          <w:p w:rsidR="00B32D69" w:rsidRDefault="00FB661A">
            <w:pPr>
              <w:spacing w:after="0" w:line="240" w:lineRule="auto"/>
              <w:rPr>
                <w:rFonts w:ascii="Calibri" w:eastAsia="Times New Roman" w:hAnsi="Calibri" w:cs="Times New Roman"/>
                <w:b/>
                <w:bCs/>
                <w:noProof/>
                <w:color w:val="FA7D00"/>
                <w:sz w:val="16"/>
                <w:szCs w:val="16"/>
                <w:lang w:eastAsia="en-GB"/>
              </w:rPr>
            </w:pPr>
            <w:r>
              <w:rPr>
                <w:rFonts w:ascii="Calibri" w:eastAsia="Times New Roman" w:hAnsi="Calibri" w:cs="Times New Roman"/>
                <w:b/>
                <w:bCs/>
                <w:noProof/>
                <w:color w:val="FA7D00"/>
                <w:sz w:val="16"/>
                <w:szCs w:val="16"/>
                <w:lang w:eastAsia="en-GB"/>
              </w:rPr>
              <w:t>Situations where confirmation of a plan is necessary only if a cram-down is sought by the debtor are scored with 2 (eg PT).</w:t>
            </w:r>
          </w:p>
        </w:tc>
        <w:tc>
          <w:tcPr>
            <w:tcW w:w="0" w:type="auto"/>
            <w:tcBorders>
              <w:top w:val="nil"/>
              <w:left w:val="single" w:sz="4" w:space="0" w:color="B2B2B2"/>
              <w:bottom w:val="single" w:sz="4" w:space="0" w:color="B2B2B2"/>
              <w:right w:val="single" w:sz="4" w:space="0" w:color="B2B2B2"/>
            </w:tcBorders>
            <w:shd w:val="clear" w:color="000000" w:fill="FFFFCC"/>
            <w:hideMark/>
          </w:tcPr>
          <w:p w:rsidR="00B32D69" w:rsidRDefault="00FB661A">
            <w:pPr>
              <w:spacing w:after="0" w:line="240" w:lineRule="auto"/>
              <w:rPr>
                <w:rFonts w:ascii="Calibri" w:eastAsia="Times New Roman" w:hAnsi="Calibri" w:cs="Times New Roman"/>
                <w:noProof/>
                <w:color w:val="000000"/>
                <w:sz w:val="16"/>
                <w:szCs w:val="16"/>
                <w:lang w:eastAsia="en-GB"/>
              </w:rPr>
            </w:pPr>
            <w:r>
              <w:rPr>
                <w:rFonts w:ascii="Calibri" w:eastAsia="Times New Roman" w:hAnsi="Calibri" w:cs="Times New Roman"/>
                <w:noProof/>
                <w:color w:val="000000"/>
                <w:sz w:val="16"/>
                <w:szCs w:val="16"/>
                <w:lang w:eastAsia="en-GB"/>
              </w:rPr>
              <w:t>Discharge periods for cases where the debtor keeps his residential home should not be</w:t>
            </w:r>
            <w:r>
              <w:rPr>
                <w:rFonts w:ascii="Calibri" w:eastAsia="Times New Roman" w:hAnsi="Calibri" w:cs="Times New Roman"/>
                <w:noProof/>
                <w:color w:val="000000"/>
                <w:sz w:val="16"/>
                <w:szCs w:val="16"/>
                <w:lang w:eastAsia="en-GB"/>
              </w:rPr>
              <w:t xml:space="preserve"> taken into account</w:t>
            </w:r>
          </w:p>
        </w:tc>
      </w:tr>
    </w:tbl>
    <w:p w:rsidR="00B32D69" w:rsidRDefault="00B32D69">
      <w:pPr>
        <w:rPr>
          <w:b/>
          <w:bCs/>
          <w:iCs/>
          <w:smallCaps/>
          <w:noProof/>
        </w:rPr>
      </w:pPr>
    </w:p>
    <w:p w:rsidR="00B32D69" w:rsidRDefault="00FB661A">
      <w:pPr>
        <w:rPr>
          <w:rFonts w:ascii="Arial" w:eastAsia="Times New Roman" w:hAnsi="Arial" w:cs="Arial"/>
          <w:b/>
          <w:bCs/>
          <w:iCs/>
          <w:smallCaps/>
          <w:noProof/>
          <w:color w:val="000000"/>
          <w:sz w:val="24"/>
          <w:szCs w:val="24"/>
          <w:lang w:eastAsia="en-GB"/>
        </w:rPr>
        <w:sectPr w:rsidR="00B32D69">
          <w:headerReference w:type="even" r:id="rId114"/>
          <w:headerReference w:type="default" r:id="rId115"/>
          <w:footerReference w:type="even" r:id="rId116"/>
          <w:footerReference w:type="default" r:id="rId117"/>
          <w:headerReference w:type="first" r:id="rId118"/>
          <w:footerReference w:type="first" r:id="rId119"/>
          <w:pgSz w:w="23814" w:h="16839" w:orient="landscape" w:code="8"/>
          <w:pgMar w:top="1417" w:right="1417" w:bottom="1417" w:left="1417" w:header="708" w:footer="708" w:gutter="0"/>
          <w:cols w:space="708"/>
          <w:docGrid w:linePitch="360"/>
        </w:sectPr>
      </w:pPr>
      <w:r>
        <w:rPr>
          <w:rFonts w:ascii="Arial" w:eastAsia="Times New Roman" w:hAnsi="Arial" w:cs="Arial"/>
          <w:b/>
          <w:bCs/>
          <w:iCs/>
          <w:smallCaps/>
          <w:noProof/>
          <w:color w:val="000000"/>
          <w:sz w:val="24"/>
          <w:szCs w:val="24"/>
          <w:lang w:eastAsia="en-GB"/>
        </w:rPr>
        <w:br w:type="page"/>
      </w:r>
    </w:p>
    <w:p w:rsidR="00B32D69" w:rsidRDefault="00B32D69">
      <w:pPr>
        <w:rPr>
          <w:rFonts w:ascii="Arial" w:eastAsia="Times New Roman" w:hAnsi="Arial" w:cs="Arial"/>
          <w:b/>
          <w:bCs/>
          <w:iCs/>
          <w:smallCaps/>
          <w:noProof/>
          <w:color w:val="000000"/>
          <w:sz w:val="24"/>
          <w:szCs w:val="24"/>
          <w:lang w:eastAsia="en-GB"/>
        </w:rPr>
      </w:pPr>
    </w:p>
    <w:p w:rsidR="00B32D69" w:rsidRDefault="00B32D69">
      <w:pPr>
        <w:rPr>
          <w:rFonts w:ascii="Arial" w:eastAsia="Times New Roman" w:hAnsi="Arial" w:cs="Arial"/>
          <w:b/>
          <w:bCs/>
          <w:iCs/>
          <w:smallCaps/>
          <w:noProof/>
          <w:color w:val="000000"/>
          <w:sz w:val="24"/>
          <w:szCs w:val="24"/>
          <w:lang w:eastAsia="en-GB"/>
        </w:rPr>
      </w:pPr>
    </w:p>
    <w:p w:rsidR="00B32D69" w:rsidRDefault="00FB661A">
      <w:pPr>
        <w:pStyle w:val="Default"/>
        <w:spacing w:before="120" w:after="120"/>
        <w:jc w:val="center"/>
        <w:rPr>
          <w:b/>
          <w:bCs/>
          <w:iCs/>
          <w:smallCaps/>
          <w:noProof/>
        </w:rPr>
      </w:pPr>
      <w:r>
        <w:rPr>
          <w:b/>
          <w:bCs/>
          <w:iCs/>
          <w:smallCaps/>
          <w:noProof/>
        </w:rPr>
        <w:t>Annex 7 - Who is affected by the initiative and how</w:t>
      </w:r>
    </w:p>
    <w:p w:rsidR="00B32D69" w:rsidRDefault="00B32D69">
      <w:pPr>
        <w:spacing w:before="120" w:after="120" w:line="240" w:lineRule="auto"/>
        <w:jc w:val="both"/>
        <w:rPr>
          <w:rFonts w:ascii="Times New Roman" w:hAnsi="Times New Roman" w:cs="Times New Roman"/>
          <w:noProof/>
          <w:sz w:val="24"/>
          <w:szCs w:val="24"/>
        </w:rPr>
      </w:pPr>
    </w:p>
    <w:p w:rsidR="00B32D69" w:rsidRDefault="00FB661A">
      <w:pPr>
        <w:spacing w:before="120" w:after="120" w:line="240" w:lineRule="auto"/>
        <w:jc w:val="both"/>
        <w:rPr>
          <w:rFonts w:ascii="Times New Roman" w:eastAsia="Times New Roman" w:hAnsi="Times New Roman" w:cs="Times New Roman"/>
          <w:b/>
          <w:smallCaps/>
          <w:noProof/>
          <w:color w:val="0070C0"/>
          <w:sz w:val="24"/>
          <w:szCs w:val="24"/>
        </w:rPr>
      </w:pPr>
      <w:r>
        <w:rPr>
          <w:rFonts w:ascii="Times New Roman" w:eastAsia="Times New Roman" w:hAnsi="Times New Roman" w:cs="Times New Roman"/>
          <w:b/>
          <w:smallCaps/>
          <w:noProof/>
          <w:color w:val="0070C0"/>
          <w:sz w:val="24"/>
          <w:szCs w:val="24"/>
        </w:rPr>
        <w:t xml:space="preserve">Practical implications of the initiative for businesses </w:t>
      </w:r>
    </w:p>
    <w:p w:rsidR="00B32D69" w:rsidRDefault="00FB661A">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initiative ensures that businesses in financial distress will have access in all Member States to a preventive restructuring mechanism which provides for the same efficiency elements irrespectively of the place of its application. It will ensure in the</w:t>
      </w:r>
      <w:r>
        <w:rPr>
          <w:rFonts w:ascii="Times New Roman" w:hAnsi="Times New Roman" w:cs="Times New Roman"/>
          <w:noProof/>
          <w:sz w:val="24"/>
          <w:szCs w:val="24"/>
        </w:rPr>
        <w:t xml:space="preserve"> future that viable businesses survive and restructure also in cases in which today they would be driven to liquidation. </w:t>
      </w:r>
    </w:p>
    <w:p w:rsidR="00B32D69" w:rsidRDefault="00FB661A">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initiative will assist companies in recognizing at an early stage cases of financial distress which need to be addressed by the pr</w:t>
      </w:r>
      <w:r>
        <w:rPr>
          <w:rFonts w:ascii="Times New Roman" w:hAnsi="Times New Roman" w:cs="Times New Roman"/>
          <w:noProof/>
          <w:sz w:val="24"/>
          <w:szCs w:val="24"/>
        </w:rPr>
        <w:t>eventive restructuring framework, by putting in place early warning alert mechanisms. This will enable that directors of companies take early actions and will further contribute to the survival of viable businesses.  The initiative gives room for manoeuvre</w:t>
      </w:r>
      <w:r>
        <w:rPr>
          <w:rFonts w:ascii="Times New Roman" w:hAnsi="Times New Roman" w:cs="Times New Roman"/>
          <w:noProof/>
          <w:sz w:val="24"/>
          <w:szCs w:val="24"/>
        </w:rPr>
        <w:t xml:space="preserve"> for the Member States in determining that in which way they want to incentivise businesses for early action. In this context they may also introduce certain accounting or reporting duties for the companies.   </w:t>
      </w:r>
    </w:p>
    <w:p w:rsidR="00B32D69" w:rsidRDefault="00FB661A">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initiative will help distinguishing quick</w:t>
      </w:r>
      <w:r>
        <w:rPr>
          <w:rFonts w:ascii="Times New Roman" w:hAnsi="Times New Roman" w:cs="Times New Roman"/>
          <w:noProof/>
          <w:sz w:val="24"/>
          <w:szCs w:val="24"/>
        </w:rPr>
        <w:t>ly viable and not viable businesses, by short stay period and involvement of the courts in drafting restructuring plan. Viable businesses will be given a possibility to run business as usual during this short stay. Non-viable business will be able to liqui</w:t>
      </w:r>
      <w:r>
        <w:rPr>
          <w:rFonts w:ascii="Times New Roman" w:hAnsi="Times New Roman" w:cs="Times New Roman"/>
          <w:noProof/>
          <w:sz w:val="24"/>
          <w:szCs w:val="24"/>
        </w:rPr>
        <w:t>date assets quickly, without substantial losses.</w:t>
      </w:r>
    </w:p>
    <w:p w:rsidR="00B32D69" w:rsidRDefault="00FB661A">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Beyond that, the Initiative does not impose regulatory obligations for businesses relating, for example, to information, reporting, organisational or administrative requirements, and thus, does not create ad</w:t>
      </w:r>
      <w:r>
        <w:rPr>
          <w:rFonts w:ascii="Times New Roman" w:hAnsi="Times New Roman" w:cs="Times New Roman"/>
          <w:noProof/>
          <w:sz w:val="24"/>
          <w:szCs w:val="24"/>
        </w:rPr>
        <w:t xml:space="preserve">ditional costs related thereto.  </w:t>
      </w:r>
    </w:p>
    <w:p w:rsidR="00B32D69" w:rsidRDefault="00FB661A">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Another practical implication, especially for SMEs, will be the availability of model restructuring plans adapted to the respective insolvency laws of the Member States, which facilitate actual access to restructuring for </w:t>
      </w:r>
      <w:r>
        <w:rPr>
          <w:rFonts w:ascii="Times New Roman" w:hAnsi="Times New Roman" w:cs="Times New Roman"/>
          <w:noProof/>
          <w:sz w:val="24"/>
          <w:szCs w:val="24"/>
        </w:rPr>
        <w:t>this type of businesses, by decreasing the costs of the process.  Short discharge periods will enable defaulting entrepreneurs to take second chance opportunity without the burden of loss of reputation.</w:t>
      </w:r>
    </w:p>
    <w:p w:rsidR="00B32D69" w:rsidRDefault="00FB661A">
      <w:pPr>
        <w:spacing w:before="120"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harmonisation of restructuring frameworks of Member States according to common minimum principles will facilitate the restructuring of cross-border groups of companies with group members in several Member States. In too complex enterprise group structu</w:t>
      </w:r>
      <w:r>
        <w:rPr>
          <w:rFonts w:ascii="Times New Roman" w:hAnsi="Times New Roman" w:cs="Times New Roman"/>
          <w:noProof/>
          <w:color w:val="000000"/>
          <w:sz w:val="24"/>
          <w:szCs w:val="24"/>
        </w:rPr>
        <w:t xml:space="preserve">res this is currently practically not possible or very difficult due to the differences in restructuring rules of affected Member States. </w:t>
      </w:r>
    </w:p>
    <w:p w:rsidR="00B32D69" w:rsidRDefault="00B32D69">
      <w:pPr>
        <w:spacing w:before="120" w:after="120" w:line="240" w:lineRule="auto"/>
        <w:jc w:val="both"/>
        <w:rPr>
          <w:rFonts w:ascii="Times New Roman" w:hAnsi="Times New Roman" w:cs="Times New Roman"/>
          <w:noProof/>
          <w:color w:val="000000"/>
          <w:sz w:val="24"/>
          <w:szCs w:val="24"/>
        </w:rPr>
      </w:pPr>
    </w:p>
    <w:p w:rsidR="00B32D69" w:rsidRDefault="00FB661A">
      <w:pPr>
        <w:spacing w:before="120" w:after="120" w:line="240" w:lineRule="auto"/>
        <w:jc w:val="both"/>
        <w:rPr>
          <w:rFonts w:ascii="Times New Roman" w:hAnsi="Times New Roman" w:cs="Times New Roman"/>
          <w:noProof/>
          <w:color w:val="4F81BD" w:themeColor="accent1"/>
          <w:sz w:val="24"/>
          <w:szCs w:val="24"/>
        </w:rPr>
      </w:pPr>
      <w:r>
        <w:rPr>
          <w:rFonts w:ascii="Times New Roman" w:eastAsia="Times New Roman" w:hAnsi="Times New Roman" w:cs="Times New Roman"/>
          <w:b/>
          <w:smallCaps/>
          <w:noProof/>
          <w:color w:val="4F81BD" w:themeColor="accent1"/>
          <w:sz w:val="24"/>
          <w:szCs w:val="20"/>
        </w:rPr>
        <w:t>Practical implications of the initiative for consumers</w:t>
      </w:r>
    </w:p>
    <w:p w:rsidR="00B32D69" w:rsidRDefault="00FB661A">
      <w:pPr>
        <w:spacing w:before="120"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 Member States which decide to extend the principles of the</w:t>
      </w:r>
      <w:r>
        <w:rPr>
          <w:rFonts w:ascii="Times New Roman" w:hAnsi="Times New Roman" w:cs="Times New Roman"/>
          <w:noProof/>
          <w:color w:val="000000"/>
          <w:sz w:val="24"/>
          <w:szCs w:val="24"/>
        </w:rPr>
        <w:t xml:space="preserve"> initiative on second chance to consumers (to individual debtors not exercising independent business or professional activity) it is to be expected that consumers will gain on shorter discharge periods where now those discharge periods are substantially lo</w:t>
      </w:r>
      <w:r>
        <w:rPr>
          <w:rFonts w:ascii="Times New Roman" w:hAnsi="Times New Roman" w:cs="Times New Roman"/>
          <w:noProof/>
          <w:color w:val="000000"/>
          <w:sz w:val="24"/>
          <w:szCs w:val="24"/>
        </w:rPr>
        <w:t>nger than 3 years. After having adjusted to the new situation created by the discharge conditions of the initiative, they will be able to come back to normal professional and personal life, to ordinary consumption and care for their health and education of</w:t>
      </w:r>
      <w:r>
        <w:rPr>
          <w:rFonts w:ascii="Times New Roman" w:hAnsi="Times New Roman" w:cs="Times New Roman"/>
          <w:noProof/>
          <w:color w:val="000000"/>
          <w:sz w:val="24"/>
          <w:szCs w:val="24"/>
        </w:rPr>
        <w:t xml:space="preserve"> the children. They will be no more a burden for social assistance. Also, hard experience of insolvency reduces the repetition of subjective factors triggering personal over-indebtedness ("learn from default").</w:t>
      </w:r>
      <w:r>
        <w:rPr>
          <w:rStyle w:val="FootnoteReference"/>
          <w:rFonts w:ascii="Times New Roman" w:hAnsi="Times New Roman"/>
          <w:noProof/>
          <w:color w:val="000000"/>
          <w:sz w:val="24"/>
          <w:szCs w:val="24"/>
        </w:rPr>
        <w:footnoteReference w:id="397"/>
      </w:r>
    </w:p>
    <w:p w:rsidR="00B32D69" w:rsidRDefault="00FB661A">
      <w:pPr>
        <w:spacing w:before="120"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Some of them may start their own businesses.</w:t>
      </w:r>
      <w:r>
        <w:rPr>
          <w:rFonts w:ascii="Times New Roman" w:hAnsi="Times New Roman" w:cs="Times New Roman"/>
          <w:noProof/>
          <w:color w:val="000000"/>
          <w:sz w:val="24"/>
          <w:szCs w:val="24"/>
        </w:rPr>
        <w:t xml:space="preserve"> When their financial standing will stabilise, they will be able to return as customers of financial products, as loans, saving products, private pensions. </w:t>
      </w:r>
    </w:p>
    <w:p w:rsidR="00B32D69" w:rsidRDefault="00B32D69">
      <w:pPr>
        <w:spacing w:before="120" w:after="120" w:line="240" w:lineRule="auto"/>
        <w:jc w:val="both"/>
        <w:rPr>
          <w:rFonts w:ascii="Times New Roman" w:hAnsi="Times New Roman" w:cs="Times New Roman"/>
          <w:noProof/>
          <w:color w:val="000000"/>
          <w:sz w:val="24"/>
          <w:szCs w:val="24"/>
        </w:rPr>
      </w:pPr>
    </w:p>
    <w:p w:rsidR="00B32D69" w:rsidRDefault="00FB661A">
      <w:pPr>
        <w:spacing w:before="120" w:after="120" w:line="240" w:lineRule="auto"/>
        <w:jc w:val="both"/>
        <w:rPr>
          <w:rFonts w:ascii="Times New Roman" w:eastAsia="Times New Roman" w:hAnsi="Times New Roman" w:cs="Times New Roman"/>
          <w:b/>
          <w:smallCaps/>
          <w:noProof/>
          <w:color w:val="0070C0"/>
          <w:sz w:val="24"/>
          <w:szCs w:val="20"/>
        </w:rPr>
      </w:pPr>
      <w:r>
        <w:rPr>
          <w:rFonts w:ascii="Times New Roman" w:eastAsia="Times New Roman" w:hAnsi="Times New Roman" w:cs="Times New Roman"/>
          <w:b/>
          <w:smallCaps/>
          <w:noProof/>
          <w:color w:val="0070C0"/>
          <w:sz w:val="24"/>
          <w:szCs w:val="20"/>
        </w:rPr>
        <w:t xml:space="preserve">Practical implications of the initiative for financial institutions  </w:t>
      </w:r>
    </w:p>
    <w:p w:rsidR="00B32D69" w:rsidRDefault="00FB661A">
      <w:pPr>
        <w:spacing w:before="120"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Financial institutions inter</w:t>
      </w:r>
      <w:r>
        <w:rPr>
          <w:rFonts w:ascii="Times New Roman" w:hAnsi="Times New Roman" w:cs="Times New Roman"/>
          <w:noProof/>
          <w:color w:val="000000"/>
          <w:sz w:val="24"/>
          <w:szCs w:val="24"/>
        </w:rPr>
        <w:t>ested in cross-border investment banking will gain on the greater alignment of national restructuring regimes as this reduces costs both in the level of ex-ante risk assessment and by a better recovery rate of the invested resources in case of failure. Rec</w:t>
      </w:r>
      <w:r>
        <w:rPr>
          <w:rFonts w:ascii="Times New Roman" w:hAnsi="Times New Roman" w:cs="Times New Roman"/>
          <w:noProof/>
          <w:color w:val="000000"/>
          <w:sz w:val="24"/>
          <w:szCs w:val="24"/>
        </w:rPr>
        <w:t>overy rate will be more predictable and recovery itself will be faster. As more borrowers will be saved from liquidation and able to return to normal activity; creditors may expect to recover higher proportion of debts and, moreover, to continue lending to</w:t>
      </w:r>
      <w:r>
        <w:rPr>
          <w:rFonts w:ascii="Times New Roman" w:hAnsi="Times New Roman" w:cs="Times New Roman"/>
          <w:noProof/>
          <w:color w:val="000000"/>
          <w:sz w:val="24"/>
          <w:szCs w:val="24"/>
        </w:rPr>
        <w:t xml:space="preserve"> them.  </w:t>
      </w:r>
    </w:p>
    <w:p w:rsidR="00B32D69" w:rsidRDefault="00FB661A">
      <w:pPr>
        <w:spacing w:before="120" w:after="120" w:line="240" w:lineRule="auto"/>
        <w:jc w:val="both"/>
        <w:rPr>
          <w:rFonts w:ascii="Times New Roman" w:eastAsia="Calibri" w:hAnsi="Times New Roman" w:cs="Times New Roman"/>
          <w:noProof/>
          <w:sz w:val="24"/>
          <w:szCs w:val="24"/>
          <w:lang w:val="en-US" w:eastAsia="pl-PL"/>
        </w:rPr>
      </w:pPr>
      <w:r>
        <w:rPr>
          <w:rFonts w:ascii="Times New Roman" w:eastAsia="Calibri" w:hAnsi="Times New Roman" w:cs="Times New Roman"/>
          <w:noProof/>
          <w:sz w:val="24"/>
          <w:szCs w:val="24"/>
          <w:lang w:val="en-US" w:eastAsia="pl-PL"/>
        </w:rPr>
        <w:t>Financial institutions as secured creditors of businesses in financial difficulties will have to adapt their lending practices in legal systems, where secured claims are not affected by a moratorium in preventive restructuring procedures, or where</w:t>
      </w:r>
      <w:r>
        <w:rPr>
          <w:rFonts w:ascii="Times New Roman" w:eastAsia="Calibri" w:hAnsi="Times New Roman" w:cs="Times New Roman"/>
          <w:noProof/>
          <w:sz w:val="24"/>
          <w:szCs w:val="24"/>
          <w:lang w:val="en-US" w:eastAsia="pl-PL"/>
        </w:rPr>
        <w:t xml:space="preserve"> such claims may not be crammed down by majority decisions relating to restructuring plans. However, the initiative foresees specific safeguards to mitigate potential negative impacts in this respect (see in detail in Chapter 7 of the Report). </w:t>
      </w:r>
    </w:p>
    <w:p w:rsidR="00B32D69" w:rsidRDefault="00FB661A">
      <w:pPr>
        <w:spacing w:before="120" w:after="120" w:line="240" w:lineRule="auto"/>
        <w:jc w:val="both"/>
        <w:rPr>
          <w:rFonts w:ascii="Times New Roman" w:hAnsi="Times New Roman" w:cs="Times New Roman"/>
          <w:noProof/>
          <w:color w:val="000000"/>
          <w:sz w:val="24"/>
          <w:szCs w:val="24"/>
        </w:rPr>
      </w:pPr>
      <w:r>
        <w:rPr>
          <w:rFonts w:ascii="Times New Roman" w:eastAsia="Calibri" w:hAnsi="Times New Roman" w:cs="Times New Roman"/>
          <w:noProof/>
          <w:sz w:val="24"/>
          <w:szCs w:val="24"/>
          <w:lang w:val="en-US" w:eastAsia="pl-PL"/>
        </w:rPr>
        <w:t>Higher conv</w:t>
      </w:r>
      <w:r>
        <w:rPr>
          <w:rFonts w:ascii="Times New Roman" w:eastAsia="Calibri" w:hAnsi="Times New Roman" w:cs="Times New Roman"/>
          <w:noProof/>
          <w:sz w:val="24"/>
          <w:szCs w:val="24"/>
          <w:lang w:val="en-US" w:eastAsia="pl-PL"/>
        </w:rPr>
        <w:t>ergence of discharge regimes for debtors will have a positive impact on financial institutions as creditors, by enabling them to better foresee the prospects of repayment of debts by companies and individuals.</w:t>
      </w:r>
    </w:p>
    <w:p w:rsidR="00B32D69" w:rsidRDefault="00FB661A">
      <w:pPr>
        <w:spacing w:before="120" w:after="120" w:line="240" w:lineRule="auto"/>
        <w:jc w:val="both"/>
        <w:rPr>
          <w:rFonts w:ascii="Times New Roman" w:eastAsia="Calibri" w:hAnsi="Times New Roman" w:cs="Times New Roman"/>
          <w:noProof/>
          <w:sz w:val="24"/>
          <w:szCs w:val="24"/>
          <w:lang w:val="en-US" w:eastAsia="pl-PL"/>
        </w:rPr>
      </w:pPr>
      <w:r>
        <w:rPr>
          <w:rFonts w:ascii="Times New Roman" w:hAnsi="Times New Roman" w:cs="Times New Roman"/>
          <w:noProof/>
          <w:color w:val="000000"/>
          <w:sz w:val="24"/>
          <w:szCs w:val="24"/>
        </w:rPr>
        <w:t>Financial institutions in general will gain fr</w:t>
      </w:r>
      <w:r>
        <w:rPr>
          <w:rFonts w:ascii="Times New Roman" w:hAnsi="Times New Roman" w:cs="Times New Roman"/>
          <w:noProof/>
          <w:color w:val="000000"/>
          <w:sz w:val="24"/>
          <w:szCs w:val="24"/>
        </w:rPr>
        <w:t xml:space="preserve">om the positive impact of the initiative on the </w:t>
      </w:r>
      <w:r>
        <w:rPr>
          <w:rFonts w:ascii="Times New Roman" w:eastAsia="Calibri" w:hAnsi="Times New Roman" w:cs="Times New Roman"/>
          <w:noProof/>
          <w:sz w:val="24"/>
          <w:szCs w:val="24"/>
          <w:lang w:val="en-US" w:eastAsia="pl-PL"/>
        </w:rPr>
        <w:t>reduction in the share of non-performing loans.</w:t>
      </w:r>
    </w:p>
    <w:p w:rsidR="00B32D69" w:rsidRDefault="00B32D69">
      <w:pPr>
        <w:spacing w:before="120" w:after="120" w:line="240" w:lineRule="auto"/>
        <w:jc w:val="both"/>
        <w:rPr>
          <w:rFonts w:ascii="Times New Roman" w:hAnsi="Times New Roman" w:cs="Times New Roman"/>
          <w:noProof/>
          <w:color w:val="000000"/>
          <w:sz w:val="24"/>
          <w:szCs w:val="24"/>
        </w:rPr>
      </w:pPr>
    </w:p>
    <w:p w:rsidR="00B32D69" w:rsidRDefault="00FB661A">
      <w:pPr>
        <w:spacing w:before="120" w:after="120" w:line="240" w:lineRule="auto"/>
        <w:jc w:val="both"/>
        <w:rPr>
          <w:rFonts w:ascii="Times New Roman" w:eastAsia="Times New Roman" w:hAnsi="Times New Roman" w:cs="Times New Roman"/>
          <w:b/>
          <w:smallCaps/>
          <w:noProof/>
          <w:color w:val="0070C0"/>
          <w:sz w:val="24"/>
          <w:szCs w:val="20"/>
        </w:rPr>
      </w:pPr>
      <w:r>
        <w:rPr>
          <w:rFonts w:ascii="Times New Roman" w:eastAsia="Times New Roman" w:hAnsi="Times New Roman" w:cs="Times New Roman"/>
          <w:b/>
          <w:smallCaps/>
          <w:noProof/>
          <w:color w:val="0070C0"/>
          <w:sz w:val="24"/>
          <w:szCs w:val="20"/>
        </w:rPr>
        <w:t>Practical implications of the initiative for employees</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Since early restructuring saves companies rather than drive them into liquidation, it is expected that jobs will be saved rather than lost. It was hard to measure the exact impact on jobs, though. </w:t>
      </w:r>
      <w:r>
        <w:rPr>
          <w:rFonts w:ascii="Times New Roman" w:eastAsia="Calibri" w:hAnsi="Times New Roman" w:cs="Times New Roman"/>
          <w:noProof/>
          <w:sz w:val="24"/>
          <w:szCs w:val="24"/>
        </w:rPr>
        <w:t>Promulgating second chance for entrepreneurs will also affe</w:t>
      </w:r>
      <w:r>
        <w:rPr>
          <w:rFonts w:ascii="Times New Roman" w:eastAsia="Calibri" w:hAnsi="Times New Roman" w:cs="Times New Roman"/>
          <w:noProof/>
          <w:sz w:val="24"/>
          <w:szCs w:val="24"/>
        </w:rPr>
        <w:t>ct employment positively: “restarters” could create up to 3 million new jobs</w:t>
      </w:r>
      <w:r>
        <w:rPr>
          <w:rFonts w:eastAsia="Calibri" w:cs="Times New Roman"/>
          <w:noProof/>
          <w:sz w:val="24"/>
          <w:szCs w:val="24"/>
          <w:vertAlign w:val="superscript"/>
        </w:rPr>
        <w:footnoteReference w:id="398"/>
      </w:r>
      <w:r>
        <w:rPr>
          <w:rFonts w:ascii="Times New Roman" w:eastAsia="Calibri" w:hAnsi="Times New Roman" w:cs="Times New Roman"/>
          <w:noProof/>
          <w:sz w:val="24"/>
          <w:szCs w:val="24"/>
        </w:rPr>
        <w:t>.</w:t>
      </w:r>
    </w:p>
    <w:p w:rsidR="00B32D69" w:rsidRDefault="00FB661A">
      <w:pPr>
        <w:spacing w:before="120" w:after="120" w:line="240" w:lineRule="auto"/>
        <w:jc w:val="both"/>
        <w:rPr>
          <w:rFonts w:ascii="Times New Roman" w:eastAsia="Times New Roman" w:hAnsi="Times New Roman" w:cs="Times New Roman"/>
          <w:b/>
          <w:smallCaps/>
          <w:noProof/>
          <w:color w:val="0070C0"/>
          <w:sz w:val="24"/>
          <w:szCs w:val="20"/>
        </w:rPr>
      </w:pPr>
      <w:r>
        <w:rPr>
          <w:rFonts w:ascii="Times New Roman" w:hAnsi="Times New Roman" w:cs="Times New Roman"/>
          <w:noProof/>
          <w:sz w:val="24"/>
          <w:szCs w:val="24"/>
          <w:lang w:val="en-US"/>
        </w:rPr>
        <w:t>On the other hand, the initiative will not impact on the protection of employees, including their rights to information and consultation, as guaranteed by EU law. This is clearl</w:t>
      </w:r>
      <w:r>
        <w:rPr>
          <w:rFonts w:ascii="Times New Roman" w:hAnsi="Times New Roman" w:cs="Times New Roman"/>
          <w:noProof/>
          <w:sz w:val="24"/>
          <w:szCs w:val="24"/>
          <w:lang w:val="en-US"/>
        </w:rPr>
        <w:t>y spelled out in the proposal. Furthermore, it contains a flexibility to ensure that employees as a class can be adequately protected. For example, courts can exempt an entire class of creditors from the stay of enforcement if such a class will be unfairly</w:t>
      </w:r>
      <w:r>
        <w:rPr>
          <w:rFonts w:ascii="Times New Roman" w:hAnsi="Times New Roman" w:cs="Times New Roman"/>
          <w:noProof/>
          <w:sz w:val="24"/>
          <w:szCs w:val="24"/>
          <w:lang w:val="en-US"/>
        </w:rPr>
        <w:t xml:space="preserve"> prejudiced by the stay. Furthermore, salaries will need to be paid during the stay period. Salaries will also be protected under the 'safe harbour' provision of the initiative. Also, restructuring plans will not be confirmed by a court if they do not guar</w:t>
      </w:r>
      <w:r>
        <w:rPr>
          <w:rFonts w:ascii="Times New Roman" w:hAnsi="Times New Roman" w:cs="Times New Roman"/>
          <w:noProof/>
          <w:sz w:val="24"/>
          <w:szCs w:val="24"/>
          <w:lang w:val="en-US"/>
        </w:rPr>
        <w:t>antee at least liquidation value to all creditors.</w:t>
      </w:r>
    </w:p>
    <w:p w:rsidR="00B32D69" w:rsidRDefault="00B32D69">
      <w:pPr>
        <w:spacing w:before="120" w:after="120" w:line="240" w:lineRule="auto"/>
        <w:jc w:val="both"/>
        <w:rPr>
          <w:rFonts w:ascii="Times New Roman" w:eastAsia="Times New Roman" w:hAnsi="Times New Roman" w:cs="Times New Roman"/>
          <w:b/>
          <w:smallCaps/>
          <w:noProof/>
          <w:color w:val="0070C0"/>
          <w:sz w:val="24"/>
          <w:szCs w:val="20"/>
        </w:rPr>
      </w:pPr>
    </w:p>
    <w:p w:rsidR="00B32D69" w:rsidRDefault="00FB661A">
      <w:pPr>
        <w:spacing w:before="120" w:after="120" w:line="240" w:lineRule="auto"/>
        <w:jc w:val="both"/>
        <w:rPr>
          <w:rFonts w:ascii="Times New Roman" w:eastAsia="Times New Roman" w:hAnsi="Times New Roman" w:cs="Times New Roman"/>
          <w:b/>
          <w:smallCaps/>
          <w:noProof/>
          <w:color w:val="0070C0"/>
          <w:sz w:val="24"/>
          <w:szCs w:val="20"/>
        </w:rPr>
      </w:pPr>
      <w:r>
        <w:rPr>
          <w:rFonts w:ascii="Times New Roman" w:eastAsia="Times New Roman" w:hAnsi="Times New Roman" w:cs="Times New Roman"/>
          <w:b/>
          <w:smallCaps/>
          <w:noProof/>
          <w:color w:val="0070C0"/>
          <w:sz w:val="24"/>
          <w:szCs w:val="20"/>
        </w:rPr>
        <w:t xml:space="preserve">Practical implications of the initiative for insolvency practitioners </w:t>
      </w:r>
    </w:p>
    <w:p w:rsidR="00B32D69" w:rsidRDefault="00FB661A">
      <w:pPr>
        <w:spacing w:before="120"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Although insolvency practitioners</w:t>
      </w:r>
      <w:r>
        <w:rPr>
          <w:rStyle w:val="FootnoteReference"/>
          <w:rFonts w:ascii="Times New Roman" w:hAnsi="Times New Roman"/>
          <w:noProof/>
          <w:color w:val="000000"/>
          <w:sz w:val="24"/>
          <w:szCs w:val="24"/>
        </w:rPr>
        <w:footnoteReference w:id="399"/>
      </w:r>
      <w:r>
        <w:rPr>
          <w:rFonts w:ascii="Times New Roman" w:hAnsi="Times New Roman" w:cs="Times New Roman"/>
          <w:noProof/>
          <w:color w:val="000000"/>
          <w:sz w:val="24"/>
          <w:szCs w:val="24"/>
        </w:rPr>
        <w:t xml:space="preserve"> do not constitute a separate and independent regulated profession in the majority of the Member St</w:t>
      </w:r>
      <w:r>
        <w:rPr>
          <w:rFonts w:ascii="Times New Roman" w:hAnsi="Times New Roman" w:cs="Times New Roman"/>
          <w:noProof/>
          <w:color w:val="000000"/>
          <w:sz w:val="24"/>
          <w:szCs w:val="24"/>
        </w:rPr>
        <w:t>ates, they are, nevertheless, subject to codes of professional ethics and disciplines as members of other professional groups (lawyers, accountants) and in this context their activity is usually appropriately supervised also in these States</w:t>
      </w:r>
      <w:r>
        <w:rPr>
          <w:rFonts w:ascii="Times New Roman" w:hAnsi="Times New Roman" w:cs="Times New Roman"/>
          <w:noProof/>
          <w:color w:val="000000"/>
          <w:sz w:val="24"/>
          <w:szCs w:val="24"/>
          <w:vertAlign w:val="superscript"/>
        </w:rPr>
        <w:footnoteReference w:id="400"/>
      </w:r>
      <w:r>
        <w:rPr>
          <w:rFonts w:ascii="Times New Roman" w:hAnsi="Times New Roman" w:cs="Times New Roman"/>
          <w:noProof/>
          <w:color w:val="000000"/>
          <w:sz w:val="24"/>
          <w:szCs w:val="24"/>
        </w:rPr>
        <w:t xml:space="preserve">. In addition, </w:t>
      </w:r>
      <w:r>
        <w:rPr>
          <w:rFonts w:ascii="Times New Roman" w:hAnsi="Times New Roman" w:cs="Times New Roman"/>
          <w:noProof/>
          <w:color w:val="000000"/>
          <w:sz w:val="24"/>
          <w:szCs w:val="24"/>
        </w:rPr>
        <w:t>in most of the Member State specific qualification requirements are in place for being licensed or authorised as an insolvency practitioner.</w:t>
      </w:r>
      <w:r>
        <w:rPr>
          <w:rStyle w:val="FootnoteReference"/>
          <w:rFonts w:ascii="Times New Roman" w:hAnsi="Times New Roman"/>
          <w:noProof/>
          <w:color w:val="000000"/>
          <w:sz w:val="24"/>
          <w:szCs w:val="24"/>
        </w:rPr>
        <w:footnoteReference w:id="401"/>
      </w:r>
      <w:r>
        <w:rPr>
          <w:rFonts w:ascii="Times New Roman" w:hAnsi="Times New Roman" w:cs="Times New Roman"/>
          <w:noProof/>
          <w:color w:val="000000"/>
          <w:sz w:val="24"/>
          <w:szCs w:val="24"/>
        </w:rPr>
        <w:t xml:space="preserve"> From this outset, the implementation of the standards of the initiative with regard to professional conduct and qu</w:t>
      </w:r>
      <w:r>
        <w:rPr>
          <w:rFonts w:ascii="Times New Roman" w:hAnsi="Times New Roman" w:cs="Times New Roman"/>
          <w:noProof/>
          <w:color w:val="000000"/>
          <w:sz w:val="24"/>
          <w:szCs w:val="24"/>
        </w:rPr>
        <w:t>alification does not imply significant changes to them, except that in some Member State, where it is not yet the case, additional obligation to participate in professional training courses may be imposed on them, the costs of which they will need to bear,</w:t>
      </w:r>
      <w:r>
        <w:rPr>
          <w:rFonts w:ascii="Times New Roman" w:hAnsi="Times New Roman" w:cs="Times New Roman"/>
          <w:noProof/>
          <w:color w:val="000000"/>
          <w:sz w:val="24"/>
          <w:szCs w:val="24"/>
        </w:rPr>
        <w:t xml:space="preserve"> most probably.  </w:t>
      </w:r>
    </w:p>
    <w:p w:rsidR="00B32D69" w:rsidRDefault="00FB661A">
      <w:pPr>
        <w:spacing w:before="120"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Certain adaptation is to be required with regard to professional activity in Member States where the selection of insolvency practitioners to concrete cases currently does not take into account the requirements set in the initiative. Simi</w:t>
      </w:r>
      <w:r>
        <w:rPr>
          <w:rFonts w:ascii="Times New Roman" w:hAnsi="Times New Roman" w:cs="Times New Roman"/>
          <w:noProof/>
          <w:color w:val="000000"/>
          <w:sz w:val="24"/>
          <w:szCs w:val="24"/>
        </w:rPr>
        <w:t>larly, a slight shift may be expected in terms of the allocation of fees to insolvency practitioners in concrete cases in the Member States</w:t>
      </w:r>
      <w:r>
        <w:rPr>
          <w:rStyle w:val="FootnoteReference"/>
          <w:rFonts w:ascii="Times New Roman" w:hAnsi="Times New Roman"/>
          <w:noProof/>
          <w:color w:val="000000"/>
          <w:sz w:val="24"/>
          <w:szCs w:val="24"/>
        </w:rPr>
        <w:footnoteReference w:id="402"/>
      </w:r>
      <w:r>
        <w:rPr>
          <w:rFonts w:ascii="Times New Roman" w:hAnsi="Times New Roman" w:cs="Times New Roman"/>
          <w:noProof/>
          <w:color w:val="000000"/>
          <w:sz w:val="24"/>
          <w:szCs w:val="24"/>
        </w:rPr>
        <w:t>, where regulation of remuneration currently does not follow all the principles set by the initiative (see e.g. rule</w:t>
      </w:r>
      <w:r>
        <w:rPr>
          <w:rFonts w:ascii="Times New Roman" w:hAnsi="Times New Roman" w:cs="Times New Roman"/>
          <w:noProof/>
          <w:color w:val="000000"/>
          <w:sz w:val="24"/>
          <w:szCs w:val="24"/>
        </w:rPr>
        <w:t>s do not take into account the timely resolution of cases).</w:t>
      </w:r>
    </w:p>
    <w:p w:rsidR="00B32D69" w:rsidRDefault="00B32D69">
      <w:pPr>
        <w:spacing w:before="120" w:after="120" w:line="240" w:lineRule="auto"/>
        <w:jc w:val="both"/>
        <w:rPr>
          <w:rFonts w:ascii="Times New Roman" w:hAnsi="Times New Roman" w:cs="Times New Roman"/>
          <w:noProof/>
          <w:color w:val="000000"/>
          <w:sz w:val="24"/>
          <w:szCs w:val="24"/>
        </w:rPr>
      </w:pPr>
    </w:p>
    <w:p w:rsidR="00B32D69" w:rsidRDefault="00FB661A">
      <w:pPr>
        <w:spacing w:before="120" w:after="120" w:line="240" w:lineRule="auto"/>
        <w:jc w:val="both"/>
        <w:rPr>
          <w:rFonts w:ascii="Times New Roman" w:eastAsia="Times New Roman" w:hAnsi="Times New Roman" w:cs="Times New Roman"/>
          <w:b/>
          <w:smallCaps/>
          <w:noProof/>
          <w:color w:val="0070C0"/>
          <w:sz w:val="24"/>
          <w:szCs w:val="20"/>
        </w:rPr>
      </w:pPr>
      <w:r>
        <w:rPr>
          <w:rFonts w:ascii="Times New Roman" w:eastAsia="Times New Roman" w:hAnsi="Times New Roman" w:cs="Times New Roman"/>
          <w:b/>
          <w:smallCaps/>
          <w:noProof/>
          <w:color w:val="0070C0"/>
          <w:sz w:val="24"/>
          <w:szCs w:val="20"/>
        </w:rPr>
        <w:t xml:space="preserve">Practical implications of the initiative for public administrations </w:t>
      </w:r>
    </w:p>
    <w:p w:rsidR="00B32D69" w:rsidRDefault="00FB661A">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Except for the obligation to transpose the Directive into national law and enforce it, there are no specific practical implications for public administrations and courts. </w:t>
      </w:r>
    </w:p>
    <w:p w:rsidR="00B32D69" w:rsidRDefault="00FB661A">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terms of the early alert mechanism, costs will be generated in public administrat</w:t>
      </w:r>
      <w:r>
        <w:rPr>
          <w:rFonts w:ascii="Times New Roman" w:hAnsi="Times New Roman" w:cs="Times New Roman"/>
          <w:noProof/>
          <w:sz w:val="24"/>
          <w:szCs w:val="24"/>
        </w:rPr>
        <w:t>ion if a Member State decides that it will establish and operate a State funded system providing free or low cost advice to businesses. Nevertheless, Member States have large discretion defining the modalities of the mechanism, and the Directive does not i</w:t>
      </w:r>
      <w:r>
        <w:rPr>
          <w:rFonts w:ascii="Times New Roman" w:hAnsi="Times New Roman" w:cs="Times New Roman"/>
          <w:noProof/>
          <w:sz w:val="24"/>
          <w:szCs w:val="24"/>
        </w:rPr>
        <w:t xml:space="preserve">mpose any solution which would charge the budget of the State. </w:t>
      </w:r>
    </w:p>
    <w:p w:rsidR="00B32D69" w:rsidRDefault="00FB661A">
      <w:pPr>
        <w:spacing w:before="120" w:after="12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Most of the Member States already apply the specialisation of judges or concentrate jurisdiction in insolvency proceedings to specialized sections of the courts or to specialized courts. Those</w:t>
      </w:r>
      <w:r>
        <w:rPr>
          <w:rFonts w:ascii="Times New Roman" w:hAnsi="Times New Roman" w:cs="Times New Roman"/>
          <w:noProof/>
          <w:sz w:val="24"/>
          <w:szCs w:val="24"/>
        </w:rPr>
        <w:t xml:space="preserve"> few who do not follow currently this model (e.g. Estonia, or Germany in lower courts) need to comply with the requirement of the Directive. This obligation, however, will not generate new costs, except in some cases funding for additional training for the</w:t>
      </w:r>
      <w:r>
        <w:rPr>
          <w:rFonts w:ascii="Times New Roman" w:hAnsi="Times New Roman" w:cs="Times New Roman"/>
          <w:noProof/>
          <w:sz w:val="24"/>
          <w:szCs w:val="24"/>
        </w:rPr>
        <w:t xml:space="preserve"> judges might be required, if the Member State concerned decides to facilitate specialization by this way. It must be stressed in this context, that specialization in the field of insolvency can usually be obtained by long-standing practical experience and</w:t>
      </w:r>
      <w:r>
        <w:rPr>
          <w:rFonts w:ascii="Times New Roman" w:hAnsi="Times New Roman" w:cs="Times New Roman"/>
          <w:noProof/>
          <w:sz w:val="24"/>
          <w:szCs w:val="24"/>
        </w:rPr>
        <w:t xml:space="preserve"> not necessarily by vocational trainings. </w:t>
      </w:r>
      <w:r>
        <w:rPr>
          <w:rFonts w:ascii="Times New Roman" w:eastAsia="Calibri" w:hAnsi="Times New Roman" w:cs="Times New Roman"/>
          <w:noProof/>
          <w:sz w:val="24"/>
          <w:szCs w:val="24"/>
        </w:rPr>
        <w:t xml:space="preserve">Exchange of best practices between the judiciaries of the Member States will be done in the context of the European Judicial Network, at no extra cost for public administrations. </w:t>
      </w:r>
    </w:p>
    <w:p w:rsidR="00B32D69" w:rsidRDefault="00FB661A">
      <w:pPr>
        <w:spacing w:before="120" w:after="120" w:line="240" w:lineRule="auto"/>
        <w:jc w:val="both"/>
        <w:rPr>
          <w:rFonts w:ascii="Times New Roman" w:hAnsi="Times New Roman" w:cs="Times New Roman"/>
          <w:noProof/>
          <w:sz w:val="24"/>
          <w:szCs w:val="24"/>
        </w:rPr>
      </w:pPr>
      <w:r>
        <w:rPr>
          <w:rFonts w:ascii="Times New Roman" w:eastAsia="Calibri" w:hAnsi="Times New Roman" w:cs="Times New Roman"/>
          <w:noProof/>
          <w:sz w:val="24"/>
          <w:szCs w:val="24"/>
        </w:rPr>
        <w:t>Cost of reporting obligations: man</w:t>
      </w:r>
      <w:r>
        <w:rPr>
          <w:rFonts w:ascii="Times New Roman" w:eastAsia="Calibri" w:hAnsi="Times New Roman" w:cs="Times New Roman"/>
          <w:noProof/>
          <w:sz w:val="24"/>
          <w:szCs w:val="24"/>
        </w:rPr>
        <w:t xml:space="preserve">y Member States already have statistical data, and only need to make it available to the Commission once a year. For the rest of the Member States, the costs of gathering such data are not expected to be significant. </w:t>
      </w:r>
      <w:r>
        <w:rPr>
          <w:rFonts w:ascii="Times New Roman" w:hAnsi="Times New Roman" w:cs="Times New Roman"/>
          <w:noProof/>
          <w:sz w:val="24"/>
          <w:szCs w:val="24"/>
        </w:rPr>
        <w:t>Nevertheless, in the long term speciali</w:t>
      </w:r>
      <w:r>
        <w:rPr>
          <w:rFonts w:ascii="Times New Roman" w:hAnsi="Times New Roman" w:cs="Times New Roman"/>
          <w:noProof/>
          <w:sz w:val="24"/>
          <w:szCs w:val="24"/>
        </w:rPr>
        <w:t xml:space="preserve">sed judges, court sections and courts would contribute to cost savings due to efficiency gains. </w:t>
      </w:r>
    </w:p>
    <w:p w:rsidR="00B32D69" w:rsidRDefault="00B32D69">
      <w:pPr>
        <w:spacing w:before="120" w:after="120" w:line="240" w:lineRule="auto"/>
        <w:jc w:val="both"/>
        <w:rPr>
          <w:rFonts w:ascii="Times New Roman" w:hAnsi="Times New Roman" w:cs="Times New Roman"/>
          <w:noProof/>
          <w:sz w:val="24"/>
          <w:szCs w:val="24"/>
        </w:rPr>
      </w:pPr>
    </w:p>
    <w:p w:rsidR="00B32D69" w:rsidRDefault="00B32D69">
      <w:pPr>
        <w:spacing w:after="0" w:line="240" w:lineRule="auto"/>
        <w:jc w:val="both"/>
        <w:rPr>
          <w:rFonts w:ascii="Times New Roman" w:eastAsia="Times New Roman" w:hAnsi="Times New Roman" w:cs="Times New Roman"/>
          <w:b/>
          <w:noProof/>
          <w:sz w:val="24"/>
          <w:szCs w:val="20"/>
        </w:rPr>
      </w:pPr>
    </w:p>
    <w:p w:rsidR="00B32D69" w:rsidRDefault="00FB661A">
      <w:pPr>
        <w:rPr>
          <w:noProof/>
        </w:rPr>
      </w:pPr>
      <w:r>
        <w:rPr>
          <w:noProof/>
        </w:rPr>
        <w:br w:type="page"/>
      </w:r>
    </w:p>
    <w:p w:rsidR="00B32D69" w:rsidRDefault="00B32D69">
      <w:pPr>
        <w:spacing w:after="120" w:line="240" w:lineRule="auto"/>
        <w:jc w:val="center"/>
        <w:rPr>
          <w:rFonts w:ascii="Times New Roman" w:hAnsi="Times New Roman" w:cs="Times New Roman"/>
          <w:b/>
          <w:noProof/>
          <w:sz w:val="24"/>
          <w:szCs w:val="24"/>
        </w:rPr>
      </w:pPr>
    </w:p>
    <w:p w:rsidR="00B32D69" w:rsidRDefault="00FB661A">
      <w:pPr>
        <w:spacing w:after="120"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t>ANNEX 8</w:t>
      </w:r>
    </w:p>
    <w:p w:rsidR="00B32D69" w:rsidRDefault="00B32D69">
      <w:pPr>
        <w:spacing w:after="120" w:line="240" w:lineRule="auto"/>
        <w:jc w:val="center"/>
        <w:rPr>
          <w:rFonts w:ascii="Times New Roman" w:hAnsi="Times New Roman" w:cs="Times New Roman"/>
          <w:b/>
          <w:noProof/>
          <w:sz w:val="24"/>
          <w:szCs w:val="24"/>
        </w:rPr>
      </w:pPr>
    </w:p>
    <w:p w:rsidR="00B32D69" w:rsidRDefault="00FB661A">
      <w:pPr>
        <w:spacing w:after="120"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t xml:space="preserve">EVALUATION OF THE IMPLEMENTATION OF THE COMMISSION RECOMMENDATION </w:t>
      </w:r>
    </w:p>
    <w:p w:rsidR="00B32D69" w:rsidRDefault="00FB661A">
      <w:pPr>
        <w:spacing w:after="120"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t xml:space="preserve">of 12.3.2014 </w:t>
      </w:r>
    </w:p>
    <w:p w:rsidR="00B32D69" w:rsidRDefault="00FB661A">
      <w:pPr>
        <w:spacing w:after="120"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t xml:space="preserve">ON A NEW APPROACH TO BUSINESS FAILURE AND INSOLVENCY </w:t>
      </w:r>
    </w:p>
    <w:p w:rsidR="00B32D69" w:rsidRDefault="00B32D69">
      <w:pPr>
        <w:spacing w:after="120" w:line="240" w:lineRule="auto"/>
        <w:jc w:val="center"/>
        <w:rPr>
          <w:rFonts w:ascii="Times New Roman" w:hAnsi="Times New Roman" w:cs="Times New Roman"/>
          <w:b/>
          <w:noProof/>
          <w:sz w:val="24"/>
          <w:szCs w:val="24"/>
        </w:rPr>
      </w:pPr>
    </w:p>
    <w:p w:rsidR="00B32D69" w:rsidRDefault="00FB661A">
      <w:pPr>
        <w:tabs>
          <w:tab w:val="left" w:pos="567"/>
        </w:tabs>
        <w:spacing w:after="120"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t>2015-2016</w:t>
      </w:r>
      <w:r>
        <w:rPr>
          <w:rFonts w:ascii="Times New Roman" w:hAnsi="Times New Roman" w:cs="Times New Roman"/>
          <w:b/>
          <w:noProof/>
          <w:sz w:val="24"/>
          <w:szCs w:val="24"/>
        </w:rPr>
        <w:t xml:space="preserve"> Review exercise</w:t>
      </w:r>
    </w:p>
    <w:p w:rsidR="00B32D69" w:rsidRDefault="00B32D69">
      <w:pPr>
        <w:tabs>
          <w:tab w:val="left" w:pos="567"/>
        </w:tabs>
        <w:spacing w:after="120" w:line="240" w:lineRule="auto"/>
        <w:jc w:val="center"/>
        <w:rPr>
          <w:rFonts w:ascii="Times New Roman" w:hAnsi="Times New Roman" w:cs="Times New Roman"/>
          <w:b/>
          <w:noProof/>
          <w:sz w:val="24"/>
          <w:szCs w:val="24"/>
        </w:rPr>
      </w:pPr>
    </w:p>
    <w:p w:rsidR="00B32D69" w:rsidRDefault="00FB661A">
      <w:pPr>
        <w:spacing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Member States were invited to implement the principles set out in Commission Recommendation of 12 March 2014 on a new approach to business failure and insolvency</w:t>
      </w:r>
      <w:r>
        <w:rPr>
          <w:rStyle w:val="FootnoteReference"/>
          <w:rFonts w:ascii="Times New Roman" w:hAnsi="Times New Roman"/>
          <w:noProof/>
          <w:sz w:val="24"/>
          <w:szCs w:val="24"/>
          <w:lang w:val="en-US"/>
        </w:rPr>
        <w:footnoteReference w:id="403"/>
      </w:r>
      <w:r>
        <w:rPr>
          <w:rFonts w:ascii="Times New Roman" w:hAnsi="Times New Roman" w:cs="Times New Roman"/>
          <w:noProof/>
          <w:sz w:val="24"/>
          <w:szCs w:val="24"/>
          <w:lang w:val="en-US"/>
        </w:rPr>
        <w:t xml:space="preserve"> by 14 March 2015 and to communicate to the Commission, on a yearly basi</w:t>
      </w:r>
      <w:r>
        <w:rPr>
          <w:rFonts w:ascii="Times New Roman" w:hAnsi="Times New Roman" w:cs="Times New Roman"/>
          <w:noProof/>
          <w:sz w:val="24"/>
          <w:szCs w:val="24"/>
          <w:lang w:val="en-US"/>
        </w:rPr>
        <w:t xml:space="preserve">s, data concerning the insolvency procedures. </w:t>
      </w:r>
    </w:p>
    <w:p w:rsidR="00B32D69" w:rsidRDefault="00FB661A">
      <w:pPr>
        <w:spacing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2015, the Commission services sent a questionnaire on the review of the Recommendation to the Member States to enquire about its implementation. 24 Member States have sent their contributions to the Commiss</w:t>
      </w:r>
      <w:r>
        <w:rPr>
          <w:rFonts w:ascii="Times New Roman" w:hAnsi="Times New Roman" w:cs="Times New Roman"/>
          <w:noProof/>
          <w:sz w:val="24"/>
          <w:szCs w:val="24"/>
          <w:lang w:val="en-US"/>
        </w:rPr>
        <w:t>ion explaining how they have implemented the Recommendation</w:t>
      </w:r>
      <w:r>
        <w:rPr>
          <w:rStyle w:val="FootnoteReference"/>
          <w:rFonts w:ascii="Times New Roman" w:hAnsi="Times New Roman"/>
          <w:noProof/>
          <w:sz w:val="24"/>
          <w:szCs w:val="24"/>
          <w:lang w:val="en-US"/>
        </w:rPr>
        <w:footnoteReference w:id="404"/>
      </w:r>
      <w:r>
        <w:rPr>
          <w:rFonts w:ascii="Times New Roman" w:hAnsi="Times New Roman" w:cs="Times New Roman"/>
          <w:noProof/>
          <w:sz w:val="24"/>
          <w:szCs w:val="24"/>
          <w:lang w:val="en-US"/>
        </w:rPr>
        <w:t>.. No reaction was received from four Member States</w:t>
      </w:r>
      <w:r>
        <w:rPr>
          <w:rStyle w:val="FootnoteReference"/>
          <w:rFonts w:ascii="Times New Roman" w:hAnsi="Times New Roman"/>
          <w:noProof/>
          <w:sz w:val="24"/>
          <w:szCs w:val="24"/>
          <w:lang w:val="en-US"/>
        </w:rPr>
        <w:footnoteReference w:id="405"/>
      </w:r>
      <w:r>
        <w:rPr>
          <w:rFonts w:ascii="Times New Roman" w:hAnsi="Times New Roman" w:cs="Times New Roman"/>
          <w:noProof/>
          <w:sz w:val="24"/>
          <w:szCs w:val="24"/>
          <w:lang w:val="en-US"/>
        </w:rPr>
        <w:t xml:space="preserve">. </w:t>
      </w:r>
    </w:p>
    <w:p w:rsidR="00B32D69" w:rsidRDefault="00FB661A">
      <w:pPr>
        <w:spacing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the 2016 review, the Commission, by a new questionnaire sent to the Member States, seeks to collect data which has become available in the</w:t>
      </w:r>
      <w:r>
        <w:rPr>
          <w:rFonts w:ascii="Times New Roman" w:hAnsi="Times New Roman" w:cs="Times New Roman"/>
          <w:noProof/>
          <w:sz w:val="24"/>
          <w:szCs w:val="24"/>
          <w:lang w:val="en-US"/>
        </w:rPr>
        <w:t xml:space="preserve"> meantime and was not communicated already in 2015 as well as to receive information on further national reforms in the areas covered by the Recommendation. 19</w:t>
      </w:r>
      <w:r>
        <w:rPr>
          <w:rStyle w:val="FootnoteReference"/>
          <w:rFonts w:ascii="Times New Roman" w:hAnsi="Times New Roman"/>
          <w:noProof/>
          <w:sz w:val="24"/>
          <w:szCs w:val="24"/>
          <w:lang w:val="en-US"/>
        </w:rPr>
        <w:footnoteReference w:id="406"/>
      </w:r>
      <w:r>
        <w:rPr>
          <w:rFonts w:ascii="Times New Roman" w:hAnsi="Times New Roman" w:cs="Times New Roman"/>
          <w:noProof/>
          <w:sz w:val="24"/>
          <w:szCs w:val="24"/>
          <w:lang w:val="en-US"/>
        </w:rPr>
        <w:t xml:space="preserve"> Member States have sent their contributions, while 9</w:t>
      </w:r>
      <w:r>
        <w:rPr>
          <w:rStyle w:val="FootnoteReference"/>
          <w:rFonts w:ascii="Times New Roman" w:hAnsi="Times New Roman"/>
          <w:noProof/>
          <w:sz w:val="24"/>
          <w:szCs w:val="24"/>
          <w:lang w:val="en-US"/>
        </w:rPr>
        <w:footnoteReference w:id="407"/>
      </w:r>
      <w:r>
        <w:rPr>
          <w:rFonts w:ascii="Times New Roman" w:hAnsi="Times New Roman" w:cs="Times New Roman"/>
          <w:noProof/>
          <w:sz w:val="24"/>
          <w:szCs w:val="24"/>
          <w:lang w:val="en-US"/>
        </w:rPr>
        <w:t xml:space="preserve"> Member States have not replied to the Que</w:t>
      </w:r>
      <w:r>
        <w:rPr>
          <w:rFonts w:ascii="Times New Roman" w:hAnsi="Times New Roman" w:cs="Times New Roman"/>
          <w:noProof/>
          <w:sz w:val="24"/>
          <w:szCs w:val="24"/>
          <w:lang w:val="en-US"/>
        </w:rPr>
        <w:t>stionnaire.</w:t>
      </w:r>
    </w:p>
    <w:p w:rsidR="00B32D69" w:rsidRDefault="00B32D69">
      <w:pPr>
        <w:spacing w:after="120" w:line="240" w:lineRule="auto"/>
        <w:jc w:val="both"/>
        <w:rPr>
          <w:rFonts w:ascii="Times New Roman" w:hAnsi="Times New Roman" w:cs="Times New Roman"/>
          <w:noProof/>
          <w:sz w:val="24"/>
          <w:szCs w:val="24"/>
          <w:lang w:val="en-US"/>
        </w:rPr>
      </w:pPr>
    </w:p>
    <w:p w:rsidR="00B32D69" w:rsidRDefault="00FB661A">
      <w:pPr>
        <w:spacing w:after="120"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Part 1</w:t>
      </w:r>
    </w:p>
    <w:p w:rsidR="00B32D69" w:rsidRDefault="00B32D69">
      <w:pPr>
        <w:spacing w:after="120" w:line="240" w:lineRule="auto"/>
        <w:jc w:val="both"/>
        <w:rPr>
          <w:rFonts w:ascii="Times New Roman" w:hAnsi="Times New Roman" w:cs="Times New Roman"/>
          <w:b/>
          <w:noProof/>
          <w:sz w:val="24"/>
          <w:szCs w:val="24"/>
          <w:lang w:val="en-US"/>
        </w:rPr>
      </w:pPr>
    </w:p>
    <w:p w:rsidR="00B32D69" w:rsidRDefault="00FB661A">
      <w:pPr>
        <w:spacing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first part provides information on the reform processes in the Member States undertaken since the adoption of the Recommendation according to the data received in 2015 and 2016. In addition, it includes a detailed and comparative a</w:t>
      </w:r>
      <w:r>
        <w:rPr>
          <w:rFonts w:ascii="Times New Roman" w:hAnsi="Times New Roman" w:cs="Times New Roman"/>
          <w:noProof/>
          <w:sz w:val="24"/>
          <w:szCs w:val="24"/>
          <w:lang w:val="en-US"/>
        </w:rPr>
        <w:t xml:space="preserve">nalysis of the implementation of the main principles of the Recommendation by the Member States. </w:t>
      </w:r>
    </w:p>
    <w:p w:rsidR="00B32D69" w:rsidRDefault="00B32D69">
      <w:pPr>
        <w:spacing w:after="120" w:line="240" w:lineRule="auto"/>
        <w:jc w:val="both"/>
        <w:rPr>
          <w:rFonts w:ascii="Times New Roman" w:hAnsi="Times New Roman" w:cs="Times New Roman"/>
          <w:noProof/>
          <w:sz w:val="24"/>
          <w:szCs w:val="24"/>
          <w:lang w:val="en-US"/>
        </w:rPr>
      </w:pPr>
    </w:p>
    <w:p w:rsidR="00B32D69" w:rsidRDefault="00FB661A">
      <w:pPr>
        <w:spacing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1. Reform processes in the Member States undertaken since the adoption of the Recommendation</w:t>
      </w:r>
    </w:p>
    <w:p w:rsidR="00B32D69" w:rsidRDefault="00FB661A">
      <w:pPr>
        <w:spacing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1.1 2015 Review exercise</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According to the responses received in </w:t>
      </w:r>
      <w:r>
        <w:rPr>
          <w:rFonts w:ascii="Times New Roman" w:hAnsi="Times New Roman" w:cs="Times New Roman"/>
          <w:noProof/>
          <w:sz w:val="24"/>
          <w:szCs w:val="24"/>
          <w:lang w:val="en-US"/>
        </w:rPr>
        <w:t>2015, a few Member States have undertaken reforms which, in some cases, resulted in legislation implementing the Commission's Recommendation (legislation was passed in SI introducing a preventive restructuring procedure, ES, HU and RO have improved their p</w:t>
      </w:r>
      <w:r>
        <w:rPr>
          <w:rFonts w:ascii="Times New Roman" w:hAnsi="Times New Roman" w:cs="Times New Roman"/>
          <w:noProof/>
          <w:sz w:val="24"/>
          <w:szCs w:val="24"/>
          <w:lang w:val="en-US"/>
        </w:rPr>
        <w:t>ersonal insolvency regime, HR in both personal and corporate restructuring regimes, now PL is also due to pass legislation soon in the area of corporate restructuring). Such legislation in most cases implements only partially the Commission Recommendation:</w:t>
      </w:r>
      <w:r>
        <w:rPr>
          <w:rFonts w:ascii="Times New Roman" w:hAnsi="Times New Roman" w:cs="Times New Roman"/>
          <w:noProof/>
          <w:sz w:val="24"/>
          <w:szCs w:val="24"/>
          <w:lang w:val="en-US"/>
        </w:rPr>
        <w:t xml:space="preserve"> for example, SI has implemented a preventive restructuring procedure which is limited to debtors which are medium and large companies, but excludes from its scope small enterprises, and to financial creditors only; ES has implemented a personal insolvency</w:t>
      </w:r>
      <w:r>
        <w:rPr>
          <w:rFonts w:ascii="Times New Roman" w:hAnsi="Times New Roman" w:cs="Times New Roman"/>
          <w:noProof/>
          <w:sz w:val="24"/>
          <w:szCs w:val="24"/>
          <w:lang w:val="en-US"/>
        </w:rPr>
        <w:t xml:space="preserve"> procedure, but did not follow the Commission's recommendation on limiting the discharge period for honest debtors to three years, instead limiting it to five years. </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NL a reform process which aims at improving the existing preventive restructuring proc</w:t>
      </w:r>
      <w:r>
        <w:rPr>
          <w:rFonts w:ascii="Times New Roman" w:hAnsi="Times New Roman" w:cs="Times New Roman"/>
          <w:noProof/>
          <w:sz w:val="24"/>
          <w:szCs w:val="24"/>
          <w:lang w:val="en-US"/>
        </w:rPr>
        <w:t>edures which does not seem to function properly is still on-going, in LT improvements to the personal insolvency laws are being discussed, while in others Member States consideration is still being given to whether any specific action is necessary followin</w:t>
      </w:r>
      <w:r>
        <w:rPr>
          <w:rFonts w:ascii="Times New Roman" w:hAnsi="Times New Roman" w:cs="Times New Roman"/>
          <w:noProof/>
          <w:sz w:val="24"/>
          <w:szCs w:val="24"/>
          <w:lang w:val="en-US"/>
        </w:rPr>
        <w:t>g the adoption of the Commission Recommendation (for example in Sweden a special committee was appointed to look at the need to adapt national legislation in the light of the Recommendation and the results are expected in October 2016; in the UK a public c</w:t>
      </w:r>
      <w:r>
        <w:rPr>
          <w:rFonts w:ascii="Times New Roman" w:hAnsi="Times New Roman" w:cs="Times New Roman"/>
          <w:noProof/>
          <w:sz w:val="24"/>
          <w:szCs w:val="24"/>
          <w:lang w:val="en-US"/>
        </w:rPr>
        <w:t xml:space="preserve">onsultation has recently been carried out). </w:t>
      </w:r>
    </w:p>
    <w:p w:rsidR="00B32D69" w:rsidRDefault="00FB661A">
      <w:pPr>
        <w:spacing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1.2 2016 Review exercise</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According to the responses received in 2016, a few Member States have undertaken reforms in the meantime, implementing some of the principles of the Recommendation; others have introduce</w:t>
      </w:r>
      <w:r>
        <w:rPr>
          <w:rFonts w:ascii="Times New Roman" w:hAnsi="Times New Roman" w:cs="Times New Roman"/>
          <w:noProof/>
          <w:sz w:val="24"/>
          <w:szCs w:val="24"/>
          <w:lang w:val="en-US"/>
        </w:rPr>
        <w:t xml:space="preserve">d amendments in the previous legislation; while in others, legislative proposals are still pending. </w:t>
      </w:r>
    </w:p>
    <w:p w:rsidR="00B32D69" w:rsidRDefault="00FB661A">
      <w:pPr>
        <w:spacing w:line="240" w:lineRule="auto"/>
        <w:jc w:val="both"/>
        <w:rPr>
          <w:noProof/>
        </w:rPr>
      </w:pPr>
      <w:r>
        <w:rPr>
          <w:rFonts w:ascii="Times New Roman" w:hAnsi="Times New Roman" w:cs="Times New Roman"/>
          <w:noProof/>
          <w:sz w:val="24"/>
          <w:szCs w:val="24"/>
          <w:lang w:val="en-US"/>
        </w:rPr>
        <w:t xml:space="preserve">More specifically, in 2015, </w:t>
      </w:r>
      <w:r>
        <w:rPr>
          <w:rFonts w:ascii="Times New Roman" w:hAnsi="Times New Roman" w:cs="Times New Roman"/>
          <w:noProof/>
          <w:sz w:val="24"/>
          <w:szCs w:val="24"/>
        </w:rPr>
        <w:t xml:space="preserve">there was a new package of insolvency laws approved in CY: the reform entailed the introduction of </w:t>
      </w:r>
      <w:r>
        <w:rPr>
          <w:rFonts w:ascii="Times New Roman" w:hAnsi="Times New Roman" w:cs="Times New Roman"/>
          <w:i/>
          <w:noProof/>
          <w:sz w:val="24"/>
          <w:szCs w:val="24"/>
        </w:rPr>
        <w:t>examinership</w:t>
      </w:r>
      <w:r>
        <w:rPr>
          <w:rFonts w:ascii="Times New Roman" w:hAnsi="Times New Roman" w:cs="Times New Roman"/>
          <w:noProof/>
          <w:sz w:val="24"/>
          <w:szCs w:val="24"/>
        </w:rPr>
        <w:t xml:space="preserve">, a simple </w:t>
      </w:r>
      <w:r>
        <w:rPr>
          <w:rFonts w:ascii="Times New Roman" w:hAnsi="Times New Roman" w:cs="Times New Roman"/>
          <w:noProof/>
          <w:sz w:val="24"/>
          <w:szCs w:val="24"/>
        </w:rPr>
        <w:t>majority in value for a “cram-down” of liabilities in the course of a voluntary business arrangement, personal repayment plans and debt relief after 3 years under certain conditions. In PO, a new restructuring law entered into force in 2016 introducing new</w:t>
      </w:r>
      <w:r>
        <w:rPr>
          <w:rFonts w:ascii="Times New Roman" w:hAnsi="Times New Roman" w:cs="Times New Roman"/>
          <w:noProof/>
          <w:sz w:val="24"/>
          <w:szCs w:val="24"/>
        </w:rPr>
        <w:t xml:space="preserve"> types of restructuring proceedings and the implementation of pre-packaged restructuring plans. In HR, an insolvency act entered into force in 2015 introducing pre-bankruptcy proceedings in case of insolvency and in 2016, a system of consumer bankruptcy pr</w:t>
      </w:r>
      <w:r>
        <w:rPr>
          <w:rFonts w:ascii="Times New Roman" w:hAnsi="Times New Roman" w:cs="Times New Roman"/>
          <w:noProof/>
          <w:sz w:val="24"/>
          <w:szCs w:val="24"/>
        </w:rPr>
        <w:t>oceedings was developed.</w:t>
      </w:r>
    </w:p>
    <w:p w:rsidR="00B32D69" w:rsidRDefault="00FB661A">
      <w:pPr>
        <w:spacing w:line="240" w:lineRule="auto"/>
        <w:jc w:val="both"/>
        <w:rPr>
          <w:noProof/>
          <w:lang w:val="en-US"/>
        </w:rPr>
      </w:pPr>
      <w:r>
        <w:rPr>
          <w:rFonts w:ascii="Times New Roman" w:hAnsi="Times New Roman" w:cs="Times New Roman"/>
          <w:noProof/>
          <w:sz w:val="24"/>
          <w:szCs w:val="24"/>
          <w:lang w:val="en-US"/>
        </w:rPr>
        <w:t>In EL, in 2015, the restructuring processes were amended: the likelihood of insolvency was introduced as a criterion for filing early, an automatic stay is available under certain circumstances, the profession of insolvency adminis</w:t>
      </w:r>
      <w:r>
        <w:rPr>
          <w:rFonts w:ascii="Times New Roman" w:hAnsi="Times New Roman" w:cs="Times New Roman"/>
          <w:noProof/>
          <w:sz w:val="24"/>
          <w:szCs w:val="24"/>
          <w:lang w:val="en-US"/>
        </w:rPr>
        <w:t>trator was initiated and a discharge period of maximum 3 years was agreed for entrepreneurs. In SI, in 2016, an amending act on insolvency proceedings entered into force, providing for simplified compulsory (restructuring) proceedings for micro-enterprises</w:t>
      </w:r>
      <w:r>
        <w:rPr>
          <w:rFonts w:ascii="Times New Roman" w:hAnsi="Times New Roman" w:cs="Times New Roman"/>
          <w:noProof/>
          <w:sz w:val="24"/>
          <w:szCs w:val="24"/>
          <w:lang w:val="en-US"/>
        </w:rPr>
        <w:t xml:space="preserve"> and introducing a discharge period of maximum 2 years but not less than 6 months accompanied by additional safeguards against abuses. </w:t>
      </w:r>
    </w:p>
    <w:p w:rsidR="00B32D69" w:rsidRDefault="00FB661A">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NL, in 2015, a legislative proposal introducing a procedure to prevent unnecessary losses caused by bankruptcy and fa</w:t>
      </w:r>
      <w:r>
        <w:rPr>
          <w:rFonts w:ascii="Times New Roman" w:hAnsi="Times New Roman" w:cs="Times New Roman"/>
          <w:noProof/>
          <w:sz w:val="24"/>
          <w:szCs w:val="24"/>
          <w:lang w:val="en-US"/>
        </w:rPr>
        <w:t>cilitate second chance for business has been submitted to the Parliament, while a second proposal introducing new legislation on compulsory composition for restructuring of debts outside of bankruptcy is being prepared. In LU, a legislative proposal aiming</w:t>
      </w:r>
      <w:r>
        <w:rPr>
          <w:rFonts w:ascii="Times New Roman" w:hAnsi="Times New Roman" w:cs="Times New Roman"/>
          <w:noProof/>
          <w:sz w:val="24"/>
          <w:szCs w:val="24"/>
          <w:lang w:val="en-US"/>
        </w:rPr>
        <w:t xml:space="preserve"> at modernizing bankruptcy law and preventing bankruptcies through various reorganization measures for business in difficulty is still pending and in PT, there is an internal on-going discussion on the subject of preventive procedures and restructuring. </w:t>
      </w:r>
    </w:p>
    <w:p w:rsidR="00B32D69" w:rsidRDefault="00B32D69">
      <w:pPr>
        <w:jc w:val="both"/>
        <w:rPr>
          <w:rFonts w:ascii="Times New Roman" w:hAnsi="Times New Roman" w:cs="Times New Roman"/>
          <w:noProof/>
          <w:sz w:val="24"/>
          <w:szCs w:val="24"/>
          <w:lang w:val="en-US"/>
        </w:rPr>
      </w:pPr>
    </w:p>
    <w:p w:rsidR="00B32D69" w:rsidRDefault="00FB661A">
      <w:pPr>
        <w:spacing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2. Implementation of the principles of the Recommendation by the Member States</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Two years after the adoption of the Commission Recommendation, on the basis of the responses of the Member States, the main elements of the Recommendation are implemented in dif</w:t>
      </w:r>
      <w:r>
        <w:rPr>
          <w:rFonts w:ascii="Times New Roman" w:hAnsi="Times New Roman" w:cs="Times New Roman"/>
          <w:noProof/>
          <w:sz w:val="24"/>
          <w:szCs w:val="24"/>
          <w:lang w:val="en-US"/>
        </w:rPr>
        <w:t xml:space="preserve">ferent ways in the Member States.  </w:t>
      </w:r>
    </w:p>
    <w:p w:rsidR="00B32D69" w:rsidRDefault="00FB661A">
      <w:pPr>
        <w:spacing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2.1. Preventive restructuring procedures</w:t>
      </w:r>
    </w:p>
    <w:p w:rsidR="00B32D69" w:rsidRDefault="00FB661A">
      <w:pPr>
        <w:spacing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Enterprises do not have the same opportunities to deal with their financial difficulties everywhere in the Union. In some Member States businesses in financial difficulties have m</w:t>
      </w:r>
      <w:r>
        <w:rPr>
          <w:rFonts w:ascii="Times New Roman" w:hAnsi="Times New Roman" w:cs="Times New Roman"/>
          <w:iCs/>
          <w:noProof/>
          <w:sz w:val="24"/>
          <w:szCs w:val="24"/>
        </w:rPr>
        <w:t>ore opportunities than in others of restructuring their debts by having access to efficient, fast and low cost procedures. In several Member States, flexibility is also built into the legal framework, in that debtors can choose between several such procedu</w:t>
      </w:r>
      <w:r>
        <w:rPr>
          <w:rFonts w:ascii="Times New Roman" w:hAnsi="Times New Roman" w:cs="Times New Roman"/>
          <w:iCs/>
          <w:noProof/>
          <w:sz w:val="24"/>
          <w:szCs w:val="24"/>
        </w:rPr>
        <w:t xml:space="preserve">res according to their needs (such as the need to restructure only certain of their debts, e.g. financial debts; or the need to obtain a stay), or can combine several such procedures as negotiations on a restructuring plan evolve (for example where a stay </w:t>
      </w:r>
      <w:r>
        <w:rPr>
          <w:rFonts w:ascii="Times New Roman" w:hAnsi="Times New Roman" w:cs="Times New Roman"/>
          <w:iCs/>
          <w:noProof/>
          <w:sz w:val="24"/>
          <w:szCs w:val="24"/>
        </w:rPr>
        <w:t xml:space="preserve">becomes necessary only at a later stage).  </w:t>
      </w:r>
    </w:p>
    <w:p w:rsidR="00B32D69" w:rsidRDefault="00FB661A">
      <w:pPr>
        <w:spacing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Several conditions may contribute to the efficiency of restructuring procedures, but six in particular seem to stand out. The Recommendation has focused on these six conditions which, in order to increase the eff</w:t>
      </w:r>
      <w:r>
        <w:rPr>
          <w:rFonts w:ascii="Times New Roman" w:hAnsi="Times New Roman" w:cs="Times New Roman"/>
          <w:iCs/>
          <w:noProof/>
          <w:sz w:val="24"/>
          <w:szCs w:val="24"/>
        </w:rPr>
        <w:t>iciency of restructuring procedures, should be met cumulatively.</w:t>
      </w:r>
    </w:p>
    <w:p w:rsidR="00B32D69" w:rsidRDefault="00FB661A">
      <w:pPr>
        <w:spacing w:line="240" w:lineRule="auto"/>
        <w:jc w:val="both"/>
        <w:rPr>
          <w:rFonts w:ascii="Times New Roman" w:hAnsi="Times New Roman" w:cs="Times New Roman"/>
          <w:i/>
          <w:noProof/>
          <w:sz w:val="24"/>
          <w:szCs w:val="24"/>
          <w:lang w:val="en-US"/>
        </w:rPr>
      </w:pPr>
      <w:r>
        <w:rPr>
          <w:rFonts w:ascii="Times New Roman" w:hAnsi="Times New Roman" w:cs="Times New Roman"/>
          <w:i/>
          <w:noProof/>
          <w:sz w:val="24"/>
          <w:szCs w:val="24"/>
          <w:lang w:val="en-US"/>
        </w:rPr>
        <w:t>a) The possibility to file early with the objective of avoiding insolvency</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later a business initiates restructuring proceedings, the higher the costs of restructuring and the lower the management powers and success rate. Debtors in financial difficulties should have the possibility to restructure their debts before they are i</w:t>
      </w:r>
      <w:r>
        <w:rPr>
          <w:rFonts w:ascii="Times New Roman" w:hAnsi="Times New Roman" w:cs="Times New Roman"/>
          <w:noProof/>
          <w:sz w:val="24"/>
          <w:szCs w:val="24"/>
        </w:rPr>
        <w:t xml:space="preserve">nsolvent, when the risk of insolvency is however apparent for example because the debtor is unlikely to be able to repay his debts as they fall due in the foreseeable future.  </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Member States' procedures fall in several categories. In BG, HU, SK, DK and HR </w:t>
      </w:r>
      <w:r>
        <w:rPr>
          <w:rFonts w:ascii="Times New Roman" w:hAnsi="Times New Roman" w:cs="Times New Roman"/>
          <w:noProof/>
          <w:sz w:val="24"/>
          <w:szCs w:val="24"/>
        </w:rPr>
        <w:t xml:space="preserve">debtors do not have access to any type of structured procedure to restructure their debts with their creditors before they are actually insolvent or are already late with re-payments. AT, DE, IT and PT offer debtors the </w:t>
      </w:r>
      <w:r>
        <w:rPr>
          <w:rFonts w:ascii="Times New Roman" w:hAnsi="Times New Roman" w:cs="Times New Roman"/>
          <w:iCs/>
          <w:noProof/>
          <w:sz w:val="24"/>
          <w:szCs w:val="24"/>
        </w:rPr>
        <w:t>possibility to restructure before th</w:t>
      </w:r>
      <w:r>
        <w:rPr>
          <w:rFonts w:ascii="Times New Roman" w:hAnsi="Times New Roman" w:cs="Times New Roman"/>
          <w:iCs/>
          <w:noProof/>
          <w:sz w:val="24"/>
          <w:szCs w:val="24"/>
        </w:rPr>
        <w:t>ey are insolvent, but under very strict access conditions (e.g. an expert certificate must be filed or proof of a high majority of creditors already supporting the plan is required). Finally, BE, CZ, EE, FI, FR, EL, ES, LV, LT, LU, NL, PL, RO, SE, CY, IE a</w:t>
      </w:r>
      <w:r>
        <w:rPr>
          <w:rFonts w:ascii="Times New Roman" w:hAnsi="Times New Roman" w:cs="Times New Roman"/>
          <w:iCs/>
          <w:noProof/>
          <w:sz w:val="24"/>
          <w:szCs w:val="24"/>
        </w:rPr>
        <w:t>nd UK offer the debtor in financial difficulties the possibility to restructure at an early stage when there is a likelihood of insolvency in the future, without strict conditions being attached.</w:t>
      </w:r>
    </w:p>
    <w:p w:rsidR="00B32D69" w:rsidRDefault="00FB661A">
      <w:pPr>
        <w:spacing w:line="240" w:lineRule="auto"/>
        <w:jc w:val="both"/>
        <w:rPr>
          <w:rFonts w:ascii="Times New Roman" w:hAnsi="Times New Roman" w:cs="Times New Roman"/>
          <w:i/>
          <w:noProof/>
          <w:sz w:val="24"/>
          <w:szCs w:val="24"/>
          <w:lang w:val="en-US"/>
        </w:rPr>
      </w:pPr>
      <w:r>
        <w:rPr>
          <w:rFonts w:ascii="Times New Roman" w:hAnsi="Times New Roman" w:cs="Times New Roman"/>
          <w:i/>
          <w:noProof/>
          <w:sz w:val="24"/>
          <w:szCs w:val="24"/>
          <w:lang w:val="en-US"/>
        </w:rPr>
        <w:t>b) The position of the debtor</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iCs/>
          <w:noProof/>
          <w:sz w:val="24"/>
          <w:szCs w:val="24"/>
          <w:lang w:val="en-US"/>
        </w:rPr>
        <w:t>I</w:t>
      </w:r>
      <w:r>
        <w:rPr>
          <w:rFonts w:ascii="Times New Roman" w:hAnsi="Times New Roman" w:cs="Times New Roman"/>
          <w:iCs/>
          <w:noProof/>
          <w:sz w:val="24"/>
          <w:szCs w:val="24"/>
        </w:rPr>
        <w:t xml:space="preserve">n order to encourage debtors </w:t>
      </w:r>
      <w:r>
        <w:rPr>
          <w:rFonts w:ascii="Times New Roman" w:hAnsi="Times New Roman" w:cs="Times New Roman"/>
          <w:iCs/>
          <w:noProof/>
          <w:sz w:val="24"/>
          <w:szCs w:val="24"/>
        </w:rPr>
        <w:t>to address their financial difficulties at an early stage, they should be left in principle in control of the day-to-day operation of their business. This would also ensure that the least disruption to the activity of the enterprise. Where necessary, a med</w:t>
      </w:r>
      <w:r>
        <w:rPr>
          <w:rFonts w:ascii="Times New Roman" w:hAnsi="Times New Roman" w:cs="Times New Roman"/>
          <w:iCs/>
          <w:noProof/>
          <w:sz w:val="24"/>
          <w:szCs w:val="24"/>
        </w:rPr>
        <w:t>iator or a supervisor should be appointed by the court.</w:t>
      </w:r>
      <w:r>
        <w:rPr>
          <w:rFonts w:ascii="Arial" w:hAnsi="Arial" w:cs="Arial"/>
          <w:noProof/>
          <w:sz w:val="36"/>
          <w:szCs w:val="36"/>
        </w:rPr>
        <w:t xml:space="preserve"> </w:t>
      </w:r>
      <w:r>
        <w:rPr>
          <w:rFonts w:ascii="Times New Roman" w:hAnsi="Times New Roman" w:cs="Times New Roman"/>
          <w:iCs/>
          <w:noProof/>
          <w:sz w:val="24"/>
          <w:szCs w:val="24"/>
        </w:rPr>
        <w:t>Debtors should be left in principle in control of the day-to-day operation of their business.</w:t>
      </w:r>
    </w:p>
    <w:p w:rsidR="00B32D69" w:rsidRDefault="00FB661A">
      <w:pPr>
        <w:spacing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In FR, CY and NL the debtor may lose certain powers of control over the business during preventive restruc</w:t>
      </w:r>
      <w:r>
        <w:rPr>
          <w:rFonts w:ascii="Times New Roman" w:hAnsi="Times New Roman" w:cs="Times New Roman"/>
          <w:iCs/>
          <w:noProof/>
          <w:sz w:val="24"/>
          <w:szCs w:val="24"/>
        </w:rPr>
        <w:t>turing procedures. In AT, CZ, EE, FI, DE, LV, LT, LU, PL, RO, SK, SI, SE, UK, IE and HR the debtor is left in possession, but an insolvency practitioner or administrator is also appointed (AT, DE, EE, FI, FR, DK) or the court itself supervises the debtor (</w:t>
      </w:r>
      <w:r>
        <w:rPr>
          <w:rFonts w:ascii="Times New Roman" w:hAnsi="Times New Roman" w:cs="Times New Roman"/>
          <w:iCs/>
          <w:noProof/>
          <w:sz w:val="24"/>
          <w:szCs w:val="24"/>
        </w:rPr>
        <w:t>BE). Finally, in EL, IT, PT and ES there is no obligation for a court to appoint insolvency practitioner or such a practitioner can be appointed out-of-court, while in FI an insolvency practitioner is not required in a simplified restructuring procedure.</w:t>
      </w:r>
    </w:p>
    <w:p w:rsidR="00B32D69" w:rsidRDefault="00FB661A">
      <w:pPr>
        <w:spacing w:line="240" w:lineRule="auto"/>
        <w:jc w:val="both"/>
        <w:rPr>
          <w:rFonts w:ascii="Times New Roman" w:hAnsi="Times New Roman" w:cs="Times New Roman"/>
          <w:i/>
          <w:noProof/>
          <w:sz w:val="24"/>
          <w:szCs w:val="24"/>
          <w:lang w:val="en-US"/>
        </w:rPr>
      </w:pPr>
      <w:r>
        <w:rPr>
          <w:rFonts w:ascii="Times New Roman" w:hAnsi="Times New Roman" w:cs="Times New Roman"/>
          <w:i/>
          <w:noProof/>
          <w:sz w:val="24"/>
          <w:szCs w:val="24"/>
          <w:lang w:val="en-US"/>
        </w:rPr>
        <w:t>c</w:t>
      </w:r>
      <w:r>
        <w:rPr>
          <w:rFonts w:ascii="Times New Roman" w:hAnsi="Times New Roman" w:cs="Times New Roman"/>
          <w:i/>
          <w:noProof/>
          <w:sz w:val="24"/>
          <w:szCs w:val="24"/>
          <w:lang w:val="en-US"/>
        </w:rPr>
        <w:t>) The possibility of a stay on individual enforcement actions</w:t>
      </w:r>
    </w:p>
    <w:p w:rsidR="00B32D69" w:rsidRDefault="00FB661A">
      <w:pPr>
        <w:spacing w:after="240"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During negotiations on a restructuring plan, the debtor should be able to apply to a court for suspension of individual enforcement actions which could otherwise jeopardise the success of the re</w:t>
      </w:r>
      <w:r>
        <w:rPr>
          <w:rFonts w:ascii="Times New Roman" w:hAnsi="Times New Roman" w:cs="Times New Roman"/>
          <w:iCs/>
          <w:noProof/>
          <w:sz w:val="24"/>
          <w:szCs w:val="24"/>
        </w:rPr>
        <w:t>structuring process. The stay could be requested against any type of creditor, but at the same time safeguards should be put in place in order to ensure that it is used strictly for the purposes of facilitating negotiations on a restructuring plan. The fir</w:t>
      </w:r>
      <w:r>
        <w:rPr>
          <w:rFonts w:ascii="Times New Roman" w:hAnsi="Times New Roman" w:cs="Times New Roman"/>
          <w:iCs/>
          <w:noProof/>
          <w:sz w:val="24"/>
          <w:szCs w:val="24"/>
        </w:rPr>
        <w:t>st such safeguard is the duration of the stay, which should be calibrated to the complexity of the case and not exceed four months; only in more complex cases should the court be able to prolong the initial duration of the stay upon proof of progress in th</w:t>
      </w:r>
      <w:r>
        <w:rPr>
          <w:rFonts w:ascii="Times New Roman" w:hAnsi="Times New Roman" w:cs="Times New Roman"/>
          <w:iCs/>
          <w:noProof/>
          <w:sz w:val="24"/>
          <w:szCs w:val="24"/>
        </w:rPr>
        <w:t>e negotiations. The second safeguard is the possibility to have the stay lifted when it is clear that it is no longer needed to attain the objective of the procedure.</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iCs/>
          <w:noProof/>
          <w:sz w:val="24"/>
          <w:szCs w:val="24"/>
        </w:rPr>
        <w:t xml:space="preserve">In AT there is no possibility to obtain a stay of individual enforcement actions in such </w:t>
      </w:r>
      <w:r>
        <w:rPr>
          <w:rFonts w:ascii="Times New Roman" w:hAnsi="Times New Roman" w:cs="Times New Roman"/>
          <w:iCs/>
          <w:noProof/>
          <w:sz w:val="24"/>
          <w:szCs w:val="24"/>
        </w:rPr>
        <w:t>preventive restructuring procedures. In many Member States the stay period is limited in time and can be extended in more complex cases or upon evidence of progress in negotiations (CZ, FR, IT, LV, LT, NL, PT, SE, SI, CY, IE and UK), while in some it canno</w:t>
      </w:r>
      <w:r>
        <w:rPr>
          <w:rFonts w:ascii="Times New Roman" w:hAnsi="Times New Roman" w:cs="Times New Roman"/>
          <w:iCs/>
          <w:noProof/>
          <w:sz w:val="24"/>
          <w:szCs w:val="24"/>
        </w:rPr>
        <w:t>t be extended (DE, ES, EL, PL). Where there are several procedures in place, the length of the stay usually varies from one procedure to another. In BE, EE, FI, LU, RO and DK, the stay is for an indefinite period, until the restructuring plan is adopted or</w:t>
      </w:r>
      <w:r>
        <w:rPr>
          <w:rFonts w:ascii="Times New Roman" w:hAnsi="Times New Roman" w:cs="Times New Roman"/>
          <w:iCs/>
          <w:noProof/>
          <w:sz w:val="24"/>
          <w:szCs w:val="24"/>
        </w:rPr>
        <w:t xml:space="preserve"> rejected. In BE, DE, EL, SE, CY, IE the stay may be lifted by the court before the expiry of the stay period if the objectives of the stay can no longer be achieved or there is evidence of abuse. Most often the stay also means that insolvency procedures c</w:t>
      </w:r>
      <w:r>
        <w:rPr>
          <w:rFonts w:ascii="Times New Roman" w:hAnsi="Times New Roman" w:cs="Times New Roman"/>
          <w:iCs/>
          <w:noProof/>
          <w:sz w:val="24"/>
          <w:szCs w:val="24"/>
        </w:rPr>
        <w:t xml:space="preserve">annot be open against the debtor. In some Member States some actions cannot be stayed (e.g. in BE, DK and SE in respect of specific secured transactions; in EE in respect of employment claims).   </w:t>
      </w:r>
    </w:p>
    <w:p w:rsidR="00B32D69" w:rsidRDefault="00FB661A">
      <w:pPr>
        <w:spacing w:line="240" w:lineRule="auto"/>
        <w:jc w:val="both"/>
        <w:rPr>
          <w:rFonts w:ascii="Times New Roman" w:hAnsi="Times New Roman" w:cs="Times New Roman"/>
          <w:i/>
          <w:noProof/>
          <w:sz w:val="24"/>
          <w:szCs w:val="24"/>
          <w:lang w:val="en-US"/>
        </w:rPr>
      </w:pPr>
      <w:r>
        <w:rPr>
          <w:rFonts w:ascii="Times New Roman" w:hAnsi="Times New Roman" w:cs="Times New Roman"/>
          <w:i/>
          <w:noProof/>
          <w:sz w:val="24"/>
          <w:szCs w:val="24"/>
          <w:lang w:val="en-US"/>
        </w:rPr>
        <w:t xml:space="preserve">d) Adoption of the restructuring plans by creditors  </w:t>
      </w:r>
    </w:p>
    <w:p w:rsidR="00B32D69" w:rsidRDefault="00FB661A">
      <w:pPr>
        <w:spacing w:after="240"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The R</w:t>
      </w:r>
      <w:r>
        <w:rPr>
          <w:rFonts w:ascii="Times New Roman" w:hAnsi="Times New Roman" w:cs="Times New Roman"/>
          <w:iCs/>
          <w:noProof/>
          <w:sz w:val="24"/>
          <w:szCs w:val="24"/>
        </w:rPr>
        <w:t>ecommendation provides for the adoption of restructuring plans by creditors representing the majority stipulated under national law. It also requests that creditors should vote in classes constituted according to their interests, but that as a minimum secu</w:t>
      </w:r>
      <w:r>
        <w:rPr>
          <w:rFonts w:ascii="Times New Roman" w:hAnsi="Times New Roman" w:cs="Times New Roman"/>
          <w:iCs/>
          <w:noProof/>
          <w:sz w:val="24"/>
          <w:szCs w:val="24"/>
        </w:rPr>
        <w:t>red and unsecured creditors should be treated in different classes for the purposes of adopting restructuring plans. Furthermore, the majority should be weighted depending not merely on the number of creditors, but on the amount of their claims. For the su</w:t>
      </w:r>
      <w:r>
        <w:rPr>
          <w:rFonts w:ascii="Times New Roman" w:hAnsi="Times New Roman" w:cs="Times New Roman"/>
          <w:iCs/>
          <w:noProof/>
          <w:sz w:val="24"/>
          <w:szCs w:val="24"/>
        </w:rPr>
        <w:t>ccess of restructuring plans, it is necessary to involve those creditors likely to be affected by the plan. While formal voting is not absolutely necessary, when it is foreseen in national law, creditors should whenever possible be allowed to vote by dista</w:t>
      </w:r>
      <w:r>
        <w:rPr>
          <w:rFonts w:ascii="Times New Roman" w:hAnsi="Times New Roman" w:cs="Times New Roman"/>
          <w:iCs/>
          <w:noProof/>
          <w:sz w:val="24"/>
          <w:szCs w:val="24"/>
        </w:rPr>
        <w:t xml:space="preserve">nce means of communication. This will increase creditor participation by lowering their ancillary costs. </w:t>
      </w:r>
    </w:p>
    <w:p w:rsidR="00B32D69" w:rsidRDefault="00FB661A">
      <w:pPr>
        <w:spacing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In AT and LT there is no possibility of binding dissenting creditors by majority voting. In  CZ, EE, EL, ES, HR, IT, LV, LU, NL, PL, PT, SI and the UK</w:t>
      </w:r>
      <w:r>
        <w:rPr>
          <w:rFonts w:ascii="Times New Roman" w:hAnsi="Times New Roman" w:cs="Times New Roman"/>
          <w:iCs/>
          <w:noProof/>
          <w:sz w:val="24"/>
          <w:szCs w:val="24"/>
        </w:rPr>
        <w:t xml:space="preserve"> binding dissenting creditors is in principle possible, but certain categories of creditors are exempted (e.g. public creditors, employees, secured creditors, commercial creditors). In DK, creditors are not treated in separate classes for the purposes of v</w:t>
      </w:r>
      <w:r>
        <w:rPr>
          <w:rFonts w:ascii="Times New Roman" w:hAnsi="Times New Roman" w:cs="Times New Roman"/>
          <w:iCs/>
          <w:noProof/>
          <w:sz w:val="24"/>
          <w:szCs w:val="24"/>
        </w:rPr>
        <w:t>oting on a restructuring plan and the restructuring plan is adopted if not opposed by a majority of creditors, while in CY there is a simple majority in value for a “cram-down” of liabilities in the course of a voluntary business arrangement. BE, DE and RO</w:t>
      </w:r>
      <w:r>
        <w:rPr>
          <w:rFonts w:ascii="Times New Roman" w:hAnsi="Times New Roman" w:cs="Times New Roman"/>
          <w:iCs/>
          <w:noProof/>
          <w:sz w:val="24"/>
          <w:szCs w:val="24"/>
        </w:rPr>
        <w:t xml:space="preserve"> offer the possibility of binding dissenting creditors, but they require that </w:t>
      </w:r>
      <w:r>
        <w:rPr>
          <w:rFonts w:ascii="Times New Roman" w:hAnsi="Times New Roman" w:cs="Times New Roman"/>
          <w:bCs/>
          <w:iCs/>
          <w:noProof/>
          <w:sz w:val="24"/>
          <w:szCs w:val="24"/>
        </w:rPr>
        <w:t>all</w:t>
      </w:r>
      <w:r>
        <w:rPr>
          <w:rFonts w:ascii="Times New Roman" w:hAnsi="Times New Roman" w:cs="Times New Roman"/>
          <w:iCs/>
          <w:noProof/>
          <w:sz w:val="24"/>
          <w:szCs w:val="24"/>
        </w:rPr>
        <w:t xml:space="preserve"> creditors are involved, even those whose rights are not affected. Finally, FI, FR and SI give the possibility that only certain categories of creditors which are affected by </w:t>
      </w:r>
      <w:r>
        <w:rPr>
          <w:rFonts w:ascii="Times New Roman" w:hAnsi="Times New Roman" w:cs="Times New Roman"/>
          <w:iCs/>
          <w:noProof/>
          <w:sz w:val="24"/>
          <w:szCs w:val="24"/>
        </w:rPr>
        <w:t xml:space="preserve">the plan are involved (e.g. financial creditors). </w:t>
      </w:r>
    </w:p>
    <w:p w:rsidR="00B32D69" w:rsidRDefault="00FB661A">
      <w:pPr>
        <w:spacing w:line="240" w:lineRule="auto"/>
        <w:jc w:val="both"/>
        <w:rPr>
          <w:rFonts w:ascii="Times New Roman" w:hAnsi="Times New Roman" w:cs="Times New Roman"/>
          <w:i/>
          <w:noProof/>
          <w:sz w:val="24"/>
          <w:szCs w:val="24"/>
          <w:lang w:val="en-US"/>
        </w:rPr>
      </w:pPr>
      <w:r>
        <w:rPr>
          <w:rFonts w:ascii="Times New Roman" w:hAnsi="Times New Roman" w:cs="Times New Roman"/>
          <w:i/>
          <w:noProof/>
          <w:sz w:val="24"/>
          <w:szCs w:val="24"/>
          <w:lang w:val="en-US"/>
        </w:rPr>
        <w:t>e) The protection for new finance granted in restructuring procedures</w:t>
      </w:r>
    </w:p>
    <w:p w:rsidR="00B32D69" w:rsidRDefault="00FB661A">
      <w:pPr>
        <w:spacing w:line="240" w:lineRule="auto"/>
        <w:jc w:val="both"/>
        <w:rPr>
          <w:rFonts w:ascii="Times New Roman" w:hAnsi="Times New Roman" w:cs="Times New Roman"/>
          <w:iCs/>
          <w:noProof/>
          <w:sz w:val="24"/>
          <w:szCs w:val="24"/>
        </w:rPr>
      </w:pPr>
      <w:r>
        <w:rPr>
          <w:rFonts w:ascii="Times New Roman" w:hAnsi="Times New Roman" w:cs="Times New Roman"/>
          <w:iCs/>
          <w:noProof/>
          <w:sz w:val="24"/>
          <w:szCs w:val="24"/>
          <w:lang w:val="en-US"/>
        </w:rPr>
        <w:t>E</w:t>
      </w:r>
      <w:r>
        <w:rPr>
          <w:rFonts w:ascii="Times New Roman" w:hAnsi="Times New Roman" w:cs="Times New Roman"/>
          <w:iCs/>
          <w:noProof/>
          <w:sz w:val="24"/>
          <w:szCs w:val="24"/>
        </w:rPr>
        <w:t>ncouraging new financing is necessary to ensure the success of a restructuring plan. As a minimum, the most effective means of protect</w:t>
      </w:r>
      <w:r>
        <w:rPr>
          <w:rFonts w:ascii="Times New Roman" w:hAnsi="Times New Roman" w:cs="Times New Roman"/>
          <w:iCs/>
          <w:noProof/>
          <w:sz w:val="24"/>
          <w:szCs w:val="24"/>
        </w:rPr>
        <w:t>ing new financing which was agreed on in the context of a restructuring plan are first to exempt it from avoidance actions and second to exempt providers of such new financing from civil and criminal liability, where it exists. Furthermore, no protection s</w:t>
      </w:r>
      <w:r>
        <w:rPr>
          <w:rFonts w:ascii="Times New Roman" w:hAnsi="Times New Roman" w:cs="Times New Roman"/>
          <w:iCs/>
          <w:noProof/>
          <w:sz w:val="24"/>
          <w:szCs w:val="24"/>
        </w:rPr>
        <w:t>hould be granted where fraud was established.</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iCs/>
          <w:noProof/>
          <w:sz w:val="24"/>
          <w:szCs w:val="24"/>
        </w:rPr>
        <w:t>In most MS new finance during restructuring proceedings is allowed (albeit debt-equity swaps are permitted to a lesser extent), however in EE, HR, LT, LU, , DK and SE it does not seem to be protected in subsequ</w:t>
      </w:r>
      <w:r>
        <w:rPr>
          <w:rFonts w:ascii="Times New Roman" w:hAnsi="Times New Roman" w:cs="Times New Roman"/>
          <w:iCs/>
          <w:noProof/>
          <w:sz w:val="24"/>
          <w:szCs w:val="24"/>
        </w:rPr>
        <w:t xml:space="preserve">ent insolvency proceedings in any special way. In AT, EL, ES, FR, IT, NL, PT, SI and the UK new finance is protected from avoidance actions while in BE, CZ, FI, FR, IT, DE, EL, LV SI, SK, PL, RO and the UK it receives super-priority or a special status in </w:t>
      </w:r>
      <w:r>
        <w:rPr>
          <w:rFonts w:ascii="Times New Roman" w:hAnsi="Times New Roman" w:cs="Times New Roman"/>
          <w:iCs/>
          <w:noProof/>
          <w:sz w:val="24"/>
          <w:szCs w:val="24"/>
        </w:rPr>
        <w:t>subsequent insolvency proceedings.</w:t>
      </w:r>
    </w:p>
    <w:p w:rsidR="00B32D69" w:rsidRDefault="00FB661A">
      <w:pPr>
        <w:spacing w:line="240" w:lineRule="auto"/>
        <w:jc w:val="both"/>
        <w:rPr>
          <w:rFonts w:ascii="Times New Roman" w:hAnsi="Times New Roman" w:cs="Times New Roman"/>
          <w:i/>
          <w:noProof/>
          <w:sz w:val="24"/>
          <w:szCs w:val="24"/>
          <w:lang w:val="en-US"/>
        </w:rPr>
      </w:pPr>
      <w:r>
        <w:rPr>
          <w:rFonts w:ascii="Times New Roman" w:hAnsi="Times New Roman" w:cs="Times New Roman"/>
          <w:i/>
          <w:noProof/>
          <w:sz w:val="24"/>
          <w:szCs w:val="24"/>
          <w:lang w:val="en-US"/>
        </w:rPr>
        <w:t>f) The involvement of courts when third party rights could be affected</w:t>
      </w:r>
    </w:p>
    <w:p w:rsidR="00B32D69" w:rsidRDefault="00FB661A">
      <w:pPr>
        <w:spacing w:after="240"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The Recommendation encourages certain limits to the extent of court involvement. Certain steps in a restructuring process require court involvement. T</w:t>
      </w:r>
      <w:r>
        <w:rPr>
          <w:rFonts w:ascii="Times New Roman" w:hAnsi="Times New Roman" w:cs="Times New Roman"/>
          <w:iCs/>
          <w:noProof/>
          <w:sz w:val="24"/>
          <w:szCs w:val="24"/>
        </w:rPr>
        <w:t>his is the case where the rights of dissenting creditors are affected, either at the stage of imposing or subsequently lifting a stay of individual enforcement actions, or at the stage of validating a restructuring plan which affects such creditors or whic</w:t>
      </w:r>
      <w:r>
        <w:rPr>
          <w:rFonts w:ascii="Times New Roman" w:hAnsi="Times New Roman" w:cs="Times New Roman"/>
          <w:iCs/>
          <w:noProof/>
          <w:sz w:val="24"/>
          <w:szCs w:val="24"/>
        </w:rPr>
        <w:t>h provides for new financing directly or indirectly affecting the rights of certain creditors. However, most other steps in the restructuring process do not need to take place in court. For example, when formal voting is required in national laws this coul</w:t>
      </w:r>
      <w:r>
        <w:rPr>
          <w:rFonts w:ascii="Times New Roman" w:hAnsi="Times New Roman" w:cs="Times New Roman"/>
          <w:iCs/>
          <w:noProof/>
          <w:sz w:val="24"/>
          <w:szCs w:val="24"/>
        </w:rPr>
        <w:t>d take place out-of-court.</w:t>
      </w:r>
    </w:p>
    <w:p w:rsidR="00B32D69" w:rsidRDefault="00FB661A">
      <w:pPr>
        <w:spacing w:line="240" w:lineRule="auto"/>
        <w:jc w:val="both"/>
        <w:rPr>
          <w:rFonts w:ascii="Times New Roman" w:hAnsi="Times New Roman" w:cs="Times New Roman"/>
          <w:noProof/>
          <w:sz w:val="24"/>
          <w:szCs w:val="24"/>
        </w:rPr>
      </w:pPr>
      <w:r>
        <w:rPr>
          <w:rFonts w:ascii="Times New Roman" w:hAnsi="Times New Roman" w:cs="Times New Roman"/>
          <w:iCs/>
          <w:noProof/>
          <w:sz w:val="24"/>
          <w:szCs w:val="24"/>
        </w:rPr>
        <w:t xml:space="preserve">In BE, FI, DK and NL early restructuring procedures require full court involvement, from starting negotiations, and including the appointment of an insolvency practitioner and voting on a plan. In CZ, EE, FR, DE, LV, LT, LU, PL, </w:t>
      </w:r>
      <w:r>
        <w:rPr>
          <w:rFonts w:ascii="Times New Roman" w:hAnsi="Times New Roman" w:cs="Times New Roman"/>
          <w:iCs/>
          <w:noProof/>
          <w:sz w:val="24"/>
          <w:szCs w:val="24"/>
        </w:rPr>
        <w:t>RO, SE, SI, CY, IE and the UK, while a court must be involved early at the beginning of the process, negotiations between debtor and creditors and voting take place outside court. Finally, in AT, EL, IT, PT and ES the court is involved only to approve a st</w:t>
      </w:r>
      <w:r>
        <w:rPr>
          <w:rFonts w:ascii="Times New Roman" w:hAnsi="Times New Roman" w:cs="Times New Roman"/>
          <w:iCs/>
          <w:noProof/>
          <w:sz w:val="24"/>
          <w:szCs w:val="24"/>
        </w:rPr>
        <w:t>ay or to confirm a restructuring plan.</w:t>
      </w:r>
    </w:p>
    <w:p w:rsidR="00B32D69" w:rsidRDefault="00FB661A">
      <w:pPr>
        <w:autoSpaceDE w:val="0"/>
        <w:autoSpaceDN w:val="0"/>
        <w:adjustRightInd w:val="0"/>
        <w:spacing w:after="240"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2.2. Second chance provisions</w:t>
      </w:r>
    </w:p>
    <w:p w:rsidR="00B32D69" w:rsidRDefault="00FB661A">
      <w:pPr>
        <w:spacing w:line="240" w:lineRule="auto"/>
        <w:jc w:val="both"/>
        <w:rPr>
          <w:rFonts w:ascii="Times New Roman" w:hAnsi="Times New Roman" w:cs="Times New Roman"/>
          <w:i/>
          <w:iCs/>
          <w:noProof/>
          <w:sz w:val="24"/>
          <w:szCs w:val="24"/>
        </w:rPr>
      </w:pPr>
      <w:r>
        <w:rPr>
          <w:rFonts w:ascii="Times New Roman" w:hAnsi="Times New Roman" w:cs="Times New Roman"/>
          <w:i/>
          <w:iCs/>
          <w:noProof/>
          <w:sz w:val="24"/>
          <w:szCs w:val="24"/>
        </w:rPr>
        <w:t>a) Discharge of debt to allow second chance for entrepreneurs</w:t>
      </w:r>
    </w:p>
    <w:p w:rsidR="00B32D69" w:rsidRDefault="00FB661A">
      <w:pPr>
        <w:spacing w:after="240"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 xml:space="preserve">The Commission Recommendation urges Member States to provide for a reasonable discharge period of maximum three years from </w:t>
      </w:r>
      <w:r>
        <w:rPr>
          <w:rFonts w:ascii="Times New Roman" w:hAnsi="Times New Roman" w:cs="Times New Roman"/>
          <w:iCs/>
          <w:noProof/>
          <w:sz w:val="24"/>
          <w:szCs w:val="24"/>
        </w:rPr>
        <w:t xml:space="preserve">the opening of liquidation of assets proceedings or, in cases where a repayment plan has been approved, from the moment the plan is put into application. The provision also contains exemptions which are aimed either at discouraging dishonest entrepreneurs </w:t>
      </w:r>
      <w:r>
        <w:rPr>
          <w:rFonts w:ascii="Times New Roman" w:hAnsi="Times New Roman" w:cs="Times New Roman"/>
          <w:iCs/>
          <w:noProof/>
          <w:sz w:val="24"/>
          <w:szCs w:val="24"/>
        </w:rPr>
        <w:t>from thinking they can benefit from a quick discharge, or to safeguard the livelihood of the debtor, for example.</w:t>
      </w:r>
    </w:p>
    <w:p w:rsidR="00B32D69" w:rsidRDefault="00FB661A">
      <w:pPr>
        <w:spacing w:after="240"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In DE, IE, LV, FI, FR, NL, SK, UK, EL, CY and DK discharge periods are largely complying with the Recommendation, although in some cases there</w:t>
      </w:r>
      <w:r>
        <w:rPr>
          <w:rFonts w:ascii="Times New Roman" w:hAnsi="Times New Roman" w:cs="Times New Roman"/>
          <w:iCs/>
          <w:noProof/>
          <w:sz w:val="24"/>
          <w:szCs w:val="24"/>
        </w:rPr>
        <w:t xml:space="preserve"> are strict conditions attached (e.g. in DE the need for the repayment of 35% of debt, in HU 50%). Gaps still remain: there is no possibility of discharge in BG, in HR and LU there is no definite discharge period and the discharge is left to the discretion</w:t>
      </w:r>
      <w:r>
        <w:rPr>
          <w:rFonts w:ascii="Times New Roman" w:hAnsi="Times New Roman" w:cs="Times New Roman"/>
          <w:iCs/>
          <w:noProof/>
          <w:sz w:val="24"/>
          <w:szCs w:val="24"/>
        </w:rPr>
        <w:t xml:space="preserve"> of the judge, while in PL, a full discharge can be obtained after a successful fulfilment of a 3-year repayment plan. Discharge periods are still too long in CZ, EE, ES, LT, PT, SI, SE (5 years), AT and BE (7 years).</w:t>
      </w:r>
    </w:p>
    <w:p w:rsidR="00B32D69" w:rsidRDefault="00FB661A">
      <w:pPr>
        <w:spacing w:after="240" w:line="240" w:lineRule="auto"/>
        <w:jc w:val="both"/>
        <w:rPr>
          <w:rFonts w:ascii="Times New Roman" w:hAnsi="Times New Roman" w:cs="Times New Roman"/>
          <w:b/>
          <w:iCs/>
          <w:noProof/>
          <w:sz w:val="24"/>
          <w:szCs w:val="24"/>
        </w:rPr>
      </w:pPr>
      <w:r>
        <w:rPr>
          <w:rFonts w:ascii="Times New Roman" w:hAnsi="Times New Roman" w:cs="Times New Roman"/>
          <w:b/>
          <w:iCs/>
          <w:noProof/>
          <w:sz w:val="24"/>
          <w:szCs w:val="24"/>
        </w:rPr>
        <w:t>2.3 Consumer insolvency</w:t>
      </w:r>
    </w:p>
    <w:p w:rsidR="00B32D69" w:rsidRDefault="00FB661A">
      <w:pPr>
        <w:spacing w:after="240"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Although consu</w:t>
      </w:r>
      <w:r>
        <w:rPr>
          <w:rFonts w:ascii="Times New Roman" w:hAnsi="Times New Roman" w:cs="Times New Roman"/>
          <w:iCs/>
          <w:noProof/>
          <w:sz w:val="24"/>
          <w:szCs w:val="24"/>
        </w:rPr>
        <w:t xml:space="preserve">mer insolvency is not covered by the scope of the Recommendation, some principles may also be relevant (e.g. debt discharge and second chance). Thus, the MS were invited to explore the possibility of applying these recommendations also to consumers. </w:t>
      </w:r>
    </w:p>
    <w:p w:rsidR="00B32D69" w:rsidRDefault="00FB661A">
      <w:pPr>
        <w:spacing w:after="240"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In th</w:t>
      </w:r>
      <w:r>
        <w:rPr>
          <w:rFonts w:ascii="Times New Roman" w:hAnsi="Times New Roman" w:cs="Times New Roman"/>
          <w:iCs/>
          <w:noProof/>
          <w:sz w:val="24"/>
          <w:szCs w:val="24"/>
        </w:rPr>
        <w:t>e majority of the MS, there is no distinction between consumers and other natural persons and there are not any special procedures or mechanisms for consumer insolvency, since the personal bankruptcy/insolvency proceedings are also available to them (LT, S</w:t>
      </w:r>
      <w:r>
        <w:rPr>
          <w:rFonts w:ascii="Times New Roman" w:hAnsi="Times New Roman" w:cs="Times New Roman"/>
          <w:iCs/>
          <w:noProof/>
          <w:sz w:val="24"/>
          <w:szCs w:val="24"/>
        </w:rPr>
        <w:t>I, AT, CZ, BE, IT, SK, IE, UK, DK, FI, DE, EE, LV, NL). However, special procedures for individuals not exercising professional activity can be found in FR, EL and PT</w:t>
      </w:r>
      <w:r>
        <w:rPr>
          <w:rStyle w:val="FootnoteReference"/>
          <w:rFonts w:ascii="Times New Roman" w:hAnsi="Times New Roman"/>
          <w:iCs/>
          <w:noProof/>
          <w:sz w:val="24"/>
          <w:szCs w:val="24"/>
        </w:rPr>
        <w:footnoteReference w:id="408"/>
      </w:r>
      <w:r>
        <w:rPr>
          <w:rFonts w:ascii="Times New Roman" w:hAnsi="Times New Roman" w:cs="Times New Roman"/>
          <w:iCs/>
          <w:noProof/>
          <w:sz w:val="24"/>
          <w:szCs w:val="24"/>
        </w:rPr>
        <w:t>. In CY, there is a mediation procedure through the Financial Ombudsman. Only in BG, ther</w:t>
      </w:r>
      <w:r>
        <w:rPr>
          <w:rFonts w:ascii="Times New Roman" w:hAnsi="Times New Roman" w:cs="Times New Roman"/>
          <w:iCs/>
          <w:noProof/>
          <w:sz w:val="24"/>
          <w:szCs w:val="24"/>
        </w:rPr>
        <w:t>e are currently no procedures available for consumer insolvency and second chance. Recent important reforms can be found in LU and HR; in LU, a law on over indebtedness of private persons came into force on 1 February 2014 introducing a new personal recove</w:t>
      </w:r>
      <w:r>
        <w:rPr>
          <w:rFonts w:ascii="Times New Roman" w:hAnsi="Times New Roman" w:cs="Times New Roman"/>
          <w:iCs/>
          <w:noProof/>
          <w:sz w:val="24"/>
          <w:szCs w:val="24"/>
        </w:rPr>
        <w:t xml:space="preserve">ry procedure in order to contain more safeguards and provide the debtor with a second chance. In HR, in 2016, consumer bankruptcy was introduced to the legal system, enabling also for extrajudicial settlement of obligations. </w:t>
      </w:r>
    </w:p>
    <w:p w:rsidR="00B32D69" w:rsidRDefault="00FB661A">
      <w:pPr>
        <w:spacing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3. Initial impact of reforms i</w:t>
      </w:r>
      <w:r>
        <w:rPr>
          <w:rFonts w:ascii="Times New Roman" w:hAnsi="Times New Roman" w:cs="Times New Roman"/>
          <w:b/>
          <w:noProof/>
          <w:sz w:val="24"/>
          <w:szCs w:val="24"/>
          <w:lang w:val="en-US"/>
        </w:rPr>
        <w:t>mplementing the Recommendation</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As a general rule, it can be noticed in Member States with weak preventive restructuring frameworks the number of restructurings is low or very low. </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As for the recent reforms, although it is still too early to make a comprehensive assessment of their impact, the initial results in the Member States are already visible. For example, in Member States which have introduced a preventive restructuring proce</w:t>
      </w:r>
      <w:r>
        <w:rPr>
          <w:rFonts w:ascii="Times New Roman" w:hAnsi="Times New Roman" w:cs="Times New Roman"/>
          <w:noProof/>
          <w:sz w:val="24"/>
          <w:szCs w:val="24"/>
          <w:lang w:val="en-US"/>
        </w:rPr>
        <w:t xml:space="preserve">dure for the first time, the number of restructurings has increased significantly while the amount of debt-overhang has decreased.  </w:t>
      </w:r>
    </w:p>
    <w:p w:rsidR="00B32D69" w:rsidRDefault="00FB661A">
      <w:pPr>
        <w:spacing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 xml:space="preserve">4. Conclusion resulting from the implementation of the Recommendation </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conclusion, it can be seen that among the Member States who replied, several Member States consider that they already largely comply with the Recommendation, and that a significant number of those which do not comply have not launched any reforms to dat</w:t>
      </w:r>
      <w:r>
        <w:rPr>
          <w:rFonts w:ascii="Times New Roman" w:hAnsi="Times New Roman" w:cs="Times New Roman"/>
          <w:noProof/>
          <w:sz w:val="24"/>
          <w:szCs w:val="24"/>
          <w:lang w:val="en-US"/>
        </w:rPr>
        <w:t xml:space="preserve">e. </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While it is clear that the Recommendation has provided useful focus for those Member States undertaking reforms in the area of insolvency, it has not succeeded in having the desired impact in facilitating the rescue of businesses in financial difficult</w:t>
      </w:r>
      <w:r>
        <w:rPr>
          <w:rFonts w:ascii="Times New Roman" w:hAnsi="Times New Roman" w:cs="Times New Roman"/>
          <w:noProof/>
          <w:sz w:val="24"/>
          <w:szCs w:val="24"/>
          <w:lang w:val="en-US"/>
        </w:rPr>
        <w:t>y and in giving a second chance to entrepreneurs because of its only partial implementation in a significant number of Member States, including those having launched reforms. These differences in the implementation of the Commission Recommendation mean con</w:t>
      </w:r>
      <w:r>
        <w:rPr>
          <w:rFonts w:ascii="Times New Roman" w:hAnsi="Times New Roman" w:cs="Times New Roman"/>
          <w:noProof/>
          <w:sz w:val="24"/>
          <w:szCs w:val="24"/>
          <w:lang w:val="en-US"/>
        </w:rPr>
        <w:t>tinuing legal uncertainty and additional costs for investors in assessing their risks and continuing barriers to the efficient restructuring of viable companies in the EU, including cross-border enterprise groups.</w:t>
      </w:r>
    </w:p>
    <w:p w:rsidR="00B32D69" w:rsidRDefault="00FB661A">
      <w:pPr>
        <w:spacing w:line="24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Part 2</w:t>
      </w:r>
    </w:p>
    <w:p w:rsidR="00B32D69" w:rsidRDefault="00FB661A">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This part contains specific data re</w:t>
      </w:r>
      <w:r>
        <w:rPr>
          <w:rFonts w:ascii="Times New Roman" w:hAnsi="Times New Roman" w:cs="Times New Roman"/>
          <w:noProof/>
          <w:sz w:val="24"/>
          <w:szCs w:val="24"/>
          <w:lang w:val="en-US"/>
        </w:rPr>
        <w:t>lated to several elements of the Recommendation (number of preventive restructuring proceedings initiated per MS, size of the debtor involved, outcome of the proceedings and data on formal insolvency proceedings). The data received is not always comprehens</w:t>
      </w:r>
      <w:r>
        <w:rPr>
          <w:rFonts w:ascii="Times New Roman" w:hAnsi="Times New Roman" w:cs="Times New Roman"/>
          <w:noProof/>
          <w:sz w:val="24"/>
          <w:szCs w:val="24"/>
          <w:lang w:val="en-US"/>
        </w:rPr>
        <w:t>ive, thus only general conclusions can be drawn.</w:t>
      </w:r>
    </w:p>
    <w:p w:rsidR="00B32D69" w:rsidRDefault="00FB661A">
      <w:pPr>
        <w:rPr>
          <w:rFonts w:ascii="Times New Roman" w:hAnsi="Times New Roman" w:cs="Times New Roman"/>
          <w:b/>
          <w:noProof/>
          <w:sz w:val="24"/>
          <w:szCs w:val="24"/>
        </w:rPr>
      </w:pPr>
      <w:r>
        <w:rPr>
          <w:rFonts w:ascii="Times New Roman" w:hAnsi="Times New Roman" w:cs="Times New Roman"/>
          <w:b/>
          <w:noProof/>
          <w:sz w:val="24"/>
          <w:szCs w:val="24"/>
        </w:rPr>
        <w:t>1. Data on the number of preventive restructuring proceedings initiated</w:t>
      </w:r>
    </w:p>
    <w:p w:rsidR="00B32D69" w:rsidRDefault="00FB661A">
      <w:pPr>
        <w:rPr>
          <w:rFonts w:ascii="Times New Roman" w:hAnsi="Times New Roman" w:cs="Times New Roman"/>
          <w:b/>
          <w:i/>
          <w:noProof/>
          <w:sz w:val="24"/>
          <w:szCs w:val="24"/>
          <w:lang w:val="en-US"/>
        </w:rPr>
      </w:pPr>
      <w:r>
        <w:rPr>
          <w:rFonts w:ascii="Times New Roman" w:hAnsi="Times New Roman" w:cs="Times New Roman"/>
          <w:b/>
          <w:i/>
          <w:noProof/>
          <w:sz w:val="24"/>
          <w:szCs w:val="24"/>
          <w:lang w:val="en-US"/>
        </w:rPr>
        <w:t>Number of preventive restructuring proceedings initiated in 2015</w:t>
      </w:r>
    </w:p>
    <w:tbl>
      <w:tblPr>
        <w:tblStyle w:val="LightList-Accent2"/>
        <w:tblW w:w="0" w:type="auto"/>
        <w:tblLook w:val="04A0" w:firstRow="1" w:lastRow="0" w:firstColumn="1" w:lastColumn="0" w:noHBand="0" w:noVBand="1"/>
      </w:tblPr>
      <w:tblGrid>
        <w:gridCol w:w="4644"/>
        <w:gridCol w:w="4644"/>
      </w:tblGrid>
      <w:tr w:rsidR="00B32D69" w:rsidTr="00B32D69">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4644" w:type="dxa"/>
            <w:vAlign w:val="center"/>
          </w:tcPr>
          <w:p w:rsidR="00B32D69" w:rsidRDefault="00FB661A">
            <w:pPr>
              <w:jc w:val="center"/>
              <w:rPr>
                <w:rFonts w:ascii="Times New Roman" w:hAnsi="Times New Roman" w:cs="Times New Roman"/>
                <w:noProof/>
                <w:sz w:val="24"/>
                <w:szCs w:val="24"/>
              </w:rPr>
            </w:pPr>
            <w:r>
              <w:rPr>
                <w:rFonts w:ascii="Times New Roman" w:hAnsi="Times New Roman" w:cs="Times New Roman"/>
                <w:noProof/>
                <w:sz w:val="24"/>
                <w:szCs w:val="24"/>
              </w:rPr>
              <w:t>MS</w:t>
            </w:r>
          </w:p>
        </w:tc>
        <w:tc>
          <w:tcPr>
            <w:tcW w:w="4644" w:type="dxa"/>
            <w:vAlign w:val="center"/>
          </w:tcPr>
          <w:p w:rsidR="00B32D69" w:rsidRDefault="00FB66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2015</w:t>
            </w:r>
          </w:p>
        </w:tc>
      </w:tr>
      <w:tr w:rsidR="00B32D69" w:rsidTr="00B32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vAlign w:val="center"/>
          </w:tcPr>
          <w:p w:rsidR="00B32D69" w:rsidRDefault="00FB661A">
            <w:pPr>
              <w:jc w:val="center"/>
              <w:rPr>
                <w:rFonts w:ascii="Times New Roman" w:hAnsi="Times New Roman" w:cs="Times New Roman"/>
                <w:b w:val="0"/>
                <w:noProof/>
                <w:sz w:val="24"/>
                <w:szCs w:val="24"/>
              </w:rPr>
            </w:pPr>
            <w:r>
              <w:rPr>
                <w:rFonts w:ascii="Times New Roman" w:hAnsi="Times New Roman" w:cs="Times New Roman"/>
                <w:b w:val="0"/>
                <w:noProof/>
                <w:sz w:val="24"/>
                <w:szCs w:val="24"/>
              </w:rPr>
              <w:t>France</w:t>
            </w:r>
          </w:p>
        </w:tc>
        <w:tc>
          <w:tcPr>
            <w:tcW w:w="4644" w:type="dxa"/>
            <w:vAlign w:val="center"/>
          </w:tcPr>
          <w:p w:rsidR="00B32D69" w:rsidRDefault="00FB66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4551</w:t>
            </w:r>
            <w:r>
              <w:rPr>
                <w:rStyle w:val="FootnoteReference"/>
                <w:rFonts w:ascii="Times New Roman" w:hAnsi="Times New Roman"/>
                <w:noProof/>
                <w:sz w:val="24"/>
                <w:szCs w:val="24"/>
              </w:rPr>
              <w:footnoteReference w:id="409"/>
            </w:r>
          </w:p>
        </w:tc>
      </w:tr>
      <w:tr w:rsidR="00B32D69" w:rsidTr="00B32D69">
        <w:tc>
          <w:tcPr>
            <w:cnfStyle w:val="001000000000" w:firstRow="0" w:lastRow="0" w:firstColumn="1" w:lastColumn="0" w:oddVBand="0" w:evenVBand="0" w:oddHBand="0" w:evenHBand="0" w:firstRowFirstColumn="0" w:firstRowLastColumn="0" w:lastRowFirstColumn="0" w:lastRowLastColumn="0"/>
            <w:tcW w:w="4644" w:type="dxa"/>
            <w:vAlign w:val="center"/>
          </w:tcPr>
          <w:p w:rsidR="00B32D69" w:rsidRDefault="00FB661A">
            <w:pPr>
              <w:jc w:val="center"/>
              <w:rPr>
                <w:rFonts w:ascii="Times New Roman" w:hAnsi="Times New Roman" w:cs="Times New Roman"/>
                <w:b w:val="0"/>
                <w:noProof/>
                <w:sz w:val="24"/>
                <w:szCs w:val="24"/>
              </w:rPr>
            </w:pPr>
            <w:r>
              <w:rPr>
                <w:rFonts w:ascii="Times New Roman" w:hAnsi="Times New Roman" w:cs="Times New Roman"/>
                <w:b w:val="0"/>
                <w:noProof/>
                <w:sz w:val="24"/>
                <w:szCs w:val="24"/>
              </w:rPr>
              <w:t>Portugal</w:t>
            </w:r>
          </w:p>
        </w:tc>
        <w:tc>
          <w:tcPr>
            <w:tcW w:w="4644" w:type="dxa"/>
            <w:vAlign w:val="center"/>
          </w:tcPr>
          <w:p w:rsidR="00B32D69" w:rsidRDefault="00FB6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3121</w:t>
            </w:r>
            <w:r>
              <w:rPr>
                <w:rStyle w:val="FootnoteReference"/>
                <w:rFonts w:ascii="Times New Roman" w:hAnsi="Times New Roman"/>
                <w:b/>
                <w:noProof/>
                <w:sz w:val="24"/>
                <w:szCs w:val="24"/>
              </w:rPr>
              <w:footnoteReference w:id="410"/>
            </w:r>
          </w:p>
        </w:tc>
      </w:tr>
      <w:tr w:rsidR="00B32D69" w:rsidTr="00B32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vAlign w:val="center"/>
          </w:tcPr>
          <w:p w:rsidR="00B32D69" w:rsidRDefault="00FB661A">
            <w:pPr>
              <w:jc w:val="center"/>
              <w:rPr>
                <w:rFonts w:ascii="Times New Roman" w:hAnsi="Times New Roman" w:cs="Times New Roman"/>
                <w:b w:val="0"/>
                <w:noProof/>
                <w:sz w:val="24"/>
                <w:szCs w:val="24"/>
              </w:rPr>
            </w:pPr>
            <w:r>
              <w:rPr>
                <w:rFonts w:ascii="Times New Roman" w:hAnsi="Times New Roman" w:cs="Times New Roman"/>
                <w:b w:val="0"/>
                <w:noProof/>
                <w:sz w:val="24"/>
                <w:szCs w:val="24"/>
              </w:rPr>
              <w:t>Italy</w:t>
            </w:r>
          </w:p>
        </w:tc>
        <w:tc>
          <w:tcPr>
            <w:tcW w:w="4644" w:type="dxa"/>
            <w:vAlign w:val="center"/>
          </w:tcPr>
          <w:p w:rsidR="00B32D69" w:rsidRDefault="00FB66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3029</w:t>
            </w:r>
          </w:p>
        </w:tc>
      </w:tr>
      <w:tr w:rsidR="00B32D69" w:rsidTr="00B32D69">
        <w:tc>
          <w:tcPr>
            <w:cnfStyle w:val="001000000000" w:firstRow="0" w:lastRow="0" w:firstColumn="1" w:lastColumn="0" w:oddVBand="0" w:evenVBand="0" w:oddHBand="0" w:evenHBand="0" w:firstRowFirstColumn="0" w:firstRowLastColumn="0" w:lastRowFirstColumn="0" w:lastRowLastColumn="0"/>
            <w:tcW w:w="4644" w:type="dxa"/>
            <w:vAlign w:val="center"/>
          </w:tcPr>
          <w:p w:rsidR="00B32D69" w:rsidRDefault="00FB661A">
            <w:pPr>
              <w:jc w:val="center"/>
              <w:rPr>
                <w:rFonts w:ascii="Times New Roman" w:hAnsi="Times New Roman" w:cs="Times New Roman"/>
                <w:b w:val="0"/>
                <w:noProof/>
                <w:sz w:val="24"/>
                <w:szCs w:val="24"/>
              </w:rPr>
            </w:pPr>
            <w:r>
              <w:rPr>
                <w:rFonts w:ascii="Times New Roman" w:hAnsi="Times New Roman" w:cs="Times New Roman"/>
                <w:b w:val="0"/>
                <w:noProof/>
                <w:sz w:val="24"/>
                <w:szCs w:val="24"/>
              </w:rPr>
              <w:t>Croatia</w:t>
            </w:r>
          </w:p>
        </w:tc>
        <w:tc>
          <w:tcPr>
            <w:tcW w:w="4644" w:type="dxa"/>
            <w:vAlign w:val="center"/>
          </w:tcPr>
          <w:p w:rsidR="00B32D69" w:rsidRDefault="00FB6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1791</w:t>
            </w:r>
          </w:p>
        </w:tc>
      </w:tr>
      <w:tr w:rsidR="00B32D69" w:rsidTr="00B32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vAlign w:val="center"/>
          </w:tcPr>
          <w:p w:rsidR="00B32D69" w:rsidRDefault="00FB661A">
            <w:pPr>
              <w:jc w:val="center"/>
              <w:rPr>
                <w:rFonts w:ascii="Times New Roman" w:hAnsi="Times New Roman" w:cs="Times New Roman"/>
                <w:b w:val="0"/>
                <w:noProof/>
                <w:sz w:val="24"/>
                <w:szCs w:val="24"/>
              </w:rPr>
            </w:pPr>
            <w:r>
              <w:rPr>
                <w:rFonts w:ascii="Times New Roman" w:hAnsi="Times New Roman" w:cs="Times New Roman"/>
                <w:b w:val="0"/>
                <w:noProof/>
                <w:sz w:val="24"/>
                <w:szCs w:val="24"/>
              </w:rPr>
              <w:t>UK</w:t>
            </w:r>
          </w:p>
        </w:tc>
        <w:tc>
          <w:tcPr>
            <w:tcW w:w="4644" w:type="dxa"/>
            <w:vAlign w:val="center"/>
          </w:tcPr>
          <w:p w:rsidR="00B32D69" w:rsidRDefault="00FB66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1764</w:t>
            </w:r>
            <w:r>
              <w:rPr>
                <w:rStyle w:val="FootnoteReference"/>
                <w:rFonts w:ascii="Times New Roman" w:hAnsi="Times New Roman"/>
                <w:noProof/>
                <w:sz w:val="24"/>
                <w:szCs w:val="24"/>
              </w:rPr>
              <w:footnoteReference w:id="411"/>
            </w:r>
          </w:p>
        </w:tc>
      </w:tr>
      <w:tr w:rsidR="00B32D69" w:rsidTr="00B32D69">
        <w:tc>
          <w:tcPr>
            <w:cnfStyle w:val="001000000000" w:firstRow="0" w:lastRow="0" w:firstColumn="1" w:lastColumn="0" w:oddVBand="0" w:evenVBand="0" w:oddHBand="0" w:evenHBand="0" w:firstRowFirstColumn="0" w:firstRowLastColumn="0" w:lastRowFirstColumn="0" w:lastRowLastColumn="0"/>
            <w:tcW w:w="4644" w:type="dxa"/>
            <w:vAlign w:val="center"/>
          </w:tcPr>
          <w:p w:rsidR="00B32D69" w:rsidRDefault="00FB661A">
            <w:pPr>
              <w:jc w:val="center"/>
              <w:rPr>
                <w:rFonts w:ascii="Times New Roman" w:hAnsi="Times New Roman" w:cs="Times New Roman"/>
                <w:b w:val="0"/>
                <w:noProof/>
                <w:sz w:val="24"/>
                <w:szCs w:val="24"/>
                <w:lang w:val="en-US"/>
              </w:rPr>
            </w:pPr>
            <w:r>
              <w:rPr>
                <w:rFonts w:ascii="Times New Roman" w:hAnsi="Times New Roman" w:cs="Times New Roman"/>
                <w:b w:val="0"/>
                <w:noProof/>
                <w:sz w:val="24"/>
                <w:szCs w:val="24"/>
                <w:lang w:val="en-US"/>
              </w:rPr>
              <w:t>The Netherlands</w:t>
            </w:r>
          </w:p>
        </w:tc>
        <w:tc>
          <w:tcPr>
            <w:tcW w:w="4644" w:type="dxa"/>
            <w:vAlign w:val="center"/>
          </w:tcPr>
          <w:p w:rsidR="00B32D69" w:rsidRDefault="00FB6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369</w:t>
            </w:r>
            <w:r>
              <w:rPr>
                <w:rStyle w:val="FootnoteReference"/>
                <w:rFonts w:ascii="Times New Roman" w:hAnsi="Times New Roman"/>
                <w:noProof/>
                <w:sz w:val="24"/>
                <w:szCs w:val="24"/>
              </w:rPr>
              <w:footnoteReference w:id="412"/>
            </w:r>
          </w:p>
        </w:tc>
      </w:tr>
      <w:tr w:rsidR="00B32D69" w:rsidTr="00B32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vAlign w:val="center"/>
          </w:tcPr>
          <w:p w:rsidR="00B32D69" w:rsidRDefault="00FB661A">
            <w:pPr>
              <w:jc w:val="center"/>
              <w:rPr>
                <w:rFonts w:ascii="Times New Roman" w:hAnsi="Times New Roman" w:cs="Times New Roman"/>
                <w:b w:val="0"/>
                <w:noProof/>
                <w:sz w:val="24"/>
                <w:szCs w:val="24"/>
                <w:lang w:val="en-US"/>
              </w:rPr>
            </w:pPr>
            <w:r>
              <w:rPr>
                <w:rFonts w:ascii="Times New Roman" w:hAnsi="Times New Roman" w:cs="Times New Roman"/>
                <w:b w:val="0"/>
                <w:noProof/>
                <w:sz w:val="24"/>
                <w:szCs w:val="24"/>
                <w:lang w:val="en-US"/>
              </w:rPr>
              <w:t>Denmark</w:t>
            </w:r>
          </w:p>
        </w:tc>
        <w:tc>
          <w:tcPr>
            <w:tcW w:w="4644" w:type="dxa"/>
            <w:vAlign w:val="center"/>
          </w:tcPr>
          <w:p w:rsidR="00B32D69" w:rsidRDefault="00FB66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102</w:t>
            </w:r>
            <w:r>
              <w:rPr>
                <w:rStyle w:val="FootnoteReference"/>
                <w:rFonts w:ascii="Times New Roman" w:hAnsi="Times New Roman"/>
                <w:noProof/>
                <w:sz w:val="24"/>
                <w:szCs w:val="24"/>
              </w:rPr>
              <w:footnoteReference w:id="413"/>
            </w:r>
          </w:p>
        </w:tc>
      </w:tr>
      <w:tr w:rsidR="00B32D69" w:rsidTr="00B32D69">
        <w:tc>
          <w:tcPr>
            <w:cnfStyle w:val="001000000000" w:firstRow="0" w:lastRow="0" w:firstColumn="1" w:lastColumn="0" w:oddVBand="0" w:evenVBand="0" w:oddHBand="0" w:evenHBand="0" w:firstRowFirstColumn="0" w:firstRowLastColumn="0" w:lastRowFirstColumn="0" w:lastRowLastColumn="0"/>
            <w:tcW w:w="4644" w:type="dxa"/>
            <w:vAlign w:val="center"/>
          </w:tcPr>
          <w:p w:rsidR="00B32D69" w:rsidRDefault="00FB661A">
            <w:pPr>
              <w:jc w:val="center"/>
              <w:rPr>
                <w:rFonts w:ascii="Times New Roman" w:hAnsi="Times New Roman" w:cs="Times New Roman"/>
                <w:b w:val="0"/>
                <w:noProof/>
                <w:sz w:val="24"/>
                <w:szCs w:val="24"/>
              </w:rPr>
            </w:pPr>
            <w:r>
              <w:rPr>
                <w:rFonts w:ascii="Times New Roman" w:hAnsi="Times New Roman" w:cs="Times New Roman"/>
                <w:b w:val="0"/>
                <w:noProof/>
                <w:sz w:val="24"/>
                <w:szCs w:val="24"/>
              </w:rPr>
              <w:t>Lithuania</w:t>
            </w:r>
          </w:p>
        </w:tc>
        <w:tc>
          <w:tcPr>
            <w:tcW w:w="4644" w:type="dxa"/>
            <w:vAlign w:val="center"/>
          </w:tcPr>
          <w:p w:rsidR="00B32D69" w:rsidRDefault="00FB6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50</w:t>
            </w:r>
          </w:p>
        </w:tc>
      </w:tr>
      <w:tr w:rsidR="00B32D69" w:rsidTr="00B32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vAlign w:val="center"/>
          </w:tcPr>
          <w:p w:rsidR="00B32D69" w:rsidRDefault="00FB661A">
            <w:pPr>
              <w:jc w:val="center"/>
              <w:rPr>
                <w:rFonts w:ascii="Times New Roman" w:hAnsi="Times New Roman" w:cs="Times New Roman"/>
                <w:b w:val="0"/>
                <w:noProof/>
                <w:sz w:val="24"/>
                <w:szCs w:val="24"/>
              </w:rPr>
            </w:pPr>
            <w:r>
              <w:rPr>
                <w:rFonts w:ascii="Times New Roman" w:hAnsi="Times New Roman" w:cs="Times New Roman"/>
                <w:b w:val="0"/>
                <w:noProof/>
                <w:sz w:val="24"/>
                <w:szCs w:val="24"/>
              </w:rPr>
              <w:t>Czech Republic</w:t>
            </w:r>
          </w:p>
        </w:tc>
        <w:tc>
          <w:tcPr>
            <w:tcW w:w="4644" w:type="dxa"/>
            <w:vAlign w:val="center"/>
          </w:tcPr>
          <w:p w:rsidR="00B32D69" w:rsidRDefault="00FB66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22</w:t>
            </w:r>
            <w:r>
              <w:rPr>
                <w:rStyle w:val="FootnoteReference"/>
                <w:rFonts w:ascii="Times New Roman" w:hAnsi="Times New Roman"/>
                <w:noProof/>
                <w:sz w:val="24"/>
                <w:szCs w:val="24"/>
              </w:rPr>
              <w:footnoteReference w:id="414"/>
            </w:r>
          </w:p>
        </w:tc>
      </w:tr>
      <w:tr w:rsidR="00B32D69" w:rsidTr="00B32D69">
        <w:tc>
          <w:tcPr>
            <w:cnfStyle w:val="001000000000" w:firstRow="0" w:lastRow="0" w:firstColumn="1" w:lastColumn="0" w:oddVBand="0" w:evenVBand="0" w:oddHBand="0" w:evenHBand="0" w:firstRowFirstColumn="0" w:firstRowLastColumn="0" w:lastRowFirstColumn="0" w:lastRowLastColumn="0"/>
            <w:tcW w:w="4644" w:type="dxa"/>
            <w:vAlign w:val="center"/>
          </w:tcPr>
          <w:p w:rsidR="00B32D69" w:rsidRDefault="00FB661A">
            <w:pPr>
              <w:jc w:val="center"/>
              <w:rPr>
                <w:rFonts w:ascii="Times New Roman" w:hAnsi="Times New Roman" w:cs="Times New Roman"/>
                <w:b w:val="0"/>
                <w:noProof/>
                <w:sz w:val="24"/>
                <w:szCs w:val="24"/>
              </w:rPr>
            </w:pPr>
            <w:r>
              <w:rPr>
                <w:rFonts w:ascii="Times New Roman" w:hAnsi="Times New Roman" w:cs="Times New Roman"/>
                <w:b w:val="0"/>
                <w:noProof/>
                <w:sz w:val="24"/>
                <w:szCs w:val="24"/>
              </w:rPr>
              <w:t>Slovenia</w:t>
            </w:r>
          </w:p>
        </w:tc>
        <w:tc>
          <w:tcPr>
            <w:tcW w:w="4644" w:type="dxa"/>
            <w:vAlign w:val="center"/>
          </w:tcPr>
          <w:p w:rsidR="00B32D69" w:rsidRDefault="00FB6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5</w:t>
            </w:r>
          </w:p>
        </w:tc>
      </w:tr>
      <w:tr w:rsidR="00B32D69" w:rsidTr="00B32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vAlign w:val="center"/>
          </w:tcPr>
          <w:p w:rsidR="00B32D69" w:rsidRDefault="00FB661A">
            <w:pPr>
              <w:jc w:val="center"/>
              <w:rPr>
                <w:rFonts w:ascii="Times New Roman" w:hAnsi="Times New Roman" w:cs="Times New Roman"/>
                <w:b w:val="0"/>
                <w:noProof/>
                <w:sz w:val="24"/>
                <w:szCs w:val="24"/>
              </w:rPr>
            </w:pPr>
            <w:r>
              <w:rPr>
                <w:rFonts w:ascii="Times New Roman" w:hAnsi="Times New Roman" w:cs="Times New Roman"/>
                <w:b w:val="0"/>
                <w:noProof/>
                <w:sz w:val="24"/>
                <w:szCs w:val="24"/>
              </w:rPr>
              <w:t>Cyprus</w:t>
            </w:r>
          </w:p>
        </w:tc>
        <w:tc>
          <w:tcPr>
            <w:tcW w:w="4644" w:type="dxa"/>
            <w:vAlign w:val="center"/>
          </w:tcPr>
          <w:p w:rsidR="00B32D69" w:rsidRDefault="00FB66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1</w:t>
            </w:r>
            <w:r>
              <w:rPr>
                <w:rStyle w:val="FootnoteReference"/>
                <w:rFonts w:ascii="Times New Roman" w:hAnsi="Times New Roman"/>
                <w:noProof/>
                <w:sz w:val="24"/>
                <w:szCs w:val="24"/>
              </w:rPr>
              <w:footnoteReference w:id="415"/>
            </w:r>
          </w:p>
        </w:tc>
      </w:tr>
    </w:tbl>
    <w:p w:rsidR="00B32D69" w:rsidRDefault="00B32D69">
      <w:pPr>
        <w:rPr>
          <w:rFonts w:ascii="Times New Roman" w:hAnsi="Times New Roman" w:cs="Times New Roman"/>
          <w:noProof/>
          <w:lang w:val="en-US"/>
        </w:rPr>
      </w:pPr>
    </w:p>
    <w:p w:rsidR="00B32D69" w:rsidRDefault="00FB661A">
      <w:pPr>
        <w:rPr>
          <w:rFonts w:ascii="Times New Roman" w:hAnsi="Times New Roman" w:cs="Times New Roman"/>
          <w:noProof/>
          <w:sz w:val="24"/>
          <w:szCs w:val="24"/>
        </w:rPr>
      </w:pPr>
      <w:r>
        <w:rPr>
          <w:rFonts w:ascii="Times New Roman" w:hAnsi="Times New Roman" w:cs="Times New Roman"/>
          <w:noProof/>
          <w:sz w:val="24"/>
          <w:szCs w:val="24"/>
        </w:rPr>
        <w:t xml:space="preserve">Detailed data on the number of preventive restructuring proceedings per year for six MS can be found in the following column chart. </w:t>
      </w:r>
    </w:p>
    <w:p w:rsidR="00B32D69" w:rsidRDefault="00FB661A">
      <w:pPr>
        <w:rPr>
          <w:rFonts w:ascii="Times New Roman" w:hAnsi="Times New Roman" w:cs="Times New Roman"/>
          <w:b/>
          <w:i/>
          <w:noProof/>
          <w:sz w:val="24"/>
          <w:szCs w:val="24"/>
        </w:rPr>
      </w:pPr>
      <w:r>
        <w:rPr>
          <w:rFonts w:ascii="Times New Roman" w:hAnsi="Times New Roman" w:cs="Times New Roman"/>
          <w:b/>
          <w:i/>
          <w:noProof/>
          <w:sz w:val="24"/>
          <w:szCs w:val="24"/>
        </w:rPr>
        <w:t xml:space="preserve">Number of preventive </w:t>
      </w:r>
      <w:r>
        <w:rPr>
          <w:rFonts w:ascii="Times New Roman" w:hAnsi="Times New Roman" w:cs="Times New Roman"/>
          <w:b/>
          <w:i/>
          <w:noProof/>
          <w:sz w:val="24"/>
          <w:szCs w:val="24"/>
        </w:rPr>
        <w:t>restructuring proceedings initiated during 2013-2015</w:t>
      </w:r>
    </w:p>
    <w:p w:rsidR="00B32D69" w:rsidRDefault="00FB661A">
      <w:pPr>
        <w:rPr>
          <w:rFonts w:ascii="Times New Roman" w:hAnsi="Times New Roman" w:cs="Times New Roman"/>
          <w:b/>
          <w:noProof/>
          <w:sz w:val="24"/>
          <w:szCs w:val="24"/>
        </w:rPr>
      </w:pPr>
      <w:r>
        <w:rPr>
          <w:rFonts w:ascii="Times New Roman" w:hAnsi="Times New Roman" w:cs="Times New Roman"/>
          <w:b/>
          <w:noProof/>
          <w:sz w:val="24"/>
          <w:szCs w:val="24"/>
          <w:lang w:eastAsia="en-GB"/>
        </w:rPr>
        <w:drawing>
          <wp:inline distT="0" distB="0" distL="0" distR="0">
            <wp:extent cx="5008729" cy="2825086"/>
            <wp:effectExtent l="0" t="0" r="20955" b="1397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B32D69" w:rsidRDefault="00FB661A">
      <w:pPr>
        <w:rPr>
          <w:rFonts w:ascii="Times New Roman" w:hAnsi="Times New Roman" w:cs="Times New Roman"/>
          <w:b/>
          <w:noProof/>
          <w:sz w:val="24"/>
          <w:szCs w:val="24"/>
        </w:rPr>
      </w:pPr>
      <w:r>
        <w:rPr>
          <w:rFonts w:ascii="Times New Roman" w:hAnsi="Times New Roman" w:cs="Times New Roman"/>
          <w:noProof/>
        </w:rPr>
        <w:br w:type="textWrapping" w:clear="all"/>
      </w:r>
      <w:r>
        <w:rPr>
          <w:rFonts w:ascii="Times New Roman" w:hAnsi="Times New Roman" w:cs="Times New Roman"/>
          <w:b/>
          <w:noProof/>
          <w:sz w:val="24"/>
          <w:szCs w:val="24"/>
        </w:rPr>
        <w:t>2. Data on the size of debtors involved</w:t>
      </w:r>
    </w:p>
    <w:p w:rsidR="00B32D69" w:rsidRDefault="00FB661A">
      <w:pPr>
        <w:jc w:val="both"/>
        <w:rPr>
          <w:rFonts w:ascii="Times New Roman" w:hAnsi="Times New Roman" w:cs="Times New Roman"/>
          <w:noProof/>
          <w:sz w:val="24"/>
          <w:szCs w:val="24"/>
        </w:rPr>
      </w:pPr>
      <w:r>
        <w:rPr>
          <w:rFonts w:ascii="Times New Roman" w:hAnsi="Times New Roman" w:cs="Times New Roman"/>
          <w:noProof/>
          <w:sz w:val="24"/>
          <w:szCs w:val="24"/>
        </w:rPr>
        <w:t xml:space="preserve">From the data we received, it is apparent that the vast majority of debtors that make use of restructuring proceedings are micro enterprisers and SMEs. </w:t>
      </w:r>
    </w:p>
    <w:p w:rsidR="00B32D69" w:rsidRDefault="00FB661A">
      <w:pPr>
        <w:jc w:val="both"/>
        <w:rPr>
          <w:rFonts w:ascii="Times New Roman" w:hAnsi="Times New Roman" w:cs="Times New Roman"/>
          <w:noProof/>
          <w:sz w:val="24"/>
          <w:szCs w:val="24"/>
        </w:rPr>
      </w:pPr>
      <w:r>
        <w:rPr>
          <w:rFonts w:ascii="Times New Roman" w:hAnsi="Times New Roman" w:cs="Times New Roman"/>
          <w:noProof/>
          <w:lang w:eastAsia="en-GB"/>
        </w:rPr>
        <w:drawing>
          <wp:anchor distT="0" distB="0" distL="114300" distR="114300" simplePos="0" relativeHeight="251661312" behindDoc="0" locked="0" layoutInCell="1" allowOverlap="1">
            <wp:simplePos x="0" y="0"/>
            <wp:positionH relativeFrom="column">
              <wp:posOffset>-90170</wp:posOffset>
            </wp:positionH>
            <wp:positionV relativeFrom="paragraph">
              <wp:posOffset>315595</wp:posOffset>
            </wp:positionV>
            <wp:extent cx="3190875" cy="1762125"/>
            <wp:effectExtent l="0" t="0" r="9525" b="9525"/>
            <wp:wrapSquare wrapText="bothSides"/>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H relativeFrom="page">
              <wp14:pctWidth>0</wp14:pctWidth>
            </wp14:sizeRelH>
            <wp14:sizeRelV relativeFrom="page">
              <wp14:pctHeight>0</wp14:pctHeight>
            </wp14:sizeRelV>
          </wp:anchor>
        </w:drawing>
      </w:r>
    </w:p>
    <w:p w:rsidR="00B32D69" w:rsidRDefault="00FB661A">
      <w:pPr>
        <w:jc w:val="both"/>
        <w:rPr>
          <w:rFonts w:ascii="Times New Roman" w:hAnsi="Times New Roman" w:cs="Times New Roman"/>
          <w:noProof/>
          <w:sz w:val="24"/>
          <w:szCs w:val="24"/>
        </w:rPr>
      </w:pPr>
      <w:r>
        <w:rPr>
          <w:rFonts w:ascii="Times New Roman" w:hAnsi="Times New Roman" w:cs="Times New Roman"/>
          <w:noProof/>
          <w:sz w:val="24"/>
          <w:szCs w:val="24"/>
        </w:rPr>
        <w:t xml:space="preserve">In </w:t>
      </w:r>
      <w:r>
        <w:rPr>
          <w:rFonts w:ascii="Times New Roman" w:hAnsi="Times New Roman" w:cs="Times New Roman"/>
          <w:b/>
          <w:noProof/>
          <w:sz w:val="24"/>
          <w:szCs w:val="24"/>
        </w:rPr>
        <w:t>PT</w:t>
      </w:r>
      <w:r>
        <w:rPr>
          <w:rFonts w:ascii="Times New Roman" w:hAnsi="Times New Roman" w:cs="Times New Roman"/>
          <w:noProof/>
          <w:sz w:val="24"/>
          <w:szCs w:val="24"/>
        </w:rPr>
        <w:t>, from 2012 until the mid of 2015, 237 micro companies, 258 SMEs and only 9 large companies submitted requests under the ‘SIREVE’ (Extrajudicial Business Recovery System).</w:t>
      </w:r>
      <w:r>
        <w:rPr>
          <w:rStyle w:val="FootnoteReference"/>
          <w:rFonts w:ascii="Times New Roman" w:hAnsi="Times New Roman"/>
          <w:noProof/>
          <w:sz w:val="24"/>
          <w:szCs w:val="24"/>
        </w:rPr>
        <w:footnoteReference w:id="416"/>
      </w:r>
      <w:r>
        <w:rPr>
          <w:rFonts w:ascii="Times New Roman" w:hAnsi="Times New Roman" w:cs="Times New Roman"/>
          <w:noProof/>
          <w:sz w:val="24"/>
          <w:szCs w:val="24"/>
        </w:rPr>
        <w:t xml:space="preserve"> </w:t>
      </w:r>
    </w:p>
    <w:p w:rsidR="00B32D69" w:rsidRDefault="00B32D69">
      <w:pPr>
        <w:jc w:val="both"/>
        <w:rPr>
          <w:rFonts w:ascii="Times New Roman" w:hAnsi="Times New Roman" w:cs="Times New Roman"/>
          <w:noProof/>
        </w:rPr>
      </w:pPr>
    </w:p>
    <w:p w:rsidR="00B32D69" w:rsidRDefault="00B32D69">
      <w:pPr>
        <w:jc w:val="both"/>
        <w:rPr>
          <w:rFonts w:ascii="Times New Roman" w:hAnsi="Times New Roman" w:cs="Times New Roman"/>
          <w:noProof/>
        </w:rPr>
      </w:pPr>
    </w:p>
    <w:p w:rsidR="00B32D69" w:rsidRDefault="00B32D69">
      <w:pPr>
        <w:jc w:val="both"/>
        <w:rPr>
          <w:rFonts w:ascii="Times New Roman" w:hAnsi="Times New Roman" w:cs="Times New Roman"/>
          <w:noProof/>
        </w:rPr>
      </w:pPr>
    </w:p>
    <w:p w:rsidR="00B32D69" w:rsidRDefault="00B32D69">
      <w:pPr>
        <w:jc w:val="both"/>
        <w:rPr>
          <w:rFonts w:ascii="Times New Roman" w:hAnsi="Times New Roman" w:cs="Times New Roman"/>
          <w:noProof/>
        </w:rPr>
      </w:pPr>
    </w:p>
    <w:p w:rsidR="00B32D69" w:rsidRDefault="00B32D69">
      <w:pPr>
        <w:jc w:val="both"/>
        <w:rPr>
          <w:rFonts w:ascii="Times New Roman" w:hAnsi="Times New Roman" w:cs="Times New Roman"/>
          <w:noProof/>
        </w:rPr>
      </w:pPr>
    </w:p>
    <w:p w:rsidR="00B32D69" w:rsidRDefault="00B32D69">
      <w:pPr>
        <w:jc w:val="both"/>
        <w:rPr>
          <w:rFonts w:ascii="Times New Roman" w:hAnsi="Times New Roman" w:cs="Times New Roman"/>
          <w:noProof/>
        </w:rPr>
      </w:pPr>
    </w:p>
    <w:p w:rsidR="00B32D69" w:rsidRDefault="00B32D69">
      <w:pPr>
        <w:jc w:val="both"/>
        <w:rPr>
          <w:rFonts w:ascii="Times New Roman" w:hAnsi="Times New Roman" w:cs="Times New Roman"/>
          <w:noProof/>
        </w:rPr>
      </w:pPr>
    </w:p>
    <w:p w:rsidR="00B32D69" w:rsidRDefault="00FB661A">
      <w:pPr>
        <w:rPr>
          <w:rFonts w:ascii="Times New Roman" w:hAnsi="Times New Roman" w:cs="Times New Roman"/>
          <w:noProof/>
        </w:rPr>
      </w:pPr>
      <w:r>
        <w:rPr>
          <w:noProof/>
          <w:lang w:eastAsia="en-GB"/>
        </w:rPr>
        <w:drawing>
          <wp:anchor distT="0" distB="0" distL="114300" distR="114300" simplePos="0" relativeHeight="251662336" behindDoc="0" locked="0" layoutInCell="1" allowOverlap="1">
            <wp:simplePos x="0" y="0"/>
            <wp:positionH relativeFrom="column">
              <wp:posOffset>-406400</wp:posOffset>
            </wp:positionH>
            <wp:positionV relativeFrom="paragraph">
              <wp:posOffset>309245</wp:posOffset>
            </wp:positionV>
            <wp:extent cx="3079115" cy="2734310"/>
            <wp:effectExtent l="0" t="0" r="26035" b="27940"/>
            <wp:wrapSquare wrapText="bothSides"/>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14:sizeRelH relativeFrom="page">
              <wp14:pctWidth>0</wp14:pctWidth>
            </wp14:sizeRelH>
            <wp14:sizeRelV relativeFrom="page">
              <wp14:pctHeight>0</wp14:pctHeight>
            </wp14:sizeRelV>
          </wp:anchor>
        </w:drawing>
      </w:r>
    </w:p>
    <w:p w:rsidR="00B32D69" w:rsidRDefault="00FB661A">
      <w:pPr>
        <w:jc w:val="both"/>
        <w:rPr>
          <w:rFonts w:ascii="Times New Roman" w:hAnsi="Times New Roman" w:cs="Times New Roman"/>
          <w:noProof/>
          <w:sz w:val="24"/>
          <w:szCs w:val="24"/>
        </w:rPr>
      </w:pPr>
      <w:r>
        <w:rPr>
          <w:rFonts w:ascii="Times New Roman" w:hAnsi="Times New Roman" w:cs="Times New Roman"/>
          <w:noProof/>
          <w:sz w:val="24"/>
          <w:szCs w:val="24"/>
        </w:rPr>
        <w:t>Regarding the PER, the Special Revitalisation Process, it is evident that</w:t>
      </w:r>
      <w:r>
        <w:rPr>
          <w:rFonts w:ascii="Times New Roman" w:hAnsi="Times New Roman" w:cs="Times New Roman"/>
          <w:noProof/>
          <w:sz w:val="24"/>
          <w:szCs w:val="24"/>
        </w:rPr>
        <w:t xml:space="preserve"> in the course of 2012 until 2015, not only did the total number of debtors significantly increased, but also the number of individuals gradually augmented. Particularly, in 2015, 50% of debtors involved in PER were individuals, while 42% were undertakings</w:t>
      </w:r>
      <w:r>
        <w:rPr>
          <w:rFonts w:ascii="Times New Roman" w:hAnsi="Times New Roman" w:cs="Times New Roman"/>
          <w:noProof/>
          <w:sz w:val="24"/>
          <w:szCs w:val="24"/>
        </w:rPr>
        <w:t xml:space="preserve">. On the contrary, in 2012, only 18% of the debtors involved were individuals, while 77% were undertakings. </w:t>
      </w:r>
    </w:p>
    <w:p w:rsidR="00B32D69" w:rsidRDefault="00B32D69">
      <w:pPr>
        <w:jc w:val="both"/>
        <w:rPr>
          <w:rFonts w:ascii="Times New Roman" w:hAnsi="Times New Roman" w:cs="Times New Roman"/>
          <w:noProof/>
        </w:rPr>
      </w:pPr>
    </w:p>
    <w:p w:rsidR="00B32D69" w:rsidRDefault="00B32D69">
      <w:pPr>
        <w:jc w:val="both"/>
        <w:rPr>
          <w:rFonts w:ascii="Times New Roman" w:hAnsi="Times New Roman" w:cs="Times New Roman"/>
          <w:b/>
          <w:noProof/>
        </w:rPr>
      </w:pPr>
    </w:p>
    <w:p w:rsidR="00B32D69" w:rsidRDefault="00B32D69">
      <w:pPr>
        <w:jc w:val="both"/>
        <w:rPr>
          <w:rFonts w:ascii="Times New Roman" w:hAnsi="Times New Roman" w:cs="Times New Roman"/>
          <w:b/>
          <w:noProof/>
        </w:rPr>
      </w:pPr>
    </w:p>
    <w:p w:rsidR="00B32D69" w:rsidRDefault="00B32D69">
      <w:pPr>
        <w:jc w:val="both"/>
        <w:rPr>
          <w:rFonts w:ascii="Times New Roman" w:hAnsi="Times New Roman" w:cs="Times New Roman"/>
          <w:noProof/>
          <w:sz w:val="24"/>
          <w:szCs w:val="24"/>
        </w:rPr>
      </w:pPr>
    </w:p>
    <w:p w:rsidR="00B32D69" w:rsidRDefault="00FB661A">
      <w:pPr>
        <w:jc w:val="both"/>
        <w:rPr>
          <w:rFonts w:ascii="Times New Roman" w:hAnsi="Times New Roman" w:cs="Times New Roman"/>
          <w:noProof/>
        </w:rPr>
      </w:pPr>
      <w:r>
        <w:rPr>
          <w:rFonts w:ascii="Times New Roman" w:hAnsi="Times New Roman" w:cs="Times New Roman"/>
          <w:noProof/>
          <w:sz w:val="24"/>
          <w:szCs w:val="24"/>
        </w:rPr>
        <w:t xml:space="preserve">In </w:t>
      </w:r>
      <w:r>
        <w:rPr>
          <w:rFonts w:ascii="Times New Roman" w:hAnsi="Times New Roman" w:cs="Times New Roman"/>
          <w:b/>
          <w:noProof/>
          <w:sz w:val="24"/>
          <w:szCs w:val="24"/>
        </w:rPr>
        <w:t>FR</w:t>
      </w:r>
      <w:r>
        <w:rPr>
          <w:rFonts w:ascii="Times New Roman" w:hAnsi="Times New Roman" w:cs="Times New Roman"/>
          <w:noProof/>
          <w:sz w:val="24"/>
          <w:szCs w:val="24"/>
        </w:rPr>
        <w:t xml:space="preserve">, in 2015, the vast majority of enterprises involved in </w:t>
      </w:r>
      <w:r>
        <w:rPr>
          <w:rFonts w:ascii="Times New Roman" w:hAnsi="Times New Roman" w:cs="Times New Roman"/>
          <w:i/>
          <w:noProof/>
          <w:sz w:val="24"/>
          <w:szCs w:val="24"/>
        </w:rPr>
        <w:t>sauvegarde</w:t>
      </w:r>
      <w:r>
        <w:rPr>
          <w:rFonts w:ascii="Times New Roman" w:hAnsi="Times New Roman" w:cs="Times New Roman"/>
          <w:noProof/>
          <w:sz w:val="24"/>
          <w:szCs w:val="24"/>
        </w:rPr>
        <w:t xml:space="preserve"> were enterprises with less than 100 employees (approximately 1.000 ente</w:t>
      </w:r>
      <w:r>
        <w:rPr>
          <w:rFonts w:ascii="Times New Roman" w:hAnsi="Times New Roman" w:cs="Times New Roman"/>
          <w:noProof/>
          <w:sz w:val="24"/>
          <w:szCs w:val="24"/>
        </w:rPr>
        <w:t>rprises or 78% of the total number of debtors involved). More specifically, from a total of 1533</w:t>
      </w:r>
      <w:r>
        <w:rPr>
          <w:rStyle w:val="FootnoteReference"/>
          <w:rFonts w:ascii="Times New Roman" w:hAnsi="Times New Roman"/>
          <w:noProof/>
          <w:sz w:val="24"/>
          <w:szCs w:val="24"/>
        </w:rPr>
        <w:footnoteReference w:id="417"/>
      </w:r>
      <w:r>
        <w:rPr>
          <w:rFonts w:ascii="Times New Roman" w:hAnsi="Times New Roman" w:cs="Times New Roman"/>
          <w:noProof/>
          <w:sz w:val="24"/>
          <w:szCs w:val="24"/>
        </w:rPr>
        <w:t xml:space="preserve"> enterprises involved in these proceedings in 2015, approximately 733 (48%) were micro enterprises (less than 10 employees), while those that had more than 100</w:t>
      </w:r>
      <w:r>
        <w:rPr>
          <w:rFonts w:ascii="Times New Roman" w:hAnsi="Times New Roman" w:cs="Times New Roman"/>
          <w:noProof/>
          <w:sz w:val="24"/>
          <w:szCs w:val="24"/>
        </w:rPr>
        <w:t xml:space="preserve"> employees were only 25 (1.6%). The same patent was observed during the previous years</w:t>
      </w:r>
      <w:r>
        <w:rPr>
          <w:rFonts w:ascii="Times New Roman" w:hAnsi="Times New Roman" w:cs="Times New Roman"/>
          <w:noProof/>
        </w:rPr>
        <w:t xml:space="preserve">. </w:t>
      </w:r>
    </w:p>
    <w:p w:rsidR="00B32D69" w:rsidRDefault="00B32D69">
      <w:pPr>
        <w:jc w:val="both"/>
        <w:rPr>
          <w:rFonts w:ascii="Times New Roman" w:hAnsi="Times New Roman" w:cs="Times New Roman"/>
          <w:noProof/>
        </w:rPr>
      </w:pPr>
    </w:p>
    <w:p w:rsidR="00B32D69" w:rsidRDefault="00FB661A">
      <w:pPr>
        <w:jc w:val="both"/>
        <w:rPr>
          <w:rFonts w:ascii="Times New Roman" w:hAnsi="Times New Roman" w:cs="Times New Roman"/>
          <w:noProof/>
        </w:rPr>
      </w:pPr>
      <w:r>
        <w:rPr>
          <w:rFonts w:ascii="Times New Roman" w:hAnsi="Times New Roman" w:cs="Times New Roman"/>
          <w:noProof/>
          <w:lang w:eastAsia="en-GB"/>
        </w:rPr>
        <w:drawing>
          <wp:inline distT="0" distB="0" distL="0" distR="0">
            <wp:extent cx="5049672" cy="3207224"/>
            <wp:effectExtent l="0" t="0" r="17780" b="1270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B32D69" w:rsidRDefault="00B32D69">
      <w:pPr>
        <w:jc w:val="both"/>
        <w:rPr>
          <w:rFonts w:ascii="Times New Roman" w:hAnsi="Times New Roman" w:cs="Times New Roman"/>
          <w:noProof/>
        </w:rPr>
      </w:pPr>
    </w:p>
    <w:p w:rsidR="00B32D69" w:rsidRDefault="00FB661A">
      <w:pPr>
        <w:jc w:val="both"/>
        <w:rPr>
          <w:rFonts w:ascii="Times New Roman" w:hAnsi="Times New Roman" w:cs="Times New Roman"/>
          <w:noProof/>
          <w:sz w:val="24"/>
          <w:szCs w:val="24"/>
        </w:rPr>
      </w:pPr>
      <w:r>
        <w:rPr>
          <w:rFonts w:ascii="Times New Roman" w:hAnsi="Times New Roman" w:cs="Times New Roman"/>
          <w:noProof/>
          <w:sz w:val="24"/>
          <w:szCs w:val="24"/>
        </w:rPr>
        <w:t xml:space="preserve">In </w:t>
      </w:r>
      <w:r>
        <w:rPr>
          <w:rFonts w:ascii="Times New Roman" w:hAnsi="Times New Roman" w:cs="Times New Roman"/>
          <w:b/>
          <w:noProof/>
          <w:sz w:val="24"/>
          <w:szCs w:val="24"/>
        </w:rPr>
        <w:t>LT</w:t>
      </w:r>
      <w:r>
        <w:rPr>
          <w:rFonts w:ascii="Times New Roman" w:hAnsi="Times New Roman" w:cs="Times New Roman"/>
          <w:noProof/>
          <w:sz w:val="24"/>
          <w:szCs w:val="24"/>
        </w:rPr>
        <w:t>, in 2015, the average number of employees per debtor involved in restructuring proceedings was 23 employees with an average size of assets per debtor of 1.49</w:t>
      </w:r>
      <w:r>
        <w:rPr>
          <w:rFonts w:ascii="Times New Roman" w:hAnsi="Times New Roman" w:cs="Times New Roman"/>
          <w:noProof/>
          <w:sz w:val="24"/>
          <w:szCs w:val="24"/>
        </w:rPr>
        <w:t xml:space="preserve">1.000 euros. At the same year, with regard to the composition with creditors in the course of bankruptcy procedure, the average number of employees per debtor involved is 1 employee and the average size of assets per debtor was 762.000 euros. </w:t>
      </w:r>
    </w:p>
    <w:p w:rsidR="00B32D69" w:rsidRDefault="00FB661A">
      <w:pPr>
        <w:jc w:val="both"/>
        <w:rPr>
          <w:rFonts w:ascii="Times New Roman" w:hAnsi="Times New Roman" w:cs="Times New Roman"/>
          <w:b/>
          <w:i/>
          <w:noProof/>
          <w:sz w:val="24"/>
          <w:szCs w:val="24"/>
        </w:rPr>
      </w:pPr>
      <w:r>
        <w:rPr>
          <w:rFonts w:ascii="Times New Roman" w:hAnsi="Times New Roman" w:cs="Times New Roman"/>
          <w:b/>
          <w:i/>
          <w:noProof/>
          <w:sz w:val="24"/>
          <w:szCs w:val="24"/>
        </w:rPr>
        <w:t>Restructurin</w:t>
      </w:r>
      <w:r>
        <w:rPr>
          <w:rFonts w:ascii="Times New Roman" w:hAnsi="Times New Roman" w:cs="Times New Roman"/>
          <w:b/>
          <w:i/>
          <w:noProof/>
          <w:sz w:val="24"/>
          <w:szCs w:val="24"/>
        </w:rPr>
        <w:t>g proceedings</w:t>
      </w:r>
    </w:p>
    <w:tbl>
      <w:tblPr>
        <w:tblStyle w:val="LightShading-Accent2"/>
        <w:tblW w:w="0" w:type="auto"/>
        <w:tblLook w:val="04A0" w:firstRow="1" w:lastRow="0" w:firstColumn="1" w:lastColumn="0" w:noHBand="0" w:noVBand="1"/>
      </w:tblPr>
      <w:tblGrid>
        <w:gridCol w:w="2376"/>
        <w:gridCol w:w="1659"/>
        <w:gridCol w:w="1176"/>
        <w:gridCol w:w="1418"/>
        <w:gridCol w:w="1417"/>
        <w:gridCol w:w="1242"/>
      </w:tblGrid>
      <w:tr w:rsidR="00B32D69" w:rsidTr="00B32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B32D69" w:rsidRDefault="00B32D69">
            <w:pPr>
              <w:jc w:val="both"/>
              <w:rPr>
                <w:rFonts w:ascii="Times New Roman" w:hAnsi="Times New Roman" w:cs="Times New Roman"/>
                <w:noProof/>
                <w:sz w:val="24"/>
                <w:szCs w:val="24"/>
              </w:rPr>
            </w:pPr>
          </w:p>
        </w:tc>
        <w:tc>
          <w:tcPr>
            <w:tcW w:w="1659" w:type="dxa"/>
            <w:vAlign w:val="center"/>
          </w:tcPr>
          <w:p w:rsidR="00B32D69" w:rsidRDefault="00FB66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2011</w:t>
            </w:r>
          </w:p>
        </w:tc>
        <w:tc>
          <w:tcPr>
            <w:tcW w:w="1176" w:type="dxa"/>
            <w:vAlign w:val="center"/>
          </w:tcPr>
          <w:p w:rsidR="00B32D69" w:rsidRDefault="00FB66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2012</w:t>
            </w:r>
          </w:p>
        </w:tc>
        <w:tc>
          <w:tcPr>
            <w:tcW w:w="1418" w:type="dxa"/>
            <w:vAlign w:val="center"/>
          </w:tcPr>
          <w:p w:rsidR="00B32D69" w:rsidRDefault="00FB66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2013</w:t>
            </w:r>
          </w:p>
        </w:tc>
        <w:tc>
          <w:tcPr>
            <w:tcW w:w="1417" w:type="dxa"/>
            <w:vAlign w:val="center"/>
          </w:tcPr>
          <w:p w:rsidR="00B32D69" w:rsidRDefault="00FB66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2014</w:t>
            </w:r>
          </w:p>
        </w:tc>
        <w:tc>
          <w:tcPr>
            <w:tcW w:w="1242" w:type="dxa"/>
            <w:vAlign w:val="center"/>
          </w:tcPr>
          <w:p w:rsidR="00B32D69" w:rsidRDefault="00FB66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2015</w:t>
            </w:r>
          </w:p>
        </w:tc>
      </w:tr>
      <w:tr w:rsidR="00B32D69" w:rsidTr="00B32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B32D69" w:rsidRDefault="00FB661A">
            <w:pPr>
              <w:jc w:val="center"/>
              <w:rPr>
                <w:rFonts w:ascii="Times New Roman" w:hAnsi="Times New Roman" w:cs="Times New Roman"/>
                <w:noProof/>
                <w:sz w:val="24"/>
                <w:szCs w:val="24"/>
              </w:rPr>
            </w:pPr>
            <w:r>
              <w:rPr>
                <w:rFonts w:ascii="Times New Roman" w:hAnsi="Times New Roman" w:cs="Times New Roman"/>
                <w:noProof/>
                <w:sz w:val="24"/>
                <w:szCs w:val="24"/>
              </w:rPr>
              <w:t>Average number of employees per debtor</w:t>
            </w:r>
          </w:p>
        </w:tc>
        <w:tc>
          <w:tcPr>
            <w:tcW w:w="1659" w:type="dxa"/>
            <w:vAlign w:val="center"/>
          </w:tcPr>
          <w:p w:rsidR="00B32D69" w:rsidRDefault="00FB66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17</w:t>
            </w:r>
          </w:p>
        </w:tc>
        <w:tc>
          <w:tcPr>
            <w:tcW w:w="1176" w:type="dxa"/>
            <w:vAlign w:val="center"/>
          </w:tcPr>
          <w:p w:rsidR="00B32D69" w:rsidRDefault="00FB66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32</w:t>
            </w:r>
          </w:p>
        </w:tc>
        <w:tc>
          <w:tcPr>
            <w:tcW w:w="1418" w:type="dxa"/>
            <w:vAlign w:val="center"/>
          </w:tcPr>
          <w:p w:rsidR="00B32D69" w:rsidRDefault="00FB66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45</w:t>
            </w:r>
          </w:p>
        </w:tc>
        <w:tc>
          <w:tcPr>
            <w:tcW w:w="1417" w:type="dxa"/>
            <w:vAlign w:val="center"/>
          </w:tcPr>
          <w:p w:rsidR="00B32D69" w:rsidRDefault="00FB66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22</w:t>
            </w:r>
          </w:p>
        </w:tc>
        <w:tc>
          <w:tcPr>
            <w:tcW w:w="1242" w:type="dxa"/>
            <w:vAlign w:val="center"/>
          </w:tcPr>
          <w:p w:rsidR="00B32D69" w:rsidRDefault="00FB66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23</w:t>
            </w:r>
          </w:p>
        </w:tc>
      </w:tr>
      <w:tr w:rsidR="00B32D69" w:rsidTr="00B32D69">
        <w:tc>
          <w:tcPr>
            <w:cnfStyle w:val="001000000000" w:firstRow="0" w:lastRow="0" w:firstColumn="1" w:lastColumn="0" w:oddVBand="0" w:evenVBand="0" w:oddHBand="0" w:evenHBand="0" w:firstRowFirstColumn="0" w:firstRowLastColumn="0" w:lastRowFirstColumn="0" w:lastRowLastColumn="0"/>
            <w:tcW w:w="2376" w:type="dxa"/>
            <w:vAlign w:val="center"/>
          </w:tcPr>
          <w:p w:rsidR="00B32D69" w:rsidRDefault="00FB661A">
            <w:pPr>
              <w:jc w:val="center"/>
              <w:rPr>
                <w:rFonts w:ascii="Times New Roman" w:hAnsi="Times New Roman" w:cs="Times New Roman"/>
                <w:noProof/>
                <w:sz w:val="24"/>
                <w:szCs w:val="24"/>
              </w:rPr>
            </w:pPr>
            <w:r>
              <w:rPr>
                <w:rFonts w:ascii="Times New Roman" w:hAnsi="Times New Roman" w:cs="Times New Roman"/>
                <w:noProof/>
                <w:sz w:val="24"/>
                <w:szCs w:val="24"/>
              </w:rPr>
              <w:t>Average size of assets per debtor</w:t>
            </w:r>
          </w:p>
        </w:tc>
        <w:tc>
          <w:tcPr>
            <w:tcW w:w="1659" w:type="dxa"/>
            <w:vAlign w:val="center"/>
          </w:tcPr>
          <w:p w:rsidR="00B32D69" w:rsidRDefault="00FB6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4.232.000</w:t>
            </w:r>
          </w:p>
        </w:tc>
        <w:tc>
          <w:tcPr>
            <w:tcW w:w="1176" w:type="dxa"/>
            <w:vAlign w:val="center"/>
          </w:tcPr>
          <w:p w:rsidR="00B32D69" w:rsidRDefault="00FB6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2.707.000</w:t>
            </w:r>
          </w:p>
        </w:tc>
        <w:tc>
          <w:tcPr>
            <w:tcW w:w="1418" w:type="dxa"/>
            <w:vAlign w:val="center"/>
          </w:tcPr>
          <w:p w:rsidR="00B32D69" w:rsidRDefault="00FB6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3.849.000</w:t>
            </w:r>
          </w:p>
        </w:tc>
        <w:tc>
          <w:tcPr>
            <w:tcW w:w="1417" w:type="dxa"/>
            <w:vAlign w:val="center"/>
          </w:tcPr>
          <w:p w:rsidR="00B32D69" w:rsidRDefault="00FB6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2.197.000</w:t>
            </w:r>
          </w:p>
        </w:tc>
        <w:tc>
          <w:tcPr>
            <w:tcW w:w="1242" w:type="dxa"/>
            <w:vAlign w:val="center"/>
          </w:tcPr>
          <w:p w:rsidR="00B32D69" w:rsidRDefault="00FB6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1.491.000</w:t>
            </w:r>
          </w:p>
        </w:tc>
      </w:tr>
    </w:tbl>
    <w:p w:rsidR="00B32D69" w:rsidRDefault="00B32D69">
      <w:pPr>
        <w:jc w:val="both"/>
        <w:rPr>
          <w:rFonts w:ascii="Times New Roman" w:hAnsi="Times New Roman" w:cs="Times New Roman"/>
          <w:b/>
          <w:i/>
          <w:noProof/>
          <w:sz w:val="24"/>
          <w:szCs w:val="24"/>
        </w:rPr>
      </w:pPr>
    </w:p>
    <w:p w:rsidR="00B32D69" w:rsidRDefault="00FB661A">
      <w:pPr>
        <w:jc w:val="both"/>
        <w:rPr>
          <w:rFonts w:ascii="Times New Roman" w:hAnsi="Times New Roman" w:cs="Times New Roman"/>
          <w:b/>
          <w:i/>
          <w:noProof/>
          <w:sz w:val="24"/>
          <w:szCs w:val="24"/>
        </w:rPr>
      </w:pPr>
      <w:r>
        <w:rPr>
          <w:rFonts w:ascii="Times New Roman" w:hAnsi="Times New Roman" w:cs="Times New Roman"/>
          <w:b/>
          <w:i/>
          <w:noProof/>
          <w:sz w:val="24"/>
          <w:szCs w:val="24"/>
        </w:rPr>
        <w:t>Composition with the creditors in the course of bankruptcy procedure</w:t>
      </w:r>
    </w:p>
    <w:tbl>
      <w:tblPr>
        <w:tblStyle w:val="LightShading-Accent2"/>
        <w:tblW w:w="0" w:type="auto"/>
        <w:tblLook w:val="04A0" w:firstRow="1" w:lastRow="0" w:firstColumn="1" w:lastColumn="0" w:noHBand="0" w:noVBand="1"/>
      </w:tblPr>
      <w:tblGrid>
        <w:gridCol w:w="2376"/>
        <w:gridCol w:w="1659"/>
        <w:gridCol w:w="1176"/>
        <w:gridCol w:w="1418"/>
        <w:gridCol w:w="1417"/>
        <w:gridCol w:w="1242"/>
      </w:tblGrid>
      <w:tr w:rsidR="00B32D69" w:rsidTr="00B32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B32D69" w:rsidRDefault="00B32D69">
            <w:pPr>
              <w:jc w:val="both"/>
              <w:rPr>
                <w:rFonts w:ascii="Times New Roman" w:hAnsi="Times New Roman" w:cs="Times New Roman"/>
                <w:noProof/>
                <w:sz w:val="24"/>
                <w:szCs w:val="24"/>
              </w:rPr>
            </w:pPr>
          </w:p>
        </w:tc>
        <w:tc>
          <w:tcPr>
            <w:tcW w:w="1659" w:type="dxa"/>
            <w:vAlign w:val="center"/>
          </w:tcPr>
          <w:p w:rsidR="00B32D69" w:rsidRDefault="00FB66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2011</w:t>
            </w:r>
          </w:p>
        </w:tc>
        <w:tc>
          <w:tcPr>
            <w:tcW w:w="1176" w:type="dxa"/>
            <w:vAlign w:val="center"/>
          </w:tcPr>
          <w:p w:rsidR="00B32D69" w:rsidRDefault="00FB66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2012</w:t>
            </w:r>
          </w:p>
        </w:tc>
        <w:tc>
          <w:tcPr>
            <w:tcW w:w="1418" w:type="dxa"/>
            <w:vAlign w:val="center"/>
          </w:tcPr>
          <w:p w:rsidR="00B32D69" w:rsidRDefault="00FB66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2013</w:t>
            </w:r>
          </w:p>
        </w:tc>
        <w:tc>
          <w:tcPr>
            <w:tcW w:w="1417" w:type="dxa"/>
            <w:vAlign w:val="center"/>
          </w:tcPr>
          <w:p w:rsidR="00B32D69" w:rsidRDefault="00FB66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2014</w:t>
            </w:r>
          </w:p>
        </w:tc>
        <w:tc>
          <w:tcPr>
            <w:tcW w:w="1242" w:type="dxa"/>
            <w:vAlign w:val="center"/>
          </w:tcPr>
          <w:p w:rsidR="00B32D69" w:rsidRDefault="00FB66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2015</w:t>
            </w:r>
          </w:p>
        </w:tc>
      </w:tr>
      <w:tr w:rsidR="00B32D69" w:rsidTr="00B32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Align w:val="center"/>
          </w:tcPr>
          <w:p w:rsidR="00B32D69" w:rsidRDefault="00FB661A">
            <w:pPr>
              <w:jc w:val="center"/>
              <w:rPr>
                <w:rFonts w:ascii="Times New Roman" w:hAnsi="Times New Roman" w:cs="Times New Roman"/>
                <w:noProof/>
                <w:sz w:val="24"/>
                <w:szCs w:val="24"/>
              </w:rPr>
            </w:pPr>
            <w:r>
              <w:rPr>
                <w:rFonts w:ascii="Times New Roman" w:hAnsi="Times New Roman" w:cs="Times New Roman"/>
                <w:noProof/>
                <w:sz w:val="24"/>
                <w:szCs w:val="24"/>
              </w:rPr>
              <w:t>Average number of employees per debtor</w:t>
            </w:r>
          </w:p>
        </w:tc>
        <w:tc>
          <w:tcPr>
            <w:tcW w:w="1659" w:type="dxa"/>
            <w:vAlign w:val="center"/>
          </w:tcPr>
          <w:p w:rsidR="00B32D69" w:rsidRDefault="00FB66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14</w:t>
            </w:r>
          </w:p>
        </w:tc>
        <w:tc>
          <w:tcPr>
            <w:tcW w:w="1176" w:type="dxa"/>
            <w:vAlign w:val="center"/>
          </w:tcPr>
          <w:p w:rsidR="00B32D69" w:rsidRDefault="00FB66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8</w:t>
            </w:r>
          </w:p>
        </w:tc>
        <w:tc>
          <w:tcPr>
            <w:tcW w:w="1418" w:type="dxa"/>
            <w:vAlign w:val="center"/>
          </w:tcPr>
          <w:p w:rsidR="00B32D69" w:rsidRDefault="00FB66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w:t>
            </w:r>
          </w:p>
        </w:tc>
        <w:tc>
          <w:tcPr>
            <w:tcW w:w="1417" w:type="dxa"/>
            <w:vAlign w:val="center"/>
          </w:tcPr>
          <w:p w:rsidR="00B32D69" w:rsidRDefault="00FB66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w:t>
            </w:r>
          </w:p>
        </w:tc>
        <w:tc>
          <w:tcPr>
            <w:tcW w:w="1242" w:type="dxa"/>
            <w:vAlign w:val="center"/>
          </w:tcPr>
          <w:p w:rsidR="00B32D69" w:rsidRDefault="00FB661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1</w:t>
            </w:r>
          </w:p>
        </w:tc>
      </w:tr>
      <w:tr w:rsidR="00B32D69" w:rsidTr="00B32D69">
        <w:tc>
          <w:tcPr>
            <w:cnfStyle w:val="001000000000" w:firstRow="0" w:lastRow="0" w:firstColumn="1" w:lastColumn="0" w:oddVBand="0" w:evenVBand="0" w:oddHBand="0" w:evenHBand="0" w:firstRowFirstColumn="0" w:firstRowLastColumn="0" w:lastRowFirstColumn="0" w:lastRowLastColumn="0"/>
            <w:tcW w:w="2376" w:type="dxa"/>
            <w:vAlign w:val="center"/>
          </w:tcPr>
          <w:p w:rsidR="00B32D69" w:rsidRDefault="00FB661A">
            <w:pPr>
              <w:jc w:val="center"/>
              <w:rPr>
                <w:rFonts w:ascii="Times New Roman" w:hAnsi="Times New Roman" w:cs="Times New Roman"/>
                <w:noProof/>
                <w:sz w:val="24"/>
                <w:szCs w:val="24"/>
              </w:rPr>
            </w:pPr>
            <w:r>
              <w:rPr>
                <w:rFonts w:ascii="Times New Roman" w:hAnsi="Times New Roman" w:cs="Times New Roman"/>
                <w:noProof/>
                <w:sz w:val="24"/>
                <w:szCs w:val="24"/>
              </w:rPr>
              <w:t>Average size of assets per debtor</w:t>
            </w:r>
          </w:p>
        </w:tc>
        <w:tc>
          <w:tcPr>
            <w:tcW w:w="1659" w:type="dxa"/>
            <w:vAlign w:val="center"/>
          </w:tcPr>
          <w:p w:rsidR="00B32D69" w:rsidRDefault="00FB6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2.579.000</w:t>
            </w:r>
          </w:p>
        </w:tc>
        <w:tc>
          <w:tcPr>
            <w:tcW w:w="1176" w:type="dxa"/>
            <w:vAlign w:val="center"/>
          </w:tcPr>
          <w:p w:rsidR="00B32D69" w:rsidRDefault="00FB6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195.000</w:t>
            </w:r>
          </w:p>
        </w:tc>
        <w:tc>
          <w:tcPr>
            <w:tcW w:w="1418" w:type="dxa"/>
            <w:vAlign w:val="center"/>
          </w:tcPr>
          <w:p w:rsidR="00B32D69" w:rsidRDefault="00FB6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729.000</w:t>
            </w:r>
          </w:p>
        </w:tc>
        <w:tc>
          <w:tcPr>
            <w:tcW w:w="1417" w:type="dxa"/>
            <w:vAlign w:val="center"/>
          </w:tcPr>
          <w:p w:rsidR="00B32D69" w:rsidRDefault="00FB6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18.000</w:t>
            </w:r>
          </w:p>
        </w:tc>
        <w:tc>
          <w:tcPr>
            <w:tcW w:w="1242" w:type="dxa"/>
            <w:vAlign w:val="center"/>
          </w:tcPr>
          <w:p w:rsidR="00B32D69" w:rsidRDefault="00FB661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762.000</w:t>
            </w:r>
          </w:p>
        </w:tc>
      </w:tr>
    </w:tbl>
    <w:p w:rsidR="00B32D69" w:rsidRDefault="00B32D69">
      <w:pPr>
        <w:jc w:val="both"/>
        <w:rPr>
          <w:rFonts w:ascii="Times New Roman" w:hAnsi="Times New Roman" w:cs="Times New Roman"/>
          <w:noProof/>
          <w:sz w:val="24"/>
          <w:szCs w:val="24"/>
        </w:rPr>
      </w:pPr>
    </w:p>
    <w:p w:rsidR="00B32D69" w:rsidRDefault="00FB661A">
      <w:pPr>
        <w:jc w:val="both"/>
        <w:rPr>
          <w:rFonts w:ascii="Times New Roman" w:hAnsi="Times New Roman" w:cs="Times New Roman"/>
          <w:noProof/>
          <w:sz w:val="24"/>
          <w:szCs w:val="24"/>
        </w:rPr>
      </w:pPr>
      <w:r>
        <w:rPr>
          <w:rFonts w:ascii="Times New Roman" w:hAnsi="Times New Roman" w:cs="Times New Roman"/>
          <w:noProof/>
          <w:sz w:val="24"/>
          <w:szCs w:val="24"/>
        </w:rPr>
        <w:t>In 2014, in SE, there was an average of 22 employees per debtor involved in cases that were granted composition. In ES, both in 2014 and in 2015, approximately 65% of the debtors involved in restructuring were microenterprises and SMEs, while only 12% were</w:t>
      </w:r>
      <w:r>
        <w:rPr>
          <w:rFonts w:ascii="Times New Roman" w:hAnsi="Times New Roman" w:cs="Times New Roman"/>
          <w:noProof/>
          <w:sz w:val="24"/>
          <w:szCs w:val="24"/>
        </w:rPr>
        <w:t xml:space="preserve"> big enterprises. </w:t>
      </w:r>
    </w:p>
    <w:p w:rsidR="00B32D69" w:rsidRDefault="00FB661A">
      <w:pPr>
        <w:jc w:val="both"/>
        <w:rPr>
          <w:rFonts w:ascii="Times New Roman" w:hAnsi="Times New Roman" w:cs="Times New Roman"/>
          <w:noProof/>
          <w:sz w:val="24"/>
          <w:szCs w:val="24"/>
        </w:rPr>
      </w:pPr>
      <w:r>
        <w:rPr>
          <w:rFonts w:ascii="Times New Roman" w:hAnsi="Times New Roman" w:cs="Times New Roman"/>
          <w:noProof/>
          <w:sz w:val="24"/>
          <w:szCs w:val="24"/>
        </w:rPr>
        <w:t>In RO, data available only for restructuring inside formal insolvency procedures: of 768 successful restructurings completed during 2015 (but filed between 2011- 2015), 616 are small enterprises, 131 are medium enterprises and 16 are lar</w:t>
      </w:r>
      <w:r>
        <w:rPr>
          <w:rFonts w:ascii="Times New Roman" w:hAnsi="Times New Roman" w:cs="Times New Roman"/>
          <w:noProof/>
          <w:sz w:val="24"/>
          <w:szCs w:val="24"/>
        </w:rPr>
        <w:t>ge enterprises.</w:t>
      </w:r>
    </w:p>
    <w:p w:rsidR="00B32D69" w:rsidRDefault="00B32D69">
      <w:pPr>
        <w:jc w:val="both"/>
        <w:rPr>
          <w:rFonts w:ascii="Times New Roman" w:hAnsi="Times New Roman" w:cs="Times New Roman"/>
          <w:noProof/>
          <w:sz w:val="24"/>
          <w:szCs w:val="24"/>
        </w:rPr>
      </w:pPr>
    </w:p>
    <w:p w:rsidR="00B32D69" w:rsidRDefault="00FB661A">
      <w:pPr>
        <w:rPr>
          <w:rFonts w:ascii="Times New Roman" w:hAnsi="Times New Roman" w:cs="Times New Roman"/>
          <w:b/>
          <w:noProof/>
          <w:sz w:val="24"/>
          <w:szCs w:val="24"/>
        </w:rPr>
      </w:pPr>
      <w:r>
        <w:rPr>
          <w:rFonts w:ascii="Times New Roman" w:hAnsi="Times New Roman" w:cs="Times New Roman"/>
          <w:b/>
          <w:noProof/>
          <w:sz w:val="24"/>
          <w:szCs w:val="24"/>
        </w:rPr>
        <w:t>3. Data on the outcome of the preventive proceedings</w:t>
      </w:r>
    </w:p>
    <w:p w:rsidR="00B32D69" w:rsidRDefault="00FB661A">
      <w:pPr>
        <w:jc w:val="both"/>
        <w:rPr>
          <w:rFonts w:ascii="Times New Roman" w:hAnsi="Times New Roman" w:cs="Times New Roman"/>
          <w:noProof/>
          <w:sz w:val="24"/>
          <w:szCs w:val="24"/>
        </w:rPr>
      </w:pPr>
      <w:r>
        <w:rPr>
          <w:rFonts w:ascii="Times New Roman" w:hAnsi="Times New Roman" w:cs="Times New Roman"/>
          <w:noProof/>
          <w:sz w:val="24"/>
          <w:szCs w:val="24"/>
        </w:rPr>
        <w:t xml:space="preserve">From the data received, the rate of successful restructuring varies across the EU. </w:t>
      </w:r>
    </w:p>
    <w:p w:rsidR="00B32D69" w:rsidRDefault="00FB661A">
      <w:pPr>
        <w:jc w:val="both"/>
        <w:rPr>
          <w:rFonts w:ascii="Times New Roman" w:hAnsi="Times New Roman" w:cs="Times New Roman"/>
          <w:noProof/>
          <w:sz w:val="24"/>
          <w:szCs w:val="24"/>
        </w:rPr>
      </w:pPr>
      <w:r>
        <w:rPr>
          <w:rFonts w:ascii="Times New Roman" w:hAnsi="Times New Roman" w:cs="Times New Roman"/>
          <w:noProof/>
          <w:sz w:val="24"/>
          <w:szCs w:val="24"/>
        </w:rPr>
        <w:t>On the one hand, in 2015, in DK, only 2 cases ended up with a successful reconstruction, while 78 prev</w:t>
      </w:r>
      <w:r>
        <w:rPr>
          <w:rFonts w:ascii="Times New Roman" w:hAnsi="Times New Roman" w:cs="Times New Roman"/>
          <w:noProof/>
          <w:sz w:val="24"/>
          <w:szCs w:val="24"/>
        </w:rPr>
        <w:t>entive restructuring cases were initiated. LT also seems to have a rather low successful restructuring rate, since during the past 5 years, 12 cases were successfully finished out of 220 restructuring proceedings initiated. During the past 3 years in IT, a</w:t>
      </w:r>
      <w:r>
        <w:rPr>
          <w:rFonts w:ascii="Times New Roman" w:hAnsi="Times New Roman" w:cs="Times New Roman"/>
          <w:noProof/>
          <w:sz w:val="24"/>
          <w:szCs w:val="24"/>
        </w:rPr>
        <w:t xml:space="preserve">round 15% of preventive restructuring cases are completed within the restructuring agreement, while 67% failed and 15% changed into insolvency proceedings. </w:t>
      </w:r>
    </w:p>
    <w:p w:rsidR="00B32D69" w:rsidRDefault="00FB661A">
      <w:pPr>
        <w:jc w:val="both"/>
        <w:rPr>
          <w:rFonts w:ascii="Times New Roman" w:hAnsi="Times New Roman" w:cs="Times New Roman"/>
          <w:b/>
          <w:noProof/>
          <w:sz w:val="24"/>
          <w:szCs w:val="24"/>
        </w:rPr>
      </w:pPr>
      <w:r>
        <w:rPr>
          <w:rFonts w:ascii="Times New Roman" w:hAnsi="Times New Roman" w:cs="Times New Roman"/>
          <w:noProof/>
          <w:sz w:val="24"/>
          <w:szCs w:val="24"/>
        </w:rPr>
        <w:t xml:space="preserve">On the other hand, in SE, during 2008-2012, 18% of all company reconstructions were successful. In </w:t>
      </w:r>
      <w:r>
        <w:rPr>
          <w:rFonts w:ascii="Times New Roman" w:hAnsi="Times New Roman" w:cs="Times New Roman"/>
          <w:noProof/>
          <w:sz w:val="24"/>
          <w:szCs w:val="24"/>
        </w:rPr>
        <w:t>PO, during 2010-2014, from a total of 127 preventive restructuring cases initiated, 27 were approved, amounting to approximately 20%. In EL, during 2011-2015, from a total of 291 applications for recovery, 66 were completed with ratification. In HR, during</w:t>
      </w:r>
      <w:r>
        <w:rPr>
          <w:rFonts w:ascii="Times New Roman" w:hAnsi="Times New Roman" w:cs="Times New Roman"/>
          <w:noProof/>
          <w:sz w:val="24"/>
          <w:szCs w:val="24"/>
        </w:rPr>
        <w:t xml:space="preserve"> the last 5 years, approximately 28% of all preventive restructuring proceedings received a confirmation of a pre-bankruptcy settlement. Finally, in PT, in 43% of preventive restructuring cases, there was a confirmation of the plan and in SI, 6 out of 9 ca</w:t>
      </w:r>
      <w:r>
        <w:rPr>
          <w:rFonts w:ascii="Times New Roman" w:hAnsi="Times New Roman" w:cs="Times New Roman"/>
          <w:noProof/>
          <w:sz w:val="24"/>
          <w:szCs w:val="24"/>
        </w:rPr>
        <w:t xml:space="preserve">ses initiated in 2014 were successful. </w:t>
      </w:r>
      <w:r>
        <w:rPr>
          <w:rFonts w:ascii="Times New Roman" w:hAnsi="Times New Roman" w:cs="Times New Roman"/>
          <w:b/>
          <w:noProof/>
          <w:sz w:val="24"/>
          <w:szCs w:val="24"/>
        </w:rPr>
        <w:t xml:space="preserve"> </w:t>
      </w:r>
    </w:p>
    <w:p w:rsidR="00B32D69" w:rsidRDefault="00FB661A">
      <w:pPr>
        <w:jc w:val="both"/>
        <w:rPr>
          <w:rFonts w:ascii="Times New Roman" w:hAnsi="Times New Roman" w:cs="Times New Roman"/>
          <w:noProof/>
          <w:sz w:val="24"/>
          <w:szCs w:val="24"/>
        </w:rPr>
      </w:pPr>
      <w:r>
        <w:rPr>
          <w:rFonts w:ascii="Times New Roman" w:hAnsi="Times New Roman" w:cs="Times New Roman"/>
          <w:b/>
          <w:noProof/>
          <w:sz w:val="24"/>
          <w:szCs w:val="24"/>
        </w:rPr>
        <w:t xml:space="preserve">It is not possible to determine from the data provided if debtors successfully undergoing a restructuring procedure lapse into financial difficulties shortly after. </w:t>
      </w:r>
    </w:p>
    <w:p w:rsidR="00B32D69" w:rsidRDefault="00FB661A">
      <w:pPr>
        <w:rPr>
          <w:rFonts w:ascii="Times New Roman" w:hAnsi="Times New Roman" w:cs="Times New Roman"/>
          <w:b/>
          <w:noProof/>
          <w:sz w:val="24"/>
          <w:szCs w:val="24"/>
        </w:rPr>
      </w:pPr>
      <w:r>
        <w:rPr>
          <w:rFonts w:ascii="Times New Roman" w:hAnsi="Times New Roman" w:cs="Times New Roman"/>
          <w:b/>
          <w:noProof/>
          <w:sz w:val="24"/>
          <w:szCs w:val="24"/>
        </w:rPr>
        <w:t>4. Data on the length of proceedings</w:t>
      </w:r>
    </w:p>
    <w:p w:rsidR="00B32D69" w:rsidRDefault="00FB661A">
      <w:pPr>
        <w:jc w:val="both"/>
        <w:rPr>
          <w:rFonts w:ascii="Times New Roman" w:hAnsi="Times New Roman" w:cs="Times New Roman"/>
          <w:noProof/>
          <w:sz w:val="24"/>
          <w:szCs w:val="24"/>
        </w:rPr>
      </w:pPr>
      <w:r>
        <w:rPr>
          <w:rFonts w:ascii="Times New Roman" w:hAnsi="Times New Roman" w:cs="Times New Roman"/>
          <w:noProof/>
          <w:sz w:val="24"/>
          <w:szCs w:val="24"/>
        </w:rPr>
        <w:t>The average length of preventive restructuring proceedings varies across the MS. However, from the data received, apart from Lithuania, Czech Republic and Italy, where the average length for restructuring proceedings is more than one year, in the other cou</w:t>
      </w:r>
      <w:r>
        <w:rPr>
          <w:rFonts w:ascii="Times New Roman" w:hAnsi="Times New Roman" w:cs="Times New Roman"/>
          <w:noProof/>
          <w:sz w:val="24"/>
          <w:szCs w:val="24"/>
        </w:rPr>
        <w:t xml:space="preserve">ntries restructuring proceedings last less than one year with an average duration between 5 and 8 months. </w:t>
      </w:r>
    </w:p>
    <w:p w:rsidR="00B32D69" w:rsidRDefault="00FB661A">
      <w:pPr>
        <w:jc w:val="both"/>
        <w:rPr>
          <w:rFonts w:ascii="Times New Roman" w:hAnsi="Times New Roman" w:cs="Times New Roman"/>
          <w:noProof/>
          <w:sz w:val="24"/>
          <w:szCs w:val="24"/>
        </w:rPr>
      </w:pPr>
      <w:r>
        <w:rPr>
          <w:rFonts w:ascii="Times New Roman" w:hAnsi="Times New Roman" w:cs="Times New Roman"/>
          <w:noProof/>
          <w:sz w:val="24"/>
          <w:szCs w:val="24"/>
        </w:rPr>
        <w:t xml:space="preserve">In detail, the countries can be divided in three categories according to the average length of the proceedings: </w:t>
      </w:r>
    </w:p>
    <w:p w:rsidR="00B32D69" w:rsidRDefault="00FB661A">
      <w:pPr>
        <w:pStyle w:val="ListParagraph"/>
        <w:numPr>
          <w:ilvl w:val="0"/>
          <w:numId w:val="62"/>
        </w:numPr>
        <w:jc w:val="both"/>
        <w:rPr>
          <w:rFonts w:ascii="Times New Roman" w:hAnsi="Times New Roman" w:cs="Times New Roman"/>
          <w:noProof/>
          <w:sz w:val="24"/>
          <w:szCs w:val="24"/>
        </w:rPr>
      </w:pPr>
      <w:r>
        <w:rPr>
          <w:rFonts w:ascii="Times New Roman" w:hAnsi="Times New Roman" w:cs="Times New Roman"/>
          <w:noProof/>
          <w:sz w:val="24"/>
          <w:szCs w:val="24"/>
        </w:rPr>
        <w:t>Less than 5 months: France (21.2 day</w:t>
      </w:r>
      <w:r>
        <w:rPr>
          <w:rFonts w:ascii="Times New Roman" w:hAnsi="Times New Roman" w:cs="Times New Roman"/>
          <w:noProof/>
          <w:sz w:val="24"/>
          <w:szCs w:val="24"/>
        </w:rPr>
        <w:t xml:space="preserve">s for </w:t>
      </w:r>
      <w:r>
        <w:rPr>
          <w:rFonts w:ascii="Times New Roman" w:hAnsi="Times New Roman" w:cs="Times New Roman"/>
          <w:i/>
          <w:noProof/>
          <w:sz w:val="24"/>
          <w:szCs w:val="24"/>
        </w:rPr>
        <w:t>mandat ad hoc</w:t>
      </w:r>
      <w:r>
        <w:rPr>
          <w:rFonts w:ascii="Times New Roman" w:hAnsi="Times New Roman" w:cs="Times New Roman"/>
          <w:noProof/>
          <w:sz w:val="24"/>
          <w:szCs w:val="24"/>
        </w:rPr>
        <w:t xml:space="preserve"> and 2.2 months for </w:t>
      </w:r>
      <w:r>
        <w:rPr>
          <w:rFonts w:ascii="Times New Roman" w:hAnsi="Times New Roman" w:cs="Times New Roman"/>
          <w:i/>
          <w:noProof/>
          <w:sz w:val="24"/>
          <w:szCs w:val="24"/>
        </w:rPr>
        <w:t>conciliation</w:t>
      </w:r>
      <w:r>
        <w:rPr>
          <w:rFonts w:ascii="Times New Roman" w:hAnsi="Times New Roman" w:cs="Times New Roman"/>
          <w:noProof/>
          <w:sz w:val="24"/>
          <w:szCs w:val="24"/>
        </w:rPr>
        <w:t>), Denmark (4.3 months), Slovenia (4.23 months</w:t>
      </w:r>
      <w:r>
        <w:rPr>
          <w:rStyle w:val="FootnoteReference"/>
          <w:rFonts w:ascii="Times New Roman" w:hAnsi="Times New Roman"/>
          <w:noProof/>
          <w:sz w:val="24"/>
          <w:szCs w:val="24"/>
        </w:rPr>
        <w:footnoteReference w:id="418"/>
      </w:r>
      <w:r>
        <w:rPr>
          <w:rFonts w:ascii="Times New Roman" w:hAnsi="Times New Roman" w:cs="Times New Roman"/>
          <w:noProof/>
          <w:sz w:val="24"/>
          <w:szCs w:val="24"/>
        </w:rPr>
        <w:t>), Portugal (5 months for PER) and Poland (3 months).</w:t>
      </w:r>
    </w:p>
    <w:p w:rsidR="00B32D69" w:rsidRDefault="00FB661A">
      <w:pPr>
        <w:pStyle w:val="ListParagraph"/>
        <w:numPr>
          <w:ilvl w:val="0"/>
          <w:numId w:val="62"/>
        </w:numPr>
        <w:jc w:val="both"/>
        <w:rPr>
          <w:rFonts w:ascii="Times New Roman" w:hAnsi="Times New Roman" w:cs="Times New Roman"/>
          <w:noProof/>
          <w:sz w:val="24"/>
          <w:szCs w:val="24"/>
        </w:rPr>
      </w:pPr>
      <w:r>
        <w:rPr>
          <w:rFonts w:ascii="Times New Roman" w:hAnsi="Times New Roman" w:cs="Times New Roman"/>
          <w:noProof/>
          <w:sz w:val="24"/>
          <w:szCs w:val="24"/>
        </w:rPr>
        <w:t xml:space="preserve">6-12 months: Portugal (7.1 months for SIREVE), France (7.8 months for </w:t>
      </w:r>
      <w:r>
        <w:rPr>
          <w:rFonts w:ascii="Times New Roman" w:hAnsi="Times New Roman" w:cs="Times New Roman"/>
          <w:i/>
          <w:noProof/>
          <w:sz w:val="24"/>
          <w:szCs w:val="24"/>
        </w:rPr>
        <w:t>sauvegarde</w:t>
      </w:r>
      <w:r>
        <w:rPr>
          <w:rFonts w:ascii="Times New Roman" w:hAnsi="Times New Roman" w:cs="Times New Roman"/>
          <w:noProof/>
          <w:sz w:val="24"/>
          <w:szCs w:val="24"/>
        </w:rPr>
        <w:t>), Belgium (8.38 months)</w:t>
      </w:r>
      <w:r>
        <w:rPr>
          <w:rFonts w:ascii="Times New Roman" w:hAnsi="Times New Roman" w:cs="Times New Roman"/>
          <w:noProof/>
          <w:sz w:val="24"/>
          <w:szCs w:val="24"/>
        </w:rPr>
        <w:t xml:space="preserve">, Croatia (11.7 months). </w:t>
      </w:r>
    </w:p>
    <w:p w:rsidR="00B32D69" w:rsidRDefault="00FB661A">
      <w:pPr>
        <w:pStyle w:val="ListParagraph"/>
        <w:numPr>
          <w:ilvl w:val="0"/>
          <w:numId w:val="62"/>
        </w:numPr>
        <w:jc w:val="both"/>
        <w:rPr>
          <w:rFonts w:ascii="Times New Roman" w:hAnsi="Times New Roman" w:cs="Times New Roman"/>
          <w:noProof/>
          <w:sz w:val="24"/>
          <w:szCs w:val="24"/>
        </w:rPr>
      </w:pPr>
      <w:r>
        <w:rPr>
          <w:rFonts w:ascii="Times New Roman" w:hAnsi="Times New Roman" w:cs="Times New Roman"/>
          <w:noProof/>
          <w:sz w:val="24"/>
          <w:szCs w:val="24"/>
        </w:rPr>
        <w:t>More than one year: Czech Republic (3 years), Lithuania (4.7 years for closed proceedings and 2.4 years for terminated proceedings</w:t>
      </w:r>
      <w:r>
        <w:rPr>
          <w:rStyle w:val="FootnoteReference"/>
          <w:rFonts w:ascii="Times New Roman" w:hAnsi="Times New Roman"/>
          <w:noProof/>
          <w:sz w:val="24"/>
          <w:szCs w:val="24"/>
        </w:rPr>
        <w:footnoteReference w:id="419"/>
      </w:r>
      <w:r>
        <w:rPr>
          <w:rFonts w:ascii="Times New Roman" w:hAnsi="Times New Roman" w:cs="Times New Roman"/>
          <w:noProof/>
          <w:sz w:val="24"/>
          <w:szCs w:val="24"/>
        </w:rPr>
        <w:t>), Italy (1.3 years</w:t>
      </w:r>
      <w:r>
        <w:rPr>
          <w:rStyle w:val="FootnoteReference"/>
          <w:rFonts w:ascii="Times New Roman" w:hAnsi="Times New Roman"/>
          <w:noProof/>
          <w:sz w:val="24"/>
          <w:szCs w:val="24"/>
        </w:rPr>
        <w:footnoteReference w:id="420"/>
      </w:r>
      <w:r>
        <w:rPr>
          <w:rFonts w:ascii="Times New Roman" w:hAnsi="Times New Roman" w:cs="Times New Roman"/>
          <w:noProof/>
          <w:sz w:val="24"/>
          <w:szCs w:val="24"/>
        </w:rPr>
        <w:t>).</w:t>
      </w:r>
    </w:p>
    <w:p w:rsidR="00B32D69" w:rsidRDefault="00FB661A">
      <w:pPr>
        <w:jc w:val="both"/>
        <w:rPr>
          <w:rFonts w:ascii="Times New Roman" w:hAnsi="Times New Roman" w:cs="Times New Roman"/>
          <w:noProof/>
          <w:sz w:val="24"/>
          <w:szCs w:val="24"/>
        </w:rPr>
      </w:pPr>
      <w:r>
        <w:rPr>
          <w:rFonts w:ascii="Times New Roman" w:hAnsi="Times New Roman" w:cs="Times New Roman"/>
          <w:noProof/>
          <w:sz w:val="24"/>
          <w:szCs w:val="24"/>
        </w:rPr>
        <w:t xml:space="preserve">The average duration of preventive restructuring proceedings per country is </w:t>
      </w:r>
      <w:r>
        <w:rPr>
          <w:rFonts w:ascii="Times New Roman" w:hAnsi="Times New Roman" w:cs="Times New Roman"/>
          <w:noProof/>
          <w:sz w:val="24"/>
          <w:szCs w:val="24"/>
        </w:rPr>
        <w:t>depicted in the following column chart.</w:t>
      </w:r>
    </w:p>
    <w:p w:rsidR="00B32D69" w:rsidRDefault="00B32D69">
      <w:pPr>
        <w:rPr>
          <w:rFonts w:ascii="Times New Roman" w:hAnsi="Times New Roman" w:cs="Times New Roman"/>
          <w:noProof/>
        </w:rPr>
      </w:pPr>
    </w:p>
    <w:p w:rsidR="00B32D69" w:rsidRDefault="00FB661A">
      <w:pPr>
        <w:rPr>
          <w:rFonts w:ascii="Times New Roman" w:hAnsi="Times New Roman" w:cs="Times New Roman"/>
          <w:noProof/>
        </w:rPr>
      </w:pPr>
      <w:r>
        <w:rPr>
          <w:rFonts w:ascii="Times New Roman" w:hAnsi="Times New Roman" w:cs="Times New Roman"/>
          <w:noProof/>
          <w:lang w:eastAsia="en-GB"/>
        </w:rPr>
        <w:drawing>
          <wp:inline distT="0" distB="0" distL="0" distR="0">
            <wp:extent cx="5172502" cy="3016155"/>
            <wp:effectExtent l="0" t="0" r="9525" b="1333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B32D69" w:rsidRDefault="00B32D69">
      <w:pPr>
        <w:rPr>
          <w:rFonts w:ascii="Times New Roman" w:hAnsi="Times New Roman" w:cs="Times New Roman"/>
          <w:noProof/>
          <w:sz w:val="24"/>
          <w:szCs w:val="24"/>
        </w:rPr>
      </w:pPr>
    </w:p>
    <w:p w:rsidR="00B32D69" w:rsidRDefault="00FB661A">
      <w:pPr>
        <w:rPr>
          <w:rFonts w:ascii="Times New Roman" w:hAnsi="Times New Roman" w:cs="Times New Roman"/>
          <w:b/>
          <w:noProof/>
          <w:sz w:val="24"/>
          <w:szCs w:val="24"/>
        </w:rPr>
      </w:pPr>
      <w:r>
        <w:rPr>
          <w:rFonts w:ascii="Times New Roman" w:hAnsi="Times New Roman" w:cs="Times New Roman"/>
          <w:b/>
          <w:noProof/>
          <w:sz w:val="24"/>
          <w:szCs w:val="24"/>
        </w:rPr>
        <w:t>5. Data on the number of ordinary/formal insolvency proceedings and their outcome</w:t>
      </w:r>
    </w:p>
    <w:p w:rsidR="00B32D69" w:rsidRDefault="00FB661A">
      <w:pPr>
        <w:jc w:val="both"/>
        <w:rPr>
          <w:rFonts w:ascii="Times New Roman" w:hAnsi="Times New Roman" w:cs="Times New Roman"/>
          <w:noProof/>
          <w:sz w:val="24"/>
          <w:szCs w:val="24"/>
        </w:rPr>
      </w:pPr>
      <w:r>
        <w:rPr>
          <w:rFonts w:ascii="Times New Roman" w:hAnsi="Times New Roman" w:cs="Times New Roman"/>
          <w:noProof/>
          <w:sz w:val="24"/>
          <w:szCs w:val="24"/>
        </w:rPr>
        <w:t>In general, it can be noticed that in many countries, the number of formal insolvency and bankruptcy proceedings per year is higher than that of preventive restructuring. As for the rate of successful restructuring within the formal insolvency proceedings,</w:t>
      </w:r>
      <w:r>
        <w:rPr>
          <w:rFonts w:ascii="Times New Roman" w:hAnsi="Times New Roman" w:cs="Times New Roman"/>
          <w:noProof/>
          <w:sz w:val="24"/>
          <w:szCs w:val="24"/>
        </w:rPr>
        <w:t xml:space="preserve"> it varies across the EU, but in most countries, the majority of cases in formal insolvency end up in liquidation. It can be argued that in comparison with the preventive measures, the formal insolvency proceedings have a lower rate of a possibility of a s</w:t>
      </w:r>
      <w:r>
        <w:rPr>
          <w:rFonts w:ascii="Times New Roman" w:hAnsi="Times New Roman" w:cs="Times New Roman"/>
          <w:noProof/>
          <w:sz w:val="24"/>
          <w:szCs w:val="24"/>
        </w:rPr>
        <w:t xml:space="preserve">uccessful restructuring.  </w:t>
      </w:r>
    </w:p>
    <w:p w:rsidR="00B32D69" w:rsidRDefault="00FB661A">
      <w:pPr>
        <w:jc w:val="both"/>
        <w:rPr>
          <w:rFonts w:ascii="Times New Roman" w:hAnsi="Times New Roman" w:cs="Times New Roman"/>
          <w:noProof/>
          <w:sz w:val="24"/>
          <w:szCs w:val="24"/>
        </w:rPr>
      </w:pPr>
      <w:r>
        <w:rPr>
          <w:rFonts w:ascii="Times New Roman" w:hAnsi="Times New Roman" w:cs="Times New Roman"/>
          <w:noProof/>
          <w:sz w:val="24"/>
          <w:szCs w:val="24"/>
        </w:rPr>
        <w:t>For example, in DK, the majority of cases initiated in formal insolvency proceedings end up in bankruptcy. During the past five years, the rate for successful restructuring in formal insolvency is 1.5-2%, while in 2015, 67% of fo</w:t>
      </w:r>
      <w:r>
        <w:rPr>
          <w:rFonts w:ascii="Times New Roman" w:hAnsi="Times New Roman" w:cs="Times New Roman"/>
          <w:noProof/>
          <w:sz w:val="24"/>
          <w:szCs w:val="24"/>
        </w:rPr>
        <w:t>rmal insolvency cases ended up in bankruptcy. In the same year in Portugal, 17.235 insolvency cases were initiated (approximately 14.000 more than in preventive restructuring procedures) out of which 14.612 ended up with a declaration of bankruptcy and onl</w:t>
      </w:r>
      <w:r>
        <w:rPr>
          <w:rFonts w:ascii="Times New Roman" w:hAnsi="Times New Roman" w:cs="Times New Roman"/>
          <w:noProof/>
          <w:sz w:val="24"/>
          <w:szCs w:val="24"/>
        </w:rPr>
        <w:t>y 3 with confirmation of a restructuring measure. In HR, during the last five years, there were more than 35.000 incoming cases (in comparison to almost 9.000 cases in preventive proceedings).</w:t>
      </w:r>
      <w:r>
        <w:rPr>
          <w:rStyle w:val="FootnoteReference"/>
          <w:rFonts w:ascii="Times New Roman" w:hAnsi="Times New Roman"/>
          <w:noProof/>
          <w:sz w:val="24"/>
          <w:szCs w:val="24"/>
        </w:rPr>
        <w:footnoteReference w:id="421"/>
      </w:r>
      <w:r>
        <w:rPr>
          <w:rFonts w:ascii="Times New Roman" w:hAnsi="Times New Roman" w:cs="Times New Roman"/>
          <w:noProof/>
          <w:sz w:val="24"/>
          <w:szCs w:val="24"/>
        </w:rPr>
        <w:t xml:space="preserve"> Finally, in CZ, every year, 20 cases in preventive restructuri</w:t>
      </w:r>
      <w:r>
        <w:rPr>
          <w:rFonts w:ascii="Times New Roman" w:hAnsi="Times New Roman" w:cs="Times New Roman"/>
          <w:noProof/>
          <w:sz w:val="24"/>
          <w:szCs w:val="24"/>
        </w:rPr>
        <w:t xml:space="preserve">ng proceedings are initiated, while 1000-15000 bankruptcy orders are issued. </w:t>
      </w:r>
    </w:p>
    <w:p w:rsidR="00B32D69" w:rsidRDefault="00FB661A">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In RO, in 2015 there were 768 confirmed judicial reorganisation procedures opened in the period 2011-2015, and 10,274 new applications for insolvency proceedings. </w:t>
      </w:r>
    </w:p>
    <w:p w:rsidR="00B32D69" w:rsidRDefault="00B32D69">
      <w:pPr>
        <w:jc w:val="both"/>
        <w:rPr>
          <w:rFonts w:ascii="Times New Roman" w:hAnsi="Times New Roman" w:cs="Times New Roman"/>
          <w:noProof/>
          <w:sz w:val="24"/>
          <w:szCs w:val="24"/>
        </w:rPr>
      </w:pPr>
    </w:p>
    <w:p w:rsidR="00B32D69" w:rsidRDefault="00B32D69">
      <w:pPr>
        <w:rPr>
          <w:noProof/>
        </w:rPr>
      </w:pPr>
    </w:p>
    <w:p w:rsidR="00B32D69" w:rsidRDefault="00B32D69">
      <w:pPr>
        <w:rPr>
          <w:noProof/>
        </w:rPr>
      </w:pPr>
    </w:p>
    <w:sectPr w:rsidR="00B32D69">
      <w:headerReference w:type="even" r:id="rId125"/>
      <w:headerReference w:type="default" r:id="rId126"/>
      <w:footerReference w:type="even" r:id="rId127"/>
      <w:footerReference w:type="default" r:id="rId128"/>
      <w:headerReference w:type="first" r:id="rId129"/>
      <w:footerReference w:type="first" r:id="rId1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D69" w:rsidRDefault="00FB661A">
      <w:pPr>
        <w:spacing w:after="0" w:line="240" w:lineRule="auto"/>
      </w:pPr>
      <w:r>
        <w:separator/>
      </w:r>
    </w:p>
  </w:endnote>
  <w:endnote w:type="continuationSeparator" w:id="0">
    <w:p w:rsidR="00B32D69" w:rsidRDefault="00FB6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adeGothic">
    <w:altName w:val="TradeGothic"/>
    <w:panose1 w:val="00000000000000000000"/>
    <w:charset w:val="00"/>
    <w:family w:val="swiss"/>
    <w:notTrueType/>
    <w:pitch w:val="default"/>
    <w:sig w:usb0="00000003" w:usb1="00000000" w:usb2="00000000" w:usb3="00000000" w:csb0="00000001" w:csb1="00000000"/>
  </w:font>
  <w:font w:name="EC Square Sans Pro Medium">
    <w:panose1 w:val="020B0500000000020004"/>
    <w:charset w:val="00"/>
    <w:family w:val="swiss"/>
    <w:pitch w:val="variable"/>
    <w:sig w:usb0="A00002BF" w:usb1="5000E0FB" w:usb2="00000000" w:usb3="00000000" w:csb0="0000019F" w:csb1="00000000"/>
  </w:font>
  <w:font w:name="MyriadPro-It">
    <w:panose1 w:val="00000000000000000000"/>
    <w:charset w:val="00"/>
    <w:family w:val="swiss"/>
    <w:notTrueType/>
    <w:pitch w:val="default"/>
    <w:sig w:usb0="00000003" w:usb1="00000000" w:usb2="00000000" w:usb3="00000000" w:csb0="00000001" w:csb1="00000000"/>
  </w:font>
  <w:font w:name="EC Square Sans Pro">
    <w:panose1 w:val="020B0506040000020004"/>
    <w:charset w:val="00"/>
    <w:family w:val="swiss"/>
    <w:pitch w:val="variable"/>
    <w:sig w:usb0="A00002BF" w:usb1="5000E0FB" w:usb2="00000000" w:usb3="00000000" w:csb0="0000019F" w:csb1="00000000"/>
  </w:font>
  <w:font w:name="Lucida Grande">
    <w:charset w:val="00"/>
    <w:family w:val="auto"/>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707501"/>
      <w:docPartObj>
        <w:docPartGallery w:val="Page Numbers (Bottom of Page)"/>
        <w:docPartUnique/>
      </w:docPartObj>
    </w:sdtPr>
    <w:sdtEndPr>
      <w:rPr>
        <w:rFonts w:ascii="Times New Roman" w:hAnsi="Times New Roman" w:cs="Times New Roman"/>
        <w:noProof/>
        <w:sz w:val="24"/>
        <w:szCs w:val="24"/>
      </w:rPr>
    </w:sdtEndPr>
    <w:sdtContent>
      <w:p w:rsidR="00B32D69" w:rsidRDefault="00FB661A">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185</w:t>
        </w:r>
        <w:r>
          <w:rPr>
            <w:rFonts w:ascii="Times New Roman" w:hAnsi="Times New Roman" w:cs="Times New Roman"/>
            <w:noProof/>
            <w:sz w:val="24"/>
            <w:szCs w:val="24"/>
          </w:rPr>
          <w:fldChar w:fldCharType="end"/>
        </w:r>
      </w:p>
    </w:sdtContent>
  </w:sdt>
  <w:p w:rsidR="00B32D69" w:rsidRDefault="00B32D6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893349"/>
      <w:docPartObj>
        <w:docPartGallery w:val="Page Numbers (Bottom of Page)"/>
        <w:docPartUnique/>
      </w:docPartObj>
    </w:sdtPr>
    <w:sdtEndPr>
      <w:rPr>
        <w:rFonts w:ascii="Times New Roman" w:hAnsi="Times New Roman" w:cs="Times New Roman"/>
        <w:noProof/>
        <w:sz w:val="24"/>
        <w:szCs w:val="24"/>
      </w:rPr>
    </w:sdtEndPr>
    <w:sdtContent>
      <w:p w:rsidR="00B32D69" w:rsidRDefault="00FB661A">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196</w:t>
        </w:r>
        <w:r>
          <w:rPr>
            <w:rFonts w:ascii="Times New Roman" w:hAnsi="Times New Roman" w:cs="Times New Roman"/>
            <w:noProof/>
            <w:sz w:val="24"/>
            <w:szCs w:val="24"/>
          </w:rPr>
          <w:fldChar w:fldCharType="end"/>
        </w:r>
      </w:p>
    </w:sdtContent>
  </w:sdt>
  <w:p w:rsidR="00B32D69" w:rsidRDefault="00B32D69">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8185885"/>
      <w:docPartObj>
        <w:docPartGallery w:val="Page Numbers (Bottom of Page)"/>
        <w:docPartUnique/>
      </w:docPartObj>
    </w:sdtPr>
    <w:sdtEndPr>
      <w:rPr>
        <w:rFonts w:ascii="Times New Roman" w:hAnsi="Times New Roman" w:cs="Times New Roman"/>
        <w:noProof/>
        <w:sz w:val="24"/>
        <w:szCs w:val="24"/>
      </w:rPr>
    </w:sdtEndPr>
    <w:sdtContent>
      <w:p w:rsidR="00B32D69" w:rsidRDefault="00FB661A">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198</w:t>
        </w:r>
        <w:r>
          <w:rPr>
            <w:rFonts w:ascii="Times New Roman" w:hAnsi="Times New Roman" w:cs="Times New Roman"/>
            <w:noProof/>
            <w:sz w:val="24"/>
            <w:szCs w:val="24"/>
          </w:rPr>
          <w:fldChar w:fldCharType="end"/>
        </w:r>
      </w:p>
    </w:sdtContent>
  </w:sdt>
  <w:p w:rsidR="00B32D69" w:rsidRDefault="00B32D69">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FB661A">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407505"/>
      <w:docPartObj>
        <w:docPartGallery w:val="Page Numbers (Bottom of Page)"/>
        <w:docPartUnique/>
      </w:docPartObj>
    </w:sdtPr>
    <w:sdtEndPr>
      <w:rPr>
        <w:rFonts w:ascii="Times New Roman" w:hAnsi="Times New Roman" w:cs="Times New Roman"/>
        <w:noProof/>
        <w:sz w:val="24"/>
        <w:szCs w:val="24"/>
      </w:rPr>
    </w:sdtEndPr>
    <w:sdtContent>
      <w:p w:rsidR="00B32D69" w:rsidRDefault="00FB661A">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Pr>
            <w:rFonts w:ascii="Times New Roman" w:hAnsi="Times New Roman" w:cs="Times New Roman"/>
            <w:sz w:val="24"/>
            <w:szCs w:val="24"/>
          </w:rPr>
          <w:instrText xml:space="preserve">\*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215</w:t>
        </w:r>
        <w:r>
          <w:rPr>
            <w:rFonts w:ascii="Times New Roman" w:hAnsi="Times New Roman" w:cs="Times New Roman"/>
            <w:noProof/>
            <w:sz w:val="24"/>
            <w:szCs w:val="24"/>
          </w:rPr>
          <w:fldChar w:fldCharType="end"/>
        </w:r>
      </w:p>
    </w:sdtContent>
  </w:sdt>
  <w:p w:rsidR="00B32D69" w:rsidRDefault="00B32D69">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155482"/>
      <w:docPartObj>
        <w:docPartGallery w:val="Page Numbers (Bottom of Page)"/>
        <w:docPartUnique/>
      </w:docPartObj>
    </w:sdtPr>
    <w:sdtEndPr>
      <w:rPr>
        <w:noProof/>
      </w:rPr>
    </w:sdtEndPr>
    <w:sdtContent>
      <w:p w:rsidR="00B32D69" w:rsidRDefault="00FB66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32D69" w:rsidRDefault="00B32D6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66564"/>
      <w:docPartObj>
        <w:docPartGallery w:val="Page Numbers (Bottom of Page)"/>
        <w:docPartUnique/>
      </w:docPartObj>
    </w:sdtPr>
    <w:sdtEndPr>
      <w:rPr>
        <w:rFonts w:ascii="Times New Roman" w:hAnsi="Times New Roman" w:cs="Times New Roman"/>
        <w:noProof/>
        <w:sz w:val="24"/>
        <w:szCs w:val="24"/>
      </w:rPr>
    </w:sdtEndPr>
    <w:sdtContent>
      <w:p w:rsidR="00B32D69" w:rsidRDefault="00FB661A">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153</w:t>
        </w:r>
        <w:r>
          <w:rPr>
            <w:rFonts w:ascii="Times New Roman" w:hAnsi="Times New Roman" w:cs="Times New Roman"/>
            <w:noProof/>
            <w:sz w:val="24"/>
            <w:szCs w:val="24"/>
          </w:rPr>
          <w:fldChar w:fldCharType="end"/>
        </w:r>
      </w:p>
    </w:sdtContent>
  </w:sdt>
  <w:p w:rsidR="00B32D69" w:rsidRDefault="00B32D6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D69" w:rsidRDefault="00FB661A">
      <w:pPr>
        <w:spacing w:after="0" w:line="240" w:lineRule="auto"/>
      </w:pPr>
      <w:r>
        <w:separator/>
      </w:r>
    </w:p>
  </w:footnote>
  <w:footnote w:type="continuationSeparator" w:id="0">
    <w:p w:rsidR="00B32D69" w:rsidRDefault="00FB661A">
      <w:pPr>
        <w:spacing w:after="0" w:line="240" w:lineRule="auto"/>
      </w:pPr>
      <w:r>
        <w:continuationSeparator/>
      </w:r>
    </w:p>
  </w:footnote>
  <w:footnote w:id="1">
    <w:p w:rsidR="00B32D69" w:rsidRDefault="00FB661A">
      <w:pPr>
        <w:pStyle w:val="FootnoteText"/>
        <w:rPr>
          <w:lang w:val="cs-CZ"/>
        </w:rPr>
      </w:pPr>
      <w:r>
        <w:rPr>
          <w:rStyle w:val="FootnoteReference"/>
        </w:rPr>
        <w:footnoteRef/>
      </w:r>
      <w:r>
        <w:t xml:space="preserve"> </w:t>
      </w:r>
      <w:r>
        <w:rPr>
          <w:lang w:val="cs-CZ"/>
        </w:rPr>
        <w:tab/>
        <w:t>For example, the need to ensure a high recovery for creditors comes into an apparent conflict with a society's interest in curbing poverty and social exclusion and bringing individuals back to a productive life.</w:t>
      </w:r>
    </w:p>
  </w:footnote>
  <w:footnote w:id="2">
    <w:p w:rsidR="00B32D69" w:rsidRDefault="00FB661A">
      <w:pPr>
        <w:pStyle w:val="FootnoteText"/>
      </w:pPr>
      <w:r>
        <w:rPr>
          <w:rStyle w:val="FootnoteReference"/>
        </w:rPr>
        <w:footnoteRef/>
      </w:r>
      <w:r>
        <w:t xml:space="preserve"> </w:t>
      </w:r>
      <w:r>
        <w:tab/>
        <w:t xml:space="preserve">Ghio, </w:t>
      </w:r>
      <w:r>
        <w:t>E., Coping with Business Failure and Bankruptcy in the European Union. A Case Study on the Failure of Market Integration, 16 October 2015, p. 3.</w:t>
      </w:r>
    </w:p>
  </w:footnote>
  <w:footnote w:id="3">
    <w:p w:rsidR="00B32D69" w:rsidRDefault="00FB661A">
      <w:pPr>
        <w:pStyle w:val="FootnoteText"/>
      </w:pPr>
      <w:r>
        <w:rPr>
          <w:rStyle w:val="FootnoteReference"/>
        </w:rPr>
        <w:footnoteRef/>
      </w:r>
      <w:r>
        <w:t xml:space="preserve"> </w:t>
      </w:r>
      <w:r>
        <w:tab/>
        <w:t>OJ L 141, 5.6.2015, p. 19.</w:t>
      </w:r>
    </w:p>
  </w:footnote>
  <w:footnote w:id="4">
    <w:p w:rsidR="00B32D69" w:rsidRDefault="00FB661A">
      <w:pPr>
        <w:spacing w:after="0" w:line="240" w:lineRule="auto"/>
        <w:ind w:left="709" w:hanging="709"/>
        <w:jc w:val="both"/>
        <w:rPr>
          <w:sz w:val="20"/>
          <w:szCs w:val="20"/>
        </w:rPr>
      </w:pPr>
      <w:r>
        <w:rPr>
          <w:rStyle w:val="FootnoteReference"/>
          <w:sz w:val="20"/>
          <w:szCs w:val="20"/>
        </w:rPr>
        <w:footnoteRef/>
      </w:r>
      <w:r>
        <w:rPr>
          <w:sz w:val="20"/>
          <w:szCs w:val="20"/>
        </w:rPr>
        <w:t xml:space="preserve"> </w:t>
      </w:r>
      <w:r>
        <w:rPr>
          <w:sz w:val="20"/>
          <w:szCs w:val="20"/>
        </w:rPr>
        <w:tab/>
      </w:r>
      <w:r>
        <w:rPr>
          <w:rFonts w:ascii="Times New Roman" w:hAnsi="Times New Roman" w:cs="Times New Roman"/>
          <w:sz w:val="20"/>
          <w:szCs w:val="20"/>
        </w:rPr>
        <w:t>The “universality principle” for cross-border insolvencies implies that the co</w:t>
      </w:r>
      <w:r>
        <w:rPr>
          <w:rFonts w:ascii="Times New Roman" w:hAnsi="Times New Roman" w:cs="Times New Roman"/>
          <w:sz w:val="20"/>
          <w:szCs w:val="20"/>
        </w:rPr>
        <w:t>urt having jurisdiction to the insolvency proceedings encompasses all assets and creditors of the debtors’ estate, and that the law applied by this court (the "</w:t>
      </w:r>
      <w:r>
        <w:rPr>
          <w:rFonts w:ascii="Times New Roman" w:hAnsi="Times New Roman" w:cs="Times New Roman"/>
          <w:i/>
          <w:sz w:val="20"/>
          <w:szCs w:val="20"/>
        </w:rPr>
        <w:t>lex fori concursus</w:t>
      </w:r>
      <w:r>
        <w:rPr>
          <w:rFonts w:ascii="Times New Roman" w:hAnsi="Times New Roman" w:cs="Times New Roman"/>
          <w:sz w:val="20"/>
          <w:szCs w:val="20"/>
        </w:rPr>
        <w:t>") applies to all questions emerging during the proceedings. However, a fully-</w:t>
      </w:r>
      <w:r>
        <w:rPr>
          <w:rFonts w:ascii="Times New Roman" w:hAnsi="Times New Roman" w:cs="Times New Roman"/>
          <w:sz w:val="20"/>
          <w:szCs w:val="20"/>
        </w:rPr>
        <w:t>fledged application of the universality principle proved not to be realistic in the EU. Therefore, even the recently adopted Insolvency Regulation still keeps wide ranging possibilities of opening secondary or other local proceedings in parallel to the mai</w:t>
      </w:r>
      <w:r>
        <w:rPr>
          <w:rFonts w:ascii="Times New Roman" w:hAnsi="Times New Roman" w:cs="Times New Roman"/>
          <w:sz w:val="20"/>
          <w:szCs w:val="20"/>
        </w:rPr>
        <w:t xml:space="preserve">n insolvency proceedings in other Member States, thus resulting in the parallel application of insolvency laws of different Member States to a single economic unit operating in several Member States. </w:t>
      </w:r>
    </w:p>
  </w:footnote>
  <w:footnote w:id="5">
    <w:p w:rsidR="00B32D69" w:rsidRDefault="00FB661A">
      <w:pPr>
        <w:pStyle w:val="FootnoteText"/>
      </w:pPr>
      <w:r>
        <w:rPr>
          <w:rStyle w:val="FootnoteReference"/>
        </w:rPr>
        <w:footnoteRef/>
      </w:r>
      <w:r>
        <w:t xml:space="preserve"> </w:t>
      </w:r>
      <w:r>
        <w:tab/>
        <w:t>Report with recommendations to the Commission on ins</w:t>
      </w:r>
      <w:r>
        <w:t>olvency proceedings in the context of EU company law, 2011/2006(INI), 17 October 2011.</w:t>
      </w:r>
    </w:p>
  </w:footnote>
  <w:footnote w:id="6">
    <w:p w:rsidR="00B32D69" w:rsidRDefault="00FB661A">
      <w:pPr>
        <w:pStyle w:val="FootnoteText"/>
        <w:ind w:left="709" w:hanging="709"/>
        <w:rPr>
          <w:lang w:val="cs-CZ"/>
        </w:rPr>
      </w:pPr>
      <w:r>
        <w:rPr>
          <w:rStyle w:val="FootnoteReference"/>
        </w:rPr>
        <w:footnoteRef/>
      </w:r>
      <w:r>
        <w:rPr>
          <w:lang w:val="cs-CZ"/>
        </w:rPr>
        <w:t xml:space="preserve"> </w:t>
      </w:r>
      <w:r>
        <w:rPr>
          <w:lang w:val="cs-CZ"/>
        </w:rPr>
        <w:tab/>
        <w:t>Harmonisation of Insolvency Law at EU level, Directorate General for Internal Policies of the European Parliament, PE 419.633.</w:t>
      </w:r>
    </w:p>
  </w:footnote>
  <w:footnote w:id="7">
    <w:p w:rsidR="00B32D69" w:rsidRDefault="00FB661A">
      <w:pPr>
        <w:pStyle w:val="FootnoteText"/>
        <w:tabs>
          <w:tab w:val="left" w:pos="709"/>
        </w:tabs>
        <w:ind w:left="709" w:hanging="709"/>
        <w:rPr>
          <w:lang w:val="cs-CZ"/>
        </w:rPr>
      </w:pPr>
      <w:r>
        <w:rPr>
          <w:rStyle w:val="FootnoteReference"/>
        </w:rPr>
        <w:footnoteRef/>
      </w:r>
      <w:r>
        <w:rPr>
          <w:lang w:val="cs-CZ"/>
        </w:rPr>
        <w:t xml:space="preserve"> </w:t>
      </w:r>
      <w:r>
        <w:rPr>
          <w:lang w:val="cs-CZ"/>
        </w:rPr>
        <w:tab/>
        <w:t>European Commission: "A new European</w:t>
      </w:r>
      <w:r>
        <w:rPr>
          <w:lang w:val="cs-CZ"/>
        </w:rPr>
        <w:t xml:space="preserve"> approach to business failure and insolvency" COM(2012) 742, 12 December 2012.</w:t>
      </w:r>
    </w:p>
  </w:footnote>
  <w:footnote w:id="8">
    <w:p w:rsidR="00B32D69" w:rsidRDefault="00FB661A">
      <w:pPr>
        <w:pStyle w:val="FootnoteText"/>
      </w:pPr>
      <w:r>
        <w:rPr>
          <w:rStyle w:val="FootnoteReference"/>
        </w:rPr>
        <w:footnoteRef/>
      </w:r>
      <w:r>
        <w:t xml:space="preserve"> </w:t>
      </w:r>
      <w:r>
        <w:tab/>
        <w:t>Second chance for entrepreneurs, discharge periods, opening of insolvency and restructuring proceedings, filing of claims and their verification, promotion of restructuring p</w:t>
      </w:r>
      <w:r>
        <w:t>lans.</w:t>
      </w:r>
    </w:p>
  </w:footnote>
  <w:footnote w:id="9">
    <w:p w:rsidR="00B32D69" w:rsidRDefault="00FB661A">
      <w:pPr>
        <w:pStyle w:val="FootnoteText"/>
        <w:rPr>
          <w:lang w:val="cs-CZ"/>
        </w:rPr>
      </w:pPr>
      <w:r>
        <w:rPr>
          <w:rStyle w:val="FootnoteReference"/>
        </w:rPr>
        <w:footnoteRef/>
      </w:r>
      <w:r>
        <w:t xml:space="preserve"> </w:t>
      </w:r>
      <w:r>
        <w:tab/>
        <w:t>OJ L 160, 30.6.2000, p. 1.</w:t>
      </w:r>
    </w:p>
  </w:footnote>
  <w:footnote w:id="10">
    <w:p w:rsidR="00B32D69" w:rsidRDefault="00FB661A">
      <w:pPr>
        <w:pStyle w:val="FootnoteText"/>
      </w:pPr>
      <w:r>
        <w:rPr>
          <w:rStyle w:val="FootnoteReference"/>
        </w:rPr>
        <w:footnoteRef/>
      </w:r>
      <w:r>
        <w:t xml:space="preserve"> </w:t>
      </w:r>
      <w:r>
        <w:tab/>
        <w:t>C(2014) 1500 final, 12 March 2014.</w:t>
      </w:r>
    </w:p>
  </w:footnote>
  <w:footnote w:id="11">
    <w:p w:rsidR="00B32D69" w:rsidRDefault="00FB661A">
      <w:pPr>
        <w:pStyle w:val="FootnoteText"/>
      </w:pPr>
      <w:r>
        <w:rPr>
          <w:rStyle w:val="FootnoteReference"/>
        </w:rPr>
        <w:footnoteRef/>
      </w:r>
      <w:r>
        <w:t xml:space="preserve"> </w:t>
      </w:r>
      <w:r>
        <w:tab/>
        <w:t>Impact Assessment accompanying the Commission Recommendation on a New Approach to Business Failure and Insolvency, SWD(2014) 61 final, 12 March 2014.</w:t>
      </w:r>
    </w:p>
  </w:footnote>
  <w:footnote w:id="12">
    <w:p w:rsidR="00B32D69" w:rsidRDefault="00FB661A">
      <w:pPr>
        <w:pStyle w:val="FootnoteText"/>
      </w:pPr>
      <w:r>
        <w:rPr>
          <w:rStyle w:val="FootnoteReference"/>
        </w:rPr>
        <w:footnoteRef/>
      </w:r>
      <w:r>
        <w:t xml:space="preserve"> </w:t>
      </w:r>
      <w:r>
        <w:tab/>
        <w:t>Evaluation of the implemen</w:t>
      </w:r>
      <w:r>
        <w:t xml:space="preserve">tation of the Commission Recommendation of 12.3.2014 on a new approach to business failure and insolvency, 30.9.2015, (available at: </w:t>
      </w:r>
      <w:hyperlink r:id="rId1" w:history="1">
        <w:r>
          <w:rPr>
            <w:rStyle w:val="Hyperlink"/>
            <w:rFonts w:eastAsiaTheme="majorEastAsia"/>
          </w:rPr>
          <w:t>http://ec.europa.eu/justice/civil/comm</w:t>
        </w:r>
        <w:r>
          <w:rPr>
            <w:rStyle w:val="Hyperlink"/>
            <w:rFonts w:eastAsiaTheme="majorEastAsia"/>
          </w:rPr>
          <w:t>ercial/insolvency/index_en.htm</w:t>
        </w:r>
      </w:hyperlink>
      <w:r>
        <w:t>).</w:t>
      </w:r>
    </w:p>
  </w:footnote>
  <w:footnote w:id="13">
    <w:p w:rsidR="00B32D69" w:rsidRDefault="00FB661A">
      <w:pPr>
        <w:pStyle w:val="FootnoteText"/>
      </w:pPr>
      <w:r>
        <w:rPr>
          <w:rStyle w:val="FootnoteReference"/>
        </w:rPr>
        <w:footnoteRef/>
      </w:r>
      <w:r>
        <w:t xml:space="preserve"> </w:t>
      </w:r>
      <w:r>
        <w:tab/>
        <w:t>See Annex 8 of this Report.</w:t>
      </w:r>
    </w:p>
  </w:footnote>
  <w:footnote w:id="14">
    <w:p w:rsidR="00B32D69" w:rsidRDefault="00FB661A">
      <w:pPr>
        <w:pStyle w:val="FootnoteText"/>
      </w:pPr>
      <w:r>
        <w:rPr>
          <w:rStyle w:val="FootnoteReference"/>
        </w:rPr>
        <w:footnoteRef/>
      </w:r>
      <w:r>
        <w:t xml:space="preserve"> </w:t>
      </w:r>
      <w:r>
        <w:tab/>
        <w:t>IT improved the debtor in possession regime; EL made the stay period more effective, in line with the Recommendation; RO introduced additional minimum voting requirements for the approval o</w:t>
      </w:r>
      <w:r>
        <w:t>f the reorganization plan; and by clarifying rules on voidable transactions; ES made resolving insolvency easier by introducing new rules for out-of-court restructuring, introducing provisions applicable to pre-packaged reorganizations.</w:t>
      </w:r>
    </w:p>
  </w:footnote>
  <w:footnote w:id="15">
    <w:p w:rsidR="00B32D69" w:rsidRDefault="00FB661A">
      <w:pPr>
        <w:pStyle w:val="FootnoteText"/>
      </w:pPr>
      <w:r>
        <w:rPr>
          <w:rStyle w:val="FootnoteReference"/>
        </w:rPr>
        <w:footnoteRef/>
      </w:r>
      <w:r>
        <w:t xml:space="preserve"> </w:t>
      </w:r>
      <w:r>
        <w:tab/>
        <w:t>Study on a new a</w:t>
      </w:r>
      <w:r>
        <w:t>pproach to business failure and insolvency, University of Leeds, January 2016, p. 223.</w:t>
      </w:r>
    </w:p>
  </w:footnote>
  <w:footnote w:id="16">
    <w:p w:rsidR="00B32D69" w:rsidRDefault="00FB661A">
      <w:pPr>
        <w:pStyle w:val="FootnoteText"/>
      </w:pPr>
      <w:r>
        <w:rPr>
          <w:rStyle w:val="FootnoteReference"/>
        </w:rPr>
        <w:footnoteRef/>
      </w:r>
      <w:r>
        <w:t xml:space="preserve"> </w:t>
      </w:r>
      <w:r>
        <w:tab/>
        <w:t>Action Plan on Building a Capital Markets Union, COM (2015) 468 final, p. 24 - 25.</w:t>
      </w:r>
    </w:p>
  </w:footnote>
  <w:footnote w:id="17">
    <w:p w:rsidR="00B32D69" w:rsidRDefault="00FB661A">
      <w:pPr>
        <w:pStyle w:val="FootnoteText"/>
      </w:pPr>
      <w:r>
        <w:rPr>
          <w:rStyle w:val="FootnoteReference"/>
        </w:rPr>
        <w:footnoteRef/>
      </w:r>
      <w:r>
        <w:t xml:space="preserve"> </w:t>
      </w:r>
      <w:r>
        <w:tab/>
        <w:t>COM (2015) 063 final.</w:t>
      </w:r>
    </w:p>
  </w:footnote>
  <w:footnote w:id="18">
    <w:p w:rsidR="00B32D69" w:rsidRDefault="00FB661A">
      <w:pPr>
        <w:pStyle w:val="FootnoteText"/>
        <w:ind w:left="709" w:hanging="709"/>
      </w:pPr>
      <w:r>
        <w:rPr>
          <w:rStyle w:val="FootnoteReference"/>
        </w:rPr>
        <w:footnoteRef/>
      </w:r>
      <w:r>
        <w:t xml:space="preserve"> </w:t>
      </w:r>
      <w:r>
        <w:tab/>
        <w:t>International Finance Corporation, World Bank Group, 20</w:t>
      </w:r>
      <w:r>
        <w:t xml:space="preserve">13, </w:t>
      </w:r>
      <w:hyperlink r:id="rId2" w:history="1">
        <w:r>
          <w:rPr>
            <w:rStyle w:val="Hyperlink"/>
            <w:rFonts w:eastAsiaTheme="majorEastAsia"/>
          </w:rPr>
          <w:t>http://www-wds.worldbank.org/external/default/WDSContentServer/WDSP/IB/2013/</w:t>
        </w:r>
        <w:r>
          <w:rPr>
            <w:rStyle w:val="Hyperlink"/>
            <w:rFonts w:eastAsiaTheme="majorEastAsia"/>
          </w:rPr>
          <w:t>02/26/000333037_20130226123527/Rendered/PDF/752400BRI0SMAR0urable0Results0FIXED.pdf</w:t>
        </w:r>
      </w:hyperlink>
    </w:p>
  </w:footnote>
  <w:footnote w:id="19">
    <w:p w:rsidR="00B32D69" w:rsidRDefault="00FB661A">
      <w:pPr>
        <w:pStyle w:val="FootnoteText"/>
        <w:ind w:left="709" w:hanging="709"/>
      </w:pPr>
      <w:r>
        <w:rPr>
          <w:rStyle w:val="FootnoteReference"/>
        </w:rPr>
        <w:footnoteRef/>
      </w:r>
      <w:r>
        <w:t xml:space="preserve"> </w:t>
      </w:r>
      <w:r>
        <w:tab/>
        <w:t>Bankruptcy and second chance for honest entrepreneurs, Ecorys, Report for DG Enterprise and Industry, 31 October 2014.</w:t>
      </w:r>
    </w:p>
  </w:footnote>
  <w:footnote w:id="20">
    <w:p w:rsidR="00B32D69" w:rsidRDefault="00FB661A">
      <w:pPr>
        <w:pStyle w:val="FootnoteText"/>
        <w:ind w:left="567" w:hanging="567"/>
        <w:rPr>
          <w:lang w:val="cs-CZ"/>
        </w:rPr>
      </w:pPr>
      <w:r>
        <w:rPr>
          <w:rStyle w:val="FootnoteReference"/>
        </w:rPr>
        <w:footnoteRef/>
      </w:r>
      <w:r>
        <w:rPr>
          <w:lang w:val="cs-CZ"/>
        </w:rPr>
        <w:t xml:space="preserve"> </w:t>
      </w:r>
      <w:r>
        <w:rPr>
          <w:lang w:val="cs-CZ"/>
        </w:rPr>
        <w:tab/>
        <w:t>‘Completing Europe’s Economic and Monetary Unio</w:t>
      </w:r>
      <w:r>
        <w:rPr>
          <w:lang w:val="cs-CZ"/>
        </w:rPr>
        <w:t>n’, Report by Jean-Claude Juncker in close cooperation with Donald Tusk, Jeroen Dijsselbloem, Mario Draghi and Martin Schulz (so-called Five Presidents’), 22 June 2015, p. 10.</w:t>
      </w:r>
    </w:p>
  </w:footnote>
  <w:footnote w:id="21">
    <w:p w:rsidR="00B32D69" w:rsidRDefault="00FB661A">
      <w:pPr>
        <w:pStyle w:val="FootnoteText"/>
        <w:ind w:left="567" w:hanging="567"/>
      </w:pPr>
      <w:r>
        <w:rPr>
          <w:rStyle w:val="FootnoteReference"/>
        </w:rPr>
        <w:footnoteRef/>
      </w:r>
      <w:r>
        <w:t xml:space="preserve"> </w:t>
      </w:r>
      <w:r>
        <w:tab/>
        <w:t xml:space="preserve">Action Plan on Building a Capital Markets Union, COM(2015) 468 final, p. 25. </w:t>
      </w:r>
    </w:p>
  </w:footnote>
  <w:footnote w:id="22">
    <w:p w:rsidR="00B32D69" w:rsidRDefault="00FB661A">
      <w:pPr>
        <w:autoSpaceDE w:val="0"/>
        <w:autoSpaceDN w:val="0"/>
        <w:spacing w:after="0" w:line="240" w:lineRule="auto"/>
        <w:ind w:left="567" w:hanging="567"/>
        <w:jc w:val="both"/>
        <w:rPr>
          <w:sz w:val="20"/>
          <w:szCs w:val="20"/>
        </w:rPr>
      </w:pPr>
      <w:r>
        <w:rPr>
          <w:rStyle w:val="FootnoteReference"/>
          <w:rFonts w:ascii="Times New Roman" w:hAnsi="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r>
      <w:r>
        <w:rPr>
          <w:rStyle w:val="FootnoteTextChar"/>
          <w:rFonts w:eastAsiaTheme="minorHAnsi"/>
        </w:rPr>
        <w:t xml:space="preserve">COMMISSION STAFF WORKING DOCUMENT, Feedback Statement on the Green Paper "Building a Capital Markets Union", SWD (2015) 184 final, p. 59. And at p. 77: 'The European Commission has addressed a Recommendation to the Member States to encourage them to </w:t>
      </w:r>
      <w:r>
        <w:rPr>
          <w:rStyle w:val="FootnoteTextChar"/>
          <w:rFonts w:eastAsiaTheme="minorHAnsi"/>
        </w:rPr>
        <w:t>put in place minimum standards on early restructuring procedures and second chance for natural persons. The Recommendation has been partially taken up by some Member States, especially by those receiving insolvency recommendations in the context of the Eur</w:t>
      </w:r>
      <w:r>
        <w:rPr>
          <w:rStyle w:val="FootnoteTextChar"/>
          <w:rFonts w:eastAsiaTheme="minorHAnsi"/>
        </w:rPr>
        <w:t>opean Semester exercise addressing macro-economic imbalances. Even those Member States which have taken up the European Commission Insolvency Recommendation did so in a selective manner, meaning that differences remain'.</w:t>
      </w:r>
    </w:p>
  </w:footnote>
  <w:footnote w:id="23">
    <w:p w:rsidR="00B32D69" w:rsidRDefault="00FB661A">
      <w:pPr>
        <w:pStyle w:val="FootnoteText"/>
        <w:ind w:left="567" w:hanging="567"/>
      </w:pPr>
      <w:r>
        <w:rPr>
          <w:rStyle w:val="FootnoteReference"/>
        </w:rPr>
        <w:footnoteRef/>
      </w:r>
      <w:r>
        <w:t xml:space="preserve"> </w:t>
      </w:r>
      <w:r>
        <w:tab/>
        <w:t>Upgrading the Single Market: mor</w:t>
      </w:r>
      <w:r>
        <w:t>e opportunities for people and business , European Commission, COM (2015) 550 final, p. 6.</w:t>
      </w:r>
    </w:p>
  </w:footnote>
  <w:footnote w:id="24">
    <w:p w:rsidR="00B32D69" w:rsidRDefault="00FB661A">
      <w:pPr>
        <w:pStyle w:val="FootnoteText"/>
        <w:ind w:left="567" w:hanging="567"/>
        <w:rPr>
          <w:lang w:val="cs-CZ"/>
        </w:rPr>
      </w:pPr>
      <w:r>
        <w:rPr>
          <w:rStyle w:val="FootnoteReference"/>
        </w:rPr>
        <w:footnoteRef/>
      </w:r>
      <w:r>
        <w:rPr>
          <w:lang w:val="cs-CZ"/>
        </w:rPr>
        <w:t xml:space="preserve"> </w:t>
      </w:r>
      <w:r>
        <w:rPr>
          <w:lang w:val="cs-CZ"/>
        </w:rPr>
        <w:tab/>
      </w:r>
      <w:r>
        <w:t>‘</w:t>
      </w:r>
      <w:r>
        <w:rPr>
          <w:lang w:val="cs-CZ"/>
        </w:rPr>
        <w:t>Towards the completion of the Banking Union</w:t>
      </w:r>
      <w:r>
        <w:t>’</w:t>
      </w:r>
      <w:r>
        <w:rPr>
          <w:lang w:val="cs-CZ"/>
        </w:rPr>
        <w:t>, European Commission, COM (2015) 587 final, 24 November 2015.</w:t>
      </w:r>
    </w:p>
  </w:footnote>
  <w:footnote w:id="25">
    <w:p w:rsidR="00B32D69" w:rsidRDefault="00FB661A">
      <w:pPr>
        <w:pStyle w:val="FootnoteText"/>
        <w:rPr>
          <w:lang w:val="cs-CZ"/>
        </w:rPr>
      </w:pPr>
      <w:r>
        <w:rPr>
          <w:rStyle w:val="FootnoteReference"/>
        </w:rPr>
        <w:footnoteRef/>
      </w:r>
      <w:r>
        <w:rPr>
          <w:lang w:val="cs-CZ"/>
        </w:rPr>
        <w:t xml:space="preserve"> </w:t>
      </w:r>
      <w:r>
        <w:rPr>
          <w:lang w:val="cs-CZ"/>
        </w:rPr>
        <w:tab/>
        <w:t xml:space="preserve">Council Conclusions of 17 June 2016 </w:t>
      </w:r>
      <w:hyperlink r:id="rId3" w:history="1">
        <w:r>
          <w:rPr>
            <w:rStyle w:val="Hyperlink"/>
            <w:lang w:val="cs-CZ"/>
          </w:rPr>
          <w:t>http://www.consilium.europa.eu/press-releases-pdf/2016/6/47244642837_en.pdf</w:t>
        </w:r>
      </w:hyperlink>
      <w:r>
        <w:rPr>
          <w:lang w:val="cs-CZ"/>
        </w:rPr>
        <w:t xml:space="preserve"> </w:t>
      </w:r>
    </w:p>
  </w:footnote>
  <w:footnote w:id="26">
    <w:p w:rsidR="00B32D69" w:rsidRDefault="00FB661A">
      <w:pPr>
        <w:pStyle w:val="FootnoteText"/>
        <w:rPr>
          <w:lang w:val="pt-PT"/>
        </w:rPr>
      </w:pPr>
      <w:r>
        <w:rPr>
          <w:rStyle w:val="FootnoteReference"/>
        </w:rPr>
        <w:footnoteRef/>
      </w:r>
      <w:r>
        <w:rPr>
          <w:lang w:val="pt-PT"/>
        </w:rPr>
        <w:t xml:space="preserve"> </w:t>
      </w:r>
      <w:r>
        <w:rPr>
          <w:lang w:val="pt-PT"/>
        </w:rPr>
        <w:tab/>
        <w:t xml:space="preserve">COM(2016) 601 final </w:t>
      </w:r>
      <w:hyperlink r:id="rId4" w:history="1">
        <w:r>
          <w:rPr>
            <w:rStyle w:val="Hyperlink"/>
            <w:lang w:val="pt-PT"/>
          </w:rPr>
          <w:t>http://ec.europa.eu/finance/capital-markets-union/docs/20160913-cmu-accelerating-reform_en.pdf</w:t>
        </w:r>
      </w:hyperlink>
      <w:r>
        <w:rPr>
          <w:lang w:val="pt-PT"/>
        </w:rPr>
        <w:t xml:space="preserve"> </w:t>
      </w:r>
    </w:p>
  </w:footnote>
  <w:footnote w:id="27">
    <w:p w:rsidR="00B32D69" w:rsidRDefault="00FB661A">
      <w:pPr>
        <w:pStyle w:val="FootnoteText"/>
      </w:pPr>
      <w:r>
        <w:rPr>
          <w:rStyle w:val="FootnoteReference"/>
        </w:rPr>
        <w:footnoteRef/>
      </w:r>
      <w:r>
        <w:tab/>
        <w:t>Impact Assessment accompanying the Commission Recommendation on a New Approach to Business Failure and Insolvency, SWD(2014) 6</w:t>
      </w:r>
      <w:r>
        <w:t>1 final, 12 March 2014, p. 2.</w:t>
      </w:r>
    </w:p>
  </w:footnote>
  <w:footnote w:id="28">
    <w:p w:rsidR="00B32D69" w:rsidRDefault="00FB661A">
      <w:pPr>
        <w:pStyle w:val="FootnoteText"/>
      </w:pPr>
      <w:r>
        <w:rPr>
          <w:rStyle w:val="FootnoteReference"/>
        </w:rPr>
        <w:footnoteRef/>
      </w:r>
      <w:r>
        <w:t xml:space="preserve"> </w:t>
      </w:r>
      <w:r>
        <w:tab/>
        <w:t>27% of insolvencies in the UK are triggered by the insolvency of another company, the European Small Business Alliance response to the public consultation, 2013, SWD (2014) 61 final, p. 6.</w:t>
      </w:r>
    </w:p>
  </w:footnote>
  <w:footnote w:id="29">
    <w:p w:rsidR="00B32D69" w:rsidRDefault="00FB661A">
      <w:pPr>
        <w:pStyle w:val="FootnoteText"/>
      </w:pPr>
      <w:r>
        <w:rPr>
          <w:rStyle w:val="FootnoteReference"/>
        </w:rPr>
        <w:footnoteRef/>
      </w:r>
      <w:r>
        <w:t xml:space="preserve"> </w:t>
      </w:r>
      <w:r>
        <w:tab/>
        <w:t>[Annual Report on European SMEs</w:t>
      </w:r>
      <w:r>
        <w:t xml:space="preserve"> 2015/2016, SMEs as the engine of growth in 2016, SME Performance Review 2015/2016, March 2016, prepared for Directorate-General for Internal Market, Industry, Entrepreneurship and SMEs] [forthcoming], p. 53 – 54.</w:t>
      </w:r>
    </w:p>
  </w:footnote>
  <w:footnote w:id="30">
    <w:p w:rsidR="00B32D69" w:rsidRDefault="00FB661A">
      <w:pPr>
        <w:pStyle w:val="FootnoteText"/>
      </w:pPr>
      <w:r>
        <w:rPr>
          <w:rStyle w:val="FootnoteReference"/>
        </w:rPr>
        <w:footnoteRef/>
      </w:r>
      <w:r>
        <w:t xml:space="preserve"> </w:t>
      </w:r>
      <w:r>
        <w:tab/>
        <w:t>2009 was chosen as reference year becau</w:t>
      </w:r>
      <w:r>
        <w:t>se it was a peak year for a large number of Member States and for no Member States was it the lowest value year. Peak values by country are in red, the lowest values in green.</w:t>
      </w:r>
    </w:p>
  </w:footnote>
  <w:footnote w:id="31">
    <w:p w:rsidR="00B32D69" w:rsidRDefault="00FB661A">
      <w:pPr>
        <w:pStyle w:val="FootnoteText"/>
      </w:pPr>
      <w:r>
        <w:rPr>
          <w:rStyle w:val="FootnoteReference"/>
        </w:rPr>
        <w:footnoteRef/>
      </w:r>
      <w:r>
        <w:t xml:space="preserve"> </w:t>
      </w:r>
      <w:r>
        <w:tab/>
        <w:t>[Annual Report on European SMEs 2015/2016, SMEs as the engine of growth in 20</w:t>
      </w:r>
      <w:r>
        <w:t>16, SME Performance Review 2015/2016, March 2016, prepared for Directorate-General for Internal Market, Industry, Entrepreneurship and SMEs] [forthcoming], p. 53 – 54.</w:t>
      </w:r>
    </w:p>
  </w:footnote>
  <w:footnote w:id="32">
    <w:p w:rsidR="00B32D69" w:rsidRDefault="00FB661A">
      <w:pPr>
        <w:pStyle w:val="FootnoteText"/>
      </w:pPr>
      <w:r>
        <w:rPr>
          <w:rStyle w:val="FootnoteReference"/>
        </w:rPr>
        <w:footnoteRef/>
      </w:r>
      <w:r>
        <w:t xml:space="preserve"> </w:t>
      </w:r>
      <w:r>
        <w:tab/>
        <w:t>The recovered value for secured creditors can be in certain countries as low as cca 1</w:t>
      </w:r>
      <w:r>
        <w:t>6 % of the original value of the secured loan (</w:t>
      </w:r>
      <w:hyperlink r:id="rId5" w:history="1">
        <w:r>
          <w:rPr>
            <w:rStyle w:val="Hyperlink"/>
            <w:rFonts w:eastAsiaTheme="majorEastAsia"/>
          </w:rPr>
          <w:t>http://www.insolcentrum.cz/kompletni-databaze-insolvencnich-rizeni</w:t>
        </w:r>
      </w:hyperlink>
      <w:r>
        <w:t>).</w:t>
      </w:r>
    </w:p>
  </w:footnote>
  <w:footnote w:id="33">
    <w:p w:rsidR="00B32D69" w:rsidRDefault="00FB661A">
      <w:pPr>
        <w:pStyle w:val="FootnoteText"/>
      </w:pPr>
      <w:r>
        <w:rPr>
          <w:rStyle w:val="FootnoteReference"/>
        </w:rPr>
        <w:footnoteRef/>
      </w:r>
      <w:r>
        <w:t xml:space="preserve"> </w:t>
      </w:r>
      <w:r>
        <w:tab/>
        <w:t>Bankruptcy and second chance for honest entrepreneurs,</w:t>
      </w:r>
      <w:r>
        <w:t xml:space="preserve"> Ecorys, Report for DG Enterprise and Industry, 31 October 2014, p.14.</w:t>
      </w:r>
    </w:p>
  </w:footnote>
  <w:footnote w:id="34">
    <w:p w:rsidR="00B32D69" w:rsidRDefault="00FB661A">
      <w:pPr>
        <w:pStyle w:val="FootnoteText"/>
        <w:rPr>
          <w:lang w:val="en-US"/>
        </w:rPr>
      </w:pPr>
      <w:r>
        <w:rPr>
          <w:rStyle w:val="FootnoteReference"/>
        </w:rPr>
        <w:footnoteRef/>
      </w:r>
      <w:r>
        <w:t xml:space="preserve"> </w:t>
      </w:r>
      <w:r>
        <w:tab/>
      </w:r>
      <w:r>
        <w:rPr>
          <w:lang w:val="en-US"/>
        </w:rPr>
        <w:t>Impact Assessment accompanying the proposal of the Directive of the European Parliament and of the Council on single-member private liability companies, SWD/2014/0124 final, p. 13-17</w:t>
      </w:r>
      <w:r>
        <w:rPr>
          <w:lang w:val="en-US"/>
        </w:rPr>
        <w:t xml:space="preserve"> and 21.</w:t>
      </w:r>
    </w:p>
  </w:footnote>
  <w:footnote w:id="35">
    <w:p w:rsidR="00B32D69" w:rsidRDefault="00FB661A">
      <w:pPr>
        <w:pStyle w:val="FootnoteText"/>
      </w:pPr>
      <w:r>
        <w:rPr>
          <w:rStyle w:val="FootnoteReference"/>
        </w:rPr>
        <w:footnoteRef/>
      </w:r>
      <w:r>
        <w:t xml:space="preserve"> </w:t>
      </w:r>
      <w:r>
        <w:tab/>
        <w:t>Ibid., p.37.</w:t>
      </w:r>
    </w:p>
  </w:footnote>
  <w:footnote w:id="36">
    <w:p w:rsidR="00B32D69" w:rsidRDefault="00FB661A">
      <w:pPr>
        <w:pStyle w:val="FootnoteText"/>
      </w:pPr>
      <w:r>
        <w:rPr>
          <w:rStyle w:val="FootnoteReference"/>
        </w:rPr>
        <w:footnoteRef/>
      </w:r>
      <w:r>
        <w:t xml:space="preserve"> </w:t>
      </w:r>
      <w:r>
        <w:tab/>
        <w:t xml:space="preserve">European Central Bank, Statistics, 23 June 2016, </w:t>
      </w:r>
      <w:hyperlink r:id="rId6" w:history="1">
        <w:r>
          <w:rPr>
            <w:rStyle w:val="Hyperlink"/>
            <w:rFonts w:eastAsiaTheme="majorEastAsia"/>
          </w:rPr>
          <w:t>https://www.bankingsupervision.europa.eu/banking/statistics/html/index.en.html</w:t>
        </w:r>
      </w:hyperlink>
    </w:p>
  </w:footnote>
  <w:footnote w:id="37">
    <w:p w:rsidR="00B32D69" w:rsidRDefault="00FB661A">
      <w:pPr>
        <w:pStyle w:val="FootnoteText"/>
      </w:pPr>
      <w:r>
        <w:rPr>
          <w:rStyle w:val="FootnoteReference"/>
        </w:rPr>
        <w:footnoteRef/>
      </w:r>
      <w:r>
        <w:t xml:space="preserve"> </w:t>
      </w:r>
      <w:r>
        <w:tab/>
      </w:r>
      <w:r>
        <w:t>Gros, D., The Transatlantic Growth Gap, Project Syndicate, 21 July 2014.</w:t>
      </w:r>
    </w:p>
  </w:footnote>
  <w:footnote w:id="38">
    <w:p w:rsidR="00B32D69" w:rsidRDefault="00FB661A">
      <w:pPr>
        <w:pStyle w:val="FootnoteText"/>
      </w:pPr>
      <w:r>
        <w:rPr>
          <w:rStyle w:val="FootnoteReference"/>
        </w:rPr>
        <w:footnoteRef/>
      </w:r>
      <w:r>
        <w:t xml:space="preserve"> </w:t>
      </w:r>
      <w:r>
        <w:tab/>
        <w:t>IMF: Euro Area Policies – Selected Issues, IMF Country Report No. 15/205, July 2015, Euro Area Policies, IMF Country Report No. 15/2014, July 2015, p 58.</w:t>
      </w:r>
    </w:p>
  </w:footnote>
  <w:footnote w:id="39">
    <w:p w:rsidR="00B32D69" w:rsidRDefault="00FB661A">
      <w:pPr>
        <w:pStyle w:val="FootnoteText"/>
      </w:pPr>
      <w:r>
        <w:rPr>
          <w:rStyle w:val="FootnoteReference"/>
        </w:rPr>
        <w:footnoteRef/>
      </w:r>
      <w:r>
        <w:t xml:space="preserve"> </w:t>
      </w:r>
      <w:r>
        <w:tab/>
        <w:t>Yan, L., Rosenberg, Ch.</w:t>
      </w:r>
      <w:r>
        <w:t>, “Dealing with Private Debt Distress in the Wake of the European Financial Crisis: A Review of the Economics and Legal Toolbox, IMF Working Paper No. 13/44, Washington, D.C.: IMF, 2013.</w:t>
      </w:r>
    </w:p>
  </w:footnote>
  <w:footnote w:id="40">
    <w:p w:rsidR="00B32D69" w:rsidRDefault="00FB661A">
      <w:pPr>
        <w:pStyle w:val="FootnoteText"/>
        <w:rPr>
          <w:lang w:val="cs-CZ"/>
        </w:rPr>
      </w:pPr>
      <w:r>
        <w:rPr>
          <w:rStyle w:val="FootnoteReference"/>
        </w:rPr>
        <w:footnoteRef/>
      </w:r>
      <w:r>
        <w:t xml:space="preserve"> </w:t>
      </w:r>
      <w:r>
        <w:tab/>
        <w:t xml:space="preserve">IMF: Euro Area Policies – Selected Issues, IMF Country Report No. </w:t>
      </w:r>
      <w:r>
        <w:t>15/205, July 2015, Euro Area Policies, IMF Country Report No. 15/2014, July 2015, p. 61.</w:t>
      </w:r>
    </w:p>
  </w:footnote>
  <w:footnote w:id="41">
    <w:p w:rsidR="00B32D69" w:rsidRDefault="00FB661A">
      <w:pPr>
        <w:pStyle w:val="FootnoteText"/>
      </w:pPr>
      <w:r>
        <w:rPr>
          <w:rStyle w:val="FootnoteReference"/>
        </w:rPr>
        <w:footnoteRef/>
      </w:r>
      <w:r>
        <w:tab/>
        <w:t>Potential economic gains from reforming insolvency law in Europe, AFME, Frontier economics, Weil, February 2016, p. 21.</w:t>
      </w:r>
    </w:p>
  </w:footnote>
  <w:footnote w:id="42">
    <w:p w:rsidR="00B32D69" w:rsidRDefault="00FB661A">
      <w:pPr>
        <w:pStyle w:val="FootnoteText"/>
        <w:rPr>
          <w:lang w:val="cs-CZ"/>
        </w:rPr>
      </w:pPr>
      <w:r>
        <w:rPr>
          <w:rStyle w:val="FootnoteReference"/>
        </w:rPr>
        <w:footnoteRef/>
      </w:r>
      <w:r>
        <w:t xml:space="preserve"> </w:t>
      </w:r>
      <w:r>
        <w:tab/>
        <w:t>IMF: Euro Area Policies – Selected Issues,</w:t>
      </w:r>
      <w:r>
        <w:t xml:space="preserve"> IMF Country Report No. 15/205, July 2015, Euro Area Policies, IMF Country Report No. 15/2014, July 2015, p. 61.</w:t>
      </w:r>
    </w:p>
  </w:footnote>
  <w:footnote w:id="43">
    <w:p w:rsidR="00B32D69" w:rsidRDefault="00FB661A">
      <w:pPr>
        <w:pStyle w:val="FootnoteText"/>
        <w:ind w:left="709" w:hanging="709"/>
      </w:pPr>
      <w:r>
        <w:rPr>
          <w:rStyle w:val="FootnoteReference"/>
        </w:rPr>
        <w:footnoteRef/>
      </w:r>
      <w:r>
        <w:t xml:space="preserve"> </w:t>
      </w:r>
      <w:r>
        <w:tab/>
        <w:t>COMMISSION STAFF WORKING DOCUMENT, Feedback Statement on the Green Paper "Building a Capital Markets Union", SWD(2015) 184 final.</w:t>
      </w:r>
    </w:p>
    <w:p w:rsidR="00B32D69" w:rsidRDefault="00B32D69">
      <w:pPr>
        <w:pStyle w:val="FootnoteText"/>
      </w:pPr>
    </w:p>
    <w:p w:rsidR="00B32D69" w:rsidRDefault="00B32D69">
      <w:pPr>
        <w:pStyle w:val="FootnoteText"/>
      </w:pPr>
    </w:p>
  </w:footnote>
  <w:footnote w:id="44">
    <w:p w:rsidR="00B32D69" w:rsidRDefault="00FB661A">
      <w:pPr>
        <w:pStyle w:val="FootnoteText"/>
      </w:pPr>
      <w:r>
        <w:rPr>
          <w:rStyle w:val="FootnoteReference"/>
        </w:rPr>
        <w:footnoteRef/>
      </w:r>
      <w:r>
        <w:t xml:space="preserve"> </w:t>
      </w:r>
      <w:r>
        <w:tab/>
      </w:r>
      <w:r>
        <w:t>SWD(2015) 184 final, Answers to Question 29, p. 59.</w:t>
      </w:r>
    </w:p>
  </w:footnote>
  <w:footnote w:id="45">
    <w:p w:rsidR="00B32D69" w:rsidRDefault="00FB661A">
      <w:pPr>
        <w:pStyle w:val="FootnoteText"/>
      </w:pPr>
      <w:r>
        <w:rPr>
          <w:rStyle w:val="FootnoteReference"/>
        </w:rPr>
        <w:footnoteRef/>
      </w:r>
      <w:r>
        <w:t xml:space="preserve"> </w:t>
      </w:r>
      <w:r>
        <w:tab/>
        <w:t>For example, the insolvency expert group, stakeholders and Member States' expert did not consider as feasible or desirable to harmonise, at this stage, the definition of insolvency, requirements for op</w:t>
      </w:r>
      <w:r>
        <w:t>ening insolvency procedures or ranking of claims in insolvency etc.</w:t>
      </w:r>
    </w:p>
  </w:footnote>
  <w:footnote w:id="46">
    <w:p w:rsidR="00B32D69" w:rsidRDefault="00FB661A">
      <w:pPr>
        <w:pStyle w:val="FootnoteText"/>
      </w:pPr>
      <w:r>
        <w:rPr>
          <w:rStyle w:val="FootnoteReference"/>
        </w:rPr>
        <w:footnoteRef/>
      </w:r>
      <w:r>
        <w:t xml:space="preserve"> </w:t>
      </w:r>
      <w:r>
        <w:tab/>
        <w:t>According to the Insolvency Regulation a preventive restructuring procedure can be notified to the Commission only if it is available to the debtor once there is a 'likelihood of insolv</w:t>
      </w:r>
      <w:r>
        <w:t>ency'.</w:t>
      </w:r>
    </w:p>
  </w:footnote>
  <w:footnote w:id="47">
    <w:p w:rsidR="00B32D69" w:rsidRDefault="00FB661A">
      <w:pPr>
        <w:pStyle w:val="FootnoteText"/>
      </w:pPr>
      <w:r>
        <w:rPr>
          <w:rStyle w:val="FootnoteReference"/>
        </w:rPr>
        <w:footnoteRef/>
      </w:r>
      <w:r>
        <w:t xml:space="preserve"> </w:t>
      </w:r>
      <w:r>
        <w:tab/>
        <w:t>Existing statistics on the number of out of court preventive restructuring procedures and in court preventive restructuring procedures in EU Member States are only very partial statistics. Distinct figures for liquidated and restructured companie</w:t>
      </w:r>
      <w:r>
        <w:t>s exist for some Member States only. Moreover, the restructuring and restructuring procedures are understood differently in different Member States.</w:t>
      </w:r>
    </w:p>
  </w:footnote>
  <w:footnote w:id="48">
    <w:p w:rsidR="00B32D69" w:rsidRDefault="00FB661A">
      <w:pPr>
        <w:pStyle w:val="FootnoteText"/>
      </w:pPr>
      <w:r>
        <w:rPr>
          <w:rStyle w:val="FootnoteReference"/>
        </w:rPr>
        <w:footnoteRef/>
      </w:r>
      <w:r>
        <w:t xml:space="preserve"> </w:t>
      </w:r>
      <w:r>
        <w:tab/>
        <w:t>For instance, 62 586 judgments opening insolvency proceedings were registered for the overall 2014 in Fr</w:t>
      </w:r>
      <w:r>
        <w:t>ance, as follows: 42 874 liquidation proceedings, 18 092 reorganisation proceedings, 1 620 safeguard proceedings (Impact assessment study on policy options for a new initiative on minimum standards in insolvency and restructuring law, Final Report, VVA/JII</w:t>
      </w:r>
      <w:r>
        <w:t>P/DTI/Grimaldi consortium, November 2016).</w:t>
      </w:r>
    </w:p>
  </w:footnote>
  <w:footnote w:id="49">
    <w:p w:rsidR="00B32D69" w:rsidRDefault="00FB661A">
      <w:pPr>
        <w:pStyle w:val="FootnoteText"/>
      </w:pPr>
      <w:r>
        <w:rPr>
          <w:rStyle w:val="FootnoteReference"/>
        </w:rPr>
        <w:footnoteRef/>
      </w:r>
      <w:r>
        <w:t xml:space="preserve"> </w:t>
      </w:r>
      <w:r>
        <w:tab/>
        <w:t>Impact assessment study on policy options for a new initiative on minimum standards in insolvency and restructuring law, Final Report, VVA/ JIIP/ DTI/ Grimaldi consortium, November 2016.</w:t>
      </w:r>
    </w:p>
  </w:footnote>
  <w:footnote w:id="50">
    <w:p w:rsidR="00B32D69" w:rsidRDefault="00FB661A">
      <w:pPr>
        <w:pStyle w:val="FootnoteText"/>
      </w:pPr>
      <w:r>
        <w:rPr>
          <w:rStyle w:val="FootnoteReference"/>
        </w:rPr>
        <w:footnoteRef/>
      </w:r>
      <w:r>
        <w:t xml:space="preserve"> </w:t>
      </w:r>
      <w:r>
        <w:tab/>
        <w:t>SMEs also often lack</w:t>
      </w:r>
      <w:r>
        <w:t xml:space="preserve"> resources to hire independent experts to help them with the drafting of restructuring plans which would help debtors making the necessary disclosures in order to submit credible restructuring plans to their creditors and to courts.</w:t>
      </w:r>
    </w:p>
  </w:footnote>
  <w:footnote w:id="51">
    <w:p w:rsidR="00B32D69" w:rsidRDefault="00FB661A">
      <w:pPr>
        <w:pStyle w:val="FootnoteText"/>
      </w:pPr>
      <w:r>
        <w:rPr>
          <w:rStyle w:val="FootnoteReference"/>
        </w:rPr>
        <w:footnoteRef/>
      </w:r>
      <w:r>
        <w:t xml:space="preserve"> </w:t>
      </w:r>
      <w:r>
        <w:tab/>
        <w:t>SMEs should be furth</w:t>
      </w:r>
      <w:r>
        <w:t>er encouraged to file early, for example by giving them access to early warning tools and by making available model restructuring plans.</w:t>
      </w:r>
    </w:p>
  </w:footnote>
  <w:footnote w:id="52">
    <w:p w:rsidR="00B32D69" w:rsidRDefault="00FB661A">
      <w:pPr>
        <w:pStyle w:val="FootnoteText"/>
      </w:pPr>
      <w:r>
        <w:rPr>
          <w:rStyle w:val="FootnoteReference"/>
        </w:rPr>
        <w:footnoteRef/>
      </w:r>
      <w:r>
        <w:t xml:space="preserve"> </w:t>
      </w:r>
      <w:r>
        <w:tab/>
        <w:t>In principle, each creditor has the right to seize the debtor´s assets according to a “first come first served” basi</w:t>
      </w:r>
      <w:r>
        <w:t>s in order to satisfy its claim. Creditors, however, usually cannot coordinate themselves and, therefore, it is rational for them to collect their debts individually and to seize debtor´s assets as soon as financial distress becomes apparent.</w:t>
      </w:r>
    </w:p>
  </w:footnote>
  <w:footnote w:id="53">
    <w:p w:rsidR="00B32D69" w:rsidRDefault="00FB661A">
      <w:pPr>
        <w:pStyle w:val="FootnoteText"/>
      </w:pPr>
      <w:r>
        <w:rPr>
          <w:rStyle w:val="FootnoteReference"/>
        </w:rPr>
        <w:footnoteRef/>
      </w:r>
      <w:r>
        <w:t xml:space="preserve"> </w:t>
      </w:r>
      <w:r>
        <w:tab/>
        <w:t>The UNCITR</w:t>
      </w:r>
      <w:r>
        <w:t>AL Legislative Guide on Insolvency reflects the view that to allow recovery procedures by creditors to operate without restraint could frustrate the overall socially desirable goal of restructuring and rescue. Since going-concern value may be a lot more th</w:t>
      </w:r>
      <w:r>
        <w:t>an breakup value, restructuring proceedings are designed to keep a business alive so that this additional value can be captured.</w:t>
      </w:r>
    </w:p>
  </w:footnote>
  <w:footnote w:id="54">
    <w:p w:rsidR="00B32D69" w:rsidRDefault="00FB661A">
      <w:pPr>
        <w:pStyle w:val="FootnoteText"/>
      </w:pPr>
      <w:r>
        <w:rPr>
          <w:rStyle w:val="FootnoteReference"/>
        </w:rPr>
        <w:footnoteRef/>
      </w:r>
      <w:r>
        <w:t xml:space="preserve"> </w:t>
      </w:r>
      <w:r>
        <w:tab/>
        <w:t>Study on a new approach to business failure and insolvency, University of Leeds, January 2016, p. 230.</w:t>
      </w:r>
    </w:p>
  </w:footnote>
  <w:footnote w:id="55">
    <w:p w:rsidR="00B32D69" w:rsidRDefault="00FB661A">
      <w:pPr>
        <w:pStyle w:val="FootnoteText"/>
      </w:pPr>
      <w:r>
        <w:rPr>
          <w:rStyle w:val="FootnoteReference"/>
        </w:rPr>
        <w:footnoteRef/>
      </w:r>
      <w:r>
        <w:t xml:space="preserve"> </w:t>
      </w:r>
      <w:r>
        <w:tab/>
        <w:t>For example, an in</w:t>
      </w:r>
      <w:r>
        <w:t>effective stay could allow customers and suppliers to walk away (or demand punitive amendments) at a time when their continued commitment is most crucial to the company’s rescue.</w:t>
      </w:r>
    </w:p>
  </w:footnote>
  <w:footnote w:id="56">
    <w:p w:rsidR="00B32D69" w:rsidRDefault="00FB661A">
      <w:pPr>
        <w:pStyle w:val="FootnoteText"/>
      </w:pPr>
      <w:r>
        <w:rPr>
          <w:rStyle w:val="FootnoteReference"/>
        </w:rPr>
        <w:footnoteRef/>
      </w:r>
      <w:r>
        <w:t xml:space="preserve"> </w:t>
      </w:r>
      <w:r>
        <w:tab/>
        <w:t>The stay is also an intrinsic feature of Chapter 11 of the U.S. Bankruptcy</w:t>
      </w:r>
      <w:r>
        <w:t xml:space="preserve"> Code.</w:t>
      </w:r>
    </w:p>
  </w:footnote>
  <w:footnote w:id="57">
    <w:p w:rsidR="00B32D69" w:rsidRDefault="00FB661A">
      <w:pPr>
        <w:pStyle w:val="FootnoteText"/>
      </w:pPr>
      <w:r>
        <w:rPr>
          <w:rStyle w:val="FootnoteReference"/>
        </w:rPr>
        <w:footnoteRef/>
      </w:r>
      <w:r>
        <w:t xml:space="preserve"> </w:t>
      </w:r>
      <w:r>
        <w:tab/>
        <w:t>Also, the company would not be able to carry out its business if essential suppliers, during the stay period, were to terminate contracts early.</w:t>
      </w:r>
    </w:p>
  </w:footnote>
  <w:footnote w:id="58">
    <w:p w:rsidR="00B32D69" w:rsidRDefault="00FB661A">
      <w:pPr>
        <w:pStyle w:val="FootnoteText"/>
      </w:pPr>
      <w:r>
        <w:rPr>
          <w:rStyle w:val="FootnoteReference"/>
        </w:rPr>
        <w:footnoteRef/>
      </w:r>
      <w:r>
        <w:t xml:space="preserve"> </w:t>
      </w:r>
      <w:r>
        <w:tab/>
        <w:t xml:space="preserve">Study on a new approach to business failure and insolvency, University of Leeds, January 2016, p. </w:t>
      </w:r>
      <w:r>
        <w:t>228.</w:t>
      </w:r>
    </w:p>
  </w:footnote>
  <w:footnote w:id="59">
    <w:p w:rsidR="00B32D69" w:rsidRDefault="00FB661A">
      <w:pPr>
        <w:pStyle w:val="FootnoteText"/>
      </w:pPr>
      <w:r>
        <w:rPr>
          <w:rStyle w:val="FootnoteReference"/>
        </w:rPr>
        <w:footnoteRef/>
      </w:r>
      <w:r>
        <w:t xml:space="preserve"> </w:t>
      </w:r>
      <w:r>
        <w:tab/>
        <w:t>These approaches are discussed in detail in the InsolEurope study done for the European Commission, ‘Study on a new approach to business failure and insolvency – Comparative legal analysis of the Member States’ relevant provisions and practice’s, p</w:t>
      </w:r>
      <w:r>
        <w:t xml:space="preserve">. 24-26. </w:t>
      </w:r>
    </w:p>
  </w:footnote>
  <w:footnote w:id="60">
    <w:p w:rsidR="00B32D69" w:rsidRDefault="00FB661A">
      <w:pPr>
        <w:pStyle w:val="FootnoteText"/>
      </w:pPr>
      <w:r>
        <w:rPr>
          <w:rStyle w:val="FootnoteReference"/>
        </w:rPr>
        <w:footnoteRef/>
      </w:r>
      <w:r>
        <w:t xml:space="preserve"> </w:t>
      </w:r>
      <w:r>
        <w:tab/>
        <w:t xml:space="preserve">Doing Business Project Encourages Economies to Reform Insolvency Frameworks, World Bank, January 2013, </w:t>
      </w:r>
      <w:hyperlink r:id="rId7" w:history="1">
        <w:r>
          <w:rPr>
            <w:rStyle w:val="Hyperlink"/>
            <w:rFonts w:eastAsiaTheme="majorEastAsia"/>
          </w:rPr>
          <w:t>http://www-wds.worldbank.org/external/default/WDSContentServer/WDSP/IB/2013/02/26/000333037_20130226123527/Rendered/PDF/752400BRI0SMAR0urable0Results0FIXED.pdf</w:t>
        </w:r>
      </w:hyperlink>
    </w:p>
  </w:footnote>
  <w:footnote w:id="61">
    <w:p w:rsidR="00B32D69" w:rsidRDefault="00FB661A">
      <w:pPr>
        <w:pStyle w:val="FootnoteText"/>
      </w:pPr>
      <w:r>
        <w:rPr>
          <w:rStyle w:val="FootnoteReference"/>
        </w:rPr>
        <w:footnoteRef/>
      </w:r>
      <w:r>
        <w:t xml:space="preserve"> </w:t>
      </w:r>
      <w:r>
        <w:tab/>
        <w:t>The term ‘cramdown’ can be understood in two senses. In o</w:t>
      </w:r>
      <w:r>
        <w:t>ne sense, it simply means that if the necessary majority within a class approve a plan then the plan becomes binding on the other class members.  But it can also be used in the sense of cramming down a dissenting class in its entirety, i.e., forcing a majo</w:t>
      </w:r>
      <w:r>
        <w:t>rity of the class to accept a scheme against their wishes (so-called cross-class or inter-class cram down (Study on a new approach to business failure and insolvency, University of Leeds, January 2016, p. 245).</w:t>
      </w:r>
    </w:p>
  </w:footnote>
  <w:footnote w:id="62">
    <w:p w:rsidR="00B32D69" w:rsidRDefault="00FB661A">
      <w:pPr>
        <w:pStyle w:val="FootnoteText"/>
      </w:pPr>
      <w:r>
        <w:rPr>
          <w:rStyle w:val="FootnoteReference"/>
        </w:rPr>
        <w:footnoteRef/>
      </w:r>
      <w:r>
        <w:t xml:space="preserve"> </w:t>
      </w:r>
      <w:r>
        <w:tab/>
        <w:t xml:space="preserve">Potential economic gains from reforming </w:t>
      </w:r>
      <w:r>
        <w:t>insolvency law in Europe, AFME, Frontier economics, Weil, February 2016, p. 18 and 19.</w:t>
      </w:r>
    </w:p>
  </w:footnote>
  <w:footnote w:id="63">
    <w:p w:rsidR="00B32D69" w:rsidRDefault="00FB661A">
      <w:pPr>
        <w:pStyle w:val="FootnoteText"/>
      </w:pPr>
      <w:r>
        <w:rPr>
          <w:rStyle w:val="FootnoteReference"/>
        </w:rPr>
        <w:footnoteRef/>
      </w:r>
      <w:r>
        <w:t xml:space="preserve"> </w:t>
      </w:r>
      <w:r>
        <w:tab/>
        <w:t>Idem.</w:t>
      </w:r>
    </w:p>
  </w:footnote>
  <w:footnote w:id="64">
    <w:p w:rsidR="00B32D69" w:rsidRDefault="00FB661A">
      <w:pPr>
        <w:pStyle w:val="FootnoteText"/>
      </w:pPr>
      <w:r>
        <w:rPr>
          <w:rStyle w:val="FootnoteReference"/>
        </w:rPr>
        <w:footnoteRef/>
      </w:r>
      <w:r>
        <w:t xml:space="preserve"> </w:t>
      </w:r>
      <w:r>
        <w:tab/>
        <w:t>Idem.</w:t>
      </w:r>
    </w:p>
  </w:footnote>
  <w:footnote w:id="65">
    <w:p w:rsidR="00B32D69" w:rsidRDefault="00FB661A">
      <w:pPr>
        <w:pStyle w:val="FootnoteText"/>
      </w:pPr>
      <w:r>
        <w:rPr>
          <w:rStyle w:val="FootnoteReference"/>
        </w:rPr>
        <w:footnoteRef/>
      </w:r>
      <w:r>
        <w:t xml:space="preserve"> </w:t>
      </w:r>
      <w:r>
        <w:tab/>
        <w:t>Avoidance rules that are generally applicable will apply to new financing, but it will mean that any security that is granted in exchange for new fi</w:t>
      </w:r>
      <w:r>
        <w:t>nancing, and in order to support restructuring, will usually be safe from attack.</w:t>
      </w:r>
    </w:p>
  </w:footnote>
  <w:footnote w:id="66">
    <w:p w:rsidR="00B32D69" w:rsidRDefault="00FB661A">
      <w:pPr>
        <w:pStyle w:val="NoSpacing"/>
        <w:jc w:val="both"/>
        <w:rPr>
          <w:rFonts w:ascii="Times New Roman" w:hAnsi="Times New Roman"/>
          <w:szCs w:val="20"/>
        </w:rPr>
      </w:pPr>
      <w:r>
        <w:rPr>
          <w:rStyle w:val="FootnoteReference"/>
          <w:rFonts w:ascii="Times New Roman" w:hAnsi="Times New Roman"/>
          <w:szCs w:val="20"/>
        </w:rPr>
        <w:footnoteRef/>
      </w:r>
      <w:r>
        <w:rPr>
          <w:rFonts w:ascii="Times New Roman" w:hAnsi="Times New Roman"/>
          <w:szCs w:val="20"/>
        </w:rPr>
        <w:t xml:space="preserve"> </w:t>
      </w:r>
      <w:r>
        <w:rPr>
          <w:rFonts w:ascii="Times New Roman" w:hAnsi="Times New Roman"/>
          <w:szCs w:val="20"/>
        </w:rPr>
        <w:tab/>
        <w:t>For example, the scheme is recorded in a public document.</w:t>
      </w:r>
    </w:p>
  </w:footnote>
  <w:footnote w:id="67">
    <w:p w:rsidR="00B32D69" w:rsidRDefault="00FB661A">
      <w:pPr>
        <w:pStyle w:val="NoSpacing"/>
        <w:jc w:val="both"/>
        <w:rPr>
          <w:rFonts w:ascii="Times New Roman" w:hAnsi="Times New Roman"/>
          <w:szCs w:val="20"/>
        </w:rPr>
      </w:pPr>
      <w:r>
        <w:rPr>
          <w:rStyle w:val="FootnoteReference"/>
          <w:rFonts w:ascii="Times New Roman" w:hAnsi="Times New Roman"/>
          <w:szCs w:val="20"/>
        </w:rPr>
        <w:footnoteRef/>
      </w:r>
      <w:r>
        <w:rPr>
          <w:rFonts w:ascii="Times New Roman" w:hAnsi="Times New Roman"/>
          <w:szCs w:val="20"/>
        </w:rPr>
        <w:t xml:space="preserve"> </w:t>
      </w:r>
      <w:r>
        <w:rPr>
          <w:rFonts w:ascii="Times New Roman" w:hAnsi="Times New Roman"/>
          <w:szCs w:val="20"/>
        </w:rPr>
        <w:tab/>
        <w:t>Latvian Insolvency Law, s 40(5).</w:t>
      </w:r>
    </w:p>
  </w:footnote>
  <w:footnote w:id="68">
    <w:p w:rsidR="00B32D69" w:rsidRDefault="00FB661A">
      <w:pPr>
        <w:pStyle w:val="NoSpacing"/>
        <w:jc w:val="both"/>
        <w:rPr>
          <w:rFonts w:ascii="Times New Roman" w:hAnsi="Times New Roman"/>
          <w:szCs w:val="20"/>
        </w:rPr>
      </w:pPr>
      <w:r>
        <w:rPr>
          <w:rStyle w:val="FootnoteReference"/>
          <w:rFonts w:ascii="Times New Roman" w:hAnsi="Times New Roman"/>
          <w:szCs w:val="20"/>
        </w:rPr>
        <w:footnoteRef/>
      </w:r>
      <w:r>
        <w:rPr>
          <w:rFonts w:ascii="Times New Roman" w:hAnsi="Times New Roman"/>
          <w:szCs w:val="20"/>
        </w:rPr>
        <w:t xml:space="preserve"> </w:t>
      </w:r>
      <w:r>
        <w:rPr>
          <w:rFonts w:ascii="Times New Roman" w:hAnsi="Times New Roman"/>
          <w:szCs w:val="20"/>
        </w:rPr>
        <w:tab/>
        <w:t>Slovenian Insolvency Act (ZFPPIPP) (Slovenia), Arts. 44 and 273.</w:t>
      </w:r>
    </w:p>
  </w:footnote>
  <w:footnote w:id="69">
    <w:p w:rsidR="00B32D69" w:rsidRDefault="00FB661A">
      <w:pPr>
        <w:pStyle w:val="FootnoteText"/>
      </w:pPr>
      <w:r>
        <w:rPr>
          <w:rStyle w:val="FootnoteReference"/>
        </w:rPr>
        <w:footnoteRef/>
      </w:r>
      <w:r>
        <w:t xml:space="preserve"> </w:t>
      </w:r>
      <w:r>
        <w:tab/>
        <w:t>Provis</w:t>
      </w:r>
      <w:r>
        <w:t>ions concerning avoidance actions exist so as to enable the general body of creditors to be protected from an unfair reduction in the value of the insolvent’s estate which can be the consequence of the debtor giving an advantage to one party prior to the o</w:t>
      </w:r>
      <w:r>
        <w:t>pening of insolvency proceedings by those avoidance actions (Study on a new approach to business failure and insolvency, University of Leeds, January 2016, p. 138).</w:t>
      </w:r>
    </w:p>
  </w:footnote>
  <w:footnote w:id="70">
    <w:p w:rsidR="00B32D69" w:rsidRDefault="00FB661A">
      <w:pPr>
        <w:pStyle w:val="FootnoteText"/>
      </w:pPr>
      <w:r>
        <w:rPr>
          <w:rStyle w:val="FootnoteReference"/>
        </w:rPr>
        <w:footnoteRef/>
      </w:r>
      <w:r>
        <w:t xml:space="preserve"> </w:t>
      </w:r>
      <w:r>
        <w:tab/>
        <w:t>For instance, some EU Member States apply liquidity tests (the ability to pay debts as a</w:t>
      </w:r>
      <w:r>
        <w:t>nd when they fall due) others balance sheet tests (the surplus of assets over liabilities). Under Polish law, the balance sheet test only applies to certain categories of entities including companies and partnerships. Under Spanish and French laws, only th</w:t>
      </w:r>
      <w:r>
        <w:t>e liquidity test applies. Under Italian law the liquidity test applies subject to some additional criteria. In Germany over indebtedness and imminent illiquidity can be a reason to file for bankruptcy. The majority of Member States adopt the general cessat</w:t>
      </w:r>
      <w:r>
        <w:t>ion of payments test and the balance sheet test in different combinations to establish a commencement standard. Other requirements may be added, such as for example, that the cessation of payments must reflect a difficult financial situation that is not te</w:t>
      </w:r>
      <w:r>
        <w:t>mporary. In Germany and Austria, the debtor must also be overindebted. Under Danish law, the debtor is insolvent when the debtor is unable to pay its creditors on the due date and the situation is not temporary. A similar test is adopted in Estonia (Impact</w:t>
      </w:r>
      <w:r>
        <w:t xml:space="preserve"> assessment study on policy options for a new initiative on minimum standards in insolvency and restructuring law, Final Report, VVA/ JIIP/ DTI/Grimaldi consortium, November 2016).</w:t>
      </w:r>
    </w:p>
  </w:footnote>
  <w:footnote w:id="71">
    <w:p w:rsidR="00B32D69" w:rsidRDefault="00FB661A">
      <w:pPr>
        <w:pStyle w:val="FootnoteText"/>
      </w:pPr>
      <w:r>
        <w:rPr>
          <w:rStyle w:val="FootnoteReference"/>
        </w:rPr>
        <w:footnoteRef/>
      </w:r>
      <w:r>
        <w:t xml:space="preserve"> </w:t>
      </w:r>
      <w:r>
        <w:tab/>
        <w:t>Study on a new approach to business failure and insolvency, University o</w:t>
      </w:r>
      <w:r>
        <w:t>f Leeds, January 2016, p. 329.</w:t>
      </w:r>
    </w:p>
  </w:footnote>
  <w:footnote w:id="72">
    <w:p w:rsidR="00B32D69" w:rsidRDefault="00FB661A">
      <w:pPr>
        <w:pStyle w:val="FootnoteText"/>
      </w:pPr>
      <w:r>
        <w:rPr>
          <w:rStyle w:val="FootnoteReference"/>
        </w:rPr>
        <w:footnoteRef/>
      </w:r>
      <w:r>
        <w:t xml:space="preserve"> </w:t>
      </w:r>
      <w:r>
        <w:tab/>
        <w:t xml:space="preserve">In 2013-2014, the insolvency profession rescued approximately 6 700 businesses through formal insolvency procedures, saving around 230 000 jobs, while another 3 700 businesses continued operating after informal advice, </w:t>
      </w:r>
      <w:r>
        <w:t>employing around 310 000 people after informal advice, employing around 310 000 people after receiving advice (Why Insolvency Matters – the in solvency profession value to the UK Economy, Association of Business Recovery Professionals, 2015).</w:t>
      </w:r>
    </w:p>
  </w:footnote>
  <w:footnote w:id="73">
    <w:p w:rsidR="00B32D69" w:rsidRDefault="00FB661A">
      <w:pPr>
        <w:pStyle w:val="FootnoteText"/>
      </w:pPr>
      <w:r>
        <w:rPr>
          <w:rStyle w:val="FootnoteReference"/>
        </w:rPr>
        <w:footnoteRef/>
      </w:r>
      <w:r>
        <w:t xml:space="preserve"> </w:t>
      </w:r>
      <w:r>
        <w:tab/>
        <w:t>For more d</w:t>
      </w:r>
      <w:r>
        <w:t>etails on the work of this expert group, see Annex 2.</w:t>
      </w:r>
    </w:p>
  </w:footnote>
  <w:footnote w:id="74">
    <w:p w:rsidR="00B32D69" w:rsidRDefault="00FB661A">
      <w:pPr>
        <w:pStyle w:val="FootnoteText"/>
      </w:pPr>
      <w:r>
        <w:rPr>
          <w:rStyle w:val="FootnoteReference"/>
        </w:rPr>
        <w:footnoteRef/>
      </w:r>
      <w:r>
        <w:t xml:space="preserve"> </w:t>
      </w:r>
      <w:r>
        <w:tab/>
        <w:t>Other experts were of the opinion that if general and objective criteria may be relevant at EU level (see the eventual interplay with Recital 17 of the recast Insolvency Regulation), details should b</w:t>
      </w:r>
      <w:r>
        <w:t>e left to Member States.</w:t>
      </w:r>
    </w:p>
  </w:footnote>
  <w:footnote w:id="75">
    <w:p w:rsidR="00B32D69" w:rsidRDefault="00FB661A">
      <w:pPr>
        <w:pStyle w:val="FootnoteText"/>
        <w:rPr>
          <w:lang w:val="en-US"/>
        </w:rPr>
      </w:pPr>
      <w:r>
        <w:rPr>
          <w:rStyle w:val="FootnoteReference"/>
        </w:rPr>
        <w:footnoteRef/>
      </w:r>
      <w:r>
        <w:t xml:space="preserve"> Among those, UEAPME, EACTP, BusinessEurope, German Bar Association.</w:t>
      </w:r>
    </w:p>
  </w:footnote>
  <w:footnote w:id="76">
    <w:p w:rsidR="00B32D69" w:rsidRDefault="00FB661A">
      <w:pPr>
        <w:pStyle w:val="FootnoteText"/>
      </w:pPr>
      <w:r>
        <w:rPr>
          <w:rStyle w:val="FootnoteReference"/>
        </w:rPr>
        <w:footnoteRef/>
      </w:r>
      <w:r>
        <w:t xml:space="preserve"> </w:t>
      </w:r>
      <w:r>
        <w:tab/>
        <w:t>As to natural persons without business activity, over-indebtedness is most often caused by external circumstances, such as the unemployment of disease .(The o</w:t>
      </w:r>
      <w:r>
        <w:t>ver-indebtedness of European households: updated mapping of the situation, nature and causes, effects and initiatives for alleviating its impact, Civic Consulting for the European Commission, 2014, p. 32, http://ec.europa.eu/consumers/financial_services/re</w:t>
      </w:r>
      <w:r>
        <w:t>ference_studies_documents/docs/part_1_synthesis_of_findings_en.pdf)</w:t>
      </w:r>
    </w:p>
  </w:footnote>
  <w:footnote w:id="77">
    <w:p w:rsidR="00B32D69" w:rsidRDefault="00FB661A">
      <w:pPr>
        <w:pStyle w:val="FootnoteText"/>
      </w:pPr>
      <w:r>
        <w:rPr>
          <w:rStyle w:val="FootnoteReference"/>
        </w:rPr>
        <w:footnoteRef/>
      </w:r>
      <w:r>
        <w:t xml:space="preserve"> </w:t>
      </w:r>
      <w:r>
        <w:tab/>
        <w:t>Study on a new approach to business failure and insolvency, University of Leeds, January 2016, p. 329.</w:t>
      </w:r>
    </w:p>
  </w:footnote>
  <w:footnote w:id="78">
    <w:p w:rsidR="00B32D69" w:rsidRDefault="00FB661A">
      <w:pPr>
        <w:pStyle w:val="FootnoteText"/>
      </w:pPr>
      <w:r>
        <w:rPr>
          <w:rStyle w:val="FootnoteReference"/>
        </w:rPr>
        <w:footnoteRef/>
      </w:r>
      <w:r>
        <w:t xml:space="preserve"> </w:t>
      </w:r>
      <w:r>
        <w:tab/>
        <w:t>With the exception of Bulgaria where, however, proposal for establishing consum</w:t>
      </w:r>
      <w:r>
        <w:t xml:space="preserve">er debt settlement procedure is in the legislative pipeline. In the UK, for instance, </w:t>
      </w:r>
    </w:p>
  </w:footnote>
  <w:footnote w:id="79">
    <w:p w:rsidR="00B32D69" w:rsidRDefault="00FB661A">
      <w:pPr>
        <w:pStyle w:val="FootnoteText"/>
      </w:pPr>
      <w:r>
        <w:rPr>
          <w:rStyle w:val="FootnoteReference"/>
        </w:rPr>
        <w:footnoteRef/>
      </w:r>
      <w:r>
        <w:t xml:space="preserve"> </w:t>
      </w:r>
      <w:r>
        <w:tab/>
        <w:t xml:space="preserve">2016 Justice Scoreboard, p. 11, available at </w:t>
      </w:r>
      <w:hyperlink r:id="rId8" w:history="1">
        <w:r>
          <w:rPr>
            <w:rStyle w:val="Hyperlink"/>
          </w:rPr>
          <w:t>http://ec.europa.eu/ju</w:t>
        </w:r>
        <w:r>
          <w:rPr>
            <w:rStyle w:val="Hyperlink"/>
          </w:rPr>
          <w:t>stice/effective-justice/files/justice_scoreboard_2016_en.pdf</w:t>
        </w:r>
      </w:hyperlink>
      <w:r>
        <w:t xml:space="preserve">. </w:t>
      </w:r>
    </w:p>
  </w:footnote>
  <w:footnote w:id="80">
    <w:p w:rsidR="00B32D69" w:rsidRDefault="00FB661A">
      <w:pPr>
        <w:pStyle w:val="FootnoteText"/>
      </w:pPr>
      <w:r>
        <w:rPr>
          <w:rStyle w:val="FootnoteReference"/>
        </w:rPr>
        <w:footnoteRef/>
      </w:r>
      <w:r>
        <w:t xml:space="preserve"> </w:t>
      </w:r>
      <w:r>
        <w:tab/>
        <w:t>Study on a new approach to business failure and insolvency, University of Leeds, January 2016, p. 281 and foll.</w:t>
      </w:r>
    </w:p>
  </w:footnote>
  <w:footnote w:id="81">
    <w:p w:rsidR="00B32D69" w:rsidRDefault="00FB661A">
      <w:pPr>
        <w:pStyle w:val="FootnoteText"/>
      </w:pPr>
      <w:r>
        <w:rPr>
          <w:rStyle w:val="FootnoteReference"/>
        </w:rPr>
        <w:footnoteRef/>
      </w:r>
      <w:r>
        <w:t xml:space="preserve"> </w:t>
      </w:r>
      <w:r>
        <w:tab/>
        <w:t xml:space="preserve">Ibid, p. 211. </w:t>
      </w:r>
    </w:p>
  </w:footnote>
  <w:footnote w:id="82">
    <w:p w:rsidR="00B32D69" w:rsidRDefault="00FB661A">
      <w:pPr>
        <w:pStyle w:val="FootnoteText"/>
      </w:pPr>
      <w:r>
        <w:rPr>
          <w:rStyle w:val="FootnoteReference"/>
        </w:rPr>
        <w:footnoteRef/>
      </w:r>
      <w:r>
        <w:t xml:space="preserve"> </w:t>
      </w:r>
      <w:r>
        <w:tab/>
        <w:t>Economic Analysis accompanying the Action Plan on Buildin</w:t>
      </w:r>
      <w:r>
        <w:t>g a Capital Markets Union, SWD(2015) 183 final, 30 September 2015, p. 72 and. foll.</w:t>
      </w:r>
    </w:p>
  </w:footnote>
  <w:footnote w:id="83">
    <w:p w:rsidR="00B32D69" w:rsidRDefault="00FB661A">
      <w:pPr>
        <w:pStyle w:val="FootnoteText"/>
      </w:pPr>
      <w:r>
        <w:rPr>
          <w:rStyle w:val="FootnoteReference"/>
        </w:rPr>
        <w:footnoteRef/>
      </w:r>
      <w:r>
        <w:t xml:space="preserve"> </w:t>
      </w:r>
      <w:r>
        <w:tab/>
        <w:t>A good example of taking all the elements into account are the U.S. Investment Climate Statements (published very year) which provide 'country-specific information and a</w:t>
      </w:r>
      <w:r>
        <w:t>ssessments prepared by U.S. embassies and diplomatic missions abroad on investment laws and practices in those countries [...].The statements cover a breadth of topics that can help U.S. investors make informed investment decisions'. They include informati</w:t>
      </w:r>
      <w:r>
        <w:t>on on all elements of insolvency frameworks (i.e. on formal insolvency proceedings, second chance for individuals, preventive restructuring).</w:t>
      </w:r>
    </w:p>
  </w:footnote>
  <w:footnote w:id="84">
    <w:p w:rsidR="00B32D69" w:rsidRDefault="00FB661A">
      <w:pPr>
        <w:pStyle w:val="FootnoteText"/>
        <w:ind w:left="709" w:hanging="709"/>
      </w:pPr>
      <w:r>
        <w:rPr>
          <w:rStyle w:val="FootnoteReference"/>
        </w:rPr>
        <w:footnoteRef/>
      </w:r>
      <w:r>
        <w:t xml:space="preserve"> </w:t>
      </w:r>
      <w:r>
        <w:tab/>
        <w:t>OECD, 2014 Economic Review for the European Union, p. 50.</w:t>
      </w:r>
    </w:p>
  </w:footnote>
  <w:footnote w:id="85">
    <w:p w:rsidR="00B32D69" w:rsidRDefault="00FB661A">
      <w:pPr>
        <w:pStyle w:val="FootnoteText"/>
        <w:ind w:left="709" w:hanging="709"/>
      </w:pPr>
      <w:r>
        <w:rPr>
          <w:rStyle w:val="FootnoteReference"/>
        </w:rPr>
        <w:footnoteRef/>
      </w:r>
      <w:r>
        <w:t xml:space="preserve"> </w:t>
      </w:r>
      <w:r>
        <w:tab/>
        <w:t>Unlocking Funding for European Investment and Grow</w:t>
      </w:r>
      <w:r>
        <w:t xml:space="preserve">th, AFME, 2013, </w:t>
      </w:r>
      <w:hyperlink r:id="rId9" w:history="1">
        <w:r>
          <w:rPr>
            <w:rStyle w:val="Hyperlink"/>
            <w:rFonts w:eastAsiaTheme="majorEastAsia"/>
          </w:rPr>
          <w:t>www.afme.eu/unlocking-funding-for-European-investment-and-growth</w:t>
        </w:r>
      </w:hyperlink>
      <w:r>
        <w:t>, p. 100.</w:t>
      </w:r>
    </w:p>
  </w:footnote>
  <w:footnote w:id="86">
    <w:p w:rsidR="00B32D69" w:rsidRDefault="00FB661A">
      <w:pPr>
        <w:pStyle w:val="FootnoteText"/>
      </w:pPr>
      <w:r>
        <w:rPr>
          <w:rStyle w:val="FootnoteReference"/>
        </w:rPr>
        <w:footnoteRef/>
      </w:r>
      <w:r>
        <w:t xml:space="preserve"> </w:t>
      </w:r>
      <w:r>
        <w:tab/>
        <w:t>Registered in Luxembourg, for instance.</w:t>
      </w:r>
    </w:p>
  </w:footnote>
  <w:footnote w:id="87">
    <w:p w:rsidR="00B32D69" w:rsidRDefault="00FB661A">
      <w:pPr>
        <w:pStyle w:val="FootnoteText"/>
      </w:pPr>
      <w:r>
        <w:rPr>
          <w:rStyle w:val="FootnoteReference"/>
        </w:rPr>
        <w:footnoteRef/>
      </w:r>
      <w:r>
        <w:t xml:space="preserve"> </w:t>
      </w:r>
      <w:r>
        <w:tab/>
        <w:t xml:space="preserve">Feedback Statement on the Green </w:t>
      </w:r>
      <w:r>
        <w:t>Paper "Building a Capital Markets Union" (Question 29), SWD(2015) 184 final, 30.9.2015, p. 59 and foll.</w:t>
      </w:r>
    </w:p>
  </w:footnote>
  <w:footnote w:id="88">
    <w:p w:rsidR="00B32D69" w:rsidRDefault="00FB661A">
      <w:pPr>
        <w:pStyle w:val="FootnoteText"/>
        <w:ind w:left="709" w:hanging="709"/>
      </w:pPr>
      <w:r>
        <w:rPr>
          <w:rStyle w:val="FootnoteReference"/>
        </w:rPr>
        <w:footnoteRef/>
      </w:r>
      <w:r>
        <w:tab/>
        <w:t xml:space="preserve">Resolving Insolvency, World Bank, </w:t>
      </w:r>
      <w:r>
        <w:tab/>
      </w:r>
      <w:hyperlink r:id="rId10" w:history="1">
        <w:r>
          <w:rPr>
            <w:rStyle w:val="Hyperlink"/>
            <w:rFonts w:eastAsiaTheme="majorEastAsia"/>
          </w:rPr>
          <w:t>http://www.doingbusiness.org/reports/globalreports/~/media/GIAWB/Doing%20Business/Documents/Annual-Reports/English/DB14-Chapters/DB14-Resolving-insolvency.pdf</w:t>
        </w:r>
      </w:hyperlink>
    </w:p>
  </w:footnote>
  <w:footnote w:id="89">
    <w:p w:rsidR="00B32D69" w:rsidRDefault="00FB661A">
      <w:pPr>
        <w:pStyle w:val="FootnoteText"/>
        <w:ind w:left="709" w:hanging="709"/>
        <w:rPr>
          <w:lang w:val="en-US"/>
        </w:rPr>
      </w:pPr>
      <w:r>
        <w:rPr>
          <w:rStyle w:val="FootnoteReference"/>
        </w:rPr>
        <w:footnoteRef/>
      </w:r>
      <w:r>
        <w:rPr>
          <w:lang w:val="en-US"/>
        </w:rPr>
        <w:t xml:space="preserve"> </w:t>
      </w:r>
      <w:r>
        <w:rPr>
          <w:lang w:val="en-US"/>
        </w:rPr>
        <w:tab/>
        <w:t xml:space="preserve">Doing Business Project Encourages </w:t>
      </w:r>
      <w:r>
        <w:rPr>
          <w:lang w:val="en-US"/>
        </w:rPr>
        <w:t>Economies to Reform Insolvency Frameworks, World Bank, January 2013.</w:t>
      </w:r>
    </w:p>
  </w:footnote>
  <w:footnote w:id="90">
    <w:p w:rsidR="00B32D69" w:rsidRDefault="00FB661A">
      <w:pPr>
        <w:pStyle w:val="FootnoteText"/>
      </w:pPr>
      <w:r>
        <w:rPr>
          <w:rStyle w:val="FootnoteReference"/>
        </w:rPr>
        <w:footnoteRef/>
      </w:r>
      <w:r>
        <w:t xml:space="preserve"> </w:t>
      </w:r>
      <w:r>
        <w:tab/>
        <w:t>Potential economic gains from reforming insolvency law in Europe, AFME, Frontier economics, Weil, February 2016, p. 40.</w:t>
      </w:r>
    </w:p>
  </w:footnote>
  <w:footnote w:id="91">
    <w:p w:rsidR="00B32D69" w:rsidRDefault="00FB661A">
      <w:pPr>
        <w:pStyle w:val="FootnoteText"/>
      </w:pPr>
      <w:r>
        <w:rPr>
          <w:rStyle w:val="FootnoteReference"/>
        </w:rPr>
        <w:footnoteRef/>
      </w:r>
      <w:r>
        <w:t xml:space="preserve"> </w:t>
      </w:r>
      <w:r>
        <w:tab/>
        <w:t>SWD(2015) 184 final, Answers to Question 29, p. 59 - 60.</w:t>
      </w:r>
    </w:p>
  </w:footnote>
  <w:footnote w:id="92">
    <w:p w:rsidR="00B32D69" w:rsidRDefault="00FB661A">
      <w:pPr>
        <w:pStyle w:val="FootnoteText"/>
      </w:pPr>
      <w:r>
        <w:rPr>
          <w:rStyle w:val="FootnoteReference"/>
        </w:rPr>
        <w:footnoteRef/>
      </w:r>
      <w:r>
        <w:t xml:space="preserve"> </w:t>
      </w:r>
      <w:r>
        <w:tab/>
        <w:t>U</w:t>
      </w:r>
      <w:r>
        <w:t>sually, creditors cannot coordinate themselves and, therefore, often collect their debts individually, seizing the debtor's assets as soon as financial distress becomes apparent (race to grab). This “race to grab” leads to inefficient outcomes for the cred</w:t>
      </w:r>
      <w:r>
        <w:t>itors as a group, especially if the going concern value of debtors' assets is higher. (Mucciarelli, F. M., Optimal allocation of law-making power over bankruptcy</w:t>
      </w:r>
    </w:p>
    <w:p w:rsidR="00B32D69" w:rsidRDefault="00FB661A">
      <w:pPr>
        <w:pStyle w:val="FootnoteText"/>
        <w:ind w:firstLine="0"/>
      </w:pPr>
      <w:r>
        <w:t>law in “federal” and “quasi-federal” legal systems: is there a case for harmonizing or unifyin</w:t>
      </w:r>
      <w:r>
        <w:t>g bankruptcy law in the E.U.? September 2011, LAW &amp; ECONOMICS RESEARCH PAPER SERIES WORKING PAPER NO.11-28, p. 9).</w:t>
      </w:r>
    </w:p>
  </w:footnote>
  <w:footnote w:id="93">
    <w:p w:rsidR="00B32D69" w:rsidRDefault="00FB661A">
      <w:pPr>
        <w:pStyle w:val="FootnoteText"/>
      </w:pPr>
      <w:r>
        <w:rPr>
          <w:rStyle w:val="FootnoteReference"/>
        </w:rPr>
        <w:footnoteRef/>
      </w:r>
      <w:r>
        <w:t xml:space="preserve"> </w:t>
      </w:r>
      <w:r>
        <w:tab/>
        <w:t>Individual creditors may reject restructuring plans, which would keep the going concern value of the firm and would be value-enhancing for</w:t>
      </w:r>
      <w:r>
        <w:t xml:space="preserve"> the creditors as group, simply because they hope to be paid in full if the plan succeeds and all other creditors adhered to it (Mucciarelli, F. M., Optimal allocation of law-making power over bankruptcy law in “federal” and “quasi-federal” legal systems: </w:t>
      </w:r>
      <w:r>
        <w:t>is there a case for harmonizing or unifying bankruptcy law in the E.U.? September 2011, LAW &amp; ECONOMICS RESEARCH PAPER SERIES WORKING PAPER NO.11-28, p. 10).</w:t>
      </w:r>
    </w:p>
  </w:footnote>
  <w:footnote w:id="94">
    <w:p w:rsidR="00B32D69" w:rsidRDefault="00FB661A">
      <w:pPr>
        <w:pStyle w:val="FootnoteText"/>
      </w:pPr>
      <w:r>
        <w:rPr>
          <w:rStyle w:val="FootnoteReference"/>
        </w:rPr>
        <w:footnoteRef/>
      </w:r>
      <w:r>
        <w:t xml:space="preserve"> </w:t>
      </w:r>
      <w:r>
        <w:tab/>
        <w:t xml:space="preserve">In addition, in a number of Member States successful restructurings face the problem of overly </w:t>
      </w:r>
      <w:r>
        <w:t>restrictive conditions preventing an early entry of distressed companies to restructuring proceedings which leads to the relocation of companies to Member States where access to restructuring is easier, unavailability of early warning mechanisms allowing a</w:t>
      </w:r>
      <w:r>
        <w:t xml:space="preserve"> timely identification of companies which could be candidates for restructuring, lack of assessment tools enabling to distinguish viable businesses which should be rescued and non-viable businesses which should be liquidated, lack of protection of new fina</w:t>
      </w:r>
      <w:r>
        <w:t>ncing provided to distressed enterprises which will ensure successful restructuring and high costs of restructuring resulting from the involvement of courts or insolvency administrators.</w:t>
      </w:r>
    </w:p>
  </w:footnote>
  <w:footnote w:id="95">
    <w:p w:rsidR="00B32D69" w:rsidRDefault="00FB661A">
      <w:pPr>
        <w:pStyle w:val="FootnoteText"/>
      </w:pPr>
      <w:r>
        <w:rPr>
          <w:rStyle w:val="FootnoteReference"/>
        </w:rPr>
        <w:footnoteRef/>
      </w:r>
      <w:r>
        <w:t xml:space="preserve"> </w:t>
      </w:r>
      <w:r>
        <w:tab/>
        <w:t xml:space="preserve">Impact assessment study on policy options for a new initiative on </w:t>
      </w:r>
      <w:r>
        <w:t xml:space="preserve">minimum standards in insolvency and restructuring law, Final Report, VVA/ JIIP/ DTI/ Grimaldi consortium, November 2016. </w:t>
      </w:r>
    </w:p>
  </w:footnote>
  <w:footnote w:id="96">
    <w:p w:rsidR="00B32D69" w:rsidRDefault="00FB661A">
      <w:pPr>
        <w:pStyle w:val="FootnoteText"/>
      </w:pPr>
      <w:r>
        <w:rPr>
          <w:rStyle w:val="FootnoteReference"/>
        </w:rPr>
        <w:footnoteRef/>
      </w:r>
      <w:r>
        <w:t xml:space="preserve"> </w:t>
      </w:r>
      <w:r>
        <w:tab/>
        <w:t>Idem, p. 47.</w:t>
      </w:r>
    </w:p>
  </w:footnote>
  <w:footnote w:id="97">
    <w:p w:rsidR="00B32D69" w:rsidRDefault="00FB661A">
      <w:pPr>
        <w:pStyle w:val="FootnoteText"/>
      </w:pPr>
      <w:r>
        <w:rPr>
          <w:rStyle w:val="FootnoteReference"/>
        </w:rPr>
        <w:footnoteRef/>
      </w:r>
      <w:r>
        <w:t xml:space="preserve"> </w:t>
      </w:r>
      <w:r>
        <w:tab/>
        <w:t>Idem, p. 46.</w:t>
      </w:r>
    </w:p>
  </w:footnote>
  <w:footnote w:id="98">
    <w:p w:rsidR="00B32D69" w:rsidRDefault="00FB661A">
      <w:pPr>
        <w:pStyle w:val="FootnoteText"/>
      </w:pPr>
      <w:r>
        <w:rPr>
          <w:rStyle w:val="FootnoteReference"/>
        </w:rPr>
        <w:footnoteRef/>
      </w:r>
      <w:r>
        <w:t xml:space="preserve"> </w:t>
      </w:r>
      <w:r>
        <w:tab/>
        <w:t>See Glossary in Annex 5.</w:t>
      </w:r>
    </w:p>
  </w:footnote>
  <w:footnote w:id="99">
    <w:p w:rsidR="00B32D69" w:rsidRDefault="00FB661A">
      <w:pPr>
        <w:pStyle w:val="FootnoteText"/>
      </w:pPr>
      <w:r>
        <w:rPr>
          <w:rStyle w:val="FootnoteReference"/>
        </w:rPr>
        <w:footnoteRef/>
      </w:r>
      <w:r>
        <w:t xml:space="preserve"> </w:t>
      </w:r>
      <w:r>
        <w:tab/>
        <w:t>English courts have been willing to approve such schemes of arrangement</w:t>
      </w:r>
      <w:r>
        <w:t xml:space="preserve"> where sufficient connection with the English courts was established.</w:t>
      </w:r>
    </w:p>
  </w:footnote>
  <w:footnote w:id="100">
    <w:p w:rsidR="00B32D69" w:rsidRDefault="00FB661A">
      <w:pPr>
        <w:pStyle w:val="FootnoteText"/>
      </w:pPr>
      <w:r>
        <w:rPr>
          <w:rStyle w:val="FootnoteReference"/>
        </w:rPr>
        <w:footnoteRef/>
      </w:r>
      <w:r>
        <w:t xml:space="preserve"> </w:t>
      </w:r>
      <w:r>
        <w:tab/>
        <w:t>Potential economic gains from reforming insolvency law in Europe, AFME, Frontier economics, Weil, February 2016, p. 13.</w:t>
      </w:r>
    </w:p>
  </w:footnote>
  <w:footnote w:id="101">
    <w:p w:rsidR="00B32D69" w:rsidRDefault="00FB661A">
      <w:pPr>
        <w:pStyle w:val="FootnoteText"/>
      </w:pPr>
      <w:r>
        <w:rPr>
          <w:rStyle w:val="FootnoteReference"/>
        </w:rPr>
        <w:footnoteRef/>
      </w:r>
      <w:r>
        <w:t xml:space="preserve"> </w:t>
      </w:r>
      <w:r>
        <w:tab/>
        <w:t>The Centre of Main Interests (COMI): represents the place wh</w:t>
      </w:r>
      <w:r>
        <w:t>ere main insolvency proceedings commenced under the Insolvency Regulation must be opened.</w:t>
      </w:r>
    </w:p>
  </w:footnote>
  <w:footnote w:id="102">
    <w:p w:rsidR="00B32D69" w:rsidRDefault="00FB661A">
      <w:pPr>
        <w:pStyle w:val="FootnoteText"/>
      </w:pPr>
      <w:r>
        <w:rPr>
          <w:rStyle w:val="FootnoteReference"/>
        </w:rPr>
        <w:footnoteRef/>
      </w:r>
      <w:r>
        <w:t xml:space="preserve"> </w:t>
      </w:r>
      <w:r>
        <w:tab/>
        <w:t xml:space="preserve">Impact Assessment accompanying the document Revision of Regulation (EC) No 1346/2000 on insolvency proceedings, SWD(2012) 416 final, 12 December 2012, </w:t>
      </w:r>
    </w:p>
  </w:footnote>
  <w:footnote w:id="103">
    <w:p w:rsidR="00B32D69" w:rsidRDefault="00FB661A">
      <w:pPr>
        <w:pStyle w:val="FootnoteText"/>
      </w:pPr>
      <w:r>
        <w:rPr>
          <w:rStyle w:val="FootnoteReference"/>
        </w:rPr>
        <w:footnoteRef/>
      </w:r>
      <w:r>
        <w:t xml:space="preserve"> </w:t>
      </w:r>
      <w:r>
        <w:tab/>
        <w:t>‘Europea</w:t>
      </w:r>
      <w:r>
        <w:t>n bankruptcies’, Financial Times, London, 5 October 2009) http://www.ft.com/cms/s/3/305fa1de-b113-11deb06b-00144feabdc0.html&gt;  (accessed 25/07/2015).</w:t>
      </w:r>
    </w:p>
  </w:footnote>
  <w:footnote w:id="104">
    <w:p w:rsidR="00B32D69" w:rsidRDefault="00FB661A">
      <w:pPr>
        <w:pStyle w:val="FootnoteText"/>
        <w:ind w:left="709" w:hanging="709"/>
        <w:rPr>
          <w:rFonts w:cs="Calibri"/>
        </w:rPr>
      </w:pPr>
      <w:r>
        <w:rPr>
          <w:rStyle w:val="FootnoteReference"/>
          <w:rFonts w:cs="Calibri"/>
        </w:rPr>
        <w:footnoteRef/>
      </w:r>
      <w:r>
        <w:rPr>
          <w:rFonts w:cs="Calibri"/>
        </w:rPr>
        <w:t xml:space="preserve"> </w:t>
      </w:r>
      <w:r>
        <w:rPr>
          <w:rFonts w:cs="Calibri"/>
        </w:rPr>
        <w:tab/>
        <w:t>See for more examples: Laufer, B., An economic analysis of the German bankruptcy code in the context of</w:t>
      </w:r>
      <w:r>
        <w:rPr>
          <w:rFonts w:cs="Calibri"/>
        </w:rPr>
        <w:t xml:space="preserve"> the European reform movement, Paris 2012, p. 33.</w:t>
      </w:r>
    </w:p>
  </w:footnote>
  <w:footnote w:id="105">
    <w:p w:rsidR="00B32D69" w:rsidRDefault="00FB661A">
      <w:pPr>
        <w:pStyle w:val="FootnoteText"/>
        <w:ind w:left="709" w:hanging="709"/>
        <w:rPr>
          <w:rFonts w:cs="Calibri"/>
        </w:rPr>
      </w:pPr>
      <w:r>
        <w:rPr>
          <w:rStyle w:val="FootnoteReference"/>
          <w:rFonts w:cs="Calibri"/>
        </w:rPr>
        <w:footnoteRef/>
      </w:r>
      <w:r>
        <w:rPr>
          <w:rFonts w:cs="Calibri"/>
        </w:rPr>
        <w:t xml:space="preserve"> </w:t>
      </w:r>
      <w:r>
        <w:rPr>
          <w:rFonts w:cs="Calibri"/>
        </w:rPr>
        <w:tab/>
        <w:t xml:space="preserve">Legal practitioners confirm that COMI-shifts are usually a serious option for restructuring – in particular in non-UK jurisdictions, See, for instance, </w:t>
      </w:r>
      <w:hyperlink r:id="rId11" w:anchor="ixzz24QOWR1P9" w:history="1">
        <w:r>
          <w:rPr>
            <w:rStyle w:val="Hyperlink"/>
            <w:rFonts w:eastAsiaTheme="majorEastAsia" w:cs="Calibri"/>
          </w:rPr>
          <w:t>http://www.thisismoney.co.uk/money/markets/article-2052296/Bankruptcy-tourism-crackdown-shuts-61-companies.html#ixzz24QOWR1P9</w:t>
        </w:r>
      </w:hyperlink>
      <w:r>
        <w:rPr>
          <w:rFonts w:cs="Calibri"/>
        </w:rPr>
        <w:t xml:space="preserve"> </w:t>
      </w:r>
    </w:p>
  </w:footnote>
  <w:footnote w:id="106">
    <w:p w:rsidR="00B32D69" w:rsidRDefault="00FB661A">
      <w:pPr>
        <w:pStyle w:val="FootnoteText"/>
        <w:ind w:left="709" w:hanging="709"/>
        <w:rPr>
          <w:rFonts w:cs="Calibri"/>
        </w:rPr>
      </w:pPr>
      <w:r>
        <w:rPr>
          <w:rStyle w:val="FootnoteReference"/>
          <w:rFonts w:cs="Calibri"/>
        </w:rPr>
        <w:footnoteRef/>
      </w:r>
      <w:r>
        <w:rPr>
          <w:rFonts w:cs="Calibri"/>
        </w:rPr>
        <w:t xml:space="preserve"> </w:t>
      </w:r>
      <w:r>
        <w:rPr>
          <w:rFonts w:cs="Calibri"/>
        </w:rPr>
        <w:tab/>
        <w:t>Webb, L., Butter, M.: ‘Insolve</w:t>
      </w:r>
      <w:r>
        <w:rPr>
          <w:rFonts w:cs="Calibri"/>
        </w:rPr>
        <w:t>ncy Proceedings: Shopping for the best forum’ (2009) (available at: www. practicallaw.com).</w:t>
      </w:r>
    </w:p>
  </w:footnote>
  <w:footnote w:id="107">
    <w:p w:rsidR="00B32D69" w:rsidRDefault="00FB661A">
      <w:pPr>
        <w:pStyle w:val="FootnoteText"/>
      </w:pPr>
      <w:r>
        <w:rPr>
          <w:rStyle w:val="FootnoteReference"/>
        </w:rPr>
        <w:footnoteRef/>
      </w:r>
      <w:r>
        <w:t xml:space="preserve"> </w:t>
      </w:r>
      <w:r>
        <w:tab/>
        <w:t>Another example of less formalised proceedings are so-called pre-packaged proceedings (abbreviated as pre-packs). In Europe, the practice of pre-packs has been l</w:t>
      </w:r>
      <w:r>
        <w:t>argely confined to the UK, France, the Netherlands and, to a certain extent, Greece, Ireland and Slovenia. Moreover, pre-packs have tended to take the form of pre-packaged asset sales rather than pre-packaged restructurings. In many other EU countries, pre</w:t>
      </w:r>
      <w:r>
        <w:t>-packs, while not strictly speaking prohibited, are rarely, if at all, encountered in practice. The lesson however, from the experience in the UK and Netherlands, as well as also the US, where the practice originated, is that pre-packs are potentially a va</w:t>
      </w:r>
      <w:r>
        <w:t>luable tool for preserving going concern value and maximising returns from the debtor’s estate (Study on a new approach to business failure and insolvency, University of Leeds, January 2016, p. 204).</w:t>
      </w:r>
    </w:p>
  </w:footnote>
  <w:footnote w:id="108">
    <w:p w:rsidR="00B32D69" w:rsidRDefault="00FB661A">
      <w:pPr>
        <w:pStyle w:val="FootnoteText"/>
        <w:rPr>
          <w:sz w:val="16"/>
          <w:szCs w:val="16"/>
        </w:rPr>
      </w:pPr>
      <w:r>
        <w:rPr>
          <w:rStyle w:val="FootnoteReference"/>
          <w:szCs w:val="16"/>
        </w:rPr>
        <w:footnoteRef/>
      </w:r>
      <w:r>
        <w:rPr>
          <w:sz w:val="16"/>
          <w:szCs w:val="16"/>
        </w:rPr>
        <w:t xml:space="preserve"> </w:t>
      </w:r>
      <w:r>
        <w:rPr>
          <w:sz w:val="16"/>
          <w:szCs w:val="16"/>
        </w:rPr>
        <w:tab/>
      </w:r>
      <w:r>
        <w:t xml:space="preserve">Insolvency practitioners, public authorities and </w:t>
      </w:r>
      <w:r>
        <w:t>creditors’ and debtors’ associations consulted as part of this study provided different figures on the difference between domestic proceeding costs and cross-border proceeding costs. Some assumed domestic and cross-border proceedings to be equally expensiv</w:t>
      </w:r>
      <w:r>
        <w:t>e for creditors and debtors, while other reported an increase in proceeding costs of between 10 and 50% for cross-border proceedings compared with domestic proceedings. One outlying data points indicates a 10-time increase for cross-border proceedings cost</w:t>
      </w:r>
      <w:r>
        <w:t>s compared with domestic proceeding costs. (Impact assessment study on policy options for a new initiative on minimum standards in insolvency and restructuring law, Final Report, VVA/ JIIP/ DTI/ Grimaldi consortium, November 2016).</w:t>
      </w:r>
    </w:p>
  </w:footnote>
  <w:footnote w:id="109">
    <w:p w:rsidR="00B32D69" w:rsidRDefault="00FB661A">
      <w:pPr>
        <w:pStyle w:val="FootnoteText"/>
      </w:pPr>
      <w:r>
        <w:rPr>
          <w:rStyle w:val="FootnoteReference"/>
        </w:rPr>
        <w:footnoteRef/>
      </w:r>
      <w:r>
        <w:t xml:space="preserve"> </w:t>
      </w:r>
      <w:r>
        <w:tab/>
        <w:t>Impact assessment stu</w:t>
      </w:r>
      <w:r>
        <w:t>dy on policy options for a new initiative on minimum standards in insolvency and restructuring law, Final Report, VVA/ JIIP/ DTI/ Grimaldi consortium, November 2016.</w:t>
      </w:r>
    </w:p>
  </w:footnote>
  <w:footnote w:id="110">
    <w:p w:rsidR="00B32D69" w:rsidRDefault="00FB661A">
      <w:pPr>
        <w:pStyle w:val="FootnoteText"/>
      </w:pPr>
      <w:r>
        <w:rPr>
          <w:rStyle w:val="FootnoteReference"/>
        </w:rPr>
        <w:footnoteRef/>
      </w:r>
      <w:r>
        <w:t xml:space="preserve"> </w:t>
      </w:r>
      <w:r>
        <w:tab/>
        <w:t>For creditors, coordination costs relate mainly to legal fees for foreign lawyers. Thos</w:t>
      </w:r>
      <w:r>
        <w:t>e costs can prove extremely high, up to double the costs that would have been incurred under a purely domestic proceeding according to one insolvency practitioner in Austria. In practice, the amount of coordination costs depends on whether it is primary an</w:t>
      </w:r>
      <w:r>
        <w:t>d secondary proceedings. An interviewee from a Belgian bank indicated that coordination costs account for about 10% of the total proceeding costs. Coordination costs are mainly driven by the need to hire expertise and legal representation abroad and it can</w:t>
      </w:r>
      <w:r>
        <w:t xml:space="preserve"> therefore be assumed that coordination costs are proportionate to the number of insolvency regimes involved, with a 10% increase for every additional jurisdiction (Impact assessment study on policy options for a new initiative on minimum standards in inso</w:t>
      </w:r>
      <w:r>
        <w:t>lvency and restructuring law, Final Report, VVA/ JIIP/ DTI/ Grimaldi consortium, November 2016).</w:t>
      </w:r>
    </w:p>
  </w:footnote>
  <w:footnote w:id="111">
    <w:p w:rsidR="00B32D69" w:rsidRDefault="00FB661A">
      <w:pPr>
        <w:pStyle w:val="FootnoteText"/>
      </w:pPr>
      <w:r>
        <w:rPr>
          <w:rStyle w:val="FootnoteReference"/>
        </w:rPr>
        <w:footnoteRef/>
      </w:r>
      <w:r>
        <w:t xml:space="preserve"> </w:t>
      </w:r>
      <w:r>
        <w:tab/>
        <w:t xml:space="preserve">Robert van Galen, Stephan Madaus, </w:t>
      </w:r>
      <w:r>
        <w:rPr>
          <w:i/>
        </w:rPr>
        <w:t xml:space="preserve">Corporate Rescue, </w:t>
      </w:r>
      <w:r>
        <w:t>2013, p. 52.</w:t>
      </w:r>
    </w:p>
  </w:footnote>
  <w:footnote w:id="112">
    <w:p w:rsidR="00B32D69" w:rsidRDefault="00FB661A">
      <w:pPr>
        <w:pStyle w:val="FootnoteText"/>
      </w:pPr>
      <w:r>
        <w:rPr>
          <w:rStyle w:val="FootnoteReference"/>
        </w:rPr>
        <w:footnoteRef/>
      </w:r>
      <w:r>
        <w:t xml:space="preserve"> </w:t>
      </w:r>
      <w:r>
        <w:tab/>
      </w:r>
      <w:r>
        <w:rPr>
          <w:lang w:eastAsia="en-GB"/>
        </w:rPr>
        <w:t>2007 Eurobarometer survey.</w:t>
      </w:r>
    </w:p>
  </w:footnote>
  <w:footnote w:id="113">
    <w:p w:rsidR="00B32D69" w:rsidRDefault="00FB661A">
      <w:pPr>
        <w:pStyle w:val="FootnoteText"/>
      </w:pPr>
      <w:r>
        <w:rPr>
          <w:rStyle w:val="FootnoteReference"/>
        </w:rPr>
        <w:footnoteRef/>
      </w:r>
      <w:r>
        <w:t xml:space="preserve"> </w:t>
      </w:r>
      <w:r>
        <w:tab/>
      </w:r>
      <w:r>
        <w:rPr>
          <w:lang w:eastAsia="en-GB"/>
        </w:rPr>
        <w:t xml:space="preserve">Internationalisation of European SMEs, EIM, report for DG </w:t>
      </w:r>
      <w:r>
        <w:rPr>
          <w:lang w:eastAsia="en-GB"/>
        </w:rPr>
        <w:t>Enterprise and Industry.</w:t>
      </w:r>
    </w:p>
  </w:footnote>
  <w:footnote w:id="114">
    <w:p w:rsidR="00B32D69" w:rsidRDefault="00FB661A">
      <w:pPr>
        <w:pStyle w:val="FootnoteText"/>
        <w:ind w:left="0" w:firstLine="0"/>
      </w:pPr>
      <w:r>
        <w:rPr>
          <w:rStyle w:val="FootnoteReference"/>
        </w:rPr>
        <w:footnoteRef/>
      </w:r>
      <w:r>
        <w:t xml:space="preserve"> </w:t>
      </w:r>
      <w:r>
        <w:tab/>
        <w:t xml:space="preserve">Local District Court Cologne, Resolution of February 19, 2008 (73 IE 1/08), [2008] Zeitschrift für </w:t>
      </w:r>
    </w:p>
    <w:p w:rsidR="00B32D69" w:rsidRDefault="00FB661A">
      <w:pPr>
        <w:pStyle w:val="FootnoteText"/>
        <w:ind w:left="0" w:firstLine="720"/>
      </w:pPr>
      <w:r>
        <w:t>Wirtschaftsrecht 423</w:t>
      </w:r>
    </w:p>
  </w:footnote>
  <w:footnote w:id="115">
    <w:p w:rsidR="00B32D69" w:rsidRDefault="00FB661A">
      <w:pPr>
        <w:pStyle w:val="FootnoteText"/>
        <w:ind w:firstLine="0"/>
      </w:pPr>
      <w:r>
        <w:t>Schlaefer, G., ‘The International Insolvency Institute: International Insolvency Studies’ (2010) Forum Shop</w:t>
      </w:r>
      <w:r>
        <w:t xml:space="preserve">ping under the Regime of the European Insolvency Regulation (available at: </w:t>
      </w:r>
      <w:hyperlink r:id="rId12" w:history="1">
        <w:r>
          <w:rPr>
            <w:rStyle w:val="Hyperlink"/>
          </w:rPr>
          <w:t>http://www.iiiglobal.org/images/pdfs/georg_schlaefer.pdf</w:t>
        </w:r>
      </w:hyperlink>
      <w:r>
        <w:t>) 24</w:t>
      </w:r>
    </w:p>
  </w:footnote>
  <w:footnote w:id="116">
    <w:p w:rsidR="00B32D69" w:rsidRDefault="00FB661A">
      <w:pPr>
        <w:pStyle w:val="FootnoteText"/>
      </w:pPr>
      <w:r>
        <w:rPr>
          <w:rStyle w:val="FootnoteReference"/>
        </w:rPr>
        <w:footnoteRef/>
      </w:r>
      <w:r>
        <w:t xml:space="preserve"> </w:t>
      </w:r>
      <w:r>
        <w:tab/>
        <w:t>Upgrading the Single Market: more opportunit</w:t>
      </w:r>
      <w:r>
        <w:t>ies for people and business, European Commission, COM (2015) 550 final, p. 6.</w:t>
      </w:r>
    </w:p>
  </w:footnote>
  <w:footnote w:id="117">
    <w:p w:rsidR="00B32D69" w:rsidRDefault="00FB661A">
      <w:pPr>
        <w:pStyle w:val="FootnoteText"/>
        <w:ind w:left="709" w:hanging="709"/>
        <w:rPr>
          <w:lang w:val="en-US"/>
        </w:rPr>
      </w:pPr>
      <w:r>
        <w:rPr>
          <w:rStyle w:val="FootnoteReference"/>
        </w:rPr>
        <w:footnoteRef/>
      </w:r>
      <w:r>
        <w:rPr>
          <w:lang w:val="en-US"/>
        </w:rPr>
        <w:t xml:space="preserve"> </w:t>
      </w:r>
      <w:r>
        <w:rPr>
          <w:lang w:val="en-US"/>
        </w:rPr>
        <w:tab/>
        <w:t>Preliminary Report to the Insolvency Service into Outcomes in Company Voluntary Arrangements, prof. A.Walters, dr S.Frisby, Outcomes from the sample of CVAs commencing in 2006</w:t>
      </w:r>
    </w:p>
    <w:p w:rsidR="00B32D69" w:rsidRDefault="00FB661A">
      <w:pPr>
        <w:pStyle w:val="FootnoteText"/>
        <w:ind w:left="709" w:firstLine="0"/>
        <w:rPr>
          <w:lang w:val="en-US"/>
        </w:rPr>
      </w:pPr>
      <w:hyperlink r:id="rId13" w:history="1">
        <w:r>
          <w:rPr>
            <w:rStyle w:val="Hyperlink"/>
            <w:rFonts w:eastAsiaTheme="majorEastAsia"/>
          </w:rPr>
          <w:t>http://www.insolvencydirect.bis.gov.uk/insolvencyprofessionandlegislation/research/corpdocs/CVA-Report.pdf</w:t>
        </w:r>
      </w:hyperlink>
      <w:r>
        <w:rPr>
          <w:lang w:val="en-US"/>
        </w:rPr>
        <w:t xml:space="preserve"> </w:t>
      </w:r>
    </w:p>
  </w:footnote>
  <w:footnote w:id="118">
    <w:p w:rsidR="00B32D69" w:rsidRDefault="00FB661A">
      <w:pPr>
        <w:pStyle w:val="FootnoteText"/>
        <w:ind w:left="709" w:hanging="709"/>
      </w:pPr>
      <w:r>
        <w:rPr>
          <w:rStyle w:val="FootnoteReference"/>
        </w:rPr>
        <w:footnoteRef/>
      </w:r>
      <w:r>
        <w:t xml:space="preserve"> </w:t>
      </w:r>
      <w:r>
        <w:tab/>
        <w:t xml:space="preserve">Data provided by The </w:t>
      </w:r>
      <w:r>
        <w:t>Insolvency Service, UK</w:t>
      </w:r>
    </w:p>
  </w:footnote>
  <w:footnote w:id="119">
    <w:p w:rsidR="00B32D69" w:rsidRDefault="00FB661A">
      <w:pPr>
        <w:pStyle w:val="FootnoteText"/>
        <w:ind w:left="709" w:hanging="709"/>
      </w:pPr>
      <w:r>
        <w:rPr>
          <w:rStyle w:val="FootnoteReference"/>
        </w:rPr>
        <w:footnoteRef/>
      </w:r>
      <w:r>
        <w:t xml:space="preserve"> </w:t>
      </w:r>
      <w:r>
        <w:tab/>
        <w:t>(27%*839*£300000) – (27%*839 * £25000)= £62.2 m</w:t>
      </w:r>
    </w:p>
  </w:footnote>
  <w:footnote w:id="120">
    <w:p w:rsidR="00B32D69" w:rsidRDefault="00FB661A">
      <w:pPr>
        <w:pStyle w:val="FootnoteText"/>
        <w:ind w:left="709" w:hanging="709"/>
        <w:rPr>
          <w:lang w:val="en-US"/>
        </w:rPr>
      </w:pPr>
      <w:r>
        <w:rPr>
          <w:rStyle w:val="FootnoteReference"/>
        </w:rPr>
        <w:footnoteRef/>
      </w:r>
      <w:r>
        <w:t xml:space="preserve"> </w:t>
      </w:r>
      <w:r>
        <w:tab/>
      </w:r>
      <w:r>
        <w:rPr>
          <w:lang w:val="en-US"/>
        </w:rPr>
        <w:t>Companies House data, based on 500 records</w:t>
      </w:r>
    </w:p>
  </w:footnote>
  <w:footnote w:id="121">
    <w:p w:rsidR="00B32D69" w:rsidRDefault="00FB661A">
      <w:pPr>
        <w:pStyle w:val="FootnoteText"/>
        <w:ind w:left="709" w:hanging="709"/>
        <w:rPr>
          <w:lang w:val="en-US"/>
        </w:rPr>
      </w:pPr>
      <w:r>
        <w:rPr>
          <w:rStyle w:val="FootnoteReference"/>
        </w:rPr>
        <w:footnoteRef/>
      </w:r>
      <w:r>
        <w:t xml:space="preserve"> </w:t>
      </w:r>
      <w:r>
        <w:tab/>
      </w:r>
      <w:r>
        <w:rPr>
          <w:lang w:val="en-US" w:eastAsia="en-GB"/>
        </w:rPr>
        <w:t>This concerns</w:t>
      </w:r>
      <w:r>
        <w:rPr>
          <w:lang w:eastAsia="en-GB"/>
        </w:rPr>
        <w:t xml:space="preserve"> rescue cases</w:t>
      </w:r>
      <w:r>
        <w:rPr>
          <w:lang w:val="en-US" w:eastAsia="en-GB"/>
        </w:rPr>
        <w:t xml:space="preserve">. In wind down cases the average recovery is </w:t>
      </w:r>
      <w:r>
        <w:rPr>
          <w:lang w:eastAsia="en-GB"/>
        </w:rPr>
        <w:t>17%.</w:t>
      </w:r>
    </w:p>
  </w:footnote>
  <w:footnote w:id="122">
    <w:p w:rsidR="00B32D69" w:rsidRDefault="00FB661A">
      <w:pPr>
        <w:pStyle w:val="FootnoteText"/>
        <w:ind w:left="709" w:hanging="709"/>
        <w:rPr>
          <w:lang w:val="en-US"/>
        </w:rPr>
      </w:pPr>
      <w:r>
        <w:rPr>
          <w:rStyle w:val="FootnoteReference"/>
        </w:rPr>
        <w:footnoteRef/>
      </w:r>
      <w:r>
        <w:t xml:space="preserve"> </w:t>
      </w:r>
      <w:r>
        <w:tab/>
      </w:r>
      <w:r>
        <w:rPr>
          <w:lang w:val="en-US"/>
        </w:rPr>
        <w:t xml:space="preserve">The CVA seems to be also used as informal wind-down </w:t>
      </w:r>
      <w:r>
        <w:rPr>
          <w:lang w:val="en-US"/>
        </w:rPr>
        <w:t>device with the average return of 17% in wind down cases. This benefit was not included.</w:t>
      </w:r>
    </w:p>
  </w:footnote>
  <w:footnote w:id="123">
    <w:p w:rsidR="00B32D69" w:rsidRDefault="00FB661A">
      <w:pPr>
        <w:pStyle w:val="FootnoteText"/>
        <w:rPr>
          <w:lang w:val="en-US"/>
        </w:rPr>
      </w:pPr>
      <w:r>
        <w:rPr>
          <w:rStyle w:val="FootnoteReference"/>
        </w:rPr>
        <w:footnoteRef/>
      </w:r>
      <w:r>
        <w:t xml:space="preserve"> </w:t>
      </w:r>
      <w:r>
        <w:tab/>
      </w:r>
      <w:r>
        <w:rPr>
          <w:lang w:val="en-US"/>
        </w:rPr>
        <w:t xml:space="preserve">According to anecdotal evidence, the schemes of arrangement are becoming increasingly popular, see for example an article at </w:t>
      </w:r>
      <w:hyperlink r:id="rId14" w:history="1">
        <w:r>
          <w:rPr>
            <w:rStyle w:val="Hyperlink"/>
            <w:rFonts w:eastAsiaTheme="majorEastAsia"/>
            <w:lang w:val="en-US"/>
          </w:rPr>
          <w:t>http://www.thelawyer.com/the-rise-and-rise-of-schemes-of-arrangement/124768.article</w:t>
        </w:r>
      </w:hyperlink>
      <w:r>
        <w:rPr>
          <w:lang w:val="en-US"/>
        </w:rPr>
        <w:t xml:space="preserve"> </w:t>
      </w:r>
    </w:p>
  </w:footnote>
  <w:footnote w:id="124">
    <w:p w:rsidR="00B32D69" w:rsidRDefault="00FB661A">
      <w:pPr>
        <w:pStyle w:val="FootnoteText"/>
        <w:rPr>
          <w:lang w:val="en-US"/>
        </w:rPr>
      </w:pPr>
      <w:r>
        <w:rPr>
          <w:rStyle w:val="FootnoteReference"/>
        </w:rPr>
        <w:footnoteRef/>
      </w:r>
      <w:r>
        <w:t xml:space="preserve"> </w:t>
      </w:r>
      <w:r>
        <w:tab/>
        <w:t>14.7% (the share of UK in EU GDP) was scaled up to 44% (the share of Member States from Group 3 in EU GDP)</w:t>
      </w:r>
      <w:r>
        <w:rPr>
          <w:lang w:val="en-US"/>
        </w:rPr>
        <w:t xml:space="preserve"> (44%). Data on GDP shares is for 2012 as reported by the IMF.</w:t>
      </w:r>
    </w:p>
  </w:footnote>
  <w:footnote w:id="125">
    <w:p w:rsidR="00B32D69" w:rsidRDefault="00FB661A">
      <w:pPr>
        <w:pStyle w:val="ListBullet"/>
        <w:numPr>
          <w:ilvl w:val="0"/>
          <w:numId w:val="0"/>
        </w:numPr>
        <w:spacing w:before="0" w:after="0"/>
        <w:ind w:left="709" w:hanging="709"/>
        <w:rPr>
          <w:sz w:val="20"/>
          <w:szCs w:val="20"/>
        </w:rPr>
      </w:pPr>
      <w:r>
        <w:rPr>
          <w:rStyle w:val="FootnoteReference"/>
          <w:sz w:val="20"/>
          <w:szCs w:val="20"/>
        </w:rPr>
        <w:footnoteRef/>
      </w:r>
      <w:r>
        <w:rPr>
          <w:sz w:val="20"/>
          <w:szCs w:val="20"/>
        </w:rPr>
        <w:t xml:space="preserve"> </w:t>
      </w:r>
      <w:r>
        <w:rPr>
          <w:sz w:val="20"/>
          <w:szCs w:val="20"/>
        </w:rPr>
        <w:tab/>
        <w:t>Impact Assessment on encouraging company rescue - consultation, UK (</w:t>
      </w:r>
      <w:r>
        <w:rPr>
          <w:sz w:val="20"/>
          <w:szCs w:val="20"/>
          <w:lang w:eastAsia="en-GB"/>
        </w:rPr>
        <w:t>Informal figures sourced from the insolvency profession</w:t>
      </w:r>
      <w:r>
        <w:rPr>
          <w:sz w:val="20"/>
          <w:szCs w:val="20"/>
        </w:rPr>
        <w:t xml:space="preserve">), </w:t>
      </w:r>
      <w:hyperlink r:id="rId15" w:history="1">
        <w:r>
          <w:rPr>
            <w:rStyle w:val="Hyperlink"/>
            <w:rFonts w:eastAsiaTheme="majorEastAsia"/>
            <w:sz w:val="20"/>
            <w:szCs w:val="20"/>
          </w:rPr>
          <w:t>http://www.detini.gov.uk/encouraging_company_rescue_-_impact_assessment.pdf</w:t>
        </w:r>
      </w:hyperlink>
      <w:r>
        <w:rPr>
          <w:sz w:val="20"/>
          <w:szCs w:val="20"/>
        </w:rPr>
        <w:t xml:space="preserve"> </w:t>
      </w:r>
    </w:p>
  </w:footnote>
  <w:footnote w:id="126">
    <w:p w:rsidR="00B32D69" w:rsidRDefault="00FB661A">
      <w:pPr>
        <w:pStyle w:val="FootnoteText"/>
      </w:pPr>
      <w:r>
        <w:rPr>
          <w:rStyle w:val="FootnoteReference"/>
        </w:rPr>
        <w:footnoteRef/>
      </w:r>
      <w:r>
        <w:t xml:space="preserve"> </w:t>
      </w:r>
      <w:r>
        <w:tab/>
        <w:t>Impact assessment study on policy options for a new initiative on minimum standards in insolvency and restructuring law, Final Report, VVA/ JIIP/ DT</w:t>
      </w:r>
      <w:r>
        <w:t>I/Grimaldi consortium, November 2016.</w:t>
      </w:r>
    </w:p>
  </w:footnote>
  <w:footnote w:id="127">
    <w:p w:rsidR="00B32D69" w:rsidRDefault="00FB661A">
      <w:pPr>
        <w:pStyle w:val="FootnoteText"/>
      </w:pPr>
      <w:r>
        <w:rPr>
          <w:rStyle w:val="FootnoteReference"/>
        </w:rPr>
        <w:footnoteRef/>
      </w:r>
      <w:r>
        <w:t xml:space="preserve"> </w:t>
      </w:r>
      <w:r>
        <w:tab/>
        <w:t>Ibid.</w:t>
      </w:r>
    </w:p>
  </w:footnote>
  <w:footnote w:id="128">
    <w:p w:rsidR="00B32D69" w:rsidRDefault="00FB661A">
      <w:pPr>
        <w:pStyle w:val="FootnoteText"/>
      </w:pPr>
      <w:r>
        <w:rPr>
          <w:rStyle w:val="FootnoteReference"/>
        </w:rPr>
        <w:footnoteRef/>
      </w:r>
      <w:r>
        <w:t xml:space="preserve"> </w:t>
      </w:r>
      <w:r>
        <w:tab/>
        <w:t>Proceedings cost have been estimated at national (for a sample of 6 Member States ) and EU level . Two different methods were used to compute total proceedings costs at EU level: (i) Method 1 – Method 1 rel</w:t>
      </w:r>
      <w:r>
        <w:t>ies on the assumption that the number of formal insolvencies (both SMEs and large companies) per year in the EU is equal to 0.7%  of all active businesses. In addition, formal domestic insolvency proceedings of SMEs (resp. large companies) are estimated to</w:t>
      </w:r>
      <w:r>
        <w:t xml:space="preserve"> account for 96%  (resp. 95%) of all formal insolvency proceedings. The number of active SMEs (incl. entrepreneurs) and large companies in the EU used in these calculations is 21,681,933 and 43,719, respectively . (ii) Method 2 - Method 2 relies on the ass</w:t>
      </w:r>
      <w:r>
        <w:t>umption that the number of formal insolvencies is proportionate to the number of businesses, with UK, CZ, LU, FR, BE and LU altogether reporting 76,327 SME insolvency proceedings (resp. 95 large company insolvency proceedings) and accounting for around 27.</w:t>
      </w:r>
      <w:r>
        <w:t>5% (resp. 29.5%) of all SMEs (resp. large companies) active in the EU.</w:t>
      </w:r>
    </w:p>
  </w:footnote>
  <w:footnote w:id="129">
    <w:p w:rsidR="00B32D69" w:rsidRDefault="00FB661A">
      <w:pPr>
        <w:pStyle w:val="FootnoteText"/>
      </w:pPr>
      <w:r>
        <w:rPr>
          <w:rStyle w:val="FootnoteReference"/>
        </w:rPr>
        <w:footnoteRef/>
      </w:r>
      <w:r>
        <w:t xml:space="preserve"> </w:t>
      </w:r>
      <w:r>
        <w:tab/>
        <w:t>Impact assessment study on policy options for a new initiative on minimum standards in insolvency and restructuring law, Final Report, VVA/ JIIP/ DTI/Grimaldi consortium, November 20</w:t>
      </w:r>
      <w:r>
        <w:t>16.</w:t>
      </w:r>
    </w:p>
  </w:footnote>
  <w:footnote w:id="130">
    <w:p w:rsidR="00B32D69" w:rsidRDefault="00FB661A">
      <w:pPr>
        <w:pStyle w:val="FootnoteText"/>
      </w:pPr>
      <w:r>
        <w:rPr>
          <w:rStyle w:val="FootnoteReference"/>
        </w:rPr>
        <w:footnoteRef/>
      </w:r>
      <w:r>
        <w:t xml:space="preserve"> </w:t>
      </w:r>
      <w:r>
        <w:tab/>
        <w:t>Ibid.</w:t>
      </w:r>
    </w:p>
  </w:footnote>
  <w:footnote w:id="131">
    <w:p w:rsidR="00B32D69" w:rsidRDefault="00FB661A">
      <w:pPr>
        <w:pStyle w:val="FootnoteText"/>
      </w:pPr>
      <w:r>
        <w:rPr>
          <w:rStyle w:val="FootnoteReference"/>
        </w:rPr>
        <w:footnoteRef/>
      </w:r>
      <w:r>
        <w:t xml:space="preserve"> </w:t>
      </w:r>
      <w:r>
        <w:tab/>
        <w:t>Flash Eurobarometer, Report Insolvency, no. 442, 2016.</w:t>
      </w:r>
    </w:p>
  </w:footnote>
  <w:footnote w:id="132">
    <w:p w:rsidR="00B32D69" w:rsidRDefault="00FB661A">
      <w:pPr>
        <w:pStyle w:val="FootnoteText"/>
      </w:pPr>
      <w:r>
        <w:rPr>
          <w:rStyle w:val="FootnoteReference"/>
        </w:rPr>
        <w:footnoteRef/>
      </w:r>
      <w:r>
        <w:t xml:space="preserve"> </w:t>
      </w:r>
      <w:r>
        <w:tab/>
      </w:r>
      <w:r>
        <w:rPr>
          <w:lang w:eastAsia="en-GB"/>
        </w:rPr>
        <w:t>2007 Eurobarometer survey.</w:t>
      </w:r>
    </w:p>
  </w:footnote>
  <w:footnote w:id="133">
    <w:p w:rsidR="00B32D69" w:rsidRDefault="00FB661A">
      <w:pPr>
        <w:pStyle w:val="FootnoteText"/>
      </w:pPr>
      <w:r>
        <w:rPr>
          <w:rStyle w:val="FootnoteReference"/>
        </w:rPr>
        <w:footnoteRef/>
      </w:r>
      <w:r>
        <w:t xml:space="preserve"> </w:t>
      </w:r>
      <w:r>
        <w:tab/>
      </w:r>
      <w:r>
        <w:rPr>
          <w:lang w:eastAsia="en-GB"/>
        </w:rPr>
        <w:t>Internationalisation of European SMEs, EIM, report for DG Enterprise and Industry.</w:t>
      </w:r>
    </w:p>
  </w:footnote>
  <w:footnote w:id="134">
    <w:p w:rsidR="00B32D69" w:rsidRDefault="00FB661A">
      <w:pPr>
        <w:pStyle w:val="FootnoteText"/>
      </w:pPr>
      <w:r>
        <w:rPr>
          <w:rStyle w:val="FootnoteReference"/>
        </w:rPr>
        <w:footnoteRef/>
      </w:r>
      <w:r>
        <w:t xml:space="preserve">  </w:t>
      </w:r>
      <w:r>
        <w:tab/>
        <w:t>Commission Staff Working Document, Impact Assessment accompanying</w:t>
      </w:r>
      <w:r>
        <w:t xml:space="preserve"> Commission Recommendation on a New Approach to Business Failure and Insolvency, SWD(2014) 61 final, 12.3.2014, p. 2.</w:t>
      </w:r>
    </w:p>
  </w:footnote>
  <w:footnote w:id="135">
    <w:p w:rsidR="00B32D69" w:rsidRDefault="00FB661A">
      <w:pPr>
        <w:pStyle w:val="FootnoteText"/>
      </w:pPr>
      <w:r>
        <w:rPr>
          <w:rStyle w:val="FootnoteReference"/>
        </w:rPr>
        <w:footnoteRef/>
      </w:r>
      <w:r>
        <w:t xml:space="preserve"> </w:t>
      </w:r>
      <w:r>
        <w:tab/>
        <w:t xml:space="preserve">Study on over-indebtedness of European households, </w:t>
      </w:r>
      <w:hyperlink r:id="rId16" w:history="1">
        <w:r>
          <w:rPr>
            <w:rStyle w:val="Hyperlink"/>
          </w:rPr>
          <w:t>http://ec.europa.eu/consumers/financial_services/reference_studies_documents/docs/part_1_synthesis_of_findings_en.pdf</w:t>
        </w:r>
      </w:hyperlink>
    </w:p>
  </w:footnote>
  <w:footnote w:id="136">
    <w:p w:rsidR="00B32D69" w:rsidRDefault="00FB661A">
      <w:pPr>
        <w:pStyle w:val="FootnoteText"/>
      </w:pPr>
      <w:r>
        <w:rPr>
          <w:rStyle w:val="FootnoteReference"/>
        </w:rPr>
        <w:footnoteRef/>
      </w:r>
      <w:r>
        <w:t xml:space="preserve"> </w:t>
      </w:r>
      <w:r>
        <w:tab/>
        <w:t>Not everyone could benefit from this possibility, in particular, vulnerable people an</w:t>
      </w:r>
      <w:r>
        <w:t xml:space="preserve">d younger businesses would be excluded. </w:t>
      </w:r>
    </w:p>
  </w:footnote>
  <w:footnote w:id="137">
    <w:p w:rsidR="00B32D69" w:rsidRDefault="00FB661A">
      <w:pPr>
        <w:pStyle w:val="FootnoteText"/>
      </w:pPr>
      <w:r>
        <w:rPr>
          <w:rStyle w:val="FootnoteReference"/>
        </w:rPr>
        <w:footnoteRef/>
      </w:r>
      <w:r>
        <w:t xml:space="preserve"> </w:t>
      </w:r>
      <w:r>
        <w:tab/>
        <w:t>Study on a new approach to business failure and insolvency, University of Leeds, January 2016, p. 382 and following.</w:t>
      </w:r>
    </w:p>
  </w:footnote>
  <w:footnote w:id="138">
    <w:p w:rsidR="00B32D69" w:rsidRDefault="00FB661A">
      <w:pPr>
        <w:pStyle w:val="FootnoteText"/>
      </w:pPr>
      <w:r>
        <w:rPr>
          <w:rStyle w:val="FootnoteReference"/>
        </w:rPr>
        <w:footnoteRef/>
      </w:r>
      <w:r>
        <w:t xml:space="preserve"> </w:t>
      </w:r>
      <w:r>
        <w:tab/>
        <w:t>Those negative impacts are indicated in the study on over-indebtedness of European household</w:t>
      </w:r>
      <w:r>
        <w:t>s</w:t>
      </w:r>
    </w:p>
  </w:footnote>
  <w:footnote w:id="139">
    <w:p w:rsidR="00B32D69" w:rsidRDefault="00FB661A">
      <w:pPr>
        <w:pStyle w:val="FootnoteText"/>
      </w:pPr>
      <w:r>
        <w:rPr>
          <w:rStyle w:val="FootnoteReference"/>
        </w:rPr>
        <w:footnoteRef/>
      </w:r>
      <w:r>
        <w:t xml:space="preserve"> </w:t>
      </w:r>
      <w:r>
        <w:tab/>
        <w:t>According to the data from EU-SILC 12% of European citizens were living in households without a bank account (Research note 3/2010 Financial exclusion in the EU New evidence from the EU-SILC special module).</w:t>
      </w:r>
    </w:p>
  </w:footnote>
  <w:footnote w:id="140">
    <w:p w:rsidR="00B32D69" w:rsidRDefault="00FB661A">
      <w:pPr>
        <w:pStyle w:val="FootnoteText"/>
      </w:pPr>
      <w:r>
        <w:rPr>
          <w:rStyle w:val="FootnoteReference"/>
        </w:rPr>
        <w:footnoteRef/>
      </w:r>
      <w:r>
        <w:t xml:space="preserve"> </w:t>
      </w:r>
      <w:r>
        <w:tab/>
        <w:t>Replies to the Green Paper of Retail Fin</w:t>
      </w:r>
      <w:r>
        <w:t xml:space="preserve">ancial Services, </w:t>
      </w:r>
      <w:hyperlink r:id="rId17" w:anchor="results" w:history="1">
        <w:r>
          <w:rPr>
            <w:rStyle w:val="Hyperlink"/>
            <w:rFonts w:eastAsiaTheme="majorEastAsia"/>
          </w:rPr>
          <w:t>http://ec.europa.eu/finance/consultations/2015/retail-financial-services/index_en.htm#results</w:t>
        </w:r>
      </w:hyperlink>
    </w:p>
  </w:footnote>
  <w:footnote w:id="141">
    <w:p w:rsidR="00B32D69" w:rsidRDefault="00FB661A">
      <w:pPr>
        <w:pStyle w:val="FootnoteText"/>
      </w:pPr>
      <w:r>
        <w:rPr>
          <w:rStyle w:val="FootnoteReference"/>
        </w:rPr>
        <w:footnoteRef/>
      </w:r>
      <w:r>
        <w:t xml:space="preserve"> </w:t>
      </w:r>
      <w:r>
        <w:tab/>
      </w:r>
      <w:hyperlink r:id="rId18" w:history="1">
        <w:r>
          <w:rPr>
            <w:rStyle w:val="Hyperlink"/>
            <w:rFonts w:eastAsiaTheme="majorEastAsia"/>
          </w:rPr>
          <w:t>http://ec.europa.eu/consumers/archive/rights/docs/final_rep_financial_services_2009.pdf</w:t>
        </w:r>
      </w:hyperlink>
    </w:p>
  </w:footnote>
  <w:footnote w:id="142">
    <w:p w:rsidR="00B32D69" w:rsidRDefault="00FB661A">
      <w:pPr>
        <w:pStyle w:val="FootnoteText"/>
      </w:pPr>
      <w:r>
        <w:rPr>
          <w:rStyle w:val="FootnoteReference"/>
        </w:rPr>
        <w:footnoteRef/>
      </w:r>
      <w:r>
        <w:t xml:space="preserve"> </w:t>
      </w:r>
      <w:r>
        <w:tab/>
      </w:r>
      <w:hyperlink r:id="rId19" w:history="1">
        <w:r>
          <w:rPr>
            <w:rStyle w:val="Hyperlink"/>
            <w:rFonts w:eastAsiaTheme="majorEastAsia"/>
          </w:rPr>
          <w:t>http://ec.europa.eu/consumers/archive/rights/docs/consumer_credit_market_study_en.pdf</w:t>
        </w:r>
      </w:hyperlink>
    </w:p>
  </w:footnote>
  <w:footnote w:id="143">
    <w:p w:rsidR="00B32D69" w:rsidRDefault="00FB661A">
      <w:pPr>
        <w:pStyle w:val="FootnoteText"/>
      </w:pPr>
      <w:r>
        <w:rPr>
          <w:rStyle w:val="FootnoteReference"/>
        </w:rPr>
        <w:footnoteRef/>
      </w:r>
      <w:r>
        <w:t xml:space="preserve"> </w:t>
      </w:r>
      <w:r>
        <w:tab/>
        <w:t>As reported in the Study on the functioning of consumer credit market in Europe, p.78, APR on consumer credits goes from 5% in F</w:t>
      </w:r>
      <w:r>
        <w:t>inland to 35% in Estonia.</w:t>
      </w:r>
    </w:p>
  </w:footnote>
  <w:footnote w:id="144">
    <w:p w:rsidR="00B32D69" w:rsidRDefault="00FB661A">
      <w:pPr>
        <w:pStyle w:val="FootnoteText"/>
        <w:ind w:left="567" w:hanging="567"/>
      </w:pPr>
      <w:r>
        <w:rPr>
          <w:rStyle w:val="FootnoteReference"/>
        </w:rPr>
        <w:footnoteRef/>
      </w:r>
      <w:r>
        <w:tab/>
        <w:t>Council Directive 98/59/EC of 20 July 1998 on the approximation of the laws of the Member States relating to collective redundancies, OJ L 225, 12.08.1998, p. 16.</w:t>
      </w:r>
    </w:p>
  </w:footnote>
  <w:footnote w:id="145">
    <w:p w:rsidR="00B32D69" w:rsidRDefault="00FB661A">
      <w:pPr>
        <w:spacing w:after="0" w:line="240" w:lineRule="auto"/>
        <w:ind w:left="567" w:hanging="567"/>
        <w:jc w:val="both"/>
        <w:rPr>
          <w:rFonts w:ascii="Times New Roman" w:hAnsi="Times New Roman" w:cs="Times New Roman"/>
          <w:sz w:val="20"/>
          <w:szCs w:val="20"/>
        </w:rPr>
      </w:pPr>
      <w:r>
        <w:rPr>
          <w:rStyle w:val="FootnoteReference"/>
          <w:rFonts w:ascii="Times New Roman" w:hAnsi="Times New Roman"/>
          <w:sz w:val="20"/>
          <w:szCs w:val="20"/>
        </w:rPr>
        <w:footnoteRef/>
      </w:r>
      <w:r>
        <w:rPr>
          <w:rFonts w:ascii="Times New Roman" w:hAnsi="Times New Roman" w:cs="Times New Roman"/>
          <w:sz w:val="20"/>
          <w:szCs w:val="20"/>
        </w:rPr>
        <w:tab/>
        <w:t xml:space="preserve">Council Directive 2001/23/EC of 12 March 2001 on the </w:t>
      </w:r>
      <w:r>
        <w:rPr>
          <w:rFonts w:ascii="Times New Roman" w:hAnsi="Times New Roman" w:cs="Times New Roman"/>
          <w:sz w:val="20"/>
          <w:szCs w:val="20"/>
        </w:rPr>
        <w:t>approximation of the laws of the Member States relating to the safeguarding of employees' rights in the event of transfers of undertakings, businesses or parts of undertakings or businesses, OJ L 82, 22.03.2001, p. 16.</w:t>
      </w:r>
    </w:p>
  </w:footnote>
  <w:footnote w:id="146">
    <w:p w:rsidR="00B32D69" w:rsidRDefault="00FB661A">
      <w:pPr>
        <w:spacing w:after="0" w:line="240" w:lineRule="auto"/>
        <w:ind w:left="567" w:hanging="567"/>
        <w:jc w:val="both"/>
        <w:rPr>
          <w:rFonts w:ascii="Times New Roman" w:hAnsi="Times New Roman" w:cs="Times New Roman"/>
          <w:sz w:val="20"/>
          <w:szCs w:val="20"/>
        </w:rPr>
      </w:pPr>
      <w:r>
        <w:rPr>
          <w:rStyle w:val="FootnoteReference"/>
          <w:rFonts w:ascii="Times New Roman" w:hAnsi="Times New Roman"/>
          <w:sz w:val="20"/>
          <w:szCs w:val="20"/>
        </w:rPr>
        <w:footnoteRef/>
      </w:r>
      <w:r>
        <w:rPr>
          <w:rFonts w:ascii="Times New Roman" w:hAnsi="Times New Roman" w:cs="Times New Roman"/>
          <w:sz w:val="20"/>
          <w:szCs w:val="20"/>
        </w:rPr>
        <w:tab/>
        <w:t>Directive 2002/14/EC of the Europea</w:t>
      </w:r>
      <w:r>
        <w:rPr>
          <w:rFonts w:ascii="Times New Roman" w:hAnsi="Times New Roman" w:cs="Times New Roman"/>
          <w:sz w:val="20"/>
          <w:szCs w:val="20"/>
        </w:rPr>
        <w:t>n Parliament and of the Council of 11 March 2002 establishing a general framework for informing and consulting employees in the European Community, OJ L 80, 23.3.2002, p. 29.</w:t>
      </w:r>
    </w:p>
  </w:footnote>
  <w:footnote w:id="147">
    <w:p w:rsidR="00B32D69" w:rsidRDefault="00FB661A">
      <w:pPr>
        <w:spacing w:after="0" w:line="240" w:lineRule="auto"/>
        <w:ind w:left="567" w:hanging="567"/>
        <w:jc w:val="both"/>
        <w:rPr>
          <w:rFonts w:ascii="Times New Roman" w:hAnsi="Times New Roman" w:cs="Times New Roman"/>
          <w:color w:val="000000"/>
          <w:spacing w:val="-1"/>
          <w:sz w:val="20"/>
          <w:szCs w:val="20"/>
        </w:rPr>
      </w:pPr>
      <w:r>
        <w:rPr>
          <w:rStyle w:val="FootnoteReference"/>
          <w:rFonts w:ascii="Times New Roman" w:hAnsi="Times New Roman"/>
          <w:sz w:val="20"/>
          <w:szCs w:val="20"/>
        </w:rPr>
        <w:footnoteRef/>
      </w:r>
      <w:r>
        <w:rPr>
          <w:rFonts w:ascii="Times New Roman" w:hAnsi="Times New Roman" w:cs="Times New Roman"/>
          <w:sz w:val="20"/>
          <w:szCs w:val="20"/>
          <w:lang w:val="en-US"/>
        </w:rPr>
        <w:tab/>
      </w:r>
      <w:r>
        <w:rPr>
          <w:rFonts w:ascii="Times New Roman" w:hAnsi="Times New Roman" w:cs="Times New Roman"/>
          <w:color w:val="000000"/>
          <w:spacing w:val="-1"/>
          <w:sz w:val="20"/>
          <w:szCs w:val="20"/>
        </w:rPr>
        <w:t>Directive 2008/94/EC of the European Parliament and of the Council of 22 Octobe</w:t>
      </w:r>
      <w:r>
        <w:rPr>
          <w:rFonts w:ascii="Times New Roman" w:hAnsi="Times New Roman" w:cs="Times New Roman"/>
          <w:color w:val="000000"/>
          <w:spacing w:val="-1"/>
          <w:sz w:val="20"/>
          <w:szCs w:val="20"/>
        </w:rPr>
        <w:t>r 2008 on the protection of employees in the event of the insolvency of their employer, OJ L 283, 28.10.2008, p. 36.</w:t>
      </w:r>
    </w:p>
  </w:footnote>
  <w:footnote w:id="148">
    <w:p w:rsidR="00B32D69" w:rsidRDefault="00FB661A">
      <w:pPr>
        <w:tabs>
          <w:tab w:val="left" w:pos="567"/>
        </w:tabs>
        <w:spacing w:after="0" w:line="240" w:lineRule="auto"/>
        <w:ind w:left="567" w:hanging="567"/>
        <w:jc w:val="both"/>
        <w:rPr>
          <w:rFonts w:ascii="Times New Roman" w:hAnsi="Times New Roman" w:cs="Times New Roman"/>
          <w:sz w:val="20"/>
          <w:szCs w:val="20"/>
        </w:rPr>
      </w:pPr>
      <w:r>
        <w:rPr>
          <w:rStyle w:val="FootnoteReference"/>
          <w:rFonts w:ascii="Times New Roman" w:hAnsi="Times New Roman"/>
          <w:sz w:val="20"/>
          <w:szCs w:val="20"/>
        </w:rPr>
        <w:footnoteRef/>
      </w:r>
      <w:r>
        <w:rPr>
          <w:rFonts w:ascii="Times New Roman" w:hAnsi="Times New Roman" w:cs="Times New Roman"/>
          <w:sz w:val="20"/>
          <w:szCs w:val="20"/>
        </w:rPr>
        <w:tab/>
        <w:t>Directive 2009/38/EC of the European Parliament and of the Council of 6 May 2009 on the establishment of a European Works council or a pr</w:t>
      </w:r>
      <w:r>
        <w:rPr>
          <w:rFonts w:ascii="Times New Roman" w:hAnsi="Times New Roman" w:cs="Times New Roman"/>
          <w:sz w:val="20"/>
          <w:szCs w:val="20"/>
        </w:rPr>
        <w:t>ocedure in Community-scale undertakings and community-scale groups of undertakings for the purpose of informing and consulting employees, OJ L 122, 16.5.2009, p.28.</w:t>
      </w:r>
    </w:p>
  </w:footnote>
  <w:footnote w:id="149">
    <w:p w:rsidR="00B32D69" w:rsidRDefault="00FB661A">
      <w:pPr>
        <w:pStyle w:val="FootnoteText"/>
        <w:ind w:left="567" w:hanging="567"/>
        <w:rPr>
          <w:rFonts w:cs="Calibri"/>
        </w:rPr>
      </w:pPr>
      <w:r>
        <w:rPr>
          <w:rStyle w:val="FootnoteReference"/>
        </w:rPr>
        <w:footnoteRef/>
      </w:r>
      <w:r>
        <w:t xml:space="preserve"> </w:t>
      </w:r>
      <w:r>
        <w:tab/>
        <w:t>Ringe, W-G.: Forum Shopping under the EU Insolvency Regulation, EBOR 9 (2008), p. 602.</w:t>
      </w:r>
    </w:p>
  </w:footnote>
  <w:footnote w:id="150">
    <w:p w:rsidR="00B32D69" w:rsidRDefault="00FB661A">
      <w:pPr>
        <w:pStyle w:val="FootnoteText"/>
      </w:pPr>
      <w:r>
        <w:rPr>
          <w:rStyle w:val="FootnoteReference"/>
        </w:rPr>
        <w:footnoteRef/>
      </w:r>
      <w:r>
        <w:t xml:space="preserve"> </w:t>
      </w:r>
      <w:r>
        <w:tab/>
        <w:t>Article 81 on judicial (cross-border) cooperation in civil matters is not an appropriate legal basis for measures of harmonisation of domestic procedures, which is the case here. There are already several precedents for measures of harmonisation of court</w:t>
      </w:r>
      <w:r>
        <w:t xml:space="preserve"> procedures adopted on the basis of Art. 114, e.g. the Injunctions Directive or the Directive on the enforcement of IP rights. Procedural measures adopted on the basis of Art. 81 have so far created an exhaustive, 29th regime, not a harmonisation (e.g. Eur</w:t>
      </w:r>
      <w:r>
        <w:t>opean order for payment procedure, European small claims procedure).</w:t>
      </w:r>
    </w:p>
  </w:footnote>
  <w:footnote w:id="151">
    <w:p w:rsidR="00B32D69" w:rsidRDefault="00FB661A">
      <w:pPr>
        <w:pStyle w:val="FootnoteText"/>
      </w:pPr>
      <w:r>
        <w:rPr>
          <w:rStyle w:val="FootnoteReference"/>
        </w:rPr>
        <w:footnoteRef/>
      </w:r>
      <w:r>
        <w:t xml:space="preserve"> </w:t>
      </w:r>
      <w:r>
        <w:tab/>
        <w:t>Commission Staff Working Document, Impact Assessment accompanying Commission Recommendation on a New Approach to Business Failure and Insolvency, SWD(2014) 61 final, 12.3.2014, p. 2.</w:t>
      </w:r>
    </w:p>
  </w:footnote>
  <w:footnote w:id="152">
    <w:p w:rsidR="00B32D69" w:rsidRDefault="00FB661A">
      <w:pPr>
        <w:pStyle w:val="FootnoteText"/>
      </w:pPr>
      <w:r>
        <w:rPr>
          <w:rStyle w:val="FootnoteReference"/>
        </w:rPr>
        <w:footnoteRef/>
      </w:r>
      <w:r>
        <w:t xml:space="preserve"> </w:t>
      </w:r>
      <w:r>
        <w:tab/>
        <w:t>Flash Eurobarometer, Report Insolvency, no. 442, 2016, para 1.</w:t>
      </w:r>
    </w:p>
  </w:footnote>
  <w:footnote w:id="153">
    <w:p w:rsidR="00B32D69" w:rsidRDefault="00FB661A">
      <w:pPr>
        <w:pStyle w:val="FootnoteText"/>
      </w:pPr>
      <w:r>
        <w:rPr>
          <w:rStyle w:val="FootnoteReference"/>
        </w:rPr>
        <w:footnoteRef/>
      </w:r>
      <w:r>
        <w:tab/>
        <w:t>Flash Eurobarometer, Report Insolvency, no. 442, 2016, para 2.</w:t>
      </w:r>
    </w:p>
  </w:footnote>
  <w:footnote w:id="154">
    <w:p w:rsidR="00B32D69" w:rsidRDefault="00FB661A">
      <w:pPr>
        <w:pStyle w:val="FootnoteText"/>
      </w:pPr>
      <w:r>
        <w:rPr>
          <w:rStyle w:val="FootnoteReference"/>
        </w:rPr>
        <w:footnoteRef/>
      </w:r>
      <w:r>
        <w:t xml:space="preserve"> </w:t>
      </w:r>
      <w:r>
        <w:tab/>
        <w:t xml:space="preserve">The European Small Business Alliance response to the public consultation of 2013, see Annex </w:t>
      </w:r>
    </w:p>
  </w:footnote>
  <w:footnote w:id="155">
    <w:p w:rsidR="00B32D69" w:rsidRDefault="00FB661A">
      <w:pPr>
        <w:pStyle w:val="FootnoteText"/>
      </w:pPr>
      <w:r>
        <w:rPr>
          <w:rStyle w:val="FootnoteReference"/>
        </w:rPr>
        <w:footnoteRef/>
      </w:r>
      <w:r>
        <w:t xml:space="preserve"> </w:t>
      </w:r>
      <w:r>
        <w:tab/>
        <w:t>COMMISSION STAFF WORKING DO</w:t>
      </w:r>
      <w:r>
        <w:t>CUMENT, Economic Analysis accompanying Action Plan on Building a Capital Markets Union, SWD(2015) 183 final, p. 75.</w:t>
      </w:r>
    </w:p>
  </w:footnote>
  <w:footnote w:id="156">
    <w:p w:rsidR="00B32D69" w:rsidRDefault="00FB661A">
      <w:pPr>
        <w:pStyle w:val="FootnoteText"/>
      </w:pPr>
      <w:r>
        <w:rPr>
          <w:rStyle w:val="FootnoteReference"/>
        </w:rPr>
        <w:footnoteRef/>
      </w:r>
      <w:r>
        <w:t xml:space="preserve"> </w:t>
      </w:r>
      <w:r>
        <w:tab/>
        <w:t>Several responses to the Green Paper consultation on a Capital Market Union pointed to the desirability of such a regime. (Feedback State</w:t>
      </w:r>
      <w:r>
        <w:t>ment on the Green Paper "Building a Capital Markets Union" (Question 29), SWD(2015) 184 final, 30.9.2015, p. 59 and foll.)</w:t>
      </w:r>
    </w:p>
  </w:footnote>
  <w:footnote w:id="157">
    <w:p w:rsidR="00B32D69" w:rsidRDefault="00FB661A">
      <w:pPr>
        <w:pStyle w:val="FootnoteText"/>
      </w:pPr>
      <w:r>
        <w:rPr>
          <w:rStyle w:val="FootnoteReference"/>
        </w:rPr>
        <w:footnoteRef/>
      </w:r>
      <w:r>
        <w:t xml:space="preserve"> </w:t>
      </w:r>
      <w:r>
        <w:tab/>
        <w:t xml:space="preserve">As opposed to Option 2, this option would leave national laws untouched. Jurisdiction would be established by the Insolvency </w:t>
      </w:r>
      <w:r>
        <w:t>Regulation on the basis of the COMI principle, but the law applicable to the proceedings would be the European procedure rather than the law of the COMI state (to make this possible, a modification of the Insolvency Regulation would be necessary).</w:t>
      </w:r>
    </w:p>
  </w:footnote>
  <w:footnote w:id="158">
    <w:p w:rsidR="00B32D69" w:rsidRDefault="00FB661A">
      <w:pPr>
        <w:pStyle w:val="FootnoteText"/>
      </w:pPr>
      <w:r>
        <w:rPr>
          <w:rStyle w:val="FootnoteReference"/>
        </w:rPr>
        <w:footnoteRef/>
      </w:r>
      <w:r>
        <w:t xml:space="preserve"> </w:t>
      </w:r>
      <w:r>
        <w:tab/>
        <w:t>See f</w:t>
      </w:r>
      <w:r>
        <w:t>or example the European Account Preservation Order, the European Small Claims Procedure, the European Enforcement Order.</w:t>
      </w:r>
    </w:p>
  </w:footnote>
  <w:footnote w:id="159">
    <w:p w:rsidR="00B32D69" w:rsidRDefault="00FB661A">
      <w:pPr>
        <w:pStyle w:val="FootnoteText"/>
      </w:pPr>
      <w:r>
        <w:rPr>
          <w:rStyle w:val="FootnoteReference"/>
        </w:rPr>
        <w:footnoteRef/>
      </w:r>
      <w:r>
        <w:t xml:space="preserve"> </w:t>
      </w:r>
      <w:r>
        <w:tab/>
        <w:t>The Commission Recommendation on restructuring and second chance may continue to inspire certain Member States to reform their laws,</w:t>
      </w:r>
      <w:r>
        <w:t xml:space="preserve"> but it would not achieve a level playing field in terms of restructuring opportunities. Furthermore, in those areas which were not covered by the Recommendation on restructuring and second chance, such as the treatment of shareholders or the provision of </w:t>
      </w:r>
      <w:r>
        <w:t>interim financing, there will be little guidance to Member States on common best practices. This would most likely lead to an entrenchment of a few differing regulatory models rather than to an EU-wide convergence.</w:t>
      </w:r>
    </w:p>
  </w:footnote>
  <w:footnote w:id="160">
    <w:p w:rsidR="00B32D69" w:rsidRDefault="00FB661A">
      <w:pPr>
        <w:pStyle w:val="FootnoteText"/>
      </w:pPr>
      <w:r>
        <w:rPr>
          <w:rStyle w:val="FootnoteReference"/>
        </w:rPr>
        <w:footnoteRef/>
      </w:r>
      <w:r>
        <w:t xml:space="preserve"> </w:t>
      </w:r>
      <w:r>
        <w:tab/>
        <w:t>At the same time, dissenting creditors</w:t>
      </w:r>
      <w:r>
        <w:t xml:space="preserve"> and shareholders could legitimately argue that their rights are lowered as compared to what they receive under otherwise applicable domestic procedures.</w:t>
      </w:r>
    </w:p>
  </w:footnote>
  <w:footnote w:id="161">
    <w:p w:rsidR="00B32D69" w:rsidRDefault="00FB661A">
      <w:pPr>
        <w:pStyle w:val="FootnoteText"/>
      </w:pPr>
      <w:r>
        <w:rPr>
          <w:rStyle w:val="FootnoteReference"/>
        </w:rPr>
        <w:footnoteRef/>
      </w:r>
      <w:r>
        <w:t xml:space="preserve"> </w:t>
      </w:r>
      <w:r>
        <w:tab/>
        <w:t>In order to work properly, a European procedure would have to be self-standing and make no or limit</w:t>
      </w:r>
      <w:r>
        <w:t>ed reference to national laws (there are similarities here with Option 2). Such a European procedure would likely be based on Article 81 TFEU, which means that Denmark will not be bound by it and that United Kingdom and Ireland would have an opt-in possibi</w:t>
      </w:r>
      <w:r>
        <w:t>lity, which means that the internal market would not anyways be covered in its entirety.</w:t>
      </w:r>
    </w:p>
  </w:footnote>
  <w:footnote w:id="162">
    <w:p w:rsidR="00B32D69" w:rsidRDefault="00FB661A">
      <w:pPr>
        <w:pStyle w:val="FootnoteText"/>
      </w:pPr>
      <w:r>
        <w:rPr>
          <w:rStyle w:val="FootnoteReference"/>
        </w:rPr>
        <w:footnoteRef/>
      </w:r>
      <w:r>
        <w:t xml:space="preserve"> </w:t>
      </w:r>
      <w:r>
        <w:tab/>
        <w:t>E.g. the European Order for Payment Procedure, the European Small Claims Procedure.</w:t>
      </w:r>
    </w:p>
  </w:footnote>
  <w:footnote w:id="163">
    <w:p w:rsidR="00B32D69" w:rsidRDefault="00FB661A">
      <w:pPr>
        <w:pStyle w:val="FootnoteText"/>
      </w:pPr>
      <w:r>
        <w:rPr>
          <w:rStyle w:val="FootnoteReference"/>
        </w:rPr>
        <w:footnoteRef/>
      </w:r>
      <w:r>
        <w:t xml:space="preserve"> </w:t>
      </w:r>
      <w:r>
        <w:tab/>
        <w:t>This alternative would also probably require a harmonisation of the procedure</w:t>
      </w:r>
      <w:r>
        <w:t>s themselves leading up to a discharge.</w:t>
      </w:r>
    </w:p>
  </w:footnote>
  <w:footnote w:id="164">
    <w:p w:rsidR="00B32D69" w:rsidRDefault="00FB661A">
      <w:pPr>
        <w:pStyle w:val="FootnoteText"/>
      </w:pPr>
      <w:r>
        <w:rPr>
          <w:rStyle w:val="FootnoteReference"/>
        </w:rPr>
        <w:footnoteRef/>
      </w:r>
      <w:r>
        <w:t xml:space="preserve"> </w:t>
      </w:r>
      <w:r>
        <w:tab/>
        <w:t>It would also be probably very difficult to agree on such a complex new instrument, given the links of insolvency law with connected areas of law, such as tax law, employment law, social security laws.</w:t>
      </w:r>
    </w:p>
  </w:footnote>
  <w:footnote w:id="165">
    <w:p w:rsidR="00B32D69" w:rsidRDefault="00FB661A">
      <w:pPr>
        <w:pStyle w:val="FootnoteText"/>
      </w:pPr>
      <w:r>
        <w:rPr>
          <w:rStyle w:val="FootnoteReference"/>
        </w:rPr>
        <w:footnoteRef/>
      </w:r>
      <w:r>
        <w:t xml:space="preserve"> </w:t>
      </w:r>
      <w:r>
        <w:tab/>
        <w:t>The 2014</w:t>
      </w:r>
      <w:r>
        <w:t xml:space="preserve"> Recommendation on restructuring and second chance was not coherently implemented across the EU due to its non-binding character.</w:t>
      </w:r>
    </w:p>
  </w:footnote>
  <w:footnote w:id="166">
    <w:p w:rsidR="00B32D69" w:rsidRDefault="00FB661A">
      <w:pPr>
        <w:pStyle w:val="FootnoteText"/>
      </w:pPr>
      <w:r>
        <w:rPr>
          <w:rStyle w:val="FootnoteReference"/>
        </w:rPr>
        <w:footnoteRef/>
      </w:r>
      <w:r>
        <w:t xml:space="preserve"> </w:t>
      </w:r>
      <w:r>
        <w:tab/>
        <w:t xml:space="preserve">Regulation (EU) 2016/679 of the European Parliament and of the Council on the protection of natural persons with regard to </w:t>
      </w:r>
      <w:r>
        <w:t>the processing of personal data and on the free movement of such data, and repealing Directive 95/46/EC, OJ L 119/1, 4.5.2016.</w:t>
      </w:r>
    </w:p>
  </w:footnote>
  <w:footnote w:id="167">
    <w:p w:rsidR="00B32D69" w:rsidRDefault="00FB661A">
      <w:pPr>
        <w:pStyle w:val="FootnoteText"/>
      </w:pPr>
      <w:r>
        <w:rPr>
          <w:rStyle w:val="FootnoteReference"/>
        </w:rPr>
        <w:footnoteRef/>
      </w:r>
      <w:r>
        <w:t xml:space="preserve"> </w:t>
      </w:r>
      <w:r>
        <w:tab/>
        <w:t>Since the adoption of the 2014 Recommendation on restructuring and second chance, several Member States introduced discharge p</w:t>
      </w:r>
      <w:r>
        <w:t>rocedures for the first time or shortened discharge periods under the existing procedures (see recent reforms in Spain, Romania, Hungary, Croatia or Poland).</w:t>
      </w:r>
    </w:p>
  </w:footnote>
  <w:footnote w:id="168">
    <w:p w:rsidR="00B32D69" w:rsidRDefault="00FB661A">
      <w:pPr>
        <w:pStyle w:val="FootnoteText"/>
      </w:pPr>
      <w:r>
        <w:rPr>
          <w:rStyle w:val="FootnoteReference"/>
        </w:rPr>
        <w:footnoteRef/>
      </w:r>
      <w:r>
        <w:t xml:space="preserve"> </w:t>
      </w:r>
      <w:r>
        <w:tab/>
        <w:t>Point 2.6 above.</w:t>
      </w:r>
    </w:p>
  </w:footnote>
  <w:footnote w:id="169">
    <w:p w:rsidR="00B32D69" w:rsidRDefault="00FB661A">
      <w:pPr>
        <w:autoSpaceDE w:val="0"/>
        <w:autoSpaceDN w:val="0"/>
        <w:adjustRightInd w:val="0"/>
        <w:spacing w:after="0" w:line="240" w:lineRule="auto"/>
        <w:ind w:left="709" w:hanging="709"/>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rPr>
        <w:tab/>
      </w:r>
      <w:r>
        <w:rPr>
          <w:rFonts w:ascii="Times New Roman" w:eastAsia="Times New Roman" w:hAnsi="Times New Roman" w:cs="Times New Roman"/>
          <w:sz w:val="20"/>
          <w:szCs w:val="20"/>
          <w:lang w:eastAsia="de-DE"/>
        </w:rPr>
        <w:t xml:space="preserve">Study on a new approach to business failure and insolvency – Comparative </w:t>
      </w:r>
      <w:r>
        <w:rPr>
          <w:rFonts w:ascii="Times New Roman" w:eastAsia="Times New Roman" w:hAnsi="Times New Roman" w:cs="Times New Roman"/>
          <w:sz w:val="20"/>
          <w:szCs w:val="20"/>
          <w:lang w:eastAsia="de-DE"/>
        </w:rPr>
        <w:t>legal analysis of the Member States' relevant provisions and practices (INSOL Europe, 2014).</w:t>
      </w:r>
    </w:p>
  </w:footnote>
  <w:footnote w:id="170">
    <w:p w:rsidR="00B32D69" w:rsidRDefault="00FB661A">
      <w:pPr>
        <w:pStyle w:val="FootnoteText"/>
      </w:pPr>
      <w:r>
        <w:rPr>
          <w:rStyle w:val="FootnoteReference"/>
        </w:rPr>
        <w:footnoteRef/>
      </w:r>
      <w:r>
        <w:t xml:space="preserve"> </w:t>
      </w:r>
      <w:r>
        <w:tab/>
        <w:t>18 Member States replied (AT, DE, EL, CZ, EE, MT, PL, SK, SE, SI, LT, LV, HU, FR, IT, IE, FI and BE), but several asked for their contributions to remain confid</w:t>
      </w:r>
      <w:r>
        <w:t>ential.</w:t>
      </w:r>
    </w:p>
  </w:footnote>
  <w:footnote w:id="171">
    <w:p w:rsidR="00B32D69" w:rsidRDefault="00FB661A">
      <w:pPr>
        <w:pStyle w:val="FootnoteText"/>
      </w:pPr>
      <w:r>
        <w:rPr>
          <w:rStyle w:val="FootnoteReference"/>
        </w:rPr>
        <w:footnoteRef/>
      </w:r>
      <w:r>
        <w:t xml:space="preserve"> </w:t>
      </w:r>
      <w:hyperlink r:id="rId20" w:history="1">
        <w:r>
          <w:rPr>
            <w:rStyle w:val="Hyperlink"/>
          </w:rPr>
          <w:t>https://www.gov.uk/government/uploads/system/uploads/attachment</w:t>
        </w:r>
        <w:r>
          <w:rPr>
            <w:rStyle w:val="Hyperlink"/>
          </w:rPr>
          <w:t>_data/file/525529/Consultation_stage_corporate_insolvency_consultation_Impact_Assessment_-_Mar_2016.pdf</w:t>
        </w:r>
      </w:hyperlink>
      <w:r>
        <w:t xml:space="preserve">. </w:t>
      </w:r>
    </w:p>
  </w:footnote>
  <w:footnote w:id="172">
    <w:p w:rsidR="00B32D69" w:rsidRDefault="00FB661A">
      <w:pPr>
        <w:pStyle w:val="FootnoteText"/>
      </w:pPr>
      <w:r>
        <w:rPr>
          <w:rStyle w:val="FootnoteReference"/>
        </w:rPr>
        <w:footnoteRef/>
      </w:r>
      <w:r>
        <w:t xml:space="preserve"> </w:t>
      </w:r>
      <w:r>
        <w:tab/>
      </w:r>
      <w:hyperlink r:id="rId21" w:history="1">
        <w:r>
          <w:rPr>
            <w:rStyle w:val="Hyperlink"/>
            <w:rFonts w:eastAsiaTheme="majorEastAsia"/>
          </w:rPr>
          <w:t>http://www-wds.worldbank.org/external/default/WDSContentServer/WDSP/IB/2013/02/26/000333037_20130226123527/Rendered/PDF/752400BRI0SMAR0urable0Results0FIXED.pdf</w:t>
        </w:r>
      </w:hyperlink>
    </w:p>
  </w:footnote>
  <w:footnote w:id="173">
    <w:p w:rsidR="00B32D69" w:rsidRDefault="00FB661A">
      <w:pPr>
        <w:pStyle w:val="FootnoteText"/>
      </w:pPr>
      <w:r>
        <w:rPr>
          <w:rStyle w:val="FootnoteReference"/>
        </w:rPr>
        <w:footnoteRef/>
      </w:r>
      <w:r>
        <w:t xml:space="preserve"> </w:t>
      </w:r>
      <w:r>
        <w:tab/>
      </w:r>
      <w:r>
        <w:rPr>
          <w:i/>
        </w:rPr>
        <w:t>A review of the corporate insolvency framework</w:t>
      </w:r>
      <w:r>
        <w:t>, UK Insolvency Se</w:t>
      </w:r>
      <w:r>
        <w:t xml:space="preserve">rvice, 1 March .2016, available at </w:t>
      </w:r>
      <w:hyperlink r:id="rId22" w:history="1">
        <w:r>
          <w:rPr>
            <w:rStyle w:val="Hyperlink"/>
            <w:rFonts w:eastAsiaTheme="majorEastAsia"/>
          </w:rPr>
          <w:t>https://www.gov.uk/government/uploads/</w:t>
        </w:r>
        <w:r>
          <w:rPr>
            <w:rStyle w:val="Hyperlink"/>
            <w:rFonts w:eastAsiaTheme="majorEastAsia"/>
          </w:rPr>
          <w:t>system/uploads/attachment_data/file/525529/Consultation_stage_corporate_insolvency_consultation_Impact_Assessment_-_Mar_2016.pdf</w:t>
        </w:r>
      </w:hyperlink>
      <w:r>
        <w:t xml:space="preserve"> </w:t>
      </w:r>
    </w:p>
  </w:footnote>
  <w:footnote w:id="174">
    <w:p w:rsidR="00B32D69" w:rsidRDefault="00FB661A">
      <w:pPr>
        <w:pStyle w:val="FootnoteText"/>
      </w:pPr>
      <w:r>
        <w:rPr>
          <w:rStyle w:val="FootnoteReference"/>
        </w:rPr>
        <w:footnoteRef/>
      </w:r>
      <w:r>
        <w:t xml:space="preserve"> </w:t>
      </w:r>
      <w:r>
        <w:tab/>
        <w:t>See Annex 2 on the analysis of the results of the performed public consultation.</w:t>
      </w:r>
    </w:p>
  </w:footnote>
  <w:footnote w:id="175">
    <w:p w:rsidR="00B32D69" w:rsidRDefault="00FB661A">
      <w:pPr>
        <w:pStyle w:val="FootnoteText"/>
      </w:pPr>
      <w:r>
        <w:rPr>
          <w:rStyle w:val="FootnoteReference"/>
        </w:rPr>
        <w:footnoteRef/>
      </w:r>
      <w:r>
        <w:t xml:space="preserve"> </w:t>
      </w:r>
      <w:r>
        <w:tab/>
        <w:t>Non-related party transactions are less</w:t>
      </w:r>
      <w:r>
        <w:t xml:space="preserve"> likely to be fraudulent and for this reason in almost all Member States there are shorter suspect periods in respect of such transactions.</w:t>
      </w:r>
    </w:p>
  </w:footnote>
  <w:footnote w:id="176">
    <w:p w:rsidR="00B32D69" w:rsidRDefault="00FB661A">
      <w:pPr>
        <w:pStyle w:val="FootnoteText"/>
      </w:pPr>
      <w:r>
        <w:rPr>
          <w:rStyle w:val="FootnoteReference"/>
        </w:rPr>
        <w:footnoteRef/>
      </w:r>
      <w:r>
        <w:t xml:space="preserve"> </w:t>
      </w:r>
      <w:r>
        <w:tab/>
        <w:t>No income, no asset (person). See Glossary in Annex 5.</w:t>
      </w:r>
    </w:p>
  </w:footnote>
  <w:footnote w:id="177">
    <w:p w:rsidR="00B32D69" w:rsidRDefault="00FB661A">
      <w:pPr>
        <w:pStyle w:val="FootnoteText"/>
      </w:pPr>
      <w:r>
        <w:rPr>
          <w:rStyle w:val="FootnoteReference"/>
        </w:rPr>
        <w:footnoteRef/>
      </w:r>
      <w:r>
        <w:t xml:space="preserve"> </w:t>
      </w:r>
      <w:r>
        <w:tab/>
        <w:t xml:space="preserve">Annual Report on European SMEs 2015/2016, SMEs as the </w:t>
      </w:r>
      <w:r>
        <w:t>engine of growth in 2016, SME Performance Review 2015/2016, March 2016, prepared for Directorate-General for Internal Market, Industry, Entrepreneurship and SMEs, p. 59.</w:t>
      </w:r>
    </w:p>
  </w:footnote>
  <w:footnote w:id="178">
    <w:p w:rsidR="00B32D69" w:rsidRDefault="00FB661A">
      <w:pPr>
        <w:pStyle w:val="FootnoteText"/>
        <w:rPr>
          <w:lang w:val="pt-PT"/>
        </w:rPr>
      </w:pPr>
      <w:r>
        <w:rPr>
          <w:rStyle w:val="FootnoteReference"/>
        </w:rPr>
        <w:footnoteRef/>
      </w:r>
      <w:r>
        <w:rPr>
          <w:lang w:val="pt-PT"/>
        </w:rPr>
        <w:t xml:space="preserve"> </w:t>
      </w:r>
      <w:r>
        <w:rPr>
          <w:lang w:val="pt-PT"/>
        </w:rPr>
        <w:tab/>
        <w:t>Idem, p. 65.</w:t>
      </w:r>
    </w:p>
  </w:footnote>
  <w:footnote w:id="179">
    <w:p w:rsidR="00B32D69" w:rsidRDefault="00FB661A">
      <w:pPr>
        <w:pStyle w:val="FootnoteText"/>
        <w:rPr>
          <w:lang w:val="pt-PT"/>
        </w:rPr>
      </w:pPr>
      <w:r>
        <w:rPr>
          <w:rStyle w:val="FootnoteReference"/>
        </w:rPr>
        <w:footnoteRef/>
      </w:r>
      <w:r>
        <w:rPr>
          <w:lang w:val="pt-PT"/>
        </w:rPr>
        <w:t xml:space="preserve"> </w:t>
      </w:r>
      <w:r>
        <w:rPr>
          <w:lang w:val="pt-PT"/>
        </w:rPr>
        <w:tab/>
        <w:t>Idem, p. 54.</w:t>
      </w:r>
    </w:p>
  </w:footnote>
  <w:footnote w:id="180">
    <w:p w:rsidR="00B32D69" w:rsidRDefault="00FB661A">
      <w:pPr>
        <w:pStyle w:val="FootnoteText"/>
        <w:rPr>
          <w:lang w:val="pt-PT"/>
        </w:rPr>
      </w:pPr>
      <w:r>
        <w:rPr>
          <w:rStyle w:val="FootnoteReference"/>
        </w:rPr>
        <w:footnoteRef/>
      </w:r>
      <w:r>
        <w:rPr>
          <w:lang w:val="pt-PT"/>
        </w:rPr>
        <w:t xml:space="preserve"> </w:t>
      </w:r>
      <w:r>
        <w:rPr>
          <w:lang w:val="pt-PT"/>
        </w:rPr>
        <w:tab/>
        <w:t>Idem, p. 66.</w:t>
      </w:r>
    </w:p>
  </w:footnote>
  <w:footnote w:id="181">
    <w:p w:rsidR="00B32D69" w:rsidRDefault="00FB661A">
      <w:pPr>
        <w:pStyle w:val="FootnoteText"/>
      </w:pPr>
      <w:r>
        <w:rPr>
          <w:rStyle w:val="FootnoteReference"/>
        </w:rPr>
        <w:footnoteRef/>
      </w:r>
      <w:r>
        <w:t xml:space="preserve"> </w:t>
      </w:r>
      <w:r>
        <w:tab/>
        <w:t>Quoted by Annual Report on European</w:t>
      </w:r>
      <w:r>
        <w:t xml:space="preserve"> SMEs 2015/2016, p.62.</w:t>
      </w:r>
    </w:p>
  </w:footnote>
  <w:footnote w:id="182">
    <w:p w:rsidR="00B32D69" w:rsidRDefault="00FB661A">
      <w:pPr>
        <w:pStyle w:val="FootnoteText"/>
        <w:rPr>
          <w:lang w:val="en-US"/>
        </w:rPr>
      </w:pPr>
      <w:r>
        <w:rPr>
          <w:rStyle w:val="FootnoteReference"/>
        </w:rPr>
        <w:footnoteRef/>
      </w:r>
      <w:r>
        <w:t xml:space="preserve"> </w:t>
      </w:r>
      <w:r>
        <w:tab/>
        <w:t>This is defined as a situation where controllers of a company that becomes insolvent by reason of their acts or omissions are enabled to be relieved of their failure and debts and immediately re-establish themselves in a new enter</w:t>
      </w:r>
      <w:r>
        <w:t>prise effectively carrying on the same business and still availing of the privilege of limited liability.</w:t>
      </w:r>
    </w:p>
  </w:footnote>
  <w:footnote w:id="183">
    <w:p w:rsidR="00B32D69" w:rsidRDefault="00FB661A">
      <w:pPr>
        <w:pStyle w:val="FootnoteText"/>
      </w:pPr>
      <w:r>
        <w:rPr>
          <w:rStyle w:val="FootnoteReference"/>
        </w:rPr>
        <w:footnoteRef/>
      </w:r>
      <w:r>
        <w:t xml:space="preserve"> </w:t>
      </w:r>
      <w:r>
        <w:tab/>
        <w:t>Garrido, J. M., The Role of Personal Insolvency Law in Economic Development, An Introduction to the World Bank Report on the Treatment of the Insol</w:t>
      </w:r>
      <w:r>
        <w:t xml:space="preserve">vency of Natural Persons, World Bank, </w:t>
      </w:r>
      <w:hyperlink r:id="rId23" w:history="1">
        <w:r>
          <w:rPr>
            <w:rStyle w:val="Hyperlink"/>
            <w:rFonts w:eastAsiaTheme="majorEastAsia"/>
          </w:rPr>
          <w:t>http://elibrary.worldbank.org/doi/pdf/10.1596/978-1-4648-0037-5_ch5</w:t>
        </w:r>
      </w:hyperlink>
      <w:r>
        <w:t>, p. 124.</w:t>
      </w:r>
    </w:p>
  </w:footnote>
  <w:footnote w:id="184">
    <w:p w:rsidR="00B32D69" w:rsidRDefault="00FB661A">
      <w:pPr>
        <w:pStyle w:val="FootnoteText"/>
      </w:pPr>
      <w:r>
        <w:rPr>
          <w:rStyle w:val="FootnoteReference"/>
        </w:rPr>
        <w:footnoteRef/>
      </w:r>
      <w:r>
        <w:t xml:space="preserve"> </w:t>
      </w:r>
      <w:r>
        <w:tab/>
        <w:t>No income, no asset (person). See Glossary in Annex 5.</w:t>
      </w:r>
    </w:p>
  </w:footnote>
  <w:footnote w:id="185">
    <w:p w:rsidR="00B32D69" w:rsidRDefault="00FB661A">
      <w:pPr>
        <w:pStyle w:val="FootnoteText"/>
      </w:pPr>
      <w:r>
        <w:rPr>
          <w:rStyle w:val="FootnoteReference"/>
        </w:rPr>
        <w:footnoteRef/>
      </w:r>
      <w:r>
        <w:t xml:space="preserve"> </w:t>
      </w:r>
      <w:r>
        <w:tab/>
        <w:t xml:space="preserve">Garrido, J. M., The Role of Personal Insolvency Law in Economic Development, An Introduction to the World Bank Report on the Treatment of the Insolvency of Natural Persons, World Bank,, </w:t>
      </w:r>
      <w:hyperlink r:id="rId24" w:history="1">
        <w:r>
          <w:rPr>
            <w:rStyle w:val="Hyperlink"/>
            <w:rFonts w:eastAsiaTheme="majorEastAsia"/>
          </w:rPr>
          <w:t>http://elibrary.worldbank.org/doi/pdf/10.1596/978-1-4648-0037-5_ch5</w:t>
        </w:r>
      </w:hyperlink>
      <w:r>
        <w:t>, p. 124 and foll.</w:t>
      </w:r>
    </w:p>
  </w:footnote>
  <w:footnote w:id="186">
    <w:p w:rsidR="00B32D69" w:rsidRDefault="00FB661A">
      <w:pPr>
        <w:pStyle w:val="FootnoteText"/>
      </w:pPr>
      <w:r>
        <w:rPr>
          <w:rStyle w:val="FootnoteReference"/>
        </w:rPr>
        <w:footnoteRef/>
      </w:r>
      <w:r>
        <w:t xml:space="preserve"> </w:t>
      </w:r>
      <w:r>
        <w:tab/>
        <w:t xml:space="preserve">Working Group on the Treatment of the Insolvency of Natural Persons Report on the Treatment of the Insolvency of Natural Persons, World Bank, </w:t>
      </w:r>
      <w:hyperlink r:id="rId25" w:history="1">
        <w:r>
          <w:rPr>
            <w:rStyle w:val="Hyperlink"/>
            <w:rFonts w:eastAsiaTheme="majorEastAsia"/>
          </w:rPr>
          <w:t>http://siteresources.worldbank.org/INTGILD/Resources/WBInsolvencyOfNaturalPersonsReport_01_11_13.pdf</w:t>
        </w:r>
      </w:hyperlink>
      <w:r>
        <w:t>, p. 86.</w:t>
      </w:r>
    </w:p>
  </w:footnote>
  <w:footnote w:id="187">
    <w:p w:rsidR="00B32D69" w:rsidRDefault="00FB661A">
      <w:pPr>
        <w:pStyle w:val="FootnoteText"/>
      </w:pPr>
      <w:r>
        <w:rPr>
          <w:rStyle w:val="FootnoteReference"/>
        </w:rPr>
        <w:footnoteRef/>
      </w:r>
      <w:r>
        <w:t xml:space="preserve"> </w:t>
      </w:r>
      <w:r>
        <w:tab/>
      </w:r>
      <w:r>
        <w:rPr>
          <w:lang w:val="hu-HU"/>
        </w:rPr>
        <w:t xml:space="preserve">THE OVER-INDEBTEDNESS OF EUROPEAN </w:t>
      </w:r>
      <w:r>
        <w:rPr>
          <w:lang w:val="hu-HU"/>
        </w:rPr>
        <w:t>HOUSEHOLDS: UPDATED MAPPING OF THE SITUATION, NATURE AND CAUSES, EFFECTS AND INITIATIVES FOR ALLEVIATING ITS IMPACT, Report prepared by Civic Consulting of the Consumer Policy Evaluation Consortium (CPEC) for the European Commission (DG SANCO), Report publ</w:t>
      </w:r>
      <w:r>
        <w:rPr>
          <w:lang w:val="hu-HU"/>
        </w:rPr>
        <w:t xml:space="preserve">ished in 2014, p.167.  Available at: </w:t>
      </w:r>
      <w:hyperlink r:id="rId26" w:history="1">
        <w:r>
          <w:rPr>
            <w:rStyle w:val="Hyperlink"/>
            <w:lang w:val="hu-HU"/>
          </w:rPr>
          <w:t>http://ec.europa.eu/consumers/financial_services/reference_studies_documents/docs/par</w:t>
        </w:r>
        <w:r>
          <w:rPr>
            <w:rStyle w:val="Hyperlink"/>
            <w:lang w:val="hu-HU"/>
          </w:rPr>
          <w:t>t_1_synthesis_of_findings_en.pdf</w:t>
        </w:r>
      </w:hyperlink>
      <w:r>
        <w:rPr>
          <w:lang w:val="hu-HU"/>
        </w:rPr>
        <w:t>.</w:t>
      </w:r>
    </w:p>
  </w:footnote>
  <w:footnote w:id="188">
    <w:p w:rsidR="00B32D69" w:rsidRDefault="00FB661A">
      <w:pPr>
        <w:pStyle w:val="FootnoteText"/>
      </w:pPr>
      <w:r>
        <w:rPr>
          <w:rStyle w:val="FootnoteReference"/>
        </w:rPr>
        <w:footnoteRef/>
      </w:r>
      <w:r>
        <w:t xml:space="preserve"> </w:t>
      </w:r>
      <w:r>
        <w:tab/>
        <w:t>B</w:t>
      </w:r>
      <w:r>
        <w:rPr>
          <w:lang w:val="en-US"/>
        </w:rPr>
        <w:t>USINESSEUROPE, European Banking Federation (EBF) and European Mortgage Federation-European Covered Bond Council (EMF-ECBC).</w:t>
      </w:r>
    </w:p>
  </w:footnote>
  <w:footnote w:id="189">
    <w:p w:rsidR="00B32D69" w:rsidRDefault="00FB661A">
      <w:pPr>
        <w:pStyle w:val="FootnoteText"/>
      </w:pPr>
      <w:r>
        <w:rPr>
          <w:rStyle w:val="FootnoteReference"/>
        </w:rPr>
        <w:footnoteRef/>
      </w:r>
      <w:r>
        <w:t xml:space="preserve"> </w:t>
      </w:r>
      <w:r>
        <w:tab/>
        <w:t xml:space="preserve">Point 4 </w:t>
      </w:r>
      <w:r>
        <w:rPr>
          <w:i/>
        </w:rPr>
        <w:t>in fine</w:t>
      </w:r>
      <w:r>
        <w:t>.</w:t>
      </w:r>
    </w:p>
  </w:footnote>
  <w:footnote w:id="190">
    <w:p w:rsidR="00B32D69" w:rsidRDefault="00FB661A">
      <w:r>
        <w:rPr>
          <w:rStyle w:val="FootnoteReference"/>
        </w:rPr>
        <w:footnoteRef/>
      </w:r>
      <w:r>
        <w:t xml:space="preserve"> </w:t>
      </w:r>
      <w:r>
        <w:tab/>
      </w:r>
      <w:r>
        <w:rPr>
          <w:rStyle w:val="FootnoteTextChar"/>
          <w:rFonts w:eastAsiaTheme="minorHAnsi"/>
        </w:rPr>
        <w:t>Flash EB 422 of 2016 on Domestic and foreign claims of EU businesses sh</w:t>
      </w:r>
      <w:r>
        <w:rPr>
          <w:rStyle w:val="FootnoteTextChar"/>
          <w:rFonts w:eastAsiaTheme="minorHAnsi"/>
        </w:rPr>
        <w:t>ows that enforcement of foreign claims is relatively rare and rather for higher value of claims, which may suggest many low value claims are abandoned.</w:t>
      </w:r>
    </w:p>
  </w:footnote>
  <w:footnote w:id="191">
    <w:p w:rsidR="00B32D69" w:rsidRDefault="00FB661A">
      <w:pPr>
        <w:pStyle w:val="FootnoteText"/>
      </w:pPr>
      <w:r>
        <w:rPr>
          <w:rStyle w:val="FootnoteReference"/>
        </w:rPr>
        <w:footnoteRef/>
      </w:r>
      <w:r>
        <w:t xml:space="preserve"> </w:t>
      </w:r>
      <w:r>
        <w:tab/>
        <w:t>See Annex 6 Overview of Member States frameworks.</w:t>
      </w:r>
    </w:p>
  </w:footnote>
  <w:footnote w:id="192">
    <w:p w:rsidR="00B32D69" w:rsidRDefault="00FB661A">
      <w:pPr>
        <w:pStyle w:val="FootnoteText"/>
      </w:pPr>
      <w:r>
        <w:rPr>
          <w:rStyle w:val="FootnoteReference"/>
        </w:rPr>
        <w:footnoteRef/>
      </w:r>
      <w:r>
        <w:t xml:space="preserve"> </w:t>
      </w:r>
      <w:r>
        <w:tab/>
        <w:t>Annual Report on European SMEs 2015/2016, SMEs a</w:t>
      </w:r>
      <w:r>
        <w:t>s the engine of growth in 2016, SME Performance Review 2015/2016, March 2016, prepared for Directorate-General for Internal Market, Industry, Entrepreneurship and SMEs.</w:t>
      </w:r>
    </w:p>
  </w:footnote>
  <w:footnote w:id="193">
    <w:p w:rsidR="00B32D69" w:rsidRDefault="00FB661A">
      <w:pPr>
        <w:pStyle w:val="FootnoteText"/>
      </w:pPr>
      <w:r>
        <w:rPr>
          <w:rStyle w:val="FootnoteReference"/>
        </w:rPr>
        <w:footnoteRef/>
      </w:r>
      <w:r>
        <w:t xml:space="preserve"> </w:t>
      </w:r>
      <w:r>
        <w:tab/>
        <w:t>Flash Eurobarometer, Report Insolvency, no. 442, 2016.</w:t>
      </w:r>
    </w:p>
  </w:footnote>
  <w:footnote w:id="194">
    <w:p w:rsidR="00B32D69" w:rsidRDefault="00FB661A">
      <w:pPr>
        <w:pStyle w:val="FootnoteText"/>
      </w:pPr>
      <w:r>
        <w:rPr>
          <w:rStyle w:val="FootnoteReference"/>
        </w:rPr>
        <w:footnoteRef/>
      </w:r>
      <w:r>
        <w:t xml:space="preserve"> </w:t>
      </w:r>
      <w:r>
        <w:tab/>
        <w:t xml:space="preserve">Flash Eurobarometer 354, </w:t>
      </w:r>
      <w:r>
        <w:t>ENTREPRENEURSHIP IN THE EU AND BEYOND, June - August 2012.</w:t>
      </w:r>
    </w:p>
  </w:footnote>
  <w:footnote w:id="195">
    <w:p w:rsidR="00B32D69" w:rsidRDefault="00FB661A">
      <w:pPr>
        <w:pStyle w:val="FootnoteText"/>
      </w:pPr>
      <w:r>
        <w:rPr>
          <w:rStyle w:val="FootnoteReference"/>
        </w:rPr>
        <w:footnoteRef/>
      </w:r>
      <w:r>
        <w:t xml:space="preserve"> </w:t>
      </w:r>
      <w:r>
        <w:tab/>
        <w:t>Idem.</w:t>
      </w:r>
    </w:p>
  </w:footnote>
  <w:footnote w:id="196">
    <w:p w:rsidR="00B32D69" w:rsidRDefault="00FB661A">
      <w:pPr>
        <w:pStyle w:val="FootnoteText"/>
      </w:pPr>
      <w:r>
        <w:rPr>
          <w:rStyle w:val="FootnoteReference"/>
        </w:rPr>
        <w:footnoteRef/>
      </w:r>
      <w:r>
        <w:t xml:space="preserve"> </w:t>
      </w:r>
      <w:r>
        <w:tab/>
        <w:t xml:space="preserve">Annual Report on European SMEs 2015/2016, SMEs as the engine of growth in 2016, SME Performance Review 2015/2016, March 2016, prepared for Directorate-General for Internal Market, </w:t>
      </w:r>
      <w:r>
        <w:t>Industry, Entrepreneurship and SMEs, p. 63.</w:t>
      </w:r>
    </w:p>
  </w:footnote>
  <w:footnote w:id="197">
    <w:p w:rsidR="00B32D69" w:rsidRDefault="00FB661A">
      <w:pPr>
        <w:pStyle w:val="FootnoteText"/>
        <w:rPr>
          <w:lang w:val="cs-CZ"/>
        </w:rPr>
      </w:pPr>
      <w:r>
        <w:rPr>
          <w:rStyle w:val="FootnoteReference"/>
        </w:rPr>
        <w:footnoteRef/>
      </w:r>
      <w:r>
        <w:t xml:space="preserve"> </w:t>
      </w:r>
      <w:r>
        <w:tab/>
        <w:t>Ibid.</w:t>
      </w:r>
    </w:p>
  </w:footnote>
  <w:footnote w:id="198">
    <w:p w:rsidR="00B32D69" w:rsidRDefault="00FB661A">
      <w:pPr>
        <w:pStyle w:val="FootnoteText"/>
        <w:ind w:left="0" w:firstLine="0"/>
      </w:pPr>
      <w:r>
        <w:rPr>
          <w:rStyle w:val="FootnoteReference"/>
        </w:rPr>
        <w:footnoteRef/>
      </w:r>
      <w:r>
        <w:t xml:space="preserve"> </w:t>
      </w:r>
      <w:r>
        <w:tab/>
        <w:t xml:space="preserve">Bankruptcy codes and innovation, CEPR, May 2007, </w:t>
      </w:r>
      <w:hyperlink r:id="rId27" w:history="1">
        <w:r>
          <w:rPr>
            <w:rStyle w:val="Hyperlink"/>
            <w:rFonts w:eastAsiaTheme="majorEastAsia"/>
          </w:rPr>
          <w:t>http://www.cepr.org/pubs/dps/DP6307.asp</w:t>
        </w:r>
      </w:hyperlink>
      <w:r>
        <w:t xml:space="preserve"> </w:t>
      </w:r>
    </w:p>
  </w:footnote>
  <w:footnote w:id="199">
    <w:p w:rsidR="00B32D69" w:rsidRDefault="00FB661A">
      <w:pPr>
        <w:pStyle w:val="FootnoteText"/>
        <w:contextualSpacing/>
      </w:pPr>
      <w:r>
        <w:rPr>
          <w:rStyle w:val="FootnoteReference"/>
        </w:rPr>
        <w:footnoteRef/>
      </w:r>
      <w:r>
        <w:t xml:space="preserve"> </w:t>
      </w:r>
      <w:r>
        <w:tab/>
        <w:t xml:space="preserve">Burchell and Hughes, 2006, </w:t>
      </w:r>
      <w:r>
        <w:rPr>
          <w:i/>
        </w:rPr>
        <w:t>The Stigma of Failure: a</w:t>
      </w:r>
      <w:r>
        <w:rPr>
          <w:i/>
        </w:rPr>
        <w:t>n international comparison of failure tolerance and second chancing</w:t>
      </w:r>
      <w:r>
        <w:t>.</w:t>
      </w:r>
    </w:p>
  </w:footnote>
  <w:footnote w:id="200">
    <w:p w:rsidR="00B32D69" w:rsidRDefault="00FB661A">
      <w:pPr>
        <w:pStyle w:val="FootnoteText"/>
      </w:pPr>
      <w:r>
        <w:rPr>
          <w:rStyle w:val="FootnoteReference"/>
        </w:rPr>
        <w:footnoteRef/>
      </w:r>
      <w:r>
        <w:t xml:space="preserve"> </w:t>
      </w:r>
      <w:r>
        <w:tab/>
        <w:t>A 10 percentage point increase in expected recovery rate is associated with a 37 basis point fall in bond spread (Potential economic gains from reforming insolvency law in Europe, AFME</w:t>
      </w:r>
      <w:r>
        <w:t>, Frontier economics, Weil, February 2016, p. 34).</w:t>
      </w:r>
    </w:p>
  </w:footnote>
  <w:footnote w:id="201">
    <w:p w:rsidR="00B32D69" w:rsidRDefault="00FB661A">
      <w:pPr>
        <w:pStyle w:val="FootnoteText"/>
      </w:pPr>
      <w:r>
        <w:rPr>
          <w:rStyle w:val="FootnoteReference"/>
        </w:rPr>
        <w:footnoteRef/>
      </w:r>
      <w:r>
        <w:t xml:space="preserve"> </w:t>
      </w:r>
      <w:r>
        <w:tab/>
        <w:t>Annual Report on European SMEs 2015/2016, SMEs as the engine of growth in 2016, SME Performance Review 2015/2016, March 2016, prepared for Directorate-General for Internal Market, Industry, Entrepreneur</w:t>
      </w:r>
      <w:r>
        <w:t xml:space="preserve">ship and SMEs. According to another study, Additional employment in the EU28 would increase by between 600,000 jobs in the low scenario and 1.2 million jobs in the high scenario, see </w:t>
      </w:r>
      <w:r>
        <w:rPr>
          <w:i/>
        </w:rPr>
        <w:t>Potential economic gains from reforming insolvency law in Europe</w:t>
      </w:r>
      <w:r>
        <w:t>, AFME, F</w:t>
      </w:r>
      <w:r>
        <w:t>rontier economics, Weil, February 2016, p. 5.</w:t>
      </w:r>
    </w:p>
  </w:footnote>
  <w:footnote w:id="202">
    <w:p w:rsidR="00B32D69" w:rsidRDefault="00FB661A">
      <w:pPr>
        <w:pStyle w:val="FootnoteText"/>
        <w:rPr>
          <w:lang w:val="en-US"/>
        </w:rPr>
      </w:pPr>
      <w:r>
        <w:rPr>
          <w:rStyle w:val="FootnoteReference"/>
        </w:rPr>
        <w:footnoteRef/>
      </w:r>
      <w:r>
        <w:t xml:space="preserve"> </w:t>
      </w:r>
      <w:r>
        <w:tab/>
        <w:t xml:space="preserve">For example, the OECD indices on the number of insolvencies in "Entrepreneurship at a glance - 2015", or insolvency data published by Creditreform (2015). "Corporate insolvencies in Europe, 2014/15". As the </w:t>
      </w:r>
      <w:r>
        <w:t xml:space="preserve">data used relies on national sources, comparability is hampered by the fact that there can be discrepancies in the definition of insolvency and the criteria used for the construction of the statistics. </w:t>
      </w:r>
    </w:p>
  </w:footnote>
  <w:footnote w:id="203">
    <w:p w:rsidR="00B32D69" w:rsidRDefault="00FB661A">
      <w:pPr>
        <w:pStyle w:val="FootnoteText"/>
      </w:pPr>
      <w:r>
        <w:rPr>
          <w:rStyle w:val="FootnoteReference"/>
        </w:rPr>
        <w:footnoteRef/>
      </w:r>
      <w:r>
        <w:t xml:space="preserve"> </w:t>
      </w:r>
      <w:r>
        <w:tab/>
        <w:t xml:space="preserve">For example, it is currently not possible to find </w:t>
      </w:r>
      <w:r>
        <w:t>out from the national statistics on insolvency proceedings, where they exist, (i) whether a certain procedure is a secondary proceeding conducted in parallel to the main proceedings taking place in another EU Member State or purely a self-standing national</w:t>
      </w:r>
      <w:r>
        <w:t xml:space="preserve"> proceeding; or (ii) whether there is a non-domestic real asset (located in the EU) in the estate of the company subject to restructuring or presence of a non-domestic EU based creditor</w:t>
      </w:r>
    </w:p>
  </w:footnote>
  <w:footnote w:id="204">
    <w:p w:rsidR="00B32D69" w:rsidRDefault="00FB661A">
      <w:pPr>
        <w:pStyle w:val="FootnoteText"/>
      </w:pPr>
      <w:r>
        <w:rPr>
          <w:rStyle w:val="FootnoteReference"/>
        </w:rPr>
        <w:footnoteRef/>
      </w:r>
      <w:r>
        <w:t xml:space="preserve"> </w:t>
      </w:r>
      <w:r>
        <w:tab/>
        <w:t>For example, with respect to the Czech Republic the analysis made b</w:t>
      </w:r>
      <w:r>
        <w:t xml:space="preserve">y Insolcentrum available at: </w:t>
      </w:r>
      <w:hyperlink r:id="rId28" w:history="1">
        <w:r>
          <w:rPr>
            <w:rStyle w:val="Hyperlink"/>
            <w:rFonts w:eastAsiaTheme="majorEastAsia"/>
          </w:rPr>
          <w:t>http://www.insolcentrum.cz/kompletni-databaze-insolvencnich-rizeni</w:t>
        </w:r>
      </w:hyperlink>
      <w:r>
        <w:t>).</w:t>
      </w:r>
    </w:p>
  </w:footnote>
  <w:footnote w:id="205">
    <w:p w:rsidR="00B32D69" w:rsidRDefault="00FB661A">
      <w:pPr>
        <w:pStyle w:val="FootnoteText"/>
      </w:pPr>
      <w:r>
        <w:rPr>
          <w:rStyle w:val="FootnoteReference"/>
        </w:rPr>
        <w:footnoteRef/>
      </w:r>
      <w:r>
        <w:t xml:space="preserve"> </w:t>
      </w:r>
      <w:r>
        <w:tab/>
        <w:t>This lack of reliable data prevents comparisons and assessments on the s</w:t>
      </w:r>
      <w:r>
        <w:t>trengths on insolvency and restructuring frameworks of different Member States, in terms of costs and recovery rates.</w:t>
      </w:r>
    </w:p>
  </w:footnote>
  <w:footnote w:id="206">
    <w:p w:rsidR="00B32D69" w:rsidRDefault="00FB661A">
      <w:pPr>
        <w:pStyle w:val="FootnoteText"/>
      </w:pPr>
      <w:r>
        <w:rPr>
          <w:rStyle w:val="FootnoteReference"/>
        </w:rPr>
        <w:footnoteRef/>
      </w:r>
      <w:r>
        <w:t xml:space="preserve"> </w:t>
      </w:r>
      <w:r>
        <w:tab/>
        <w:t>Potential economic gains from reforming insolvency law in Europe, AFME, Frontier economics, Weil, February 2016, p. 6.</w:t>
      </w:r>
    </w:p>
  </w:footnote>
  <w:footnote w:id="207">
    <w:p w:rsidR="00B32D69" w:rsidRDefault="00FB661A">
      <w:pPr>
        <w:pStyle w:val="FootnoteText"/>
      </w:pPr>
      <w:r>
        <w:rPr>
          <w:rStyle w:val="FootnoteReference"/>
        </w:rPr>
        <w:footnoteRef/>
      </w:r>
      <w:r>
        <w:t xml:space="preserve"> </w:t>
      </w:r>
      <w:r>
        <w:tab/>
        <w:t>IMF: Euro Are</w:t>
      </w:r>
      <w:r>
        <w:t>a Policies – Selected Issues, IMF Country Report No. 15/205, July 2015, Euro Area Policies, IMF Country Report No. 15/2014, July 2015.</w:t>
      </w:r>
    </w:p>
  </w:footnote>
  <w:footnote w:id="208">
    <w:p w:rsidR="00B32D69" w:rsidRDefault="00FB661A">
      <w:pPr>
        <w:pStyle w:val="FootnoteText"/>
        <w:rPr>
          <w:sz w:val="16"/>
          <w:szCs w:val="16"/>
        </w:rPr>
      </w:pPr>
      <w:r>
        <w:rPr>
          <w:rStyle w:val="FootnoteReference"/>
          <w:sz w:val="16"/>
          <w:szCs w:val="16"/>
        </w:rPr>
        <w:footnoteRef/>
      </w:r>
      <w:r>
        <w:rPr>
          <w:sz w:val="16"/>
          <w:szCs w:val="16"/>
        </w:rPr>
        <w:t xml:space="preserve"> See Terms of Reference available at: http://ec.europa.eu/social/main.jsp?catId=624&amp;langId=en&amp;callId=387&amp;furtherCalls=ye</w:t>
      </w:r>
      <w:r>
        <w:rPr>
          <w:sz w:val="16"/>
          <w:szCs w:val="16"/>
        </w:rPr>
        <w:t>s</w:t>
      </w:r>
    </w:p>
  </w:footnote>
  <w:footnote w:id="209">
    <w:p w:rsidR="00B32D69" w:rsidRDefault="00FB661A">
      <w:pPr>
        <w:pStyle w:val="FootnoteText"/>
        <w:rPr>
          <w:lang w:val="hu-HU"/>
        </w:rPr>
      </w:pPr>
      <w:r>
        <w:rPr>
          <w:rStyle w:val="FootnoteReference"/>
        </w:rPr>
        <w:footnoteRef/>
      </w:r>
      <w:r>
        <w:t xml:space="preserve"> Association for Financial Markets in Europe</w:t>
      </w:r>
    </w:p>
  </w:footnote>
  <w:footnote w:id="210">
    <w:p w:rsidR="00B32D69" w:rsidRDefault="00FB661A">
      <w:pPr>
        <w:pStyle w:val="FootnoteText"/>
        <w:rPr>
          <w:lang w:val="hu-HU"/>
        </w:rPr>
      </w:pPr>
      <w:r>
        <w:rPr>
          <w:rStyle w:val="FootnoteReference"/>
        </w:rPr>
        <w:footnoteRef/>
      </w:r>
      <w:r>
        <w:t xml:space="preserve"> European Banking Federation</w:t>
      </w:r>
    </w:p>
  </w:footnote>
  <w:footnote w:id="211">
    <w:p w:rsidR="00B32D69" w:rsidRDefault="00FB661A">
      <w:pPr>
        <w:pStyle w:val="FootnoteText"/>
        <w:rPr>
          <w:lang w:val="hu-HU"/>
        </w:rPr>
      </w:pPr>
      <w:r>
        <w:rPr>
          <w:rStyle w:val="FootnoteReference"/>
        </w:rPr>
        <w:footnoteRef/>
      </w:r>
      <w:r>
        <w:t xml:space="preserve"> European Mortgage Federation – European Covered Bond Council </w:t>
      </w:r>
    </w:p>
  </w:footnote>
  <w:footnote w:id="212">
    <w:p w:rsidR="00B32D69" w:rsidRDefault="00FB661A">
      <w:pPr>
        <w:pStyle w:val="FootnoteText"/>
        <w:rPr>
          <w:lang w:val="hu-HU"/>
        </w:rPr>
      </w:pPr>
      <w:r>
        <w:rPr>
          <w:rStyle w:val="FootnoteReference"/>
        </w:rPr>
        <w:footnoteRef/>
      </w:r>
      <w:r>
        <w:t xml:space="preserve"> European Financial Inclusion Network</w:t>
      </w:r>
    </w:p>
  </w:footnote>
  <w:footnote w:id="213">
    <w:p w:rsidR="00B32D69" w:rsidRDefault="00FB661A">
      <w:pPr>
        <w:pStyle w:val="FootnoteText"/>
        <w:rPr>
          <w:lang w:val="hu-HU"/>
        </w:rPr>
      </w:pPr>
      <w:r>
        <w:rPr>
          <w:rStyle w:val="FootnoteReference"/>
        </w:rPr>
        <w:footnoteRef/>
      </w:r>
      <w:r>
        <w:t xml:space="preserve"> The Federation of German Industries </w:t>
      </w:r>
    </w:p>
  </w:footnote>
  <w:footnote w:id="214">
    <w:p w:rsidR="00B32D69" w:rsidRDefault="00FB661A">
      <w:pPr>
        <w:pStyle w:val="FootnoteText"/>
      </w:pPr>
      <w:r>
        <w:rPr>
          <w:rStyle w:val="FootnoteReference"/>
        </w:rPr>
        <w:footnoteRef/>
      </w:r>
      <w:r>
        <w:t xml:space="preserve"> The Association of European Chambe</w:t>
      </w:r>
      <w:r>
        <w:t>rs of Commerce and Industry</w:t>
      </w:r>
    </w:p>
  </w:footnote>
  <w:footnote w:id="215">
    <w:p w:rsidR="00B32D69" w:rsidRDefault="00FB661A">
      <w:pPr>
        <w:pStyle w:val="FootnoteText"/>
        <w:rPr>
          <w:lang w:val="fr-BE"/>
        </w:rPr>
      </w:pPr>
      <w:r>
        <w:rPr>
          <w:rStyle w:val="FootnoteReference"/>
        </w:rPr>
        <w:footnoteRef/>
      </w:r>
      <w:r>
        <w:rPr>
          <w:lang w:val="fr-BE"/>
        </w:rPr>
        <w:t xml:space="preserve"> Union Européenne de l’Artisanat et des Petites et Moyennes Entreprises</w:t>
      </w:r>
    </w:p>
  </w:footnote>
  <w:footnote w:id="216">
    <w:p w:rsidR="00B32D69" w:rsidRDefault="00FB661A">
      <w:pPr>
        <w:pStyle w:val="FootnoteText"/>
        <w:rPr>
          <w:lang w:val="hu-HU"/>
        </w:rPr>
      </w:pPr>
      <w:r>
        <w:rPr>
          <w:rStyle w:val="FootnoteReference"/>
        </w:rPr>
        <w:footnoteRef/>
      </w:r>
      <w:r>
        <w:t xml:space="preserve"> European Small Business Alliance</w:t>
      </w:r>
    </w:p>
  </w:footnote>
  <w:footnote w:id="217">
    <w:p w:rsidR="00B32D69" w:rsidRDefault="00FB661A">
      <w:pPr>
        <w:pStyle w:val="FootnoteText"/>
        <w:rPr>
          <w:lang w:val="hu-HU"/>
        </w:rPr>
      </w:pPr>
      <w:r>
        <w:rPr>
          <w:rStyle w:val="FootnoteReference"/>
        </w:rPr>
        <w:footnoteRef/>
      </w:r>
      <w:r>
        <w:t xml:space="preserve"> European Trade Union Confederation</w:t>
      </w:r>
    </w:p>
  </w:footnote>
  <w:footnote w:id="218">
    <w:p w:rsidR="00B32D69" w:rsidRDefault="00FB661A">
      <w:pPr>
        <w:pStyle w:val="FootnoteText"/>
        <w:rPr>
          <w:lang w:val="hu-HU"/>
        </w:rPr>
      </w:pPr>
      <w:r>
        <w:rPr>
          <w:rStyle w:val="FootnoteReference"/>
        </w:rPr>
        <w:footnoteRef/>
      </w:r>
      <w:r>
        <w:t xml:space="preserve"> Association of Chartered Certified Accountants</w:t>
      </w:r>
    </w:p>
  </w:footnote>
  <w:footnote w:id="219">
    <w:p w:rsidR="00B32D69" w:rsidRDefault="00FB661A">
      <w:pPr>
        <w:pStyle w:val="FootnoteText"/>
        <w:rPr>
          <w:lang w:val="hu-HU"/>
        </w:rPr>
      </w:pPr>
      <w:r>
        <w:rPr>
          <w:rStyle w:val="FootnoteReference"/>
        </w:rPr>
        <w:footnoteRef/>
      </w:r>
      <w:r>
        <w:t xml:space="preserve"> Federation of European Accountants</w:t>
      </w:r>
    </w:p>
  </w:footnote>
  <w:footnote w:id="220">
    <w:p w:rsidR="00B32D69" w:rsidRDefault="00FB661A">
      <w:pPr>
        <w:pStyle w:val="FootnoteText"/>
      </w:pPr>
      <w:r>
        <w:rPr>
          <w:rStyle w:val="FootnoteReference"/>
        </w:rPr>
        <w:footnoteRef/>
      </w:r>
      <w:r>
        <w:t xml:space="preserve"> International Bar Association</w:t>
      </w:r>
    </w:p>
  </w:footnote>
  <w:footnote w:id="221">
    <w:p w:rsidR="00B32D69" w:rsidRDefault="00FB661A">
      <w:pPr>
        <w:pStyle w:val="FootnoteText"/>
        <w:rPr>
          <w:lang w:val="hu-HU"/>
        </w:rPr>
      </w:pPr>
      <w:r>
        <w:rPr>
          <w:rStyle w:val="FootnoteReference"/>
        </w:rPr>
        <w:footnoteRef/>
      </w:r>
      <w:r>
        <w:t xml:space="preserve"> The Council of Bars and Law Societies of Europe</w:t>
      </w:r>
    </w:p>
  </w:footnote>
  <w:footnote w:id="222">
    <w:p w:rsidR="00B32D69" w:rsidRDefault="00FB661A">
      <w:pPr>
        <w:pStyle w:val="FootnoteText"/>
        <w:rPr>
          <w:lang w:val="fr-BE"/>
        </w:rPr>
      </w:pPr>
      <w:r>
        <w:rPr>
          <w:rStyle w:val="FootnoteReference"/>
        </w:rPr>
        <w:footnoteRef/>
      </w:r>
      <w:r>
        <w:rPr>
          <w:lang w:val="fr-BE"/>
        </w:rPr>
        <w:t xml:space="preserve"> Union Internationale des Avocats</w:t>
      </w:r>
    </w:p>
  </w:footnote>
  <w:footnote w:id="223">
    <w:p w:rsidR="00B32D69" w:rsidRDefault="00FB661A">
      <w:pPr>
        <w:pStyle w:val="FootnoteText"/>
        <w:rPr>
          <w:lang w:val="hu-HU"/>
        </w:rPr>
      </w:pPr>
      <w:r>
        <w:rPr>
          <w:rStyle w:val="FootnoteReference"/>
        </w:rPr>
        <w:footnoteRef/>
      </w:r>
      <w:r>
        <w:rPr>
          <w:lang w:val="fr-BE"/>
        </w:rPr>
        <w:t xml:space="preserve"> </w:t>
      </w:r>
      <w:r>
        <w:rPr>
          <w:lang w:val="hu-HU"/>
        </w:rPr>
        <w:t>Fondation pour le Droit Continental</w:t>
      </w:r>
    </w:p>
  </w:footnote>
  <w:footnote w:id="224">
    <w:p w:rsidR="00B32D69" w:rsidRDefault="00FB661A">
      <w:pPr>
        <w:pStyle w:val="FootnoteText"/>
        <w:rPr>
          <w:lang w:val="hu-HU"/>
        </w:rPr>
      </w:pPr>
      <w:r>
        <w:rPr>
          <w:rStyle w:val="FootnoteReference"/>
        </w:rPr>
        <w:footnoteRef/>
      </w:r>
      <w:r>
        <w:t>Federation of European National Collection Associations</w:t>
      </w:r>
    </w:p>
  </w:footnote>
  <w:footnote w:id="225">
    <w:p w:rsidR="00B32D69" w:rsidRDefault="00FB661A">
      <w:pPr>
        <w:pStyle w:val="FootnoteText"/>
        <w:rPr>
          <w:sz w:val="18"/>
          <w:szCs w:val="18"/>
        </w:rPr>
      </w:pPr>
      <w:r>
        <w:rPr>
          <w:rStyle w:val="FootnoteReference"/>
          <w:sz w:val="18"/>
          <w:szCs w:val="18"/>
        </w:rPr>
        <w:footnoteRef/>
      </w:r>
      <w:r>
        <w:rPr>
          <w:sz w:val="18"/>
          <w:szCs w:val="18"/>
        </w:rPr>
        <w:t xml:space="preserve"> EBF</w:t>
      </w:r>
    </w:p>
  </w:footnote>
  <w:footnote w:id="226">
    <w:p w:rsidR="00B32D69" w:rsidRDefault="00FB661A">
      <w:pPr>
        <w:pStyle w:val="FootnoteText"/>
        <w:rPr>
          <w:sz w:val="18"/>
          <w:szCs w:val="18"/>
          <w:lang w:val="en-US"/>
        </w:rPr>
      </w:pPr>
      <w:r>
        <w:rPr>
          <w:rStyle w:val="FootnoteReference"/>
          <w:sz w:val="18"/>
          <w:szCs w:val="18"/>
        </w:rPr>
        <w:footnoteRef/>
      </w:r>
      <w:r>
        <w:rPr>
          <w:sz w:val="18"/>
          <w:szCs w:val="18"/>
        </w:rPr>
        <w:t xml:space="preserve"> BBA, Loan Market Association, </w:t>
      </w:r>
    </w:p>
  </w:footnote>
  <w:footnote w:id="227">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Insolvency practitioners Association (UK)</w:t>
      </w:r>
    </w:p>
  </w:footnote>
  <w:footnote w:id="228">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IBA</w:t>
      </w:r>
    </w:p>
  </w:footnote>
  <w:footnote w:id="229">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EACB</w:t>
      </w:r>
    </w:p>
  </w:footnote>
  <w:footnote w:id="230">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ETUC</w:t>
      </w:r>
    </w:p>
  </w:footnote>
  <w:footnote w:id="231">
    <w:p w:rsidR="00B32D69" w:rsidRDefault="00FB661A">
      <w:pPr>
        <w:pStyle w:val="FootnoteText"/>
        <w:rPr>
          <w:sz w:val="18"/>
          <w:szCs w:val="18"/>
          <w:lang w:val="en-US"/>
        </w:rPr>
      </w:pPr>
      <w:r>
        <w:rPr>
          <w:rStyle w:val="FootnoteReference"/>
          <w:sz w:val="18"/>
          <w:szCs w:val="18"/>
        </w:rPr>
        <w:footnoteRef/>
      </w:r>
      <w:r>
        <w:rPr>
          <w:sz w:val="18"/>
          <w:szCs w:val="18"/>
        </w:rPr>
        <w:t xml:space="preserve"> Standard Life Capital Partners (UK)</w:t>
      </w:r>
    </w:p>
  </w:footnote>
  <w:footnote w:id="232">
    <w:p w:rsidR="00B32D69" w:rsidRDefault="00FB661A">
      <w:pPr>
        <w:pStyle w:val="FootnoteText"/>
        <w:rPr>
          <w:sz w:val="18"/>
          <w:szCs w:val="18"/>
        </w:rPr>
      </w:pPr>
      <w:r>
        <w:rPr>
          <w:rStyle w:val="FootnoteReference"/>
          <w:sz w:val="18"/>
          <w:szCs w:val="18"/>
        </w:rPr>
        <w:footnoteRef/>
      </w:r>
      <w:r>
        <w:rPr>
          <w:sz w:val="18"/>
          <w:szCs w:val="18"/>
        </w:rPr>
        <w:t xml:space="preserve"> KPMG</w:t>
      </w:r>
    </w:p>
  </w:footnote>
  <w:footnote w:id="233">
    <w:p w:rsidR="00B32D69" w:rsidRDefault="00FB661A">
      <w:pPr>
        <w:pStyle w:val="FootnoteText"/>
        <w:rPr>
          <w:sz w:val="18"/>
          <w:szCs w:val="18"/>
        </w:rPr>
      </w:pPr>
      <w:r>
        <w:rPr>
          <w:rStyle w:val="FootnoteReference"/>
          <w:sz w:val="18"/>
          <w:szCs w:val="18"/>
        </w:rPr>
        <w:footnoteRef/>
      </w:r>
      <w:r>
        <w:rPr>
          <w:sz w:val="18"/>
          <w:szCs w:val="18"/>
        </w:rPr>
        <w:t xml:space="preserve"> Deloitte</w:t>
      </w:r>
    </w:p>
  </w:footnote>
  <w:footnote w:id="234">
    <w:p w:rsidR="00B32D69" w:rsidRDefault="00FB661A">
      <w:pPr>
        <w:pStyle w:val="FootnoteText"/>
        <w:rPr>
          <w:sz w:val="18"/>
          <w:szCs w:val="18"/>
        </w:rPr>
      </w:pPr>
      <w:r>
        <w:rPr>
          <w:rStyle w:val="FootnoteReference"/>
          <w:sz w:val="18"/>
          <w:szCs w:val="18"/>
        </w:rPr>
        <w:footnoteRef/>
      </w:r>
      <w:r>
        <w:rPr>
          <w:sz w:val="18"/>
          <w:szCs w:val="18"/>
        </w:rPr>
        <w:t xml:space="preserve"> PwC</w:t>
      </w:r>
    </w:p>
  </w:footnote>
  <w:footnote w:id="235">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Finnish Bar Association</w:t>
      </w:r>
    </w:p>
  </w:footnote>
  <w:footnote w:id="236">
    <w:p w:rsidR="00B32D69" w:rsidRDefault="00FB661A">
      <w:pPr>
        <w:pStyle w:val="FootnoteText"/>
        <w:rPr>
          <w:sz w:val="18"/>
          <w:szCs w:val="18"/>
          <w:lang w:val="en-US"/>
        </w:rPr>
      </w:pPr>
      <w:r>
        <w:rPr>
          <w:rStyle w:val="FootnoteReference"/>
          <w:sz w:val="18"/>
          <w:szCs w:val="18"/>
        </w:rPr>
        <w:footnoteRef/>
      </w:r>
      <w:r>
        <w:rPr>
          <w:sz w:val="18"/>
          <w:szCs w:val="18"/>
        </w:rPr>
        <w:t xml:space="preserve"> Invest Europe, </w:t>
      </w:r>
      <w:r>
        <w:rPr>
          <w:sz w:val="18"/>
          <w:szCs w:val="18"/>
          <w:lang w:val="en-US"/>
        </w:rPr>
        <w:t>R3</w:t>
      </w:r>
    </w:p>
  </w:footnote>
  <w:footnote w:id="237">
    <w:p w:rsidR="00B32D69" w:rsidRDefault="00FB661A">
      <w:pPr>
        <w:pStyle w:val="FootnoteText"/>
        <w:rPr>
          <w:sz w:val="18"/>
          <w:szCs w:val="18"/>
          <w:lang w:val="en-US"/>
        </w:rPr>
      </w:pPr>
      <w:r>
        <w:rPr>
          <w:rStyle w:val="FootnoteReference"/>
          <w:sz w:val="18"/>
          <w:szCs w:val="18"/>
        </w:rPr>
        <w:footnoteRef/>
      </w:r>
      <w:r>
        <w:rPr>
          <w:sz w:val="18"/>
          <w:szCs w:val="18"/>
        </w:rPr>
        <w:t xml:space="preserve"> Standard life Capitals Partners (UK), ICAS, ICAEW, entrepreneur from Hungary, IBA</w:t>
      </w:r>
    </w:p>
  </w:footnote>
  <w:footnote w:id="238">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Unicredit, Barreau de Luxemburg</w:t>
      </w:r>
    </w:p>
  </w:footnote>
  <w:footnote w:id="239">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 xml:space="preserve">Clifford Chance LLP, academic from Germany, University of Bonn, ICAS, ICAEW, German banking industry committee, Loan Market Association, </w:t>
      </w:r>
      <w:r>
        <w:rPr>
          <w:sz w:val="18"/>
          <w:szCs w:val="18"/>
          <w:lang w:val="en-US"/>
        </w:rPr>
        <w:t>insolvency practitioners association (UK), ILA, Finnish bar association, Chamber of Trade for Munich and Upper Bavaria</w:t>
      </w:r>
    </w:p>
  </w:footnote>
  <w:footnote w:id="240">
    <w:p w:rsidR="00B32D69" w:rsidRDefault="00FB661A">
      <w:pPr>
        <w:pStyle w:val="FootnoteText"/>
        <w:rPr>
          <w:sz w:val="18"/>
          <w:szCs w:val="18"/>
        </w:rPr>
      </w:pPr>
      <w:r>
        <w:rPr>
          <w:rStyle w:val="FootnoteReference"/>
          <w:sz w:val="18"/>
          <w:szCs w:val="18"/>
        </w:rPr>
        <w:footnoteRef/>
      </w:r>
      <w:r>
        <w:rPr>
          <w:sz w:val="18"/>
          <w:szCs w:val="18"/>
        </w:rPr>
        <w:t xml:space="preserve"> Unizo, INSOL Europe</w:t>
      </w:r>
    </w:p>
  </w:footnote>
  <w:footnote w:id="241">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EBF, IBA</w:t>
      </w:r>
    </w:p>
  </w:footnote>
  <w:footnote w:id="242">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 xml:space="preserve">The City of London Law Society </w:t>
      </w:r>
    </w:p>
  </w:footnote>
  <w:footnote w:id="243">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German Banking Industry Committee</w:t>
      </w:r>
    </w:p>
  </w:footnote>
  <w:footnote w:id="244">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EUAPME</w:t>
      </w:r>
    </w:p>
  </w:footnote>
  <w:footnote w:id="245">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INSOL Europe, Bar Counc</w:t>
      </w:r>
      <w:r>
        <w:rPr>
          <w:sz w:val="18"/>
          <w:szCs w:val="18"/>
          <w:lang w:val="en-US"/>
        </w:rPr>
        <w:t>il of England and Wales</w:t>
      </w:r>
    </w:p>
  </w:footnote>
  <w:footnote w:id="246">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BBA, IBA</w:t>
      </w:r>
    </w:p>
  </w:footnote>
  <w:footnote w:id="247">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Financial Markets Law Committee</w:t>
      </w:r>
    </w:p>
  </w:footnote>
  <w:footnote w:id="248">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Insolvency Practitioners Association (UK), KPMG</w:t>
      </w:r>
    </w:p>
  </w:footnote>
  <w:footnote w:id="249">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Danish Mortgage Banks´ Federation</w:t>
      </w:r>
    </w:p>
  </w:footnote>
  <w:footnote w:id="250">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EBF</w:t>
      </w:r>
    </w:p>
  </w:footnote>
  <w:footnote w:id="251">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EUF, ICAEW, Academic from Germany, insolvency practitioner from Germany</w:t>
      </w:r>
    </w:p>
  </w:footnote>
  <w:footnote w:id="252">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 xml:space="preserve">EACB, German </w:t>
      </w:r>
      <w:r>
        <w:rPr>
          <w:sz w:val="18"/>
          <w:szCs w:val="18"/>
          <w:lang w:val="en-US"/>
        </w:rPr>
        <w:t>Institute for applied insolvency law (Hamburg University)</w:t>
      </w:r>
    </w:p>
  </w:footnote>
  <w:footnote w:id="253">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BBA</w:t>
      </w:r>
    </w:p>
  </w:footnote>
  <w:footnote w:id="254">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Insolvency lawyers association (UK)</w:t>
      </w:r>
    </w:p>
  </w:footnote>
  <w:footnote w:id="255">
    <w:p w:rsidR="00B32D69" w:rsidRDefault="00FB661A">
      <w:pPr>
        <w:pStyle w:val="FootnoteText"/>
        <w:rPr>
          <w:sz w:val="18"/>
          <w:szCs w:val="18"/>
          <w:lang w:val="en-US"/>
        </w:rPr>
      </w:pPr>
      <w:r>
        <w:rPr>
          <w:rStyle w:val="FootnoteReference"/>
          <w:sz w:val="18"/>
          <w:szCs w:val="18"/>
        </w:rPr>
        <w:footnoteRef/>
      </w:r>
      <w:r>
        <w:rPr>
          <w:sz w:val="18"/>
          <w:szCs w:val="18"/>
        </w:rPr>
        <w:t xml:space="preserve"> UEAPME, PMT/PME/MN</w:t>
      </w:r>
      <w:r>
        <w:rPr>
          <w:sz w:val="18"/>
          <w:szCs w:val="18"/>
          <w:lang w:val="en-US"/>
        </w:rPr>
        <w:t>, Bundesverband der Deutschen Industrie e.V., EBF, ACCA, BV ESUG, Association of lnsolvency Administrators (Germany), German Institute</w:t>
      </w:r>
      <w:r>
        <w:rPr>
          <w:sz w:val="18"/>
          <w:szCs w:val="18"/>
          <w:lang w:val="en-US"/>
        </w:rPr>
        <w:t xml:space="preserve"> for applied insolvency law (Hamburg University)</w:t>
      </w:r>
    </w:p>
  </w:footnote>
  <w:footnote w:id="256">
    <w:p w:rsidR="00B32D69" w:rsidRDefault="00FB661A">
      <w:pPr>
        <w:pStyle w:val="FootnoteText"/>
        <w:rPr>
          <w:sz w:val="18"/>
          <w:szCs w:val="18"/>
          <w:lang w:val="en-US"/>
        </w:rPr>
      </w:pPr>
      <w:r>
        <w:rPr>
          <w:rStyle w:val="FootnoteReference"/>
          <w:sz w:val="18"/>
          <w:szCs w:val="18"/>
        </w:rPr>
        <w:footnoteRef/>
      </w:r>
      <w:r>
        <w:rPr>
          <w:sz w:val="18"/>
          <w:szCs w:val="18"/>
        </w:rPr>
        <w:t xml:space="preserve"> Eurochambers, ACCA, </w:t>
      </w:r>
      <w:r>
        <w:rPr>
          <w:sz w:val="18"/>
          <w:szCs w:val="18"/>
          <w:lang w:val="en-US"/>
        </w:rPr>
        <w:t>Bar Council of England and Wales</w:t>
      </w:r>
    </w:p>
  </w:footnote>
  <w:footnote w:id="257">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INSOL Europe, German Federal Association of notaries</w:t>
      </w:r>
    </w:p>
  </w:footnote>
  <w:footnote w:id="258">
    <w:p w:rsidR="00B32D69" w:rsidRDefault="00FB661A">
      <w:pPr>
        <w:pStyle w:val="FootnoteText"/>
      </w:pPr>
      <w:r>
        <w:rPr>
          <w:rStyle w:val="FootnoteReference"/>
        </w:rPr>
        <w:footnoteRef/>
      </w:r>
      <w:r>
        <w:t xml:space="preserve"> </w:t>
      </w:r>
      <w:r>
        <w:tab/>
        <w:t xml:space="preserve">18 Member States replied (AT, DE, EL, CZ, EE, MT, PL, SK, SE, SI, LT, LV, HU, FR, IT, IE, FI </w:t>
      </w:r>
      <w:r>
        <w:t>and BE), but several asked for their contributions to remain confidential.</w:t>
      </w:r>
    </w:p>
  </w:footnote>
  <w:footnote w:id="259">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BBA, Bundesverband der Deutschen Industrie e.V., EBF, law firm from Germany, German Bar Association, BV ESUG, Association of lnsolvency Administrators, Association of lnsolvency A</w:t>
      </w:r>
      <w:r>
        <w:rPr>
          <w:sz w:val="18"/>
          <w:szCs w:val="18"/>
          <w:lang w:val="en-US"/>
        </w:rPr>
        <w:t>dministrators (Germany), German Institute for applied insolvency law (Hamburg University)</w:t>
      </w:r>
    </w:p>
  </w:footnote>
  <w:footnote w:id="260">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BusinessEurope</w:t>
      </w:r>
    </w:p>
  </w:footnote>
  <w:footnote w:id="261">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AIMA, KPMG</w:t>
      </w:r>
    </w:p>
  </w:footnote>
  <w:footnote w:id="262">
    <w:p w:rsidR="00B32D69" w:rsidRDefault="00FB661A">
      <w:pPr>
        <w:pStyle w:val="FootnoteText"/>
        <w:rPr>
          <w:sz w:val="18"/>
          <w:szCs w:val="18"/>
          <w:lang w:val="en-US"/>
        </w:rPr>
      </w:pPr>
      <w:r>
        <w:rPr>
          <w:rStyle w:val="FootnoteReference"/>
          <w:sz w:val="18"/>
          <w:szCs w:val="18"/>
        </w:rPr>
        <w:footnoteRef/>
      </w:r>
      <w:r>
        <w:rPr>
          <w:sz w:val="18"/>
          <w:szCs w:val="18"/>
        </w:rPr>
        <w:t xml:space="preserve"> Bundesverband der Deutschen Industrie e.V., German Bar Association, Association of lnsolvency Administrators (Germany), German Institu</w:t>
      </w:r>
      <w:r>
        <w:rPr>
          <w:sz w:val="18"/>
          <w:szCs w:val="18"/>
        </w:rPr>
        <w:t>te for applied insolvency law (Hamburg University)</w:t>
      </w:r>
    </w:p>
  </w:footnote>
  <w:footnote w:id="263">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Bar Council of England and Wales, ACCA, BV ESUG</w:t>
      </w:r>
    </w:p>
  </w:footnote>
  <w:footnote w:id="264">
    <w:p w:rsidR="00B32D69" w:rsidRDefault="00FB661A">
      <w:pPr>
        <w:pStyle w:val="FootnoteText"/>
        <w:rPr>
          <w:sz w:val="18"/>
          <w:szCs w:val="18"/>
          <w:lang w:val="en-US"/>
        </w:rPr>
      </w:pPr>
      <w:r>
        <w:rPr>
          <w:rStyle w:val="FootnoteReference"/>
          <w:sz w:val="18"/>
          <w:szCs w:val="18"/>
        </w:rPr>
        <w:footnoteRef/>
      </w:r>
      <w:r>
        <w:rPr>
          <w:sz w:val="18"/>
          <w:szCs w:val="18"/>
          <w:lang w:val="en-US"/>
        </w:rPr>
        <w:t xml:space="preserve"> UEAPME, EACTP </w:t>
      </w:r>
    </w:p>
  </w:footnote>
  <w:footnote w:id="265">
    <w:p w:rsidR="00B32D69" w:rsidRDefault="00FB661A">
      <w:pPr>
        <w:pStyle w:val="FootnoteText"/>
        <w:rPr>
          <w:sz w:val="18"/>
          <w:szCs w:val="18"/>
          <w:lang w:val="en-US"/>
        </w:rPr>
      </w:pPr>
      <w:r>
        <w:rPr>
          <w:rStyle w:val="FootnoteReference"/>
          <w:sz w:val="18"/>
          <w:szCs w:val="18"/>
        </w:rPr>
        <w:footnoteRef/>
      </w:r>
      <w:r>
        <w:rPr>
          <w:sz w:val="18"/>
          <w:szCs w:val="18"/>
          <w:lang w:val="en-US"/>
        </w:rPr>
        <w:t xml:space="preserve"> Eurochambers, INSOL Europe, German Bar Association</w:t>
      </w:r>
    </w:p>
  </w:footnote>
  <w:footnote w:id="266">
    <w:p w:rsidR="00B32D69" w:rsidRDefault="00FB661A">
      <w:pPr>
        <w:pStyle w:val="FootnoteText"/>
        <w:rPr>
          <w:sz w:val="18"/>
          <w:szCs w:val="18"/>
          <w:lang w:val="en-US"/>
        </w:rPr>
      </w:pPr>
      <w:r>
        <w:rPr>
          <w:rStyle w:val="FootnoteReference"/>
          <w:sz w:val="18"/>
          <w:szCs w:val="18"/>
        </w:rPr>
        <w:footnoteRef/>
      </w:r>
      <w:r>
        <w:rPr>
          <w:sz w:val="18"/>
          <w:szCs w:val="18"/>
          <w:lang w:val="en-US"/>
        </w:rPr>
        <w:t xml:space="preserve"> Eurochambers</w:t>
      </w:r>
    </w:p>
  </w:footnote>
  <w:footnote w:id="267">
    <w:p w:rsidR="00B32D69" w:rsidRDefault="00FB661A">
      <w:pPr>
        <w:pStyle w:val="FootnoteText"/>
        <w:rPr>
          <w:sz w:val="18"/>
          <w:szCs w:val="18"/>
          <w:lang w:val="en-US"/>
        </w:rPr>
      </w:pPr>
      <w:r>
        <w:rPr>
          <w:rStyle w:val="FootnoteReference"/>
          <w:sz w:val="18"/>
          <w:szCs w:val="18"/>
        </w:rPr>
        <w:footnoteRef/>
      </w:r>
      <w:r>
        <w:rPr>
          <w:sz w:val="18"/>
          <w:szCs w:val="18"/>
          <w:lang w:val="en-US"/>
        </w:rPr>
        <w:t xml:space="preserve"> Eurochambers, INSOL Europe, German Bar Association</w:t>
      </w:r>
    </w:p>
  </w:footnote>
  <w:footnote w:id="268">
    <w:p w:rsidR="00B32D69" w:rsidRDefault="00FB661A">
      <w:pPr>
        <w:pStyle w:val="FootnoteText"/>
        <w:rPr>
          <w:sz w:val="18"/>
          <w:szCs w:val="18"/>
          <w:lang w:val="en-US"/>
        </w:rPr>
      </w:pPr>
      <w:r>
        <w:rPr>
          <w:rStyle w:val="FootnoteReference"/>
          <w:sz w:val="18"/>
          <w:szCs w:val="18"/>
        </w:rPr>
        <w:footnoteRef/>
      </w:r>
      <w:r>
        <w:rPr>
          <w:sz w:val="18"/>
          <w:szCs w:val="18"/>
          <w:lang w:val="en-US"/>
        </w:rPr>
        <w:t xml:space="preserve"> Eurochambers, B</w:t>
      </w:r>
      <w:r>
        <w:rPr>
          <w:sz w:val="18"/>
          <w:szCs w:val="18"/>
          <w:lang w:val="en-US"/>
        </w:rPr>
        <w:t>ar Council of England and Wales, Bundesverband der Deutschen Industrie e.V., ACCA, BV ESUG, Association of lnsolvency Administrators (Germany), German Institute for applied insolvency law (Hamburg University)</w:t>
      </w:r>
    </w:p>
  </w:footnote>
  <w:footnote w:id="269">
    <w:p w:rsidR="00B32D69" w:rsidRDefault="00FB661A">
      <w:pPr>
        <w:pStyle w:val="FootnoteText"/>
        <w:rPr>
          <w:sz w:val="18"/>
          <w:szCs w:val="18"/>
          <w:lang w:val="en-US"/>
        </w:rPr>
      </w:pPr>
      <w:r>
        <w:rPr>
          <w:rStyle w:val="FootnoteReference"/>
          <w:sz w:val="18"/>
          <w:szCs w:val="18"/>
        </w:rPr>
        <w:footnoteRef/>
      </w:r>
      <w:r>
        <w:rPr>
          <w:sz w:val="18"/>
          <w:szCs w:val="18"/>
          <w:lang w:val="en-US"/>
        </w:rPr>
        <w:t xml:space="preserve"> UEAPME</w:t>
      </w:r>
    </w:p>
  </w:footnote>
  <w:footnote w:id="270">
    <w:p w:rsidR="00B32D69" w:rsidRDefault="00FB661A">
      <w:pPr>
        <w:pStyle w:val="FootnoteText"/>
        <w:rPr>
          <w:sz w:val="18"/>
          <w:szCs w:val="18"/>
          <w:lang w:val="en-US"/>
        </w:rPr>
      </w:pPr>
      <w:r>
        <w:rPr>
          <w:rStyle w:val="FootnoteReference"/>
          <w:sz w:val="18"/>
          <w:szCs w:val="18"/>
        </w:rPr>
        <w:footnoteRef/>
      </w:r>
      <w:r>
        <w:rPr>
          <w:sz w:val="18"/>
          <w:szCs w:val="18"/>
          <w:lang w:val="en-US"/>
        </w:rPr>
        <w:t xml:space="preserve"> GDV</w:t>
      </w:r>
    </w:p>
  </w:footnote>
  <w:footnote w:id="271">
    <w:p w:rsidR="00B32D69" w:rsidRDefault="00FB661A">
      <w:pPr>
        <w:pStyle w:val="FootnoteText"/>
        <w:rPr>
          <w:sz w:val="18"/>
          <w:szCs w:val="18"/>
          <w:lang w:val="en-US"/>
        </w:rPr>
      </w:pPr>
      <w:r>
        <w:rPr>
          <w:rStyle w:val="FootnoteReference"/>
          <w:sz w:val="18"/>
          <w:szCs w:val="18"/>
        </w:rPr>
        <w:footnoteRef/>
      </w:r>
      <w:r>
        <w:rPr>
          <w:sz w:val="18"/>
          <w:szCs w:val="18"/>
          <w:lang w:val="en-US"/>
        </w:rPr>
        <w:t xml:space="preserve"> ILA</w:t>
      </w:r>
    </w:p>
  </w:footnote>
  <w:footnote w:id="272">
    <w:p w:rsidR="00B32D69" w:rsidRDefault="00FB661A">
      <w:pPr>
        <w:pStyle w:val="FootnoteText"/>
        <w:rPr>
          <w:sz w:val="18"/>
          <w:szCs w:val="18"/>
          <w:lang w:val="en-US"/>
        </w:rPr>
      </w:pPr>
      <w:r>
        <w:rPr>
          <w:rStyle w:val="FootnoteReference"/>
          <w:sz w:val="18"/>
          <w:szCs w:val="18"/>
        </w:rPr>
        <w:footnoteRef/>
      </w:r>
      <w:r>
        <w:rPr>
          <w:sz w:val="18"/>
          <w:szCs w:val="18"/>
          <w:lang w:val="en-US"/>
        </w:rPr>
        <w:t xml:space="preserve"> Eurochambers</w:t>
      </w:r>
    </w:p>
  </w:footnote>
  <w:footnote w:id="273">
    <w:p w:rsidR="00B32D69" w:rsidRDefault="00FB661A">
      <w:pPr>
        <w:pStyle w:val="FootnoteText"/>
        <w:rPr>
          <w:sz w:val="18"/>
          <w:szCs w:val="18"/>
          <w:lang w:val="en-US"/>
        </w:rPr>
      </w:pPr>
      <w:r>
        <w:rPr>
          <w:rStyle w:val="FootnoteReference"/>
          <w:sz w:val="18"/>
          <w:szCs w:val="18"/>
        </w:rPr>
        <w:footnoteRef/>
      </w:r>
      <w:r>
        <w:rPr>
          <w:sz w:val="18"/>
          <w:szCs w:val="18"/>
          <w:lang w:val="en-US"/>
        </w:rPr>
        <w:t xml:space="preserve"> Eurochamb</w:t>
      </w:r>
      <w:r>
        <w:rPr>
          <w:sz w:val="18"/>
          <w:szCs w:val="18"/>
          <w:lang w:val="en-US"/>
        </w:rPr>
        <w:t>ers, EACTP, INSOL Europe, EBF, PMT/PME/MN, Bundesverband der Deutschen Industrie e.V., Buchalik Brömmekamp Rechtsanwälte | Steuerberate, German Bar Association, German Federal Association of notaries, Association of lnsolvency Administrators, Association o</w:t>
      </w:r>
      <w:r>
        <w:rPr>
          <w:sz w:val="18"/>
          <w:szCs w:val="18"/>
          <w:lang w:val="en-US"/>
        </w:rPr>
        <w:t>f lnsolvency Administrators (Germany), German Institute for applied insolvency law (Hamburg University)</w:t>
      </w:r>
    </w:p>
  </w:footnote>
  <w:footnote w:id="274">
    <w:p w:rsidR="00B32D69" w:rsidRDefault="00FB661A">
      <w:pPr>
        <w:pStyle w:val="FootnoteText"/>
        <w:rPr>
          <w:sz w:val="18"/>
          <w:szCs w:val="18"/>
          <w:lang w:val="en-US"/>
        </w:rPr>
      </w:pPr>
      <w:r>
        <w:rPr>
          <w:rStyle w:val="FootnoteReference"/>
          <w:sz w:val="18"/>
          <w:szCs w:val="18"/>
        </w:rPr>
        <w:footnoteRef/>
      </w:r>
      <w:r>
        <w:rPr>
          <w:sz w:val="18"/>
          <w:szCs w:val="18"/>
          <w:lang w:val="en-US"/>
        </w:rPr>
        <w:t xml:space="preserve"> KPMG, University of Palermo, Barreau de Luxemburg, Academic from Germany, GDV, ICAS</w:t>
      </w:r>
    </w:p>
  </w:footnote>
  <w:footnote w:id="275">
    <w:p w:rsidR="00B32D69" w:rsidRDefault="00FB661A">
      <w:pPr>
        <w:pStyle w:val="FootnoteText"/>
        <w:rPr>
          <w:sz w:val="18"/>
          <w:szCs w:val="18"/>
          <w:lang w:val="en-US"/>
        </w:rPr>
      </w:pPr>
      <w:r>
        <w:rPr>
          <w:rStyle w:val="FootnoteReference"/>
          <w:sz w:val="18"/>
          <w:szCs w:val="18"/>
        </w:rPr>
        <w:footnoteRef/>
      </w:r>
      <w:r>
        <w:rPr>
          <w:sz w:val="18"/>
          <w:szCs w:val="18"/>
          <w:lang w:val="en-US"/>
        </w:rPr>
        <w:t xml:space="preserve"> KPMG, Insolvency practitioners association (UK), Martin Luther U</w:t>
      </w:r>
      <w:r>
        <w:rPr>
          <w:sz w:val="18"/>
          <w:szCs w:val="18"/>
          <w:lang w:val="en-US"/>
        </w:rPr>
        <w:t>niversity Halle-Wittenberg, Unizo, UEAPME</w:t>
      </w:r>
    </w:p>
  </w:footnote>
  <w:footnote w:id="276">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Loan Market Association</w:t>
      </w:r>
    </w:p>
  </w:footnote>
  <w:footnote w:id="277">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BBA, EACTP, Academic from Spain</w:t>
      </w:r>
    </w:p>
  </w:footnote>
  <w:footnote w:id="278">
    <w:p w:rsidR="00B32D69" w:rsidRDefault="00FB661A">
      <w:pPr>
        <w:pStyle w:val="FootnoteText"/>
        <w:rPr>
          <w:sz w:val="18"/>
          <w:szCs w:val="18"/>
          <w:lang w:val="en-US"/>
        </w:rPr>
      </w:pPr>
      <w:r>
        <w:rPr>
          <w:rStyle w:val="FootnoteReference"/>
          <w:sz w:val="18"/>
          <w:szCs w:val="18"/>
        </w:rPr>
        <w:footnoteRef/>
      </w:r>
      <w:r>
        <w:rPr>
          <w:sz w:val="18"/>
          <w:szCs w:val="18"/>
        </w:rPr>
        <w:t xml:space="preserve"> University of Bonn, IBA</w:t>
      </w:r>
    </w:p>
  </w:footnote>
  <w:footnote w:id="279">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Finnish Bar Association, German Bar Association</w:t>
      </w:r>
    </w:p>
  </w:footnote>
  <w:footnote w:id="280">
    <w:p w:rsidR="00B32D69" w:rsidRDefault="00FB661A">
      <w:pPr>
        <w:pStyle w:val="FootnoteText"/>
        <w:rPr>
          <w:sz w:val="18"/>
          <w:szCs w:val="18"/>
          <w:lang w:val="en-US"/>
        </w:rPr>
      </w:pPr>
      <w:r>
        <w:rPr>
          <w:rStyle w:val="FootnoteReference"/>
          <w:sz w:val="18"/>
          <w:szCs w:val="18"/>
        </w:rPr>
        <w:footnoteRef/>
      </w:r>
      <w:r>
        <w:rPr>
          <w:sz w:val="18"/>
          <w:szCs w:val="18"/>
        </w:rPr>
        <w:t xml:space="preserve"> UEAPME, BusinessEurope, INSOL Europe, </w:t>
      </w:r>
      <w:r>
        <w:rPr>
          <w:sz w:val="18"/>
          <w:szCs w:val="18"/>
          <w:lang w:val="en-US"/>
        </w:rPr>
        <w:t>Bar Council of England and Wales, PM/P</w:t>
      </w:r>
      <w:r>
        <w:rPr>
          <w:sz w:val="18"/>
          <w:szCs w:val="18"/>
          <w:lang w:val="en-US"/>
        </w:rPr>
        <w:t>ME/MN, Bundesverband der Deutschen Industrie e.V. , EBF, ACCA, Association of lnsolvency Administrators (Germany), German Institute for applied insolvency law (Hamburg University)</w:t>
      </w:r>
    </w:p>
  </w:footnote>
  <w:footnote w:id="281">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University of Palermo, University of Bonn, barrister from UK, BBA, Barreau</w:t>
      </w:r>
      <w:r>
        <w:rPr>
          <w:sz w:val="18"/>
          <w:szCs w:val="18"/>
          <w:lang w:val="en-US"/>
        </w:rPr>
        <w:t xml:space="preserve"> de Luxemburg</w:t>
      </w:r>
    </w:p>
  </w:footnote>
  <w:footnote w:id="282">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ICAS, AIMA, GDV, IBA, Financial Markets Law Committee</w:t>
      </w:r>
    </w:p>
  </w:footnote>
  <w:footnote w:id="283">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 xml:space="preserve">UEAPME, EBF, Bar Council of England and Wales, German Federal Association of notaries, Association of lnsolvency Administrators (Germany), German Institute for applied insolvency law </w:t>
      </w:r>
      <w:r>
        <w:rPr>
          <w:sz w:val="18"/>
          <w:szCs w:val="18"/>
          <w:lang w:val="en-US"/>
        </w:rPr>
        <w:t>(Hamburg University)</w:t>
      </w:r>
    </w:p>
  </w:footnote>
  <w:footnote w:id="284">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Academic from Germany, Barreau de Luxembourg, ICAEW, Insolvency practitioners Association (UK), Unizo (BE)</w:t>
      </w:r>
    </w:p>
  </w:footnote>
  <w:footnote w:id="285">
    <w:p w:rsidR="00B32D69" w:rsidRDefault="00FB661A">
      <w:pPr>
        <w:pStyle w:val="FootnoteText"/>
        <w:rPr>
          <w:sz w:val="18"/>
          <w:szCs w:val="18"/>
        </w:rPr>
      </w:pPr>
      <w:r>
        <w:rPr>
          <w:rStyle w:val="FootnoteReference"/>
          <w:sz w:val="18"/>
          <w:szCs w:val="18"/>
        </w:rPr>
        <w:footnoteRef/>
      </w:r>
      <w:r>
        <w:rPr>
          <w:sz w:val="18"/>
          <w:szCs w:val="18"/>
        </w:rPr>
        <w:t xml:space="preserve"> Academic from Spain, Grow your business East Anglia ltd (UK), business advisor from UK, EUF</w:t>
      </w:r>
    </w:p>
  </w:footnote>
  <w:footnote w:id="286">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GDV, German banking industry c</w:t>
      </w:r>
      <w:r>
        <w:rPr>
          <w:sz w:val="18"/>
          <w:szCs w:val="18"/>
          <w:lang w:val="en-US"/>
        </w:rPr>
        <w:t>ommittee, BBA</w:t>
      </w:r>
    </w:p>
  </w:footnote>
  <w:footnote w:id="287">
    <w:p w:rsidR="00B32D69" w:rsidRDefault="00FB661A">
      <w:pPr>
        <w:pStyle w:val="FootnoteText"/>
        <w:rPr>
          <w:sz w:val="18"/>
          <w:szCs w:val="18"/>
          <w:lang w:val="en-US"/>
        </w:rPr>
      </w:pPr>
      <w:r>
        <w:rPr>
          <w:rStyle w:val="FootnoteReference"/>
          <w:sz w:val="18"/>
          <w:szCs w:val="18"/>
        </w:rPr>
        <w:footnoteRef/>
      </w:r>
      <w:r>
        <w:rPr>
          <w:sz w:val="18"/>
          <w:szCs w:val="18"/>
        </w:rPr>
        <w:t xml:space="preserve"> Finnish Bar Association, </w:t>
      </w:r>
      <w:r>
        <w:rPr>
          <w:sz w:val="18"/>
          <w:szCs w:val="18"/>
          <w:lang w:val="en-US"/>
        </w:rPr>
        <w:t>Academic from Germany, Barreau de Luxemburg, Bar Council of England and Wales</w:t>
      </w:r>
    </w:p>
  </w:footnote>
  <w:footnote w:id="288">
    <w:p w:rsidR="00B32D69" w:rsidRDefault="00FB661A">
      <w:pPr>
        <w:pStyle w:val="FootnoteText"/>
        <w:rPr>
          <w:sz w:val="18"/>
          <w:szCs w:val="18"/>
          <w:lang w:val="en-US"/>
        </w:rPr>
      </w:pPr>
      <w:r>
        <w:rPr>
          <w:rStyle w:val="FootnoteReference"/>
          <w:sz w:val="18"/>
          <w:szCs w:val="18"/>
        </w:rPr>
        <w:footnoteRef/>
      </w:r>
      <w:r>
        <w:rPr>
          <w:sz w:val="18"/>
          <w:szCs w:val="18"/>
        </w:rPr>
        <w:t xml:space="preserve"> Insolvency Practitioners Association (UK)</w:t>
      </w:r>
    </w:p>
  </w:footnote>
  <w:footnote w:id="289">
    <w:p w:rsidR="00B32D69" w:rsidRDefault="00FB661A">
      <w:pPr>
        <w:pStyle w:val="FootnoteText"/>
        <w:rPr>
          <w:sz w:val="18"/>
          <w:szCs w:val="18"/>
        </w:rPr>
      </w:pPr>
      <w:r>
        <w:rPr>
          <w:rStyle w:val="FootnoteReference"/>
          <w:sz w:val="18"/>
          <w:szCs w:val="18"/>
        </w:rPr>
        <w:footnoteRef/>
      </w:r>
      <w:r>
        <w:rPr>
          <w:sz w:val="18"/>
          <w:szCs w:val="18"/>
        </w:rPr>
        <w:t xml:space="preserve"> UEAPME, EBF, ACCA, Bar Council of England and Wales, PMT/PME/MN, Bundesverband der Deutsche</w:t>
      </w:r>
      <w:r>
        <w:rPr>
          <w:sz w:val="18"/>
          <w:szCs w:val="18"/>
        </w:rPr>
        <w:t>n Industrie e.V., BV ESUG, Association of lnsolvency Administrators (Germany)</w:t>
      </w:r>
    </w:p>
  </w:footnote>
  <w:footnote w:id="290">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Loan Market Association</w:t>
      </w:r>
    </w:p>
  </w:footnote>
  <w:footnote w:id="291">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Insolvency practitioners association (UK), ICAS</w:t>
      </w:r>
    </w:p>
  </w:footnote>
  <w:footnote w:id="292">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Loan Market Association, University of Bonn, Judge from Germany</w:t>
      </w:r>
    </w:p>
  </w:footnote>
  <w:footnote w:id="293">
    <w:p w:rsidR="00B32D69" w:rsidRDefault="00FB661A">
      <w:pPr>
        <w:pStyle w:val="FootnoteText"/>
        <w:rPr>
          <w:sz w:val="18"/>
          <w:szCs w:val="18"/>
          <w:lang w:val="en-US"/>
        </w:rPr>
      </w:pPr>
      <w:r>
        <w:rPr>
          <w:rStyle w:val="FootnoteReference"/>
          <w:sz w:val="18"/>
          <w:szCs w:val="18"/>
        </w:rPr>
        <w:footnoteRef/>
      </w:r>
      <w:r>
        <w:rPr>
          <w:sz w:val="18"/>
          <w:szCs w:val="18"/>
        </w:rPr>
        <w:t xml:space="preserve"> Independent Retail Europe, Busines</w:t>
      </w:r>
      <w:r>
        <w:rPr>
          <w:sz w:val="18"/>
          <w:szCs w:val="18"/>
        </w:rPr>
        <w:t xml:space="preserve">sEurope, </w:t>
      </w:r>
      <w:r>
        <w:rPr>
          <w:sz w:val="18"/>
          <w:szCs w:val="18"/>
          <w:lang w:val="en-US"/>
        </w:rPr>
        <w:t>Bundesverband der Deutschen Industrie e.V., EBF, ACCA, BV ESUG</w:t>
      </w:r>
    </w:p>
  </w:footnote>
  <w:footnote w:id="294">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German Bar Association, Association of lnsolvency Administrators (Germany)</w:t>
      </w:r>
    </w:p>
  </w:footnote>
  <w:footnote w:id="295">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EUF</w:t>
      </w:r>
    </w:p>
  </w:footnote>
  <w:footnote w:id="296">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German Banking Industry Committee</w:t>
      </w:r>
    </w:p>
  </w:footnote>
  <w:footnote w:id="297">
    <w:p w:rsidR="00B32D69" w:rsidRDefault="00FB661A">
      <w:pPr>
        <w:pStyle w:val="FootnoteText"/>
        <w:rPr>
          <w:sz w:val="18"/>
          <w:szCs w:val="18"/>
          <w:lang w:val="en-US"/>
        </w:rPr>
      </w:pPr>
      <w:r>
        <w:rPr>
          <w:rStyle w:val="FootnoteReference"/>
          <w:sz w:val="18"/>
          <w:szCs w:val="18"/>
        </w:rPr>
        <w:footnoteRef/>
      </w:r>
      <w:r>
        <w:rPr>
          <w:sz w:val="18"/>
          <w:szCs w:val="18"/>
        </w:rPr>
        <w:t xml:space="preserve"> UEAPME, EACTP, BusinessEurope, EBF, German Bar Association</w:t>
      </w:r>
    </w:p>
  </w:footnote>
  <w:footnote w:id="298">
    <w:p w:rsidR="00B32D69" w:rsidRDefault="00FB661A">
      <w:pPr>
        <w:pStyle w:val="FootnoteText"/>
        <w:rPr>
          <w:sz w:val="18"/>
          <w:szCs w:val="18"/>
          <w:lang w:val="en-US"/>
        </w:rPr>
      </w:pPr>
      <w:r>
        <w:rPr>
          <w:rStyle w:val="FootnoteReference"/>
          <w:sz w:val="18"/>
          <w:szCs w:val="18"/>
        </w:rPr>
        <w:footnoteRef/>
      </w:r>
      <w:r>
        <w:rPr>
          <w:sz w:val="18"/>
          <w:szCs w:val="18"/>
          <w:lang w:val="en-US"/>
        </w:rPr>
        <w:t xml:space="preserve"> Ba</w:t>
      </w:r>
      <w:r>
        <w:rPr>
          <w:sz w:val="18"/>
          <w:szCs w:val="18"/>
          <w:lang w:val="en-US"/>
        </w:rPr>
        <w:t>rreau de Luxembourg, ILA, Unizo, Invest Europe</w:t>
      </w:r>
    </w:p>
  </w:footnote>
  <w:footnote w:id="299">
    <w:p w:rsidR="00B32D69" w:rsidRDefault="00FB661A">
      <w:pPr>
        <w:pStyle w:val="FootnoteText"/>
        <w:rPr>
          <w:sz w:val="18"/>
          <w:szCs w:val="18"/>
          <w:lang w:val="en-US"/>
        </w:rPr>
      </w:pPr>
      <w:r>
        <w:rPr>
          <w:rStyle w:val="FootnoteReference"/>
          <w:sz w:val="18"/>
          <w:szCs w:val="18"/>
        </w:rPr>
        <w:footnoteRef/>
      </w:r>
      <w:r>
        <w:rPr>
          <w:sz w:val="18"/>
          <w:szCs w:val="18"/>
          <w:lang w:val="en-US"/>
        </w:rPr>
        <w:t xml:space="preserve"> IBA, academic from Spain </w:t>
      </w:r>
    </w:p>
  </w:footnote>
  <w:footnote w:id="300">
    <w:p w:rsidR="00B32D69" w:rsidRDefault="00FB661A">
      <w:pPr>
        <w:pStyle w:val="FootnoteText"/>
        <w:rPr>
          <w:sz w:val="18"/>
          <w:szCs w:val="18"/>
          <w:lang w:val="en-US"/>
        </w:rPr>
      </w:pPr>
      <w:r>
        <w:rPr>
          <w:rStyle w:val="FootnoteReference"/>
          <w:sz w:val="18"/>
          <w:szCs w:val="18"/>
        </w:rPr>
        <w:footnoteRef/>
      </w:r>
      <w:r>
        <w:rPr>
          <w:sz w:val="18"/>
          <w:szCs w:val="18"/>
          <w:lang w:val="en-US"/>
        </w:rPr>
        <w:t xml:space="preserve"> KPMG</w:t>
      </w:r>
    </w:p>
  </w:footnote>
  <w:footnote w:id="301">
    <w:p w:rsidR="00B32D69" w:rsidRDefault="00FB661A">
      <w:pPr>
        <w:pStyle w:val="FootnoteText"/>
        <w:rPr>
          <w:sz w:val="18"/>
          <w:szCs w:val="18"/>
          <w:lang w:val="en-US"/>
        </w:rPr>
      </w:pPr>
      <w:r>
        <w:rPr>
          <w:rStyle w:val="FootnoteReference"/>
          <w:sz w:val="18"/>
          <w:szCs w:val="18"/>
        </w:rPr>
        <w:footnoteRef/>
      </w:r>
      <w:r>
        <w:rPr>
          <w:sz w:val="18"/>
          <w:szCs w:val="18"/>
          <w:lang w:val="en-US"/>
        </w:rPr>
        <w:t xml:space="preserve"> AIMA, EUF, EACB, Insolvency Practitioners Association (UK), EBF, Academic from Germany, Martin Luther University Halle-Wittenberg, German bar Association, German Institute </w:t>
      </w:r>
      <w:r>
        <w:rPr>
          <w:sz w:val="18"/>
          <w:szCs w:val="18"/>
          <w:lang w:val="en-US"/>
        </w:rPr>
        <w:t>for applied insolvency law (Hamburg university)</w:t>
      </w:r>
    </w:p>
  </w:footnote>
  <w:footnote w:id="302">
    <w:p w:rsidR="00B32D69" w:rsidRDefault="00FB661A">
      <w:pPr>
        <w:pStyle w:val="FootnoteText"/>
        <w:rPr>
          <w:sz w:val="18"/>
          <w:szCs w:val="18"/>
          <w:lang w:val="en-US"/>
        </w:rPr>
      </w:pPr>
      <w:r>
        <w:rPr>
          <w:rStyle w:val="FootnoteReference"/>
          <w:sz w:val="18"/>
          <w:szCs w:val="18"/>
        </w:rPr>
        <w:footnoteRef/>
      </w:r>
      <w:r>
        <w:rPr>
          <w:sz w:val="18"/>
          <w:szCs w:val="18"/>
        </w:rPr>
        <w:t xml:space="preserve"> German Banking Industry Committee, ICAEW, </w:t>
      </w:r>
      <w:r>
        <w:rPr>
          <w:sz w:val="18"/>
          <w:szCs w:val="18"/>
          <w:lang w:val="en-US"/>
        </w:rPr>
        <w:t>KPMG, ILA, University of Bonn</w:t>
      </w:r>
    </w:p>
  </w:footnote>
  <w:footnote w:id="303">
    <w:p w:rsidR="00B32D69" w:rsidRDefault="00FB661A">
      <w:pPr>
        <w:pStyle w:val="FootnoteText"/>
        <w:rPr>
          <w:sz w:val="18"/>
          <w:szCs w:val="18"/>
          <w:lang w:val="en-US"/>
        </w:rPr>
      </w:pPr>
      <w:r>
        <w:rPr>
          <w:rStyle w:val="FootnoteReference"/>
          <w:sz w:val="18"/>
          <w:szCs w:val="18"/>
        </w:rPr>
        <w:footnoteRef/>
      </w:r>
      <w:r>
        <w:rPr>
          <w:sz w:val="18"/>
          <w:szCs w:val="18"/>
          <w:lang w:val="en-US"/>
        </w:rPr>
        <w:t xml:space="preserve"> IBA, ICAEW, ICAS, ILA, Insolvency practitioners Association (UK)</w:t>
      </w:r>
    </w:p>
  </w:footnote>
  <w:footnote w:id="304">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 xml:space="preserve">Eurochambers, UEAPME, INSOL Europe, ACCA, Bar Council of England </w:t>
      </w:r>
      <w:r>
        <w:rPr>
          <w:sz w:val="18"/>
          <w:szCs w:val="18"/>
          <w:lang w:val="en-US"/>
        </w:rPr>
        <w:t>and Wales, debt counseling companies Association (Germany), German Bar Association, BV ESUG, Association of lnsolvency Administrators (Germany)</w:t>
      </w:r>
    </w:p>
  </w:footnote>
  <w:footnote w:id="305">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ICAS</w:t>
      </w:r>
    </w:p>
  </w:footnote>
  <w:footnote w:id="306">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Academic from Spain, Martin Luther University Halle-Wittenberg, Insolvency practitioners Association (U</w:t>
      </w:r>
      <w:r>
        <w:rPr>
          <w:sz w:val="18"/>
          <w:szCs w:val="18"/>
          <w:lang w:val="en-US"/>
        </w:rPr>
        <w:t>K), IBA, EFIN</w:t>
      </w:r>
    </w:p>
  </w:footnote>
  <w:footnote w:id="307">
    <w:p w:rsidR="00B32D69" w:rsidRDefault="00FB661A">
      <w:pPr>
        <w:pStyle w:val="FootnoteText"/>
        <w:rPr>
          <w:lang w:val="en-US"/>
        </w:rPr>
      </w:pPr>
      <w:r>
        <w:rPr>
          <w:rStyle w:val="FootnoteReference"/>
        </w:rPr>
        <w:footnoteRef/>
      </w:r>
      <w:r>
        <w:t xml:space="preserve"> BUSINESSEUROPE, European Banking Federation (EBF) and European Mortgage Federation-European Covered Bond Council (EMF-ECBC).</w:t>
      </w:r>
    </w:p>
  </w:footnote>
  <w:footnote w:id="308">
    <w:p w:rsidR="00B32D69" w:rsidRDefault="00FB661A">
      <w:pPr>
        <w:pStyle w:val="FootnoteText"/>
        <w:rPr>
          <w:sz w:val="18"/>
          <w:szCs w:val="18"/>
        </w:rPr>
      </w:pPr>
      <w:r>
        <w:rPr>
          <w:rStyle w:val="FootnoteReference"/>
          <w:sz w:val="18"/>
          <w:szCs w:val="18"/>
        </w:rPr>
        <w:footnoteRef/>
      </w:r>
      <w:r>
        <w:rPr>
          <w:sz w:val="18"/>
          <w:szCs w:val="18"/>
        </w:rPr>
        <w:t xml:space="preserve"> This is defined as a situation where controllers of a company that becomes insolvent by reason of their acts or omissions are enabled to be relieved of their failure and debts and immediately re-establish themselves in a new enterprise effectively carryin</w:t>
      </w:r>
      <w:r>
        <w:rPr>
          <w:sz w:val="18"/>
          <w:szCs w:val="18"/>
        </w:rPr>
        <w:t>g on the same business and still availing of the privilege of limited liability.</w:t>
      </w:r>
    </w:p>
    <w:p w:rsidR="00B32D69" w:rsidRDefault="00B32D69">
      <w:pPr>
        <w:pStyle w:val="FootnoteText"/>
        <w:rPr>
          <w:sz w:val="18"/>
          <w:szCs w:val="18"/>
        </w:rPr>
      </w:pPr>
    </w:p>
  </w:footnote>
  <w:footnote w:id="309">
    <w:p w:rsidR="00B32D69" w:rsidRDefault="00FB661A">
      <w:pPr>
        <w:pStyle w:val="FootnoteText"/>
        <w:rPr>
          <w:sz w:val="18"/>
          <w:szCs w:val="18"/>
        </w:rPr>
      </w:pPr>
      <w:r>
        <w:rPr>
          <w:rStyle w:val="FootnoteReference"/>
          <w:sz w:val="18"/>
          <w:szCs w:val="18"/>
        </w:rPr>
        <w:footnoteRef/>
      </w:r>
      <w:r>
        <w:rPr>
          <w:sz w:val="18"/>
          <w:szCs w:val="18"/>
        </w:rPr>
        <w:t xml:space="preserve"> Finnish Bar Association, IBA, EFIN, ACCA, </w:t>
      </w:r>
      <w:r>
        <w:rPr>
          <w:sz w:val="18"/>
          <w:szCs w:val="18"/>
          <w:lang w:val="en-US"/>
        </w:rPr>
        <w:t xml:space="preserve">Bundesverband der Deutschen Industrie e.V., Eurochambers, UEAPME, INSOL Europe, Barreau de Luxembourg, BBA, Loan Market </w:t>
      </w:r>
      <w:r>
        <w:rPr>
          <w:sz w:val="18"/>
          <w:szCs w:val="18"/>
          <w:lang w:val="en-US"/>
        </w:rPr>
        <w:t>Association, German Banking Industry Committee, Martin Luther University Halle-Wittenberg, Bar Council of England and Wales, debt counseling companies Association (Germany), Association of lnsolvency Administrators (Germany)</w:t>
      </w:r>
    </w:p>
  </w:footnote>
  <w:footnote w:id="310">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EFIN</w:t>
      </w:r>
    </w:p>
  </w:footnote>
  <w:footnote w:id="311">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BBA, ICAS, Eurochamber</w:t>
      </w:r>
      <w:r>
        <w:rPr>
          <w:sz w:val="18"/>
          <w:szCs w:val="18"/>
          <w:lang w:val="en-US"/>
        </w:rPr>
        <w:t>s, Insol Europe, EFIN, ACCA, Barreau de Luxembourg, Bar Council of England and Wales, Bundesverband der Deutschen Industrie e.V., debt counseling companies Association (Germany), German Bar Association, German Federal Association of notaries, BV ESUG, Asso</w:t>
      </w:r>
      <w:r>
        <w:rPr>
          <w:sz w:val="18"/>
          <w:szCs w:val="18"/>
          <w:lang w:val="en-US"/>
        </w:rPr>
        <w:t>ciation of lnsolvency Administrators (Germany), German Institute for applied insolvency law (Hamburg University)</w:t>
      </w:r>
    </w:p>
  </w:footnote>
  <w:footnote w:id="312">
    <w:p w:rsidR="00B32D69" w:rsidRDefault="00FB661A">
      <w:pPr>
        <w:pStyle w:val="FootnoteText"/>
        <w:rPr>
          <w:sz w:val="18"/>
          <w:szCs w:val="18"/>
          <w:lang w:val="en-US"/>
        </w:rPr>
      </w:pPr>
      <w:r>
        <w:rPr>
          <w:rStyle w:val="FootnoteReference"/>
          <w:sz w:val="18"/>
          <w:szCs w:val="18"/>
        </w:rPr>
        <w:footnoteRef/>
      </w:r>
      <w:r>
        <w:rPr>
          <w:sz w:val="18"/>
          <w:szCs w:val="18"/>
        </w:rPr>
        <w:t xml:space="preserve"> UEAPME, INSOL Europe, </w:t>
      </w:r>
      <w:r>
        <w:rPr>
          <w:sz w:val="18"/>
          <w:szCs w:val="18"/>
          <w:lang w:val="en-US"/>
        </w:rPr>
        <w:t>Bundesverband der Deutschen Industrie e.V., EFIN, ACCA, debt counseling companies Association (Germany), German Bar Ass</w:t>
      </w:r>
      <w:r>
        <w:rPr>
          <w:sz w:val="18"/>
          <w:szCs w:val="18"/>
          <w:lang w:val="en-US"/>
        </w:rPr>
        <w:t>ociation, German Federal Association of notaries, Association of lnsolvency Administrators (Germany), German Institute for applied insolvency law (Hamburg University)</w:t>
      </w:r>
    </w:p>
  </w:footnote>
  <w:footnote w:id="313">
    <w:p w:rsidR="00B32D69" w:rsidRDefault="00FB661A">
      <w:pPr>
        <w:pStyle w:val="FootnoteText"/>
        <w:rPr>
          <w:sz w:val="18"/>
          <w:szCs w:val="18"/>
          <w:lang w:val="en-US"/>
        </w:rPr>
      </w:pPr>
      <w:r>
        <w:rPr>
          <w:rStyle w:val="FootnoteReference"/>
          <w:sz w:val="18"/>
          <w:szCs w:val="18"/>
        </w:rPr>
        <w:footnoteRef/>
      </w:r>
      <w:r>
        <w:rPr>
          <w:sz w:val="18"/>
          <w:szCs w:val="18"/>
        </w:rPr>
        <w:t xml:space="preserve"> Eurochambers, BV ESUG</w:t>
      </w:r>
    </w:p>
  </w:footnote>
  <w:footnote w:id="314">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ICAS, ILA, IBA, German Institute for applied insolvency law (Ha</w:t>
      </w:r>
      <w:r>
        <w:rPr>
          <w:sz w:val="18"/>
          <w:szCs w:val="18"/>
          <w:lang w:val="en-US"/>
        </w:rPr>
        <w:t>mburg University)</w:t>
      </w:r>
    </w:p>
  </w:footnote>
  <w:footnote w:id="315">
    <w:p w:rsidR="00B32D69" w:rsidRDefault="00FB661A">
      <w:pPr>
        <w:pStyle w:val="FootnoteText"/>
        <w:rPr>
          <w:sz w:val="18"/>
          <w:szCs w:val="18"/>
        </w:rPr>
      </w:pPr>
      <w:r>
        <w:rPr>
          <w:rStyle w:val="FootnoteReference"/>
          <w:sz w:val="18"/>
          <w:szCs w:val="18"/>
        </w:rPr>
        <w:footnoteRef/>
      </w:r>
      <w:r>
        <w:rPr>
          <w:sz w:val="18"/>
          <w:szCs w:val="18"/>
        </w:rPr>
        <w:t xml:space="preserve"> ICAS, Insolvency practitioners Association (UK), EFIN</w:t>
      </w:r>
    </w:p>
  </w:footnote>
  <w:footnote w:id="316">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ICAEW, Association of lnsolvency Administrators (Germany)</w:t>
      </w:r>
    </w:p>
  </w:footnote>
  <w:footnote w:id="317">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 xml:space="preserve"> Bar Council of England and Wales, Bundesverband der Deutschen Industrie e.V., EFIN, Debt counseling companies associati</w:t>
      </w:r>
      <w:r>
        <w:rPr>
          <w:sz w:val="18"/>
          <w:szCs w:val="18"/>
          <w:lang w:val="en-US"/>
        </w:rPr>
        <w:t>on (Germany), BV ESUG, German Institute for applied insolvency law (Hamburg University)</w:t>
      </w:r>
    </w:p>
  </w:footnote>
  <w:footnote w:id="318">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Eurochambers, EBF, German banks, law firm from Germany</w:t>
      </w:r>
    </w:p>
  </w:footnote>
  <w:footnote w:id="319">
    <w:p w:rsidR="00B32D69" w:rsidRDefault="00FB661A">
      <w:pPr>
        <w:pStyle w:val="FootnoteText"/>
        <w:rPr>
          <w:sz w:val="18"/>
          <w:szCs w:val="18"/>
          <w:lang w:val="en-US"/>
        </w:rPr>
      </w:pPr>
      <w:r>
        <w:rPr>
          <w:rStyle w:val="FootnoteReference"/>
          <w:sz w:val="18"/>
          <w:szCs w:val="18"/>
        </w:rPr>
        <w:footnoteRef/>
      </w:r>
      <w:r>
        <w:rPr>
          <w:sz w:val="18"/>
          <w:szCs w:val="18"/>
        </w:rPr>
        <w:t xml:space="preserve"> Finnish Bar Association, </w:t>
      </w:r>
      <w:r>
        <w:rPr>
          <w:sz w:val="18"/>
          <w:szCs w:val="18"/>
          <w:lang w:val="en-US"/>
        </w:rPr>
        <w:t>banking sector and debt collection companies, Bar Council of England and Wales</w:t>
      </w:r>
    </w:p>
  </w:footnote>
  <w:footnote w:id="320">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Aca</w:t>
      </w:r>
      <w:r>
        <w:rPr>
          <w:sz w:val="18"/>
          <w:szCs w:val="18"/>
          <w:lang w:val="en-US"/>
        </w:rPr>
        <w:t>demic from Germany, University of Bonn, Bundesverband der Deutschen Industrie e.V., EBF, EFIN, debt counseling companies Association (Germany), BV ESUG, Association of lnsolvency Administrators (Germany), German Institute for applied insolvency law (Hambur</w:t>
      </w:r>
      <w:r>
        <w:rPr>
          <w:sz w:val="18"/>
          <w:szCs w:val="18"/>
          <w:lang w:val="en-US"/>
        </w:rPr>
        <w:t>g University)</w:t>
      </w:r>
    </w:p>
  </w:footnote>
  <w:footnote w:id="321">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EFIN, EBF, banks from Germany</w:t>
      </w:r>
    </w:p>
  </w:footnote>
  <w:footnote w:id="322">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ICAS, Martin Luther University Halle-Wittenberg, Loan Market Association, ILA, KPMG, EFIN, debt counseling companies Association (Germany), Association of lnsolvency Administrators (Germany), German Institute</w:t>
      </w:r>
      <w:r>
        <w:rPr>
          <w:sz w:val="18"/>
          <w:szCs w:val="18"/>
          <w:lang w:val="en-US"/>
        </w:rPr>
        <w:t xml:space="preserve"> for applied insolvency law (Hamburg University), consumer organisations</w:t>
      </w:r>
    </w:p>
  </w:footnote>
  <w:footnote w:id="323">
    <w:p w:rsidR="00B32D69" w:rsidRDefault="00FB661A">
      <w:pPr>
        <w:pStyle w:val="FootnoteText"/>
        <w:rPr>
          <w:sz w:val="18"/>
          <w:szCs w:val="18"/>
          <w:lang w:val="en-US"/>
        </w:rPr>
      </w:pPr>
      <w:r>
        <w:rPr>
          <w:rStyle w:val="FootnoteReference"/>
          <w:sz w:val="18"/>
          <w:szCs w:val="18"/>
        </w:rPr>
        <w:footnoteRef/>
      </w:r>
      <w:r>
        <w:rPr>
          <w:sz w:val="18"/>
          <w:szCs w:val="18"/>
          <w:lang w:val="en-US"/>
        </w:rPr>
        <w:t xml:space="preserve"> ILA, IBA </w:t>
      </w:r>
    </w:p>
  </w:footnote>
  <w:footnote w:id="324">
    <w:p w:rsidR="00B32D69" w:rsidRDefault="00FB661A">
      <w:pPr>
        <w:pStyle w:val="FootnoteText"/>
        <w:rPr>
          <w:sz w:val="18"/>
          <w:szCs w:val="18"/>
          <w:lang w:val="en-US"/>
        </w:rPr>
      </w:pPr>
      <w:r>
        <w:rPr>
          <w:rStyle w:val="FootnoteReference"/>
          <w:sz w:val="18"/>
          <w:szCs w:val="18"/>
        </w:rPr>
        <w:footnoteRef/>
      </w:r>
      <w:r>
        <w:rPr>
          <w:sz w:val="18"/>
          <w:szCs w:val="18"/>
          <w:lang w:val="en-US"/>
        </w:rPr>
        <w:t xml:space="preserve"> EU Banking sector, Unizo vzw(BE), EACB, AIMA, Eurochambers, EBF, PMT/PME/MN</w:t>
      </w:r>
    </w:p>
  </w:footnote>
  <w:footnote w:id="325">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INSOL Europe, ACCA, Bar Council of England and Wales, German Bar Association, German Federa</w:t>
      </w:r>
      <w:r>
        <w:rPr>
          <w:sz w:val="18"/>
          <w:szCs w:val="18"/>
          <w:lang w:val="en-US"/>
        </w:rPr>
        <w:t>l Association of notaries, Association of lnsolvency Administrators (Germany), German Institute for applied insolvency law (Hamburg university)</w:t>
      </w:r>
    </w:p>
  </w:footnote>
  <w:footnote w:id="326">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Martin Luther University Halle-Wittenberg</w:t>
      </w:r>
    </w:p>
  </w:footnote>
  <w:footnote w:id="327">
    <w:p w:rsidR="00B32D69" w:rsidRDefault="00FB661A">
      <w:pPr>
        <w:pStyle w:val="FootnoteText"/>
        <w:rPr>
          <w:sz w:val="18"/>
          <w:szCs w:val="18"/>
          <w:highlight w:val="yellow"/>
        </w:rPr>
      </w:pPr>
      <w:r>
        <w:rPr>
          <w:rStyle w:val="FootnoteReference"/>
          <w:sz w:val="18"/>
          <w:szCs w:val="18"/>
        </w:rPr>
        <w:footnoteRef/>
      </w:r>
      <w:r>
        <w:rPr>
          <w:sz w:val="18"/>
          <w:szCs w:val="18"/>
        </w:rPr>
        <w:t xml:space="preserve"> Insolvency practitioner from Spain </w:t>
      </w:r>
    </w:p>
  </w:footnote>
  <w:footnote w:id="328">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 xml:space="preserve">Standard life Capital </w:t>
      </w:r>
      <w:r>
        <w:rPr>
          <w:sz w:val="18"/>
          <w:szCs w:val="18"/>
          <w:lang w:val="en-US"/>
        </w:rPr>
        <w:t>Partners (UK)</w:t>
      </w:r>
    </w:p>
  </w:footnote>
  <w:footnote w:id="329">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Barreau de Luxembourg, German Banking Industry Committee</w:t>
      </w:r>
    </w:p>
  </w:footnote>
  <w:footnote w:id="330">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German lawyers association, German Institute for applied insolvency law (Hamburg university)</w:t>
      </w:r>
    </w:p>
  </w:footnote>
  <w:footnote w:id="331">
    <w:p w:rsidR="00B32D69" w:rsidRDefault="00FB661A">
      <w:pPr>
        <w:pStyle w:val="FootnoteText"/>
        <w:rPr>
          <w:sz w:val="18"/>
          <w:szCs w:val="18"/>
        </w:rPr>
      </w:pPr>
      <w:r>
        <w:rPr>
          <w:rStyle w:val="FootnoteReference"/>
          <w:sz w:val="18"/>
          <w:szCs w:val="18"/>
        </w:rPr>
        <w:footnoteRef/>
      </w:r>
      <w:r>
        <w:rPr>
          <w:sz w:val="18"/>
          <w:szCs w:val="18"/>
        </w:rPr>
        <w:t xml:space="preserve"> Judge from Italy</w:t>
      </w:r>
    </w:p>
  </w:footnote>
  <w:footnote w:id="332">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Insolvency practitioner from Germany</w:t>
      </w:r>
    </w:p>
  </w:footnote>
  <w:footnote w:id="333">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ICAEW, Insolvency Practition</w:t>
      </w:r>
      <w:r>
        <w:rPr>
          <w:sz w:val="18"/>
          <w:szCs w:val="18"/>
          <w:lang w:val="en-US"/>
        </w:rPr>
        <w:t>ers Association (UK), BBA, PMT/PME/MN, ACCA, German Bar Association, Association of lnsolvency Administrators</w:t>
      </w:r>
    </w:p>
  </w:footnote>
  <w:footnote w:id="334">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ICAS, AIMA, ETUC, Eurochambers, Bar Council of England and Wales, German Federal Association of notaries, German Institute for applied insolvenc</w:t>
      </w:r>
      <w:r>
        <w:rPr>
          <w:sz w:val="18"/>
          <w:szCs w:val="18"/>
          <w:lang w:val="en-US"/>
        </w:rPr>
        <w:t>y law (Hamburg university)</w:t>
      </w:r>
    </w:p>
  </w:footnote>
  <w:footnote w:id="335">
    <w:p w:rsidR="00B32D69" w:rsidRDefault="00FB661A">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UEAPME</w:t>
      </w:r>
    </w:p>
  </w:footnote>
  <w:footnote w:id="336">
    <w:p w:rsidR="00B32D69" w:rsidRDefault="00FB661A">
      <w:pPr>
        <w:pStyle w:val="FootnoteText"/>
      </w:pPr>
      <w:r>
        <w:rPr>
          <w:rStyle w:val="FootnoteReference"/>
        </w:rPr>
        <w:footnoteRef/>
      </w:r>
      <w:r>
        <w:t xml:space="preserve"> </w:t>
      </w:r>
      <w:r>
        <w:tab/>
        <w:t>C. Cuerpo, I. Drumond, J. Lendvai, P. Pontuch, R. Raciborski, Indebtedness, Deleveraging Dynamics and Macroeconomic Adjustment, European Economy – Economic Papers 477, April 2013</w:t>
      </w:r>
    </w:p>
  </w:footnote>
  <w:footnote w:id="337">
    <w:p w:rsidR="00B32D69" w:rsidRDefault="00FB661A">
      <w:pPr>
        <w:pStyle w:val="FootnoteText"/>
      </w:pPr>
      <w:r>
        <w:rPr>
          <w:rStyle w:val="FootnoteReference"/>
        </w:rPr>
        <w:footnoteRef/>
      </w:r>
      <w:r>
        <w:t xml:space="preserve"> </w:t>
      </w:r>
      <w:r>
        <w:tab/>
        <w:t>Risk Assessment of the European Ban</w:t>
      </w:r>
      <w:r>
        <w:t>king System, EBA December 2015, p.28. It should be kept in mind that those figures cover only banking sector, while loans granted by other financial providers may reveal other levels of NPL</w:t>
      </w:r>
    </w:p>
  </w:footnote>
  <w:footnote w:id="338">
    <w:p w:rsidR="00B32D69" w:rsidRDefault="00FB661A">
      <w:pPr>
        <w:pStyle w:val="FootnoteText"/>
      </w:pPr>
      <w:r>
        <w:rPr>
          <w:rStyle w:val="FootnoteReference"/>
        </w:rPr>
        <w:footnoteRef/>
      </w:r>
      <w:r>
        <w:t xml:space="preserve"> </w:t>
      </w:r>
      <w:r>
        <w:tab/>
        <w:t>Ibid, p.36 – 38.</w:t>
      </w:r>
    </w:p>
  </w:footnote>
  <w:footnote w:id="339">
    <w:p w:rsidR="00B32D69" w:rsidRDefault="00FB661A">
      <w:pPr>
        <w:pStyle w:val="FootnoteText"/>
        <w:rPr>
          <w:highlight w:val="yellow"/>
        </w:rPr>
      </w:pPr>
      <w:r>
        <w:rPr>
          <w:rStyle w:val="FootnoteReference"/>
        </w:rPr>
        <w:footnoteRef/>
      </w:r>
      <w:r>
        <w:t xml:space="preserve"> </w:t>
      </w:r>
      <w:r>
        <w:tab/>
        <w:t xml:space="preserve">IMF: Euro Area Policies – Selected Issues, </w:t>
      </w:r>
      <w:r>
        <w:t>IMF Country Report No. 15/205, July 2015, Euro Area Policies, IMF Country Report No. 15/2014, July 2015.</w:t>
      </w:r>
    </w:p>
  </w:footnote>
  <w:footnote w:id="340">
    <w:p w:rsidR="00B32D69" w:rsidRDefault="00FB661A">
      <w:pPr>
        <w:pStyle w:val="FootnoteText"/>
      </w:pPr>
      <w:r>
        <w:rPr>
          <w:rStyle w:val="FootnoteReference"/>
        </w:rPr>
        <w:footnoteRef/>
      </w:r>
      <w:r>
        <w:t xml:space="preserve"> </w:t>
      </w:r>
      <w:r>
        <w:tab/>
        <w:t>Action Plan on Building a Capital Markets Union, COM (2015) 468 final, p.25</w:t>
      </w:r>
    </w:p>
  </w:footnote>
  <w:footnote w:id="341">
    <w:p w:rsidR="00B32D69" w:rsidRDefault="00FB661A">
      <w:pPr>
        <w:pStyle w:val="FootnoteText"/>
      </w:pPr>
      <w:r>
        <w:rPr>
          <w:rStyle w:val="FootnoteReference"/>
        </w:rPr>
        <w:footnoteRef/>
      </w:r>
      <w:r>
        <w:t xml:space="preserve"> </w:t>
      </w:r>
      <w:r>
        <w:tab/>
        <w:t>Potential economic gains from reforming insolvency law in Europe, AFM</w:t>
      </w:r>
      <w:r>
        <w:t>E, Frontier economics, Weil, February 2016, p. 34.</w:t>
      </w:r>
    </w:p>
  </w:footnote>
  <w:footnote w:id="342">
    <w:p w:rsidR="00B32D69" w:rsidRDefault="00FB661A">
      <w:pPr>
        <w:pStyle w:val="FootnoteText"/>
      </w:pPr>
      <w:r>
        <w:rPr>
          <w:rStyle w:val="FootnoteReference"/>
        </w:rPr>
        <w:footnoteRef/>
      </w:r>
      <w:r>
        <w:t xml:space="preserve"> </w:t>
      </w:r>
      <w:r>
        <w:tab/>
        <w:t>Potential economic gains from reforming insolvency law in Europe, AFME, Frontier economics, Weil, February 2016, p. 40.</w:t>
      </w:r>
    </w:p>
  </w:footnote>
  <w:footnote w:id="343">
    <w:p w:rsidR="00B32D69" w:rsidRDefault="00FB661A">
      <w:pPr>
        <w:pStyle w:val="FootnoteText"/>
      </w:pPr>
      <w:r>
        <w:rPr>
          <w:rStyle w:val="FootnoteReference"/>
        </w:rPr>
        <w:footnoteRef/>
      </w:r>
      <w:r>
        <w:t xml:space="preserve"> </w:t>
      </w:r>
      <w:r>
        <w:tab/>
        <w:t>Potential economic gains from reforming insolvency law in Europe, AFME, Frontie</w:t>
      </w:r>
      <w:r>
        <w:t>r economics, Weil, February 2016, p. 5.</w:t>
      </w:r>
    </w:p>
  </w:footnote>
  <w:footnote w:id="344">
    <w:p w:rsidR="00B32D69" w:rsidRDefault="00FB661A">
      <w:pPr>
        <w:pStyle w:val="FootnoteText"/>
      </w:pPr>
      <w:r>
        <w:rPr>
          <w:rStyle w:val="FootnoteReference"/>
        </w:rPr>
        <w:footnoteRef/>
      </w:r>
      <w:r>
        <w:t xml:space="preserve"> </w:t>
      </w:r>
      <w:r>
        <w:tab/>
        <w:t>Debt overhang is defined as a situation where a firm's high levels of debt act as a disincentive to new investment (Myers, 1977). Consequences of household debt overhang and deleveraging are presented in C.Cuerpo,</w:t>
      </w:r>
      <w:r>
        <w:t xml:space="preserve"> I. Drumond, J. Lendvai, P. Pontuch, R. Raciborski, Indebtedness, Deleveraging Dynamics and Macroeconomic Adjustment, European Economy, Economic Papers 477, April 2013</w:t>
      </w:r>
    </w:p>
  </w:footnote>
  <w:footnote w:id="345">
    <w:p w:rsidR="00B32D69" w:rsidRDefault="00FB661A">
      <w:pPr>
        <w:pStyle w:val="FootnoteText"/>
      </w:pPr>
      <w:r>
        <w:rPr>
          <w:rStyle w:val="FootnoteReference"/>
        </w:rPr>
        <w:footnoteRef/>
      </w:r>
      <w:r>
        <w:t xml:space="preserve"> </w:t>
      </w:r>
      <w:r>
        <w:tab/>
      </w:r>
      <w:r>
        <w:rPr>
          <w:lang w:eastAsia="en-GB"/>
        </w:rPr>
        <w:t>2007 Eurobarometer survey.</w:t>
      </w:r>
    </w:p>
  </w:footnote>
  <w:footnote w:id="346">
    <w:p w:rsidR="00B32D69" w:rsidRDefault="00FB661A">
      <w:pPr>
        <w:pStyle w:val="FootnoteText"/>
      </w:pPr>
      <w:r>
        <w:rPr>
          <w:rStyle w:val="FootnoteReference"/>
        </w:rPr>
        <w:footnoteRef/>
      </w:r>
      <w:r>
        <w:t xml:space="preserve"> </w:t>
      </w:r>
      <w:r>
        <w:tab/>
      </w:r>
      <w:r>
        <w:rPr>
          <w:lang w:eastAsia="en-GB"/>
        </w:rPr>
        <w:t xml:space="preserve">Internationalisation of European SMEs, EIM, report for </w:t>
      </w:r>
      <w:r>
        <w:rPr>
          <w:lang w:eastAsia="en-GB"/>
        </w:rPr>
        <w:t>DG Enterprise and Industry.</w:t>
      </w:r>
    </w:p>
  </w:footnote>
  <w:footnote w:id="347">
    <w:p w:rsidR="00B32D69" w:rsidRDefault="00FB661A">
      <w:pPr>
        <w:pStyle w:val="FootnoteText"/>
        <w:ind w:left="567" w:hanging="567"/>
        <w:rPr>
          <w:lang w:val="cs-CZ"/>
        </w:rPr>
      </w:pPr>
      <w:r>
        <w:rPr>
          <w:rStyle w:val="FootnoteReferenc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t>Feedback Statement on the Green Paper "Building a Capital Markets Union" (Question 29), SWD(2015) 184 final, 30.9.2015, p. 59 and foll.</w:t>
      </w:r>
    </w:p>
  </w:footnote>
  <w:footnote w:id="348">
    <w:p w:rsidR="00B32D69" w:rsidRDefault="00FB661A">
      <w:pPr>
        <w:pStyle w:val="FootnoteText"/>
        <w:ind w:left="567" w:hanging="567"/>
        <w:jc w:val="left"/>
      </w:pPr>
      <w:r>
        <w:rPr>
          <w:rStyle w:val="FootnoteReference"/>
        </w:rPr>
        <w:footnoteRef/>
      </w:r>
      <w:r>
        <w:t xml:space="preserve"> </w:t>
      </w:r>
      <w:r>
        <w:tab/>
        <w:t>The over-indebtedness of European households: updated mapping of the situation, nature</w:t>
      </w:r>
      <w:r>
        <w:t xml:space="preserve"> and causes, effects and initiatives for alleviating its impact, Civic Consulting for the European Commission, 2014,  p. 32, http://ec.europa.eu/consumers/financial_services/reference_studies_documents/docs/part_1_synthesis_of_findings_en.pdf</w:t>
      </w:r>
    </w:p>
  </w:footnote>
  <w:footnote w:id="349">
    <w:p w:rsidR="00B32D69" w:rsidRDefault="00FB661A">
      <w:pPr>
        <w:pStyle w:val="FootnoteText"/>
        <w:tabs>
          <w:tab w:val="left" w:pos="567"/>
        </w:tabs>
        <w:ind w:left="0" w:firstLine="0"/>
      </w:pPr>
      <w:r>
        <w:rPr>
          <w:rStyle w:val="FootnoteReference"/>
        </w:rPr>
        <w:footnoteRef/>
      </w:r>
      <w:r>
        <w:t xml:space="preserve"> </w:t>
      </w:r>
      <w:r>
        <w:tab/>
        <w:t>Also a hig</w:t>
      </w:r>
      <w:r>
        <w:t>h within country heterogeneity can be observed.</w:t>
      </w:r>
    </w:p>
  </w:footnote>
  <w:footnote w:id="350">
    <w:p w:rsidR="00B32D69" w:rsidRDefault="00FB661A">
      <w:pPr>
        <w:pStyle w:val="FootnoteText"/>
        <w:ind w:left="567" w:hanging="567"/>
      </w:pPr>
      <w:r>
        <w:rPr>
          <w:rStyle w:val="FootnoteReference"/>
        </w:rPr>
        <w:footnoteRef/>
      </w:r>
      <w:r>
        <w:t xml:space="preserve"> </w:t>
      </w:r>
      <w:r>
        <w:tab/>
        <w:t>Charter of Fundamental Rights of the European Union, 2010 O.J. C 83/02.</w:t>
      </w:r>
    </w:p>
  </w:footnote>
  <w:footnote w:id="351">
    <w:p w:rsidR="00B32D69" w:rsidRDefault="00FB661A">
      <w:pPr>
        <w:pStyle w:val="FootnoteText"/>
        <w:ind w:left="567" w:hanging="567"/>
      </w:pPr>
      <w:r>
        <w:rPr>
          <w:rStyle w:val="FootnoteReference"/>
        </w:rPr>
        <w:footnoteRef/>
      </w:r>
      <w:r>
        <w:t xml:space="preserve"> </w:t>
      </w:r>
      <w:r>
        <w:tab/>
        <w:t>Council Directive 98/59/EC of 20 July 1998 on the approximation of the laws of the Member States relating to collective redundanci</w:t>
      </w:r>
      <w:r>
        <w:t>es, OJ L 225, 12.08.1998, p. 16.</w:t>
      </w:r>
    </w:p>
  </w:footnote>
  <w:footnote w:id="352">
    <w:p w:rsidR="00B32D69" w:rsidRDefault="00FB661A">
      <w:pPr>
        <w:spacing w:after="0" w:line="240" w:lineRule="auto"/>
        <w:ind w:left="567" w:hanging="567"/>
        <w:rPr>
          <w:rFonts w:ascii="Times New Roman" w:hAnsi="Times New Roman" w:cs="Times New Roman"/>
          <w:sz w:val="20"/>
          <w:szCs w:val="20"/>
        </w:rPr>
      </w:pPr>
      <w:r>
        <w:rPr>
          <w:rStyle w:val="FootnoteReference"/>
          <w:rFonts w:ascii="Times New Roman" w:hAnsi="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Council Directive 2001/23/EC of 12 March 2001 on the approximation of the laws of the Member States relating to the safeguarding of employees' rights in the event of transfers of undertakings, businesses or parts of unde</w:t>
      </w:r>
      <w:r>
        <w:rPr>
          <w:rFonts w:ascii="Times New Roman" w:hAnsi="Times New Roman" w:cs="Times New Roman"/>
          <w:sz w:val="20"/>
          <w:szCs w:val="20"/>
        </w:rPr>
        <w:t>rtakings or businesses, OJ L 82, 22.03.2001, p. 16.</w:t>
      </w:r>
    </w:p>
  </w:footnote>
  <w:footnote w:id="353">
    <w:p w:rsidR="00B32D69" w:rsidRDefault="00FB661A">
      <w:pPr>
        <w:spacing w:after="0" w:line="240" w:lineRule="auto"/>
        <w:ind w:left="567" w:hanging="567"/>
        <w:rPr>
          <w:rFonts w:ascii="Times New Roman" w:hAnsi="Times New Roman" w:cs="Times New Roman"/>
          <w:sz w:val="20"/>
          <w:szCs w:val="20"/>
        </w:rPr>
      </w:pPr>
      <w:r>
        <w:rPr>
          <w:rStyle w:val="FootnoteReference"/>
          <w:rFonts w:ascii="Times New Roman" w:hAnsi="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Directive 2002/14/EC of the European Parliament and of the Council of 11 March 2002 establishing a general framework for informing and consulting employees in the European Community, OJ L 80, 23.3.2002</w:t>
      </w:r>
      <w:r>
        <w:rPr>
          <w:rFonts w:ascii="Times New Roman" w:hAnsi="Times New Roman" w:cs="Times New Roman"/>
          <w:sz w:val="20"/>
          <w:szCs w:val="20"/>
        </w:rPr>
        <w:t>, p. 29.</w:t>
      </w:r>
    </w:p>
  </w:footnote>
  <w:footnote w:id="354">
    <w:p w:rsidR="00B32D69" w:rsidRDefault="00FB661A">
      <w:pPr>
        <w:spacing w:after="0" w:line="240" w:lineRule="auto"/>
        <w:ind w:left="567" w:hanging="567"/>
        <w:rPr>
          <w:rFonts w:ascii="Times New Roman" w:hAnsi="Times New Roman" w:cs="Times New Roman"/>
          <w:color w:val="000000"/>
          <w:spacing w:val="-1"/>
          <w:sz w:val="20"/>
          <w:szCs w:val="20"/>
        </w:rPr>
      </w:pPr>
      <w:r>
        <w:rPr>
          <w:rStyle w:val="FootnoteReference"/>
          <w:rFonts w:ascii="Times New Roman" w:hAnsi="Times New Roman"/>
          <w:sz w:val="20"/>
          <w:szCs w:val="20"/>
        </w:rPr>
        <w:footnoteRef/>
      </w:r>
      <w:r>
        <w:rPr>
          <w:rFonts w:ascii="Times New Roman" w:hAnsi="Times New Roman" w:cs="Times New Roman"/>
          <w:sz w:val="20"/>
          <w:szCs w:val="20"/>
          <w:lang w:val="en-US"/>
        </w:rPr>
        <w:t xml:space="preserve"> </w:t>
      </w:r>
      <w:r>
        <w:rPr>
          <w:rFonts w:ascii="Times New Roman" w:hAnsi="Times New Roman" w:cs="Times New Roman"/>
          <w:sz w:val="20"/>
          <w:szCs w:val="20"/>
          <w:lang w:val="en-US"/>
        </w:rPr>
        <w:tab/>
      </w:r>
      <w:r>
        <w:rPr>
          <w:rFonts w:ascii="Times New Roman" w:hAnsi="Times New Roman" w:cs="Times New Roman"/>
          <w:color w:val="000000"/>
          <w:spacing w:val="-1"/>
          <w:sz w:val="20"/>
          <w:szCs w:val="20"/>
        </w:rPr>
        <w:t>Directive 2008/94/EC of the European Parliament and of the Council of 22 October 2008 on the protection of employees in the event of the insolvency of their employer, OJ L 283, 28.10.2008, p. 36.</w:t>
      </w:r>
    </w:p>
  </w:footnote>
  <w:footnote w:id="355">
    <w:p w:rsidR="00B32D69" w:rsidRDefault="00FB661A">
      <w:pPr>
        <w:ind w:left="567" w:hanging="567"/>
      </w:pPr>
      <w:r>
        <w:rPr>
          <w:rStyle w:val="FootnoteReference"/>
          <w:rFonts w:ascii="Times New Roman" w:hAnsi="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t>Directive 2009/38/EC of the European Parliame</w:t>
      </w:r>
      <w:r>
        <w:rPr>
          <w:rFonts w:ascii="Times New Roman" w:hAnsi="Times New Roman" w:cs="Times New Roman"/>
          <w:sz w:val="20"/>
          <w:szCs w:val="20"/>
        </w:rPr>
        <w:t>nt and of the Council of 6 May 2009 on the establishment of a European Works council or a procedure in Community-scale undertakings and community-scale groups of undertakings for the purpose of informing and consulting employees, OJ L 122, 16.5.2009, p.28.</w:t>
      </w:r>
    </w:p>
  </w:footnote>
  <w:footnote w:id="356">
    <w:p w:rsidR="00B32D69" w:rsidRDefault="00FB661A">
      <w:pPr>
        <w:pStyle w:val="FootnoteText"/>
      </w:pPr>
      <w:r>
        <w:rPr>
          <w:rStyle w:val="FootnoteReference"/>
        </w:rPr>
        <w:footnoteRef/>
      </w:r>
      <w:r>
        <w:t xml:space="preserve"> </w:t>
      </w:r>
      <w:r>
        <w:tab/>
        <w:t>Commission Staff Working Document "Impact Assessment accompanying the Commission Recommendation on a new approach to business failure and insolvency", SWD (2014) 61 final.</w:t>
      </w:r>
    </w:p>
  </w:footnote>
  <w:footnote w:id="357">
    <w:p w:rsidR="00B32D69" w:rsidRDefault="00FB661A">
      <w:pPr>
        <w:pStyle w:val="FootnoteText"/>
      </w:pPr>
      <w:r>
        <w:rPr>
          <w:rStyle w:val="FootnoteReference"/>
        </w:rPr>
        <w:footnoteRef/>
      </w:r>
      <w:r>
        <w:t xml:space="preserve"> </w:t>
      </w:r>
      <w:r>
        <w:tab/>
        <w:t>Study on a new approach to business failure and insolvency, University of Lee</w:t>
      </w:r>
      <w:r>
        <w:t>ds, January 2016, p. 209.</w:t>
      </w:r>
    </w:p>
  </w:footnote>
  <w:footnote w:id="358">
    <w:p w:rsidR="00B32D69" w:rsidRDefault="00FB661A">
      <w:pPr>
        <w:pStyle w:val="FootnoteText"/>
      </w:pPr>
      <w:r>
        <w:rPr>
          <w:rStyle w:val="FootnoteReference"/>
        </w:rPr>
        <w:footnoteRef/>
      </w:r>
      <w:r>
        <w:t xml:space="preserve"> </w:t>
      </w:r>
      <w:r>
        <w:tab/>
        <w:t xml:space="preserve">Study on a new approach to business failure and insolvency, University of Leeds, January 2016, p. 211. </w:t>
      </w:r>
    </w:p>
  </w:footnote>
  <w:footnote w:id="359">
    <w:p w:rsidR="00B32D69" w:rsidRDefault="00FB661A">
      <w:pPr>
        <w:pStyle w:val="FootnoteText"/>
      </w:pPr>
      <w:r>
        <w:rPr>
          <w:rStyle w:val="FootnoteReference"/>
        </w:rPr>
        <w:footnoteRef/>
      </w:r>
      <w:r>
        <w:t xml:space="preserve"> </w:t>
      </w:r>
      <w:r>
        <w:tab/>
        <w:t>Study on a new approach to business failure and insolvency, University of Leeds, January 2016, p. 212</w:t>
      </w:r>
    </w:p>
  </w:footnote>
  <w:footnote w:id="360">
    <w:p w:rsidR="00B32D69" w:rsidRDefault="00FB661A">
      <w:pPr>
        <w:pStyle w:val="NoSpacing"/>
        <w:ind w:left="709" w:hanging="709"/>
        <w:jc w:val="both"/>
        <w:rPr>
          <w:rFonts w:ascii="Times New Roman" w:eastAsia="Times New Roman" w:hAnsi="Times New Roman"/>
          <w:szCs w:val="20"/>
          <w:lang w:eastAsia="de-DE"/>
        </w:rPr>
      </w:pPr>
      <w:r>
        <w:rPr>
          <w:rStyle w:val="FootnoteReference"/>
          <w:rFonts w:cs="Arial"/>
          <w:sz w:val="18"/>
          <w:szCs w:val="18"/>
        </w:rPr>
        <w:footnoteRef/>
      </w:r>
      <w:r>
        <w:rPr>
          <w:rFonts w:cs="Arial"/>
          <w:sz w:val="18"/>
          <w:szCs w:val="18"/>
        </w:rPr>
        <w:t xml:space="preserve"> </w:t>
      </w:r>
      <w:r>
        <w:rPr>
          <w:rFonts w:cs="Arial"/>
          <w:sz w:val="18"/>
          <w:szCs w:val="18"/>
        </w:rPr>
        <w:tab/>
      </w:r>
      <w:r>
        <w:rPr>
          <w:rFonts w:ascii="Times New Roman" w:eastAsia="Times New Roman" w:hAnsi="Times New Roman"/>
          <w:szCs w:val="20"/>
          <w:lang w:eastAsia="de-DE"/>
        </w:rPr>
        <w:t xml:space="preserve">See generally G McCormack, “Rescuing Small Businesses: Designing an “Efficient” Legal Regime” [2009] Journal of Business Law 299-330. </w:t>
      </w:r>
    </w:p>
  </w:footnote>
  <w:footnote w:id="361">
    <w:p w:rsidR="00B32D69" w:rsidRDefault="00FB661A">
      <w:pPr>
        <w:pStyle w:val="FootnoteText"/>
      </w:pPr>
      <w:r>
        <w:rPr>
          <w:rStyle w:val="FootnoteReference"/>
        </w:rPr>
        <w:footnoteRef/>
      </w:r>
      <w:r>
        <w:t xml:space="preserve"> </w:t>
      </w:r>
      <w:r>
        <w:tab/>
        <w:t>Study on a new approach to business failure and insolvency, University of Leeds, January 2016, p. 209 -211</w:t>
      </w:r>
    </w:p>
  </w:footnote>
  <w:footnote w:id="362">
    <w:p w:rsidR="00B32D69" w:rsidRDefault="00FB661A">
      <w:pPr>
        <w:pStyle w:val="FootnoteText"/>
      </w:pPr>
      <w:r>
        <w:rPr>
          <w:rStyle w:val="FootnoteReference"/>
        </w:rPr>
        <w:footnoteRef/>
      </w:r>
      <w:r>
        <w:t xml:space="preserve"> </w:t>
      </w:r>
      <w:r>
        <w:tab/>
        <w:t xml:space="preserve">Annual </w:t>
      </w:r>
      <w:r>
        <w:t>Report on European SMEs 2015 / 2016, p. 53-54.</w:t>
      </w:r>
    </w:p>
  </w:footnote>
  <w:footnote w:id="363">
    <w:p w:rsidR="00B32D69" w:rsidRDefault="00FB661A">
      <w:pPr>
        <w:pStyle w:val="FootnoteText"/>
      </w:pPr>
      <w:r>
        <w:rPr>
          <w:rStyle w:val="FootnoteReference"/>
        </w:rPr>
        <w:footnoteRef/>
      </w:r>
      <w:r>
        <w:t xml:space="preserve"> </w:t>
      </w:r>
      <w:r>
        <w:tab/>
        <w:t xml:space="preserve">Annual Report on European SMEs 2015/2016, Special Study  </w:t>
      </w:r>
    </w:p>
  </w:footnote>
  <w:footnote w:id="364">
    <w:p w:rsidR="00B32D69" w:rsidRDefault="00FB661A">
      <w:pPr>
        <w:pStyle w:val="FootnoteText"/>
      </w:pPr>
      <w:r>
        <w:rPr>
          <w:rStyle w:val="FootnoteReference"/>
        </w:rPr>
        <w:footnoteRef/>
      </w:r>
      <w:r>
        <w:t xml:space="preserve"> </w:t>
      </w:r>
      <w:r>
        <w:tab/>
        <w:t>The range of indicators and method of aggregating scores in Doing Business has changed over time. In 2004 the quantitative measures of cost of pr</w:t>
      </w:r>
      <w:r>
        <w:t>oceedings and time of proceedings were used, alongside qualitative measures of priority of claims and efficiency of outcomes. In 2005 the qualitative measures were dropped, and a recovery rate was introduced, itself reflecting the time and cost of proceedi</w:t>
      </w:r>
      <w:r>
        <w:t xml:space="preserve">ngs. From 2007, the recovery rate was used to rank countries. From 2012 a distance to frontier approach was used to treat each aspect of institutional quality – in relation to insolvency this used only the recovery rate. In 2014 the strength of insolvency </w:t>
      </w:r>
      <w:r>
        <w:t>framework index was introduced and used alongside recovery rate in 50:50 proportion to calculate DTF.</w:t>
      </w:r>
    </w:p>
  </w:footnote>
  <w:footnote w:id="365">
    <w:p w:rsidR="00B32D69" w:rsidRDefault="00FB661A">
      <w:pPr>
        <w:pStyle w:val="FootnoteText"/>
      </w:pPr>
      <w:r>
        <w:rPr>
          <w:rStyle w:val="FootnoteReference"/>
        </w:rPr>
        <w:footnoteRef/>
      </w:r>
      <w:r>
        <w:t xml:space="preserve"> </w:t>
      </w:r>
      <w:r>
        <w:tab/>
        <w:t>Potential economic gains from reforming insolvency law in Europe, AFME, Frontier economics, Weil, February 2016, p. 26.</w:t>
      </w:r>
    </w:p>
  </w:footnote>
  <w:footnote w:id="366">
    <w:p w:rsidR="00B32D69" w:rsidRDefault="00FB661A">
      <w:pPr>
        <w:pStyle w:val="FootnoteText"/>
      </w:pPr>
      <w:r>
        <w:rPr>
          <w:rStyle w:val="FootnoteReference"/>
        </w:rPr>
        <w:footnoteRef/>
      </w:r>
      <w:r>
        <w:t xml:space="preserve"> </w:t>
      </w:r>
      <w:r>
        <w:tab/>
        <w:t>Potential economic gains fro</w:t>
      </w:r>
      <w:r>
        <w:t>m reforming insolvency law in Europe, AFME, Frontier economics, Weil, February 2016, p. 27.</w:t>
      </w:r>
    </w:p>
  </w:footnote>
  <w:footnote w:id="367">
    <w:p w:rsidR="00B32D69" w:rsidRDefault="00FB661A">
      <w:pPr>
        <w:pStyle w:val="FootnoteText"/>
      </w:pPr>
      <w:r>
        <w:rPr>
          <w:rStyle w:val="FootnoteReference"/>
        </w:rPr>
        <w:footnoteRef/>
      </w:r>
      <w:r>
        <w:t xml:space="preserve"> </w:t>
      </w:r>
      <w:r>
        <w:tab/>
      </w:r>
      <w:hyperlink r:id="rId29" w:history="1">
        <w:r>
          <w:rPr>
            <w:rStyle w:val="Hyperlink"/>
          </w:rPr>
          <w:t>http://www.doingbusiness.org/data/exploretopics/resolving-insolvency</w:t>
        </w:r>
      </w:hyperlink>
    </w:p>
  </w:footnote>
  <w:footnote w:id="368">
    <w:p w:rsidR="00B32D69" w:rsidRDefault="00FB661A">
      <w:pPr>
        <w:pStyle w:val="FootnoteText"/>
      </w:pPr>
      <w:r>
        <w:rPr>
          <w:rStyle w:val="FootnoteReference"/>
        </w:rPr>
        <w:footnoteRef/>
      </w:r>
      <w:r>
        <w:t xml:space="preserve"> </w:t>
      </w:r>
      <w:r>
        <w:tab/>
        <w:t>"Cor</w:t>
      </w:r>
      <w:r>
        <w:t>porate restructuring. Lessons from experience" by World Bank, Chapter 15 "Developing effective framework for insolvency and credit rights" , by Gordon W. Johnson".</w:t>
      </w:r>
    </w:p>
  </w:footnote>
  <w:footnote w:id="369">
    <w:p w:rsidR="00B32D69" w:rsidRDefault="00FB661A">
      <w:pPr>
        <w:pStyle w:val="FootnoteText"/>
      </w:pPr>
      <w:r>
        <w:rPr>
          <w:rStyle w:val="FootnoteReference"/>
        </w:rPr>
        <w:footnoteRef/>
      </w:r>
      <w:r>
        <w:t xml:space="preserve"> </w:t>
      </w:r>
      <w:r>
        <w:tab/>
        <w:t xml:space="preserve">World Bank Doing Business Report, p. </w:t>
      </w:r>
    </w:p>
  </w:footnote>
  <w:footnote w:id="370">
    <w:p w:rsidR="00B32D69" w:rsidRDefault="00FB661A">
      <w:pPr>
        <w:pStyle w:val="FootnoteText"/>
      </w:pPr>
      <w:r>
        <w:rPr>
          <w:rStyle w:val="FootnoteReference"/>
        </w:rPr>
        <w:footnoteRef/>
      </w:r>
      <w:r>
        <w:t xml:space="preserve"> The information conveyed by the indicators descri</w:t>
      </w:r>
      <w:r>
        <w:t>bes the situation of Member States as of end-2012.</w:t>
      </w:r>
    </w:p>
  </w:footnote>
  <w:footnote w:id="371">
    <w:p w:rsidR="00B32D69" w:rsidRDefault="00FB661A">
      <w:pPr>
        <w:pStyle w:val="FootnoteText"/>
        <w:ind w:left="0" w:firstLine="0"/>
      </w:pPr>
      <w:r>
        <w:rPr>
          <w:rStyle w:val="FootnoteReference"/>
        </w:rPr>
        <w:footnoteRef/>
      </w:r>
      <w:r>
        <w:t>https://www.standardandpoors.com/ja_JP/delegate/getPDF?articleId=1565219&amp;type=COMMENTS&amp;subType=CRITERIA)</w:t>
      </w:r>
    </w:p>
  </w:footnote>
  <w:footnote w:id="372">
    <w:p w:rsidR="00B32D69" w:rsidRDefault="00FB661A">
      <w:pPr>
        <w:pStyle w:val="FootnoteText"/>
        <w:ind w:left="567" w:hanging="567"/>
      </w:pPr>
      <w:r>
        <w:rPr>
          <w:rStyle w:val="FootnoteReference"/>
        </w:rPr>
        <w:footnoteRef/>
      </w:r>
      <w:r>
        <w:t xml:space="preserve"> </w:t>
      </w:r>
      <w:r>
        <w:tab/>
        <w:t>OJ C 115, 4.5.2010, p. 1.</w:t>
      </w:r>
    </w:p>
  </w:footnote>
  <w:footnote w:id="373">
    <w:p w:rsidR="00B32D69" w:rsidRDefault="00FB661A">
      <w:pPr>
        <w:pStyle w:val="FootnoteText"/>
        <w:ind w:left="567" w:hanging="567"/>
      </w:pPr>
      <w:r>
        <w:rPr>
          <w:rStyle w:val="FootnoteReference"/>
        </w:rPr>
        <w:footnoteRef/>
      </w:r>
      <w:r>
        <w:t xml:space="preserve"> </w:t>
      </w:r>
      <w:r>
        <w:tab/>
        <w:t>Communication from the Commission to the European Parliament, the C</w:t>
      </w:r>
      <w:r>
        <w:t>ouncil, the European Economic and Social Committee and the Committee of the Regions on a Single Market Act II: Together for new growth, COM(2012) 573 final, Brussels, 3.10.2012, p. 11-12.</w:t>
      </w:r>
    </w:p>
  </w:footnote>
  <w:footnote w:id="374">
    <w:p w:rsidR="00B32D69" w:rsidRDefault="00FB661A">
      <w:pPr>
        <w:pStyle w:val="FootnoteText"/>
        <w:tabs>
          <w:tab w:val="left" w:pos="567"/>
        </w:tabs>
        <w:ind w:left="567" w:hanging="567"/>
        <w:rPr>
          <w:lang w:val="cs-CZ"/>
        </w:rPr>
      </w:pPr>
      <w:r>
        <w:rPr>
          <w:rStyle w:val="FootnoteReference"/>
        </w:rPr>
        <w:footnoteRef/>
      </w:r>
      <w:r>
        <w:rPr>
          <w:lang w:val="cs-CZ"/>
        </w:rPr>
        <w:t xml:space="preserve"> </w:t>
      </w:r>
      <w:r>
        <w:rPr>
          <w:lang w:val="cs-CZ"/>
        </w:rPr>
        <w:tab/>
        <w:t>Completing Europe's Economic and Monetary Union, Report by Jean-C</w:t>
      </w:r>
      <w:r>
        <w:rPr>
          <w:lang w:val="cs-CZ"/>
        </w:rPr>
        <w:t>laude Juncker (in close cooperation with Donald Tusk, Jeroen Dijsselbloem, Mario Draghi and Martin Schulz, 22 June 2015 (</w:t>
      </w:r>
      <w:hyperlink r:id="rId30" w:history="1">
        <w:r>
          <w:rPr>
            <w:rStyle w:val="Hyperlink"/>
            <w:lang w:val="cs-CZ"/>
          </w:rPr>
          <w:t>http://ec.europa.eu/priorities/e</w:t>
        </w:r>
        <w:r>
          <w:rPr>
            <w:rStyle w:val="Hyperlink"/>
            <w:lang w:val="cs-CZ"/>
          </w:rPr>
          <w:t>conomic-monetary-union/docs/5-presidents-report_en.pdf</w:t>
        </w:r>
      </w:hyperlink>
      <w:r>
        <w:rPr>
          <w:lang w:val="cs-CZ"/>
        </w:rPr>
        <w:t>)</w:t>
      </w:r>
    </w:p>
  </w:footnote>
  <w:footnote w:id="375">
    <w:p w:rsidR="00B32D69" w:rsidRDefault="00FB661A">
      <w:pPr>
        <w:pStyle w:val="FootnoteText"/>
        <w:ind w:left="567" w:hanging="567"/>
        <w:rPr>
          <w:lang w:val="hu-HU"/>
        </w:rPr>
      </w:pPr>
      <w:r>
        <w:rPr>
          <w:rStyle w:val="FootnoteReference"/>
        </w:rPr>
        <w:footnoteRef/>
      </w:r>
      <w:r>
        <w:t xml:space="preserve"> </w:t>
      </w:r>
      <w:r>
        <w:tab/>
        <w:t>Council regulation (EC) No 1346/2000 of 29 May 2000 on insolvency proceedings</w:t>
      </w:r>
    </w:p>
  </w:footnote>
  <w:footnote w:id="376">
    <w:p w:rsidR="00B32D69" w:rsidRDefault="00FB661A">
      <w:pPr>
        <w:pStyle w:val="FootnoteText"/>
        <w:ind w:left="567" w:hanging="567"/>
        <w:rPr>
          <w:lang w:val="hu-HU"/>
        </w:rPr>
      </w:pPr>
      <w:r>
        <w:rPr>
          <w:rStyle w:val="FootnoteReference"/>
        </w:rPr>
        <w:footnoteRef/>
      </w:r>
      <w:r>
        <w:t xml:space="preserve"> </w:t>
      </w:r>
      <w:r>
        <w:tab/>
        <w:t>Regulation (EU) 2015/848 of the European Parliament and of the Council of 20 May 2015 on insolvency proceedings</w:t>
      </w:r>
    </w:p>
  </w:footnote>
  <w:footnote w:id="377">
    <w:p w:rsidR="00B32D69" w:rsidRDefault="00FB661A">
      <w:pPr>
        <w:pStyle w:val="FootnoteText"/>
      </w:pPr>
      <w:r>
        <w:rPr>
          <w:rStyle w:val="FootnoteReference"/>
        </w:rPr>
        <w:footnoteRef/>
      </w:r>
      <w:r>
        <w:t xml:space="preserve"> M.</w:t>
      </w:r>
      <w:r>
        <w:t xml:space="preserve"> Virgos, E. Schmit: Report on the Convention on Insolvency Proceedings, paragraphs 12-13.</w:t>
      </w:r>
    </w:p>
  </w:footnote>
  <w:footnote w:id="378">
    <w:p w:rsidR="00B32D69" w:rsidRDefault="00FB661A">
      <w:pPr>
        <w:pStyle w:val="FootnoteText"/>
      </w:pPr>
      <w:r>
        <w:rPr>
          <w:rStyle w:val="FootnoteReference"/>
        </w:rPr>
        <w:footnoteRef/>
      </w:r>
      <w:r>
        <w:t xml:space="preserve"> </w:t>
      </w:r>
      <w:r>
        <w:tab/>
        <w:t xml:space="preserve">European Parliament Resolution of 15 November 2011 with recommendations to the Commission on insolvency proceedings in the context of EU company law, P7_TA (2011) </w:t>
      </w:r>
      <w:r>
        <w:t>0484.</w:t>
      </w:r>
    </w:p>
  </w:footnote>
  <w:footnote w:id="379">
    <w:p w:rsidR="00B32D69" w:rsidRDefault="00FB661A">
      <w:pPr>
        <w:pStyle w:val="FootnoteText"/>
        <w:ind w:left="567" w:hanging="567"/>
        <w:rPr>
          <w:lang w:val="cs-CZ"/>
        </w:rPr>
      </w:pPr>
      <w:r>
        <w:rPr>
          <w:rStyle w:val="FootnoteReference"/>
        </w:rPr>
        <w:footnoteRef/>
      </w:r>
      <w:r>
        <w:rPr>
          <w:lang w:val="cs-CZ"/>
        </w:rPr>
        <w:t xml:space="preserve"> </w:t>
      </w:r>
      <w:r>
        <w:rPr>
          <w:lang w:val="cs-CZ"/>
        </w:rPr>
        <w:tab/>
        <w:t>Harmonisation of Insolvency Law at EU level, Directorate General for Internal Policies of the European Parliament, PE 419.633.</w:t>
      </w:r>
    </w:p>
  </w:footnote>
  <w:footnote w:id="380">
    <w:p w:rsidR="00B32D69" w:rsidRDefault="00FB661A">
      <w:pPr>
        <w:pStyle w:val="FootnoteText"/>
        <w:ind w:left="567" w:hanging="567"/>
      </w:pPr>
      <w:r>
        <w:rPr>
          <w:rStyle w:val="FootnoteReference"/>
        </w:rPr>
        <w:footnoteRef/>
      </w:r>
      <w:r>
        <w:t xml:space="preserve"> </w:t>
      </w:r>
      <w:r>
        <w:tab/>
      </w:r>
      <w:r>
        <w:rPr>
          <w:lang w:val="cs-CZ"/>
        </w:rPr>
        <w:t>European Commission: Communication "A new European approach to business failure and insolvency" COM(2012) 742.</w:t>
      </w:r>
    </w:p>
  </w:footnote>
  <w:footnote w:id="381">
    <w:p w:rsidR="00B32D69" w:rsidRDefault="00FB661A">
      <w:pPr>
        <w:pStyle w:val="FootnoteText"/>
        <w:ind w:left="567" w:hanging="567"/>
      </w:pPr>
      <w:r>
        <w:rPr>
          <w:rStyle w:val="FootnoteReference"/>
        </w:rPr>
        <w:footnoteRef/>
      </w:r>
      <w:r>
        <w:t xml:space="preserve"> </w:t>
      </w:r>
      <w:r>
        <w:tab/>
        <w:t>Ava</w:t>
      </w:r>
      <w:r>
        <w:t>ilable at http://ec.europa.eu/europe2020/making-it-happen/country-specific-recommendations/.</w:t>
      </w:r>
    </w:p>
  </w:footnote>
  <w:footnote w:id="382">
    <w:p w:rsidR="00B32D69" w:rsidRDefault="00FB661A">
      <w:pPr>
        <w:pStyle w:val="FootnoteText"/>
        <w:ind w:left="567" w:hanging="567"/>
      </w:pPr>
      <w:r>
        <w:rPr>
          <w:rStyle w:val="FootnoteReference"/>
        </w:rPr>
        <w:footnoteRef/>
      </w:r>
      <w:r>
        <w:t xml:space="preserve"> </w:t>
      </w:r>
      <w:r>
        <w:tab/>
        <w:t xml:space="preserve">COM(2012) 795 final </w:t>
      </w:r>
    </w:p>
  </w:footnote>
  <w:footnote w:id="383">
    <w:p w:rsidR="00B32D69" w:rsidRDefault="00FB661A">
      <w:pPr>
        <w:pStyle w:val="FootnoteText"/>
        <w:ind w:left="567" w:hanging="567"/>
      </w:pPr>
      <w:r>
        <w:rPr>
          <w:rStyle w:val="FootnoteReference"/>
        </w:rPr>
        <w:footnoteRef/>
      </w:r>
      <w:r>
        <w:t xml:space="preserve"> </w:t>
      </w:r>
      <w:r>
        <w:tab/>
        <w:t>C(2014) 1500 final</w:t>
      </w:r>
    </w:p>
  </w:footnote>
  <w:footnote w:id="384">
    <w:p w:rsidR="00B32D69" w:rsidRDefault="00FB661A">
      <w:pPr>
        <w:pStyle w:val="FootnoteText"/>
        <w:ind w:left="567" w:hanging="567"/>
      </w:pPr>
      <w:r>
        <w:rPr>
          <w:rStyle w:val="FootnoteReference"/>
        </w:rPr>
        <w:footnoteRef/>
      </w:r>
      <w:r>
        <w:t xml:space="preserve">  </w:t>
      </w:r>
      <w:r>
        <w:tab/>
      </w:r>
      <w:r>
        <w:t xml:space="preserve">For more details please see the evaluation of the implementation of the Commission Recommendation on a new approach to business failure and insolvency, 30 September 2015: </w:t>
      </w:r>
    </w:p>
    <w:p w:rsidR="00B32D69" w:rsidRDefault="00FB661A">
      <w:pPr>
        <w:pStyle w:val="FootnoteText"/>
        <w:ind w:left="284" w:firstLine="283"/>
      </w:pPr>
      <w:hyperlink r:id="rId31" w:history="1">
        <w:r>
          <w:rPr>
            <w:rStyle w:val="Hyperlink"/>
          </w:rPr>
          <w:t>http://ec.europa.eu/justice/civil/files/evaluation_recommendation_final.pdf</w:t>
        </w:r>
      </w:hyperlink>
      <w:r>
        <w:t xml:space="preserve">.  </w:t>
      </w:r>
    </w:p>
  </w:footnote>
  <w:footnote w:id="385">
    <w:p w:rsidR="00B32D69" w:rsidRDefault="00FB661A">
      <w:pPr>
        <w:pStyle w:val="FootnoteText"/>
        <w:ind w:left="567" w:hanging="567"/>
      </w:pPr>
      <w:r>
        <w:rPr>
          <w:rStyle w:val="FootnoteReference"/>
        </w:rPr>
        <w:footnoteRef/>
      </w:r>
      <w:r>
        <w:t xml:space="preserve"> </w:t>
      </w:r>
      <w:r>
        <w:tab/>
        <w:t xml:space="preserve">COM/2015/063 final of 18 February 2015.  </w:t>
      </w:r>
    </w:p>
  </w:footnote>
  <w:footnote w:id="386">
    <w:p w:rsidR="00B32D69" w:rsidRDefault="00FB661A">
      <w:pPr>
        <w:pStyle w:val="FootnoteText"/>
        <w:ind w:left="567" w:hanging="567"/>
        <w:rPr>
          <w:lang w:val="cs-CZ"/>
        </w:rPr>
      </w:pPr>
      <w:r>
        <w:rPr>
          <w:rStyle w:val="FootnoteReference"/>
        </w:rPr>
        <w:footnoteRef/>
      </w:r>
      <w:r>
        <w:rPr>
          <w:lang w:val="cs-CZ"/>
        </w:rPr>
        <w:t xml:space="preserve"> </w:t>
      </w:r>
      <w:r>
        <w:rPr>
          <w:lang w:val="cs-CZ"/>
        </w:rPr>
        <w:tab/>
        <w:t>Action Plan on Building a Capital Markets Union, COM(2015) 468 final, 30.9.2015</w:t>
      </w:r>
    </w:p>
  </w:footnote>
  <w:footnote w:id="387">
    <w:p w:rsidR="00B32D69" w:rsidRDefault="00FB661A">
      <w:pPr>
        <w:pStyle w:val="FootnoteText"/>
        <w:tabs>
          <w:tab w:val="left" w:pos="567"/>
        </w:tabs>
        <w:ind w:left="0" w:firstLine="0"/>
        <w:rPr>
          <w:lang w:val="cs-CZ"/>
        </w:rPr>
      </w:pPr>
      <w:r>
        <w:rPr>
          <w:rStyle w:val="FootnoteReference"/>
        </w:rPr>
        <w:footnoteRef/>
      </w:r>
      <w:r>
        <w:rPr>
          <w:lang w:val="cs-CZ"/>
        </w:rPr>
        <w:t xml:space="preserve"> </w:t>
      </w:r>
      <w:r>
        <w:rPr>
          <w:lang w:val="cs-CZ"/>
        </w:rPr>
        <w:tab/>
        <w:t>COM (2015) 550 final, 28.10.2015</w:t>
      </w:r>
    </w:p>
  </w:footnote>
  <w:footnote w:id="388">
    <w:p w:rsidR="00B32D69" w:rsidRDefault="00FB661A">
      <w:pPr>
        <w:pStyle w:val="FootnoteText"/>
        <w:tabs>
          <w:tab w:val="left" w:pos="567"/>
        </w:tabs>
      </w:pPr>
      <w:r>
        <w:rPr>
          <w:rStyle w:val="FootnoteReference"/>
        </w:rPr>
        <w:footnoteRef/>
      </w:r>
      <w:r>
        <w:t xml:space="preserve"> </w:t>
      </w:r>
      <w:r>
        <w:tab/>
        <w:t>10</w:t>
      </w:r>
      <w:r>
        <w:t xml:space="preserve"> December 2015.</w:t>
      </w:r>
    </w:p>
  </w:footnote>
  <w:footnote w:id="389">
    <w:p w:rsidR="00B32D69" w:rsidRDefault="00FB661A">
      <w:pPr>
        <w:pStyle w:val="FootnoteText"/>
        <w:rPr>
          <w:lang w:val="hu-HU"/>
        </w:rPr>
      </w:pPr>
      <w:r>
        <w:rPr>
          <w:rStyle w:val="FootnoteReference"/>
        </w:rPr>
        <w:footnoteRef/>
      </w:r>
      <w:r>
        <w:t xml:space="preserve"> </w:t>
      </w:r>
      <w:r>
        <w:tab/>
        <w:t xml:space="preserve">UNCITRAL </w:t>
      </w:r>
      <w:r>
        <w:rPr>
          <w:lang w:val="hu-HU"/>
        </w:rPr>
        <w:t xml:space="preserve">Legislative Gudie on Insolvency Law, pp. 25, 29-30. </w:t>
      </w:r>
    </w:p>
  </w:footnote>
  <w:footnote w:id="390">
    <w:p w:rsidR="00B32D69" w:rsidRDefault="00FB661A">
      <w:pPr>
        <w:pStyle w:val="FootnoteText"/>
        <w:rPr>
          <w:lang w:val="hu-HU"/>
        </w:rPr>
      </w:pPr>
      <w:r>
        <w:rPr>
          <w:rStyle w:val="FootnoteReference"/>
        </w:rPr>
        <w:footnoteRef/>
      </w:r>
      <w:r>
        <w:t xml:space="preserve"> </w:t>
      </w:r>
      <w:r>
        <w:tab/>
        <w:t xml:space="preserve">UNCITRAL </w:t>
      </w:r>
      <w:r>
        <w:rPr>
          <w:lang w:val="hu-HU"/>
        </w:rPr>
        <w:t xml:space="preserve">Legislative Gudie on Insolvency Law, p. 2. </w:t>
      </w:r>
    </w:p>
  </w:footnote>
  <w:footnote w:id="391">
    <w:p w:rsidR="00B32D69" w:rsidRDefault="00FB661A">
      <w:pPr>
        <w:pStyle w:val="FootnoteText"/>
      </w:pPr>
      <w:r>
        <w:rPr>
          <w:rStyle w:val="FootnoteReference"/>
        </w:rPr>
        <w:footnoteRef/>
      </w:r>
      <w:r>
        <w:t xml:space="preserve"> </w:t>
      </w:r>
      <w:r>
        <w:tab/>
        <w:t>Study on a new approach to business failure and insolvency, University of Leeds, January 2016, p.52.</w:t>
      </w:r>
    </w:p>
  </w:footnote>
  <w:footnote w:id="392">
    <w:p w:rsidR="00B32D69" w:rsidRDefault="00FB661A">
      <w:pPr>
        <w:pStyle w:val="FootnoteText"/>
      </w:pPr>
      <w:r>
        <w:rPr>
          <w:rStyle w:val="FootnoteReference"/>
        </w:rPr>
        <w:footnoteRef/>
      </w:r>
      <w:r>
        <w:t xml:space="preserve"> </w:t>
      </w:r>
      <w:r>
        <w:tab/>
        <w:t>Study on a n</w:t>
      </w:r>
      <w:r>
        <w:t>ew approach to business failure and insolvency, University of Leeds, January 2016, p.214.</w:t>
      </w:r>
    </w:p>
  </w:footnote>
  <w:footnote w:id="393">
    <w:p w:rsidR="00B32D69" w:rsidRDefault="00FB661A">
      <w:pPr>
        <w:pStyle w:val="FootnoteText"/>
        <w:rPr>
          <w:rFonts w:asciiTheme="minorHAnsi" w:hAnsiTheme="minorHAnsi"/>
          <w:sz w:val="18"/>
          <w:szCs w:val="18"/>
        </w:rPr>
      </w:pPr>
      <w:r>
        <w:rPr>
          <w:rStyle w:val="FootnoteReference"/>
          <w:rFonts w:asciiTheme="minorHAnsi" w:hAnsiTheme="minorHAnsi"/>
          <w:sz w:val="18"/>
          <w:szCs w:val="18"/>
        </w:rPr>
        <w:footnoteRef/>
      </w:r>
      <w:r>
        <w:rPr>
          <w:rFonts w:asciiTheme="minorHAnsi" w:hAnsiTheme="minorHAnsi"/>
          <w:sz w:val="18"/>
          <w:szCs w:val="18"/>
        </w:rPr>
        <w:t xml:space="preserve"> Unless specified otherwise the definitions are taken from: (i) Study on a new approach to business failure and insolvency, University of Leeds, January 2016, and (i</w:t>
      </w:r>
      <w:r>
        <w:rPr>
          <w:rFonts w:asciiTheme="minorHAnsi" w:hAnsiTheme="minorHAnsi"/>
          <w:sz w:val="18"/>
          <w:szCs w:val="18"/>
        </w:rPr>
        <w:t>i) Impact assessment study on policy options for a new initiative on minimum standards in insolvency and restructuring law, Second Progress Report, VVA/ JIIP/ DTI/ Grimaldi consortium, 24 August 2016.</w:t>
      </w:r>
    </w:p>
  </w:footnote>
  <w:footnote w:id="394">
    <w:p w:rsidR="00B32D69" w:rsidRDefault="00FB661A">
      <w:pPr>
        <w:pStyle w:val="FootnoteText"/>
        <w:ind w:left="0" w:firstLine="0"/>
        <w:rPr>
          <w:rFonts w:asciiTheme="minorHAnsi" w:hAnsiTheme="minorHAnsi"/>
          <w:sz w:val="18"/>
          <w:szCs w:val="18"/>
          <w:lang w:val="en-US"/>
        </w:rPr>
      </w:pPr>
      <w:r>
        <w:rPr>
          <w:rStyle w:val="FootnoteReference"/>
          <w:rFonts w:asciiTheme="minorHAnsi" w:hAnsiTheme="minorHAnsi"/>
          <w:sz w:val="18"/>
          <w:szCs w:val="18"/>
        </w:rPr>
        <w:footnoteRef/>
      </w:r>
      <w:r>
        <w:rPr>
          <w:rFonts w:asciiTheme="minorHAnsi" w:hAnsiTheme="minorHAnsi"/>
          <w:sz w:val="18"/>
          <w:szCs w:val="18"/>
          <w:lang w:val="en-US"/>
        </w:rPr>
        <w:t xml:space="preserve"> Article 2 (1) (4) DIRECTIVE 2014/59/EU OF THE EUROPEA</w:t>
      </w:r>
      <w:r>
        <w:rPr>
          <w:rFonts w:asciiTheme="minorHAnsi" w:hAnsiTheme="minorHAnsi"/>
          <w:sz w:val="18"/>
          <w:szCs w:val="18"/>
          <w:lang w:val="en-US"/>
        </w:rPr>
        <w:t>N PARLIAMENT AND OF THE COUNCIL of 15 May 2014 establishing a framework for the recovery and resolution of credit institutions and investment firms and amending Council Directive 82/891/EEC, and Directives 2001/24/EC, 2002/47/EC, 2004/25/EC, 2005/56/EC, 20</w:t>
      </w:r>
      <w:r>
        <w:rPr>
          <w:rFonts w:asciiTheme="minorHAnsi" w:hAnsiTheme="minorHAnsi"/>
          <w:sz w:val="18"/>
          <w:szCs w:val="18"/>
          <w:lang w:val="en-US"/>
        </w:rPr>
        <w:t xml:space="preserve">07/36/EC, 2011/35/EU, 2012/30/EU and 2013/36/EU, and Regulations (EU) No 1093/2010 and (EU) No 648/2012, of the European Parliament and of the Council. </w:t>
      </w:r>
    </w:p>
  </w:footnote>
  <w:footnote w:id="395">
    <w:p w:rsidR="00B32D69" w:rsidRDefault="00FB661A">
      <w:pPr>
        <w:spacing w:line="240" w:lineRule="auto"/>
        <w:rPr>
          <w:sz w:val="18"/>
          <w:szCs w:val="18"/>
        </w:rPr>
      </w:pPr>
      <w:r>
        <w:rPr>
          <w:rStyle w:val="FootnoteReference"/>
          <w:sz w:val="18"/>
          <w:szCs w:val="18"/>
        </w:rPr>
        <w:footnoteRef/>
      </w:r>
      <w:r>
        <w:rPr>
          <w:sz w:val="18"/>
          <w:szCs w:val="18"/>
        </w:rPr>
        <w:t xml:space="preserve"> </w:t>
      </w:r>
      <w:r>
        <w:rPr>
          <w:sz w:val="18"/>
          <w:szCs w:val="18"/>
          <w:lang w:val="en-US"/>
        </w:rPr>
        <w:t>(J. Armour and S. Deakin (2001), “Norms in private insolvency: The ‘London Approach’ to the resolutio</w:t>
      </w:r>
      <w:r>
        <w:rPr>
          <w:sz w:val="18"/>
          <w:szCs w:val="18"/>
          <w:lang w:val="en-US"/>
        </w:rPr>
        <w:t>n of financial distress”, Journal of Corporate Law Studies, pp. 21-51).</w:t>
      </w:r>
    </w:p>
  </w:footnote>
  <w:footnote w:id="396">
    <w:p w:rsidR="00B32D69" w:rsidRDefault="00FB661A">
      <w:pPr>
        <w:pStyle w:val="FootnoteText"/>
        <w:rPr>
          <w:rFonts w:asciiTheme="minorHAnsi" w:hAnsiTheme="minorHAnsi"/>
          <w:sz w:val="18"/>
          <w:szCs w:val="18"/>
          <w:lang w:val="en-US"/>
        </w:rPr>
      </w:pPr>
      <w:r>
        <w:rPr>
          <w:rFonts w:asciiTheme="minorHAnsi" w:hAnsiTheme="minorHAnsi"/>
          <w:sz w:val="18"/>
          <w:szCs w:val="18"/>
          <w:lang w:val="en-US"/>
        </w:rPr>
        <w:footnoteRef/>
      </w:r>
      <w:r>
        <w:rPr>
          <w:rFonts w:asciiTheme="minorHAnsi" w:hAnsiTheme="minorHAnsi"/>
          <w:sz w:val="18"/>
          <w:szCs w:val="18"/>
          <w:lang w:val="en-US"/>
        </w:rPr>
        <w:t xml:space="preserve"> </w:t>
      </w:r>
      <w:r>
        <w:rPr>
          <w:rFonts w:asciiTheme="minorHAnsi" w:hAnsiTheme="minorHAnsi"/>
          <w:sz w:val="18"/>
          <w:szCs w:val="18"/>
          <w:lang w:val="en-US"/>
        </w:rPr>
        <w:tab/>
        <w:t xml:space="preserve">Eurostat's Concepts and Definitions Database, </w:t>
      </w:r>
      <w:hyperlink r:id="rId32" w:history="1">
        <w:r>
          <w:rPr>
            <w:rFonts w:asciiTheme="minorHAnsi" w:hAnsiTheme="minorHAnsi"/>
            <w:sz w:val="18"/>
            <w:szCs w:val="18"/>
            <w:lang w:val="en-US"/>
          </w:rPr>
          <w:t>http://ec.europa.eu/eurostat/documents/3859598/5826305/CA-15-96-001-EN.pdf/aeec2852-bed2-46d2-9534-5859d3c911d5</w:t>
        </w:r>
      </w:hyperlink>
      <w:r>
        <w:rPr>
          <w:rFonts w:asciiTheme="minorHAnsi" w:hAnsiTheme="minorHAnsi"/>
          <w:sz w:val="18"/>
          <w:szCs w:val="18"/>
          <w:lang w:val="en-US"/>
        </w:rPr>
        <w:t xml:space="preserve">. </w:t>
      </w:r>
    </w:p>
  </w:footnote>
  <w:footnote w:id="397">
    <w:p w:rsidR="00B32D69" w:rsidRDefault="00FB661A">
      <w:pPr>
        <w:pStyle w:val="FootnoteText"/>
        <w:ind w:left="567" w:hanging="567"/>
      </w:pPr>
      <w:r>
        <w:rPr>
          <w:rStyle w:val="FootnoteReference"/>
          <w:rFonts w:eastAsiaTheme="majorEastAsia"/>
        </w:rPr>
        <w:footnoteRef/>
      </w:r>
      <w:r>
        <w:t xml:space="preserve"> </w:t>
      </w:r>
      <w:r>
        <w:tab/>
        <w:t>From the Commission 2014 Study on household over-indebtedness it appears that principal cases of over-indebtedness are external to the peop</w:t>
      </w:r>
      <w:r>
        <w:t>le (loss of income, disease, family problems). Nevertheless, other causes were also identified as important, which were "subjective" such as lack of money-management skills, or incapacity to deal with financial products. Study on over-indebtedness of Europ</w:t>
      </w:r>
      <w:r>
        <w:t xml:space="preserve">ean households, </w:t>
      </w:r>
      <w:hyperlink r:id="rId33" w:history="1">
        <w:r>
          <w:rPr>
            <w:rStyle w:val="Hyperlink"/>
            <w:rFonts w:eastAsiaTheme="majorEastAsia"/>
          </w:rPr>
          <w:t>http://ec.europa.eu/consumers/financial_services/reference_studies_documents/docs/part_1_synthesis_of_find</w:t>
        </w:r>
        <w:r>
          <w:rPr>
            <w:rStyle w:val="Hyperlink"/>
            <w:rFonts w:eastAsiaTheme="majorEastAsia"/>
          </w:rPr>
          <w:t>ings_en.pdf</w:t>
        </w:r>
      </w:hyperlink>
      <w:r>
        <w:t xml:space="preserve">, p. 157, 162. </w:t>
      </w:r>
    </w:p>
  </w:footnote>
  <w:footnote w:id="398">
    <w:p w:rsidR="00B32D69" w:rsidRDefault="00FB661A">
      <w:pPr>
        <w:pStyle w:val="FootnoteText"/>
        <w:ind w:left="567" w:hanging="567"/>
      </w:pPr>
      <w:r>
        <w:rPr>
          <w:rStyle w:val="FootnoteReference"/>
          <w:rFonts w:eastAsiaTheme="majorEastAsia"/>
        </w:rPr>
        <w:footnoteRef/>
      </w:r>
      <w:r>
        <w:t xml:space="preserve"> </w:t>
      </w:r>
      <w:r>
        <w:tab/>
        <w:t>Annual Report on European SMEs 2015/2016, SMEs as the engine of growth in 2016, SME Performance Review 2015/2016, March 2016, prepared for Directorate-General for Internal Market, Industry, Entrepreneurship and SMEs.</w:t>
      </w:r>
    </w:p>
  </w:footnote>
  <w:footnote w:id="399">
    <w:p w:rsidR="00B32D69" w:rsidRDefault="00FB661A">
      <w:pPr>
        <w:pStyle w:val="FootnoteText"/>
        <w:ind w:left="567" w:hanging="567"/>
        <w:rPr>
          <w:lang w:val="en-BZ"/>
        </w:rPr>
      </w:pPr>
      <w:r>
        <w:rPr>
          <w:rStyle w:val="FootnoteReference"/>
          <w:rFonts w:eastAsiaTheme="majorEastAsia"/>
        </w:rPr>
        <w:footnoteRef/>
      </w:r>
      <w:r>
        <w:t xml:space="preserve"> </w:t>
      </w:r>
      <w:r>
        <w:tab/>
      </w:r>
      <w:r>
        <w:rPr>
          <w:lang w:val="en-BZ"/>
        </w:rPr>
        <w:t>The in</w:t>
      </w:r>
      <w:r>
        <w:rPr>
          <w:lang w:val="en-BZ"/>
        </w:rPr>
        <w:t>itiative uses the concept of „practitioners in the field of restructuring, insolvency and second chance”, which is a broader concept as the one of „insolvency practitioner” in the Regulation (EU) 2015/848 on insolvency proceedings, as it includes also medi</w:t>
      </w:r>
      <w:r>
        <w:rPr>
          <w:lang w:val="en-BZ"/>
        </w:rPr>
        <w:t xml:space="preserve">ators or other professionals providing service in this regard. In this Annex we address the profession in the narrower sense of the Regulation. </w:t>
      </w:r>
    </w:p>
  </w:footnote>
  <w:footnote w:id="400">
    <w:p w:rsidR="00B32D69" w:rsidRDefault="00FB661A">
      <w:pPr>
        <w:pStyle w:val="FootnoteText"/>
        <w:ind w:left="567" w:hanging="567"/>
        <w:rPr>
          <w:lang w:val="en-BZ"/>
        </w:rPr>
      </w:pPr>
      <w:r>
        <w:rPr>
          <w:rStyle w:val="FootnoteReference"/>
          <w:rFonts w:eastAsiaTheme="majorEastAsia"/>
          <w:lang w:val="en-BZ"/>
        </w:rPr>
        <w:footnoteRef/>
      </w:r>
      <w:r>
        <w:rPr>
          <w:lang w:val="en-BZ"/>
        </w:rPr>
        <w:t xml:space="preserve"> </w:t>
      </w:r>
      <w:r>
        <w:rPr>
          <w:lang w:val="en-BZ"/>
        </w:rPr>
        <w:tab/>
        <w:t>AT, BE, CY, CZ, DK, FI, DE, EL, HU, IE, IT, LU, MT, NL, ES, SE See Table 2.1. in the Study on a new approach</w:t>
      </w:r>
      <w:r>
        <w:rPr>
          <w:lang w:val="en-BZ"/>
        </w:rPr>
        <w:t xml:space="preserve"> to business failure and insolvency, University of Leeds, January 2016, pp. 82-93.</w:t>
      </w:r>
    </w:p>
  </w:footnote>
  <w:footnote w:id="401">
    <w:p w:rsidR="00B32D69" w:rsidRDefault="00FB661A">
      <w:pPr>
        <w:pStyle w:val="FootnoteText"/>
        <w:ind w:left="567" w:hanging="567"/>
        <w:rPr>
          <w:lang w:val="hu-HU"/>
        </w:rPr>
      </w:pPr>
      <w:r>
        <w:rPr>
          <w:rStyle w:val="FootnoteReference"/>
          <w:rFonts w:eastAsiaTheme="majorEastAsia"/>
          <w:lang w:val="en-BZ"/>
        </w:rPr>
        <w:footnoteRef/>
      </w:r>
      <w:r>
        <w:rPr>
          <w:lang w:val="es-ES"/>
        </w:rPr>
        <w:t xml:space="preserve"> </w:t>
      </w:r>
      <w:r>
        <w:rPr>
          <w:lang w:val="es-ES"/>
        </w:rPr>
        <w:tab/>
        <w:t xml:space="preserve">BG, BE, CY, CZ, DE, EE, EL, ES, FR, HU, IE, LV, LT, MT, NL, PL, PT, RO, SK, SI, SE. </w:t>
      </w:r>
      <w:r>
        <w:rPr>
          <w:lang w:val="pt-PT"/>
        </w:rPr>
        <w:t>Idem pp. 82-93.</w:t>
      </w:r>
    </w:p>
  </w:footnote>
  <w:footnote w:id="402">
    <w:p w:rsidR="00B32D69" w:rsidRDefault="00FB661A">
      <w:pPr>
        <w:pStyle w:val="FootnoteText"/>
        <w:ind w:left="567" w:hanging="567"/>
        <w:rPr>
          <w:lang w:val="hu-HU"/>
        </w:rPr>
      </w:pPr>
      <w:r>
        <w:rPr>
          <w:rStyle w:val="FootnoteReference"/>
          <w:rFonts w:eastAsiaTheme="majorEastAsia"/>
        </w:rPr>
        <w:footnoteRef/>
      </w:r>
      <w:r>
        <w:rPr>
          <w:lang w:val="pt-PT"/>
        </w:rPr>
        <w:t xml:space="preserve"> </w:t>
      </w:r>
      <w:r>
        <w:rPr>
          <w:lang w:val="hu-HU"/>
        </w:rPr>
        <w:tab/>
        <w:t>e.g. AT, BE, DE, HU. Idem pp. 82-93.</w:t>
      </w:r>
    </w:p>
  </w:footnote>
  <w:footnote w:id="403">
    <w:p w:rsidR="00B32D69" w:rsidRDefault="00FB661A">
      <w:pPr>
        <w:pStyle w:val="FootnoteText"/>
        <w:rPr>
          <w:lang w:val="pt-PT"/>
        </w:rPr>
      </w:pPr>
      <w:r>
        <w:rPr>
          <w:rStyle w:val="FootnoteReference"/>
        </w:rPr>
        <w:footnoteRef/>
      </w:r>
      <w:r>
        <w:rPr>
          <w:lang w:val="pt-PT"/>
        </w:rPr>
        <w:t xml:space="preserve"> COM (2014) 1500 final.</w:t>
      </w:r>
    </w:p>
  </w:footnote>
  <w:footnote w:id="404">
    <w:p w:rsidR="00B32D69" w:rsidRDefault="00FB661A">
      <w:pPr>
        <w:pStyle w:val="FootnoteText"/>
        <w:ind w:left="142" w:hanging="142"/>
        <w:rPr>
          <w:lang w:val="pt-PT"/>
        </w:rPr>
      </w:pPr>
      <w:r>
        <w:rPr>
          <w:rStyle w:val="FootnoteReference"/>
        </w:rPr>
        <w:footnoteRef/>
      </w:r>
      <w:r>
        <w:rPr>
          <w:lang w:val="pt-PT"/>
        </w:rPr>
        <w:t xml:space="preserve"> Austria, Belgium, Bulgaria, Croatia, Czech Republic, Estonia, Finland, France, Germany, Greece, Hungary, Italy, Latvia, Lithuania, Luxembourg, The Netherlands, Poland, Portugal, Romania, Slovakia, Slovenia, Spain, Sweden and the UK.</w:t>
      </w:r>
    </w:p>
  </w:footnote>
  <w:footnote w:id="405">
    <w:p w:rsidR="00B32D69" w:rsidRDefault="00FB661A">
      <w:pPr>
        <w:pStyle w:val="FootnoteText"/>
        <w:rPr>
          <w:lang w:val="pt-PT"/>
        </w:rPr>
      </w:pPr>
      <w:r>
        <w:rPr>
          <w:rStyle w:val="FootnoteReference"/>
        </w:rPr>
        <w:footnoteRef/>
      </w:r>
      <w:r>
        <w:rPr>
          <w:lang w:val="pt-PT"/>
        </w:rPr>
        <w:t xml:space="preserve"> Cyprus, Denmark, Ire</w:t>
      </w:r>
      <w:r>
        <w:rPr>
          <w:lang w:val="pt-PT"/>
        </w:rPr>
        <w:t>land and Malta.</w:t>
      </w:r>
    </w:p>
  </w:footnote>
  <w:footnote w:id="406">
    <w:p w:rsidR="00B32D69" w:rsidRDefault="00FB661A">
      <w:pPr>
        <w:pStyle w:val="FootnoteText"/>
        <w:rPr>
          <w:lang w:val="pt-PT"/>
        </w:rPr>
      </w:pPr>
      <w:r>
        <w:rPr>
          <w:rStyle w:val="FootnoteReference"/>
        </w:rPr>
        <w:footnoteRef/>
      </w:r>
      <w:r>
        <w:rPr>
          <w:lang w:val="pt-PT"/>
        </w:rPr>
        <w:t xml:space="preserve"> Belgium, Croatia, Czech Republic, Cyprus, Denmark, France, Greece, Ireland, Italy, Lithuania, Luxemburg, the Netherlands, Poland, Portugal, Romania, Slovakia, Slovenia, Spain and the UK.</w:t>
      </w:r>
    </w:p>
  </w:footnote>
  <w:footnote w:id="407">
    <w:p w:rsidR="00B32D69" w:rsidRDefault="00FB661A">
      <w:pPr>
        <w:pStyle w:val="FootnoteText"/>
        <w:rPr>
          <w:lang w:val="it-IT"/>
        </w:rPr>
      </w:pPr>
      <w:r>
        <w:rPr>
          <w:rStyle w:val="FootnoteReference"/>
        </w:rPr>
        <w:footnoteRef/>
      </w:r>
      <w:r>
        <w:rPr>
          <w:lang w:val="it-IT"/>
        </w:rPr>
        <w:t xml:space="preserve"> Austria, Bulgaria, Estonia, Finland, Germany, Hun</w:t>
      </w:r>
      <w:r>
        <w:rPr>
          <w:lang w:val="it-IT"/>
        </w:rPr>
        <w:t>gary, Latvia, Malta and Sweden.</w:t>
      </w:r>
    </w:p>
  </w:footnote>
  <w:footnote w:id="408">
    <w:p w:rsidR="00B32D69" w:rsidRDefault="00FB661A">
      <w:pPr>
        <w:pStyle w:val="FootnoteText"/>
      </w:pPr>
      <w:r>
        <w:rPr>
          <w:rStyle w:val="FootnoteReference"/>
        </w:rPr>
        <w:footnoteRef/>
      </w:r>
      <w:r>
        <w:t xml:space="preserve"> In PT, in 2013, important amendments were introduced to the legal framework applicable to retail banking markets, which widened the rights of bank customers and in particular of over indebted customers. Sole traders, craft</w:t>
      </w:r>
      <w:r>
        <w:t>smen, professionals and consumers can benefit from such procedure.</w:t>
      </w:r>
    </w:p>
  </w:footnote>
  <w:footnote w:id="409">
    <w:p w:rsidR="00B32D69" w:rsidRDefault="00FB661A">
      <w:pPr>
        <w:pStyle w:val="FootnoteText"/>
        <w:rPr>
          <w:lang w:val="en-US"/>
        </w:rPr>
      </w:pPr>
      <w:r>
        <w:rPr>
          <w:rStyle w:val="FootnoteReference"/>
        </w:rPr>
        <w:footnoteRef/>
      </w:r>
      <w:r>
        <w:t xml:space="preserve"> </w:t>
      </w:r>
      <w:r>
        <w:rPr>
          <w:lang w:val="en-US"/>
        </w:rPr>
        <w:t xml:space="preserve">The data refer to </w:t>
      </w:r>
      <w:r>
        <w:rPr>
          <w:i/>
          <w:lang w:val="en-US"/>
        </w:rPr>
        <w:t>sauvegarde</w:t>
      </w:r>
      <w:r>
        <w:rPr>
          <w:lang w:val="en-US"/>
        </w:rPr>
        <w:t xml:space="preserve">, </w:t>
      </w:r>
      <w:r>
        <w:rPr>
          <w:i/>
          <w:lang w:val="en-US"/>
        </w:rPr>
        <w:t>mandat ad hoc</w:t>
      </w:r>
      <w:r>
        <w:rPr>
          <w:lang w:val="en-US"/>
        </w:rPr>
        <w:t xml:space="preserve"> and </w:t>
      </w:r>
      <w:r>
        <w:rPr>
          <w:i/>
          <w:lang w:val="en-US"/>
        </w:rPr>
        <w:t>conciliation</w:t>
      </w:r>
      <w:r>
        <w:rPr>
          <w:lang w:val="en-US"/>
        </w:rPr>
        <w:t>.</w:t>
      </w:r>
    </w:p>
  </w:footnote>
  <w:footnote w:id="410">
    <w:p w:rsidR="00B32D69" w:rsidRDefault="00FB661A">
      <w:pPr>
        <w:pStyle w:val="FootnoteText"/>
        <w:rPr>
          <w:lang w:val="en-US"/>
        </w:rPr>
      </w:pPr>
      <w:r>
        <w:rPr>
          <w:rStyle w:val="FootnoteReference"/>
        </w:rPr>
        <w:footnoteRef/>
      </w:r>
      <w:r>
        <w:t xml:space="preserve"> </w:t>
      </w:r>
      <w:r>
        <w:rPr>
          <w:lang w:val="en-US"/>
        </w:rPr>
        <w:t>This number refers only to PER. With regard to SIREVE, from 2012 until the mid of 2015, 504 requests were submitted.</w:t>
      </w:r>
    </w:p>
  </w:footnote>
  <w:footnote w:id="411">
    <w:p w:rsidR="00B32D69" w:rsidRDefault="00FB661A">
      <w:pPr>
        <w:pStyle w:val="FootnoteText"/>
        <w:rPr>
          <w:lang w:val="en-US"/>
        </w:rPr>
      </w:pPr>
      <w:r>
        <w:rPr>
          <w:rStyle w:val="FootnoteReference"/>
        </w:rPr>
        <w:footnoteRef/>
      </w:r>
      <w:r>
        <w:t xml:space="preserve"> The data refer to the insolvency procedures used in restructuring (</w:t>
      </w:r>
      <w:r>
        <w:rPr>
          <w:lang w:val="en-US"/>
        </w:rPr>
        <w:t>Administrations and CVAs). There is no information on Schemes of Arrangement as these are restructuring procedures available to all companies and not just those facing insolvency.</w:t>
      </w:r>
    </w:p>
  </w:footnote>
  <w:footnote w:id="412">
    <w:p w:rsidR="00B32D69" w:rsidRDefault="00FB661A">
      <w:pPr>
        <w:pStyle w:val="FootnoteText"/>
        <w:rPr>
          <w:lang w:val="en-US"/>
        </w:rPr>
      </w:pPr>
      <w:r>
        <w:rPr>
          <w:rStyle w:val="FootnoteReference"/>
        </w:rPr>
        <w:footnoteRef/>
      </w:r>
      <w:r>
        <w:t xml:space="preserve"> </w:t>
      </w:r>
      <w:r>
        <w:rPr>
          <w:lang w:val="en-US"/>
        </w:rPr>
        <w:t>The da</w:t>
      </w:r>
      <w:r>
        <w:rPr>
          <w:lang w:val="en-US"/>
        </w:rPr>
        <w:t xml:space="preserve">ta refer to the number of cases in which suspension of payment was granted. Under Dutch law, there are currently no other preventive restructuring proceedings. </w:t>
      </w:r>
    </w:p>
  </w:footnote>
  <w:footnote w:id="413">
    <w:p w:rsidR="00B32D69" w:rsidRDefault="00FB661A">
      <w:pPr>
        <w:pStyle w:val="FootnoteText"/>
        <w:rPr>
          <w:lang w:val="en-US"/>
        </w:rPr>
      </w:pPr>
      <w:r>
        <w:rPr>
          <w:rStyle w:val="FootnoteReference"/>
        </w:rPr>
        <w:footnoteRef/>
      </w:r>
      <w:r>
        <w:t xml:space="preserve"> </w:t>
      </w:r>
      <w:r>
        <w:rPr>
          <w:lang w:val="en-US"/>
        </w:rPr>
        <w:t>This number concerns finalised cases instituted in District Court and in Maritime and Commerc</w:t>
      </w:r>
      <w:r>
        <w:rPr>
          <w:lang w:val="en-US"/>
        </w:rPr>
        <w:t>ial Court.</w:t>
      </w:r>
    </w:p>
  </w:footnote>
  <w:footnote w:id="414">
    <w:p w:rsidR="00B32D69" w:rsidRDefault="00FB661A">
      <w:pPr>
        <w:pStyle w:val="FootnoteText"/>
        <w:rPr>
          <w:lang w:val="en-US"/>
        </w:rPr>
      </w:pPr>
      <w:r>
        <w:rPr>
          <w:rStyle w:val="FootnoteReference"/>
        </w:rPr>
        <w:footnoteRef/>
      </w:r>
      <w:r>
        <w:t xml:space="preserve"> </w:t>
      </w:r>
      <w:r>
        <w:rPr>
          <w:lang w:val="en-US"/>
        </w:rPr>
        <w:t xml:space="preserve">The statistics do not distinguish between ordinary </w:t>
      </w:r>
      <w:r>
        <w:rPr>
          <w:i/>
          <w:lang w:val="en-US"/>
        </w:rPr>
        <w:t>roerganizace</w:t>
      </w:r>
      <w:r>
        <w:rPr>
          <w:lang w:val="en-US"/>
        </w:rPr>
        <w:t xml:space="preserve"> (in the situation of insolvency) and preventive </w:t>
      </w:r>
      <w:r>
        <w:rPr>
          <w:i/>
          <w:lang w:val="en-US"/>
        </w:rPr>
        <w:t>reorganizace</w:t>
      </w:r>
      <w:r>
        <w:rPr>
          <w:lang w:val="en-US"/>
        </w:rPr>
        <w:t xml:space="preserve"> (in the situation of a likelihood of insolvency). </w:t>
      </w:r>
    </w:p>
  </w:footnote>
  <w:footnote w:id="415">
    <w:p w:rsidR="00B32D69" w:rsidRDefault="00FB661A">
      <w:pPr>
        <w:pStyle w:val="FootnoteText"/>
        <w:rPr>
          <w:lang w:val="en-US"/>
        </w:rPr>
      </w:pPr>
      <w:r>
        <w:rPr>
          <w:rStyle w:val="FootnoteReference"/>
        </w:rPr>
        <w:footnoteRef/>
      </w:r>
      <w:r>
        <w:t xml:space="preserve"> The number of preventive restructuring proceedings is 1 applicati</w:t>
      </w:r>
      <w:r>
        <w:t xml:space="preserve">on for </w:t>
      </w:r>
      <w:r>
        <w:rPr>
          <w:i/>
        </w:rPr>
        <w:t>Examinership</w:t>
      </w:r>
      <w:r>
        <w:t>. Restructurings are also done through the Financial Ombudsman Procedure of Mediation and the Arrears Management Directive of the Central Bank, which include both personal and corporate entities.</w:t>
      </w:r>
    </w:p>
  </w:footnote>
  <w:footnote w:id="416">
    <w:p w:rsidR="00B32D69" w:rsidRDefault="00FB661A">
      <w:pPr>
        <w:pStyle w:val="FootnoteText"/>
        <w:rPr>
          <w:lang w:val="en-US"/>
        </w:rPr>
      </w:pPr>
      <w:r>
        <w:rPr>
          <w:rStyle w:val="FootnoteReference"/>
        </w:rPr>
        <w:footnoteRef/>
      </w:r>
      <w:r>
        <w:t xml:space="preserve"> </w:t>
      </w:r>
      <w:r>
        <w:rPr>
          <w:lang w:val="en-US"/>
        </w:rPr>
        <w:t>For these purposes, micro companies are</w:t>
      </w:r>
      <w:r>
        <w:rPr>
          <w:lang w:val="en-US"/>
        </w:rPr>
        <w:t xml:space="preserve"> those with less than ten employees and an annual turnover or a total annual balance sheet of EUR 2 million; small and medium-sized enterprises are those with less than 250 employees and an annual turnover or total balance sheet under EUR 43 million and la</w:t>
      </w:r>
      <w:r>
        <w:rPr>
          <w:lang w:val="en-US"/>
        </w:rPr>
        <w:t xml:space="preserve">rge companies are the remaining ones. </w:t>
      </w:r>
    </w:p>
  </w:footnote>
  <w:footnote w:id="417">
    <w:p w:rsidR="00B32D69" w:rsidRDefault="00FB661A">
      <w:pPr>
        <w:pStyle w:val="FootnoteText"/>
        <w:rPr>
          <w:lang w:val="en-US"/>
        </w:rPr>
      </w:pPr>
      <w:r>
        <w:rPr>
          <w:rStyle w:val="FootnoteReference"/>
        </w:rPr>
        <w:footnoteRef/>
      </w:r>
      <w:r>
        <w:t xml:space="preserve"> </w:t>
      </w:r>
      <w:r>
        <w:rPr>
          <w:lang w:val="en-US"/>
        </w:rPr>
        <w:t>Approximately 400 companies are indicated as companies with 0 employees or with unknown number of employees.</w:t>
      </w:r>
    </w:p>
  </w:footnote>
  <w:footnote w:id="418">
    <w:p w:rsidR="00B32D69" w:rsidRDefault="00FB661A">
      <w:pPr>
        <w:pStyle w:val="FootnoteText"/>
        <w:rPr>
          <w:lang w:val="en-US"/>
        </w:rPr>
      </w:pPr>
      <w:r>
        <w:rPr>
          <w:rStyle w:val="FootnoteReference"/>
        </w:rPr>
        <w:footnoteRef/>
      </w:r>
      <w:r>
        <w:t xml:space="preserve"> It is indicated that this number concerns preventive restructurings that are successfully concluded.</w:t>
      </w:r>
    </w:p>
  </w:footnote>
  <w:footnote w:id="419">
    <w:p w:rsidR="00B32D69" w:rsidRDefault="00FB661A">
      <w:pPr>
        <w:pStyle w:val="FootnoteText"/>
      </w:pPr>
      <w:r>
        <w:rPr>
          <w:rStyle w:val="FootnoteReference"/>
        </w:rPr>
        <w:footnoteRef/>
      </w:r>
      <w:r>
        <w:t xml:space="preserve"> R</w:t>
      </w:r>
      <w:r>
        <w:t>estructuring proceedings are closed when the restructuring plan is successfully implemented.</w:t>
      </w:r>
    </w:p>
  </w:footnote>
  <w:footnote w:id="420">
    <w:p w:rsidR="00B32D69" w:rsidRDefault="00FB661A">
      <w:pPr>
        <w:pStyle w:val="FootnoteText"/>
        <w:rPr>
          <w:lang w:val="en-US"/>
        </w:rPr>
      </w:pPr>
      <w:r>
        <w:rPr>
          <w:rStyle w:val="FootnoteReference"/>
        </w:rPr>
        <w:footnoteRef/>
      </w:r>
      <w:r>
        <w:t xml:space="preserve"> </w:t>
      </w:r>
      <w:r>
        <w:rPr>
          <w:lang w:val="en-US"/>
        </w:rPr>
        <w:t>According to the data received, the average length for insolvency proceedings (</w:t>
      </w:r>
      <w:r>
        <w:rPr>
          <w:i/>
          <w:lang w:val="en-US"/>
        </w:rPr>
        <w:t>procedure fallimentari</w:t>
      </w:r>
      <w:r>
        <w:rPr>
          <w:lang w:val="en-US"/>
        </w:rPr>
        <w:t xml:space="preserve">) in Italy in 2015 was 7.6 years. </w:t>
      </w:r>
    </w:p>
  </w:footnote>
  <w:footnote w:id="421">
    <w:p w:rsidR="00B32D69" w:rsidRDefault="00FB661A">
      <w:pPr>
        <w:pStyle w:val="FootnoteText"/>
        <w:rPr>
          <w:lang w:val="en-US"/>
        </w:rPr>
      </w:pPr>
      <w:r>
        <w:rPr>
          <w:rStyle w:val="FootnoteReference"/>
        </w:rPr>
        <w:footnoteRef/>
      </w:r>
      <w:r>
        <w:t xml:space="preserve"> The largest number of i</w:t>
      </w:r>
      <w:r>
        <w:t>ncoming cases (almost 20.000) was received in 2015 due to the new legislative insolvency framework.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69" w:rsidRDefault="00B32D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72548D4A"/>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2"/>
    <w:multiLevelType w:val="singleLevel"/>
    <w:tmpl w:val="DAA80E44"/>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3"/>
    <w:multiLevelType w:val="singleLevel"/>
    <w:tmpl w:val="D19498AA"/>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9"/>
    <w:multiLevelType w:val="singleLevel"/>
    <w:tmpl w:val="E862A46E"/>
    <w:name w:val="0,5038356"/>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1CE6B39"/>
    <w:multiLevelType w:val="hybridMultilevel"/>
    <w:tmpl w:val="6DFA7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3976395"/>
    <w:multiLevelType w:val="hybridMultilevel"/>
    <w:tmpl w:val="3458A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F45E5A"/>
    <w:multiLevelType w:val="hybridMultilevel"/>
    <w:tmpl w:val="FB34C6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7">
    <w:nsid w:val="055E1953"/>
    <w:multiLevelType w:val="hybridMultilevel"/>
    <w:tmpl w:val="82300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C323FE"/>
    <w:multiLevelType w:val="hybridMultilevel"/>
    <w:tmpl w:val="21C86E0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0A337D7F"/>
    <w:multiLevelType w:val="hybridMultilevel"/>
    <w:tmpl w:val="DFD23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A5B75EB"/>
    <w:multiLevelType w:val="hybridMultilevel"/>
    <w:tmpl w:val="4DC871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CD75789"/>
    <w:multiLevelType w:val="hybridMultilevel"/>
    <w:tmpl w:val="D4601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CD75923"/>
    <w:multiLevelType w:val="hybridMultilevel"/>
    <w:tmpl w:val="A9D87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E197751"/>
    <w:multiLevelType w:val="hybridMultilevel"/>
    <w:tmpl w:val="61F2D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3E9135C"/>
    <w:multiLevelType w:val="hybridMultilevel"/>
    <w:tmpl w:val="B3DCA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6F26A87"/>
    <w:multiLevelType w:val="hybridMultilevel"/>
    <w:tmpl w:val="F1388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A9C0F4D"/>
    <w:multiLevelType w:val="hybridMultilevel"/>
    <w:tmpl w:val="47A6F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8">
    <w:nsid w:val="1C1764A9"/>
    <w:multiLevelType w:val="hybridMultilevel"/>
    <w:tmpl w:val="DB841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3F7983"/>
    <w:multiLevelType w:val="hybridMultilevel"/>
    <w:tmpl w:val="E1B2F2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20">
    <w:nsid w:val="1F757963"/>
    <w:multiLevelType w:val="hybridMultilevel"/>
    <w:tmpl w:val="4C04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1CF3ED4"/>
    <w:multiLevelType w:val="multilevel"/>
    <w:tmpl w:val="D91E0A7C"/>
    <w:lvl w:ilvl="0">
      <w:start w:val="1"/>
      <w:numFmt w:val="decimal"/>
      <w:lvlText w:val="%1."/>
      <w:lvlJc w:val="left"/>
      <w:pPr>
        <w:ind w:left="720" w:hanging="360"/>
      </w:pPr>
    </w:lvl>
    <w:lvl w:ilvl="1">
      <w:start w:val="1"/>
      <w:numFmt w:val="decimal"/>
      <w:isLgl/>
      <w:lvlText w:val="%1.%2."/>
      <w:lvlJc w:val="left"/>
      <w:pPr>
        <w:ind w:left="220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8A7588E"/>
    <w:multiLevelType w:val="hybridMultilevel"/>
    <w:tmpl w:val="BE321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94C700E"/>
    <w:multiLevelType w:val="multilevel"/>
    <w:tmpl w:val="9E2A2C6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B1B7864"/>
    <w:multiLevelType w:val="hybridMultilevel"/>
    <w:tmpl w:val="F12E0E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26">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7">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8">
    <w:nsid w:val="2DBF2D90"/>
    <w:multiLevelType w:val="hybridMultilevel"/>
    <w:tmpl w:val="9858C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EF81114"/>
    <w:multiLevelType w:val="hybridMultilevel"/>
    <w:tmpl w:val="DFF2EF38"/>
    <w:lvl w:ilvl="0" w:tplc="8664171A">
      <w:start w:val="13"/>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31E141FE"/>
    <w:multiLevelType w:val="hybridMultilevel"/>
    <w:tmpl w:val="F36288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34237250"/>
    <w:multiLevelType w:val="hybridMultilevel"/>
    <w:tmpl w:val="DEE22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A6338CF"/>
    <w:multiLevelType w:val="hybridMultilevel"/>
    <w:tmpl w:val="1F4E3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BF31BD5"/>
    <w:multiLevelType w:val="hybridMultilevel"/>
    <w:tmpl w:val="CDB07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DEC3B31"/>
    <w:multiLevelType w:val="hybridMultilevel"/>
    <w:tmpl w:val="1FBA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E395AAA"/>
    <w:multiLevelType w:val="hybridMultilevel"/>
    <w:tmpl w:val="DE783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E870399"/>
    <w:multiLevelType w:val="hybridMultilevel"/>
    <w:tmpl w:val="A6A20050"/>
    <w:lvl w:ilvl="0" w:tplc="08090001">
      <w:start w:val="1"/>
      <w:numFmt w:val="bullet"/>
      <w:lvlText w:val=""/>
      <w:lvlJc w:val="left"/>
      <w:pPr>
        <w:ind w:left="720" w:hanging="360"/>
      </w:pPr>
      <w:rPr>
        <w:rFonts w:ascii="Symbol" w:hAnsi="Symbol" w:hint="default"/>
      </w:rPr>
    </w:lvl>
    <w:lvl w:ilvl="1" w:tplc="539274AC">
      <w:start w:val="25"/>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8">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9">
    <w:nsid w:val="43E273AA"/>
    <w:multiLevelType w:val="hybridMultilevel"/>
    <w:tmpl w:val="3EA4A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1">
    <w:nsid w:val="4566293E"/>
    <w:multiLevelType w:val="hybridMultilevel"/>
    <w:tmpl w:val="56F0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8CD1FB8"/>
    <w:multiLevelType w:val="multilevel"/>
    <w:tmpl w:val="C9208D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sl"/>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sl"/>
      </w:rPr>
    </w:lvl>
    <w:lvl w:ilvl="2">
      <w:start w:val="1"/>
      <w:numFmt w:val="low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3">
      <w:numFmt w:val="decimal"/>
      <w:lvlText w:val=""/>
      <w:lvlJc w:val="left"/>
    </w:lvl>
    <w:lvl w:ilvl="4">
      <w:numFmt w:val="decimal"/>
      <w:pStyle w:val="Corpsdutexte"/>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C5068ED"/>
    <w:multiLevelType w:val="hybridMultilevel"/>
    <w:tmpl w:val="475CE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4">
    <w:nsid w:val="4E944917"/>
    <w:multiLevelType w:val="hybridMultilevel"/>
    <w:tmpl w:val="893413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24E5366"/>
    <w:multiLevelType w:val="hybridMultilevel"/>
    <w:tmpl w:val="63AAD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54912EC"/>
    <w:multiLevelType w:val="hybridMultilevel"/>
    <w:tmpl w:val="32A65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48">
    <w:nsid w:val="557940B6"/>
    <w:multiLevelType w:val="hybridMultilevel"/>
    <w:tmpl w:val="9DAA0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1">
    <w:nsid w:val="5C2B20F3"/>
    <w:multiLevelType w:val="hybridMultilevel"/>
    <w:tmpl w:val="85DCA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3">
    <w:nsid w:val="5E9A0AC0"/>
    <w:multiLevelType w:val="hybridMultilevel"/>
    <w:tmpl w:val="C0F4E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2150E94"/>
    <w:multiLevelType w:val="hybridMultilevel"/>
    <w:tmpl w:val="52645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5860813"/>
    <w:multiLevelType w:val="hybridMultilevel"/>
    <w:tmpl w:val="D96C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57">
    <w:nsid w:val="68C51A0E"/>
    <w:multiLevelType w:val="hybridMultilevel"/>
    <w:tmpl w:val="9A588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F777665"/>
    <w:multiLevelType w:val="hybridMultilevel"/>
    <w:tmpl w:val="A470FD4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59">
    <w:nsid w:val="74814027"/>
    <w:multiLevelType w:val="hybridMultilevel"/>
    <w:tmpl w:val="5B845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6131953"/>
    <w:multiLevelType w:val="hybridMultilevel"/>
    <w:tmpl w:val="9BDCC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8F51037"/>
    <w:multiLevelType w:val="hybridMultilevel"/>
    <w:tmpl w:val="954AAF6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2">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63">
    <w:nsid w:val="7CC317E9"/>
    <w:multiLevelType w:val="hybridMultilevel"/>
    <w:tmpl w:val="D1928A6A"/>
    <w:lvl w:ilvl="0" w:tplc="0410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9"/>
  </w:num>
  <w:num w:numId="3">
    <w:abstractNumId w:val="6"/>
  </w:num>
  <w:num w:numId="4">
    <w:abstractNumId w:val="25"/>
  </w:num>
  <w:num w:numId="5">
    <w:abstractNumId w:val="19"/>
  </w:num>
  <w:num w:numId="6">
    <w:abstractNumId w:val="52"/>
  </w:num>
  <w:num w:numId="7">
    <w:abstractNumId w:val="37"/>
  </w:num>
  <w:num w:numId="8">
    <w:abstractNumId w:val="56"/>
  </w:num>
  <w:num w:numId="9">
    <w:abstractNumId w:val="27"/>
  </w:num>
  <w:num w:numId="10">
    <w:abstractNumId w:val="38"/>
  </w:num>
  <w:num w:numId="11">
    <w:abstractNumId w:val="22"/>
  </w:num>
  <w:num w:numId="12">
    <w:abstractNumId w:val="17"/>
  </w:num>
  <w:num w:numId="13">
    <w:abstractNumId w:val="40"/>
  </w:num>
  <w:num w:numId="14">
    <w:abstractNumId w:val="49"/>
  </w:num>
  <w:num w:numId="15">
    <w:abstractNumId w:val="50"/>
  </w:num>
  <w:num w:numId="16">
    <w:abstractNumId w:val="26"/>
  </w:num>
  <w:num w:numId="17">
    <w:abstractNumId w:val="47"/>
  </w:num>
  <w:num w:numId="18">
    <w:abstractNumId w:val="62"/>
  </w:num>
  <w:num w:numId="19">
    <w:abstractNumId w:val="2"/>
  </w:num>
  <w:num w:numId="20">
    <w:abstractNumId w:val="1"/>
  </w:num>
  <w:num w:numId="21">
    <w:abstractNumId w:val="0"/>
  </w:num>
  <w:num w:numId="22">
    <w:abstractNumId w:val="58"/>
  </w:num>
  <w:num w:numId="23">
    <w:abstractNumId w:val="43"/>
  </w:num>
  <w:num w:numId="24">
    <w:abstractNumId w:val="15"/>
  </w:num>
  <w:num w:numId="25">
    <w:abstractNumId w:val="36"/>
  </w:num>
  <w:num w:numId="26">
    <w:abstractNumId w:val="45"/>
  </w:num>
  <w:num w:numId="27">
    <w:abstractNumId w:val="33"/>
  </w:num>
  <w:num w:numId="28">
    <w:abstractNumId w:val="61"/>
  </w:num>
  <w:num w:numId="29">
    <w:abstractNumId w:val="8"/>
  </w:num>
  <w:num w:numId="30">
    <w:abstractNumId w:val="42"/>
  </w:num>
  <w:num w:numId="31">
    <w:abstractNumId w:val="30"/>
  </w:num>
  <w:num w:numId="32">
    <w:abstractNumId w:val="13"/>
  </w:num>
  <w:num w:numId="33">
    <w:abstractNumId w:val="34"/>
  </w:num>
  <w:num w:numId="34">
    <w:abstractNumId w:val="51"/>
  </w:num>
  <w:num w:numId="35">
    <w:abstractNumId w:val="60"/>
  </w:num>
  <w:num w:numId="36">
    <w:abstractNumId w:val="46"/>
  </w:num>
  <w:num w:numId="37">
    <w:abstractNumId w:val="28"/>
  </w:num>
  <w:num w:numId="38">
    <w:abstractNumId w:val="57"/>
  </w:num>
  <w:num w:numId="39">
    <w:abstractNumId w:val="14"/>
  </w:num>
  <w:num w:numId="40">
    <w:abstractNumId w:val="53"/>
  </w:num>
  <w:num w:numId="41">
    <w:abstractNumId w:val="23"/>
  </w:num>
  <w:num w:numId="42">
    <w:abstractNumId w:val="59"/>
  </w:num>
  <w:num w:numId="43">
    <w:abstractNumId w:val="41"/>
  </w:num>
  <w:num w:numId="44">
    <w:abstractNumId w:val="39"/>
  </w:num>
  <w:num w:numId="45">
    <w:abstractNumId w:val="7"/>
  </w:num>
  <w:num w:numId="46">
    <w:abstractNumId w:val="11"/>
  </w:num>
  <w:num w:numId="47">
    <w:abstractNumId w:val="54"/>
  </w:num>
  <w:num w:numId="48">
    <w:abstractNumId w:val="31"/>
  </w:num>
  <w:num w:numId="49">
    <w:abstractNumId w:val="12"/>
  </w:num>
  <w:num w:numId="50">
    <w:abstractNumId w:val="4"/>
  </w:num>
  <w:num w:numId="51">
    <w:abstractNumId w:val="48"/>
  </w:num>
  <w:num w:numId="52">
    <w:abstractNumId w:val="32"/>
  </w:num>
  <w:num w:numId="53">
    <w:abstractNumId w:val="20"/>
  </w:num>
  <w:num w:numId="54">
    <w:abstractNumId w:val="5"/>
  </w:num>
  <w:num w:numId="55">
    <w:abstractNumId w:val="35"/>
  </w:num>
  <w:num w:numId="56">
    <w:abstractNumId w:val="55"/>
  </w:num>
  <w:num w:numId="57">
    <w:abstractNumId w:val="18"/>
  </w:num>
  <w:num w:numId="58">
    <w:abstractNumId w:val="16"/>
  </w:num>
  <w:num w:numId="59">
    <w:abstractNumId w:val="10"/>
  </w:num>
  <w:num w:numId="60">
    <w:abstractNumId w:val="24"/>
  </w:num>
  <w:num w:numId="61">
    <w:abstractNumId w:val="21"/>
  </w:num>
  <w:num w:numId="62">
    <w:abstractNumId w:val="44"/>
  </w:num>
  <w:num w:numId="63">
    <w:abstractNumId w:val="29"/>
  </w:num>
  <w:num w:numId="64">
    <w:abstractNumId w:val="6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78EDF1C542304B70B6EEECB389B9E24D"/>
    <w:docVar w:name="LW_CROSSREFERENCE" w:val="{COM(2016) 723 final}_x000b_{SWD(2016) 358 final}"/>
    <w:docVar w:name="LW_DocType" w:val="NORMAL"/>
    <w:docVar w:name="LW_EMISSION" w:val="22.11.2016"/>
    <w:docVar w:name="LW_EMISSION_ISODATE" w:val="2016-11-22"/>
    <w:docVar w:name="LW_EMISSION_LOCATION" w:val="STR"/>
    <w:docVar w:name="LW_EMISSION_PREFIX" w:val="Strasbourg,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on preventive restructuring frameworks, second chance and measures to increase the efficiency of restructuring, insolvency and discharge procedures and amending Directive 2012/30/EU"/>
    <w:docVar w:name="LW_PART_NBR" w:val="1"/>
    <w:docVar w:name="LW_PART_NBR_TOTAL" w:val="1"/>
    <w:docVar w:name="LW_REF.INST.NEW" w:val="SWD"/>
    <w:docVar w:name="LW_REF.INST.NEW_ADOPTED" w:val="final"/>
    <w:docVar w:name="LW_REF.INST.NEW_TEXT" w:val="(2016) 357"/>
    <w:docVar w:name="LW_REF.INTERNE" w:val="&lt;UNUSED&gt;"/>
    <w:docVar w:name="LW_SUPERTITRE" w:val="&lt;UNUSED&gt;"/>
    <w:docVar w:name="LW_TITRE.OBJ.CP" w:val="&lt;UNUSED&gt;"/>
    <w:docVar w:name="LW_TYPE.DOC.CP" w:val="COMMISSION STAFF WORKING DOCUMENT_x000b__x000b_IMPACT ASSESSMENT_x000b_"/>
    <w:docVar w:name="LW_TYPEACTEPRINCIPAL.CP" w:val="Proposal for a DIRECTIVE OF THE EUROPEAN PARLIAMENT AND OF THE COUNCIL "/>
  </w:docVars>
  <w:rsids>
    <w:rsidRoot w:val="00B32D69"/>
    <w:rsid w:val="00B32D69"/>
    <w:rsid w:val="00FB66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uiPriority w:val="99"/>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unhideWhenUsed/>
    <w:rPr>
      <w:sz w:val="18"/>
      <w:szCs w:val="18"/>
    </w:rPr>
  </w:style>
  <w:style w:type="paragraph" w:styleId="CommentText">
    <w:name w:val="annotation text"/>
    <w:basedOn w:val="Normal"/>
    <w:link w:val="CommentTextChar"/>
    <w:uiPriority w:val="99"/>
    <w:unhideWhenUsed/>
    <w:pPr>
      <w:spacing w:line="240" w:lineRule="auto"/>
    </w:pPr>
    <w:rPr>
      <w:sz w:val="24"/>
      <w:szCs w:val="24"/>
    </w:rPr>
  </w:style>
  <w:style w:type="character" w:customStyle="1" w:styleId="CommentTextChar">
    <w:name w:val="Comment Text Char"/>
    <w:basedOn w:val="DefaultParagraphFont"/>
    <w:link w:val="CommentText"/>
    <w:uiPriority w:val="99"/>
    <w:rPr>
      <w:sz w:val="24"/>
      <w:szCs w:val="24"/>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FootnoteText">
    <w:name w:val="footnote text"/>
    <w:aliases w:val="Footnote,Fußnote,Footnote Text Char Char,Footnote Text Char1,Footnote Text Char2 Char,Footnote Text Char1 Char1 Char,Footnote Text Char2 Char Char Char,Footnote Text Char1 Char1 Char Char Char,Plonk,fn,fn Char Char,Char,stile 1,Footnote1,o"/>
    <w:basedOn w:val="Normal"/>
    <w:link w:val="FootnoteTextChar"/>
    <w:uiPriority w:val="99"/>
    <w:qFormat/>
    <w:pPr>
      <w:spacing w:after="0" w:line="240" w:lineRule="auto"/>
      <w:ind w:left="720" w:hanging="720"/>
      <w:jc w:val="both"/>
    </w:pPr>
    <w:rPr>
      <w:rFonts w:ascii="Times New Roman" w:eastAsia="Times New Roman" w:hAnsi="Times New Roman" w:cs="Times New Roman"/>
      <w:sz w:val="20"/>
      <w:szCs w:val="20"/>
      <w:lang w:eastAsia="de-DE"/>
    </w:rPr>
  </w:style>
  <w:style w:type="character" w:customStyle="1" w:styleId="FootnoteTextChar">
    <w:name w:val="Footnote Text Char"/>
    <w:aliases w:val="Footnote Char,Fußnote Char,Footnote Text Char Char Char,Footnote Text Char1 Char,Footnote Text Char2 Char Char,Footnote Text Char1 Char1 Char Char,Footnote Text Char2 Char Char Char Char,Footnote Text Char1 Char1 Char Char Char Char"/>
    <w:basedOn w:val="DefaultParagraphFont"/>
    <w:link w:val="FootnoteText"/>
    <w:uiPriority w:val="99"/>
    <w:rPr>
      <w:rFonts w:ascii="Times New Roman" w:eastAsia="Times New Roman" w:hAnsi="Times New Roman" w:cs="Times New Roman"/>
      <w:sz w:val="20"/>
      <w:szCs w:val="20"/>
      <w:lang w:eastAsia="de-DE"/>
    </w:rPr>
  </w:style>
  <w:style w:type="character" w:styleId="FootnoteReference">
    <w:name w:val="footnote reference"/>
    <w:aliases w:val="Footnote Reference Superscript,Footnote symbol,Footnote Reference Number,BVI fnr,Voetnootverwijzing,Footnote reference number,Times 10 Point,Exposant 3 Point,Ref,de nota al pie,note TESI,SUPERS,EN Footnote Reference,Footnote Refernece"/>
    <w:link w:val="16Point"/>
    <w:uiPriority w:val="99"/>
    <w:qFormat/>
    <w:rPr>
      <w:rFonts w:cs="Times New Roman"/>
      <w:vertAlign w:val="superscript"/>
    </w:rPr>
  </w:style>
  <w:style w:type="paragraph" w:styleId="ListParagraph">
    <w:name w:val="List Paragraph"/>
    <w:aliases w:val="Normal bullet 2,List Paragraph1,Bullet list,Lettre d'introduction,1st level - Bullet List Paragraph,Bullet List Paragraph,Medium Grid 1 - Accent 21,Listenabsatz,List Paragraph11,Numbered paragraph 1,Heading 2_sj,Paragrafo elenco"/>
    <w:basedOn w:val="Normal"/>
    <w:link w:val="ListParagraphChar"/>
    <w:uiPriority w:val="34"/>
    <w:qFormat/>
    <w:pPr>
      <w:ind w:left="720"/>
      <w:contextualSpacing/>
    </w:pPr>
  </w:style>
  <w:style w:type="character" w:styleId="Hyperlink">
    <w:name w:val="Hyperlink"/>
    <w:uiPriority w:val="99"/>
    <w:rPr>
      <w:color w:val="0000FF"/>
      <w:u w:val="single"/>
    </w:rPr>
  </w:style>
  <w:style w:type="paragraph" w:styleId="ListBullet">
    <w:name w:val="List Bullet"/>
    <w:basedOn w:val="Normal"/>
    <w:pPr>
      <w:numPr>
        <w:numId w:val="1"/>
      </w:numPr>
      <w:spacing w:before="120" w:after="120" w:line="240" w:lineRule="auto"/>
      <w:contextualSpacing/>
      <w:jc w:val="both"/>
    </w:pPr>
    <w:rPr>
      <w:rFonts w:ascii="Times New Roman" w:eastAsia="Times New Roman" w:hAnsi="Times New Roman" w:cs="Times New Roman"/>
      <w:sz w:val="24"/>
      <w:szCs w:val="24"/>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EndnoteText">
    <w:name w:val="endnote text"/>
    <w:basedOn w:val="Normal"/>
    <w:link w:val="EndnoteTextChar1"/>
    <w:uiPriority w:val="99"/>
    <w:unhideWhenUsed/>
    <w:pPr>
      <w:spacing w:after="0" w:line="240" w:lineRule="auto"/>
      <w:jc w:val="both"/>
    </w:pPr>
    <w:rPr>
      <w:rFonts w:ascii="Times New Roman" w:eastAsia="Calibri" w:hAnsi="Times New Roman" w:cs="Times New Roman"/>
      <w:sz w:val="20"/>
      <w:szCs w:val="20"/>
      <w:lang w:val="x-none" w:eastAsia="x-none"/>
    </w:rPr>
  </w:style>
  <w:style w:type="character" w:customStyle="1" w:styleId="EndnoteTextChar">
    <w:name w:val="Endnote Text Char"/>
    <w:basedOn w:val="DefaultParagraphFont"/>
    <w:uiPriority w:val="99"/>
    <w:rPr>
      <w:sz w:val="20"/>
      <w:szCs w:val="20"/>
    </w:rPr>
  </w:style>
  <w:style w:type="character" w:customStyle="1" w:styleId="A7">
    <w:name w:val="A7"/>
    <w:uiPriority w:val="99"/>
    <w:rPr>
      <w:rFonts w:ascii="TradeGothic" w:hAnsi="TradeGothic" w:cs="TradeGothic" w:hint="default"/>
      <w:color w:val="000000"/>
      <w:sz w:val="17"/>
      <w:szCs w:val="17"/>
    </w:rPr>
  </w:style>
  <w:style w:type="character" w:customStyle="1" w:styleId="EndnoteTextChar1">
    <w:name w:val="Endnote Text Char1"/>
    <w:link w:val="EndnoteText"/>
    <w:uiPriority w:val="99"/>
    <w:locked/>
    <w:rPr>
      <w:rFonts w:ascii="Times New Roman" w:eastAsia="Calibri" w:hAnsi="Times New Roman" w:cs="Times New Roman"/>
      <w:sz w:val="20"/>
      <w:szCs w:val="20"/>
      <w:lang w:val="x-none" w:eastAsia="x-none"/>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eastAsia="Calibri" w:hAnsi="Times New Roman" w:cs="Times New Roman"/>
      <w:sz w:val="24"/>
    </w:rPr>
  </w:style>
  <w:style w:type="table" w:styleId="TableGrid">
    <w:name w:val="Table Grid"/>
    <w:aliases w:val="TabelEcorys,Simple table,Table Grid IDEA"/>
    <w:basedOn w:val="TableNormal"/>
    <w:uiPriority w:val="59"/>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unhideWhenUsed/>
    <w:rPr>
      <w:b/>
      <w:bCs/>
      <w:sz w:val="20"/>
      <w:szCs w:val="20"/>
    </w:rPr>
  </w:style>
  <w:style w:type="character" w:customStyle="1" w:styleId="CommentSubjectChar">
    <w:name w:val="Comment Subject Char"/>
    <w:basedOn w:val="CommentTextChar"/>
    <w:link w:val="CommentSubject"/>
    <w:uiPriority w:val="99"/>
    <w:rPr>
      <w:b/>
      <w:bCs/>
      <w:sz w:val="20"/>
      <w:szCs w:val="20"/>
    </w:rPr>
  </w:style>
  <w:style w:type="paragraph" w:styleId="Revision">
    <w:name w:val="Revision"/>
    <w:hidden/>
    <w:uiPriority w:val="99"/>
    <w:semiHidden/>
    <w:pPr>
      <w:spacing w:after="0" w:line="240" w:lineRule="auto"/>
    </w:pPr>
  </w:style>
  <w:style w:type="paragraph" w:customStyle="1" w:styleId="16Point">
    <w:name w:val="16 Point"/>
    <w:aliases w:val="Superscript 6 Point,Odwołanie przypisu,footnote ref,2001+ Fußnotenzeichen, Exposant 3 Point,number"/>
    <w:basedOn w:val="Normal"/>
    <w:link w:val="FootnoteReference"/>
    <w:uiPriority w:val="99"/>
    <w:pPr>
      <w:spacing w:after="160" w:line="240" w:lineRule="exact"/>
    </w:pPr>
    <w:rPr>
      <w:rFonts w:cs="Times New Roman"/>
      <w:vertAlign w:val="superscript"/>
    </w:rPr>
  </w:style>
  <w:style w:type="paragraph" w:customStyle="1" w:styleId="Text1">
    <w:name w:val="Text 1"/>
    <w:basedOn w:val="Normal"/>
    <w:uiPriority w:val="99"/>
    <w:pPr>
      <w:spacing w:before="120" w:after="120" w:line="240" w:lineRule="auto"/>
      <w:ind w:left="850"/>
      <w:jc w:val="both"/>
    </w:pPr>
    <w:rPr>
      <w:rFonts w:ascii="Times New Roman" w:eastAsia="Times New Roman" w:hAnsi="Times New Roman" w:cs="Times New Roman"/>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journaltitle">
    <w:name w:val="journaltitle"/>
    <w:basedOn w:val="DefaultParagraphFont"/>
  </w:style>
  <w:style w:type="character" w:customStyle="1" w:styleId="articlecitationyear">
    <w:name w:val="articlecitation_year"/>
    <w:basedOn w:val="DefaultParagraphFont"/>
  </w:style>
  <w:style w:type="character" w:customStyle="1" w:styleId="articlecitationvolume">
    <w:name w:val="articlecitation_volume"/>
    <w:basedOn w:val="DefaultParagraphFont"/>
  </w:style>
  <w:style w:type="character" w:customStyle="1" w:styleId="articlecitationpages">
    <w:name w:val="articlecitation_pages"/>
    <w:basedOn w:val="DefaultParagraphFont"/>
  </w:style>
  <w:style w:type="character" w:customStyle="1" w:styleId="authorname">
    <w:name w:val="authorname"/>
    <w:basedOn w:val="DefaultParagraphFont"/>
  </w:style>
  <w:style w:type="paragraph" w:styleId="TOCHeading">
    <w:name w:val="TOC Heading"/>
    <w:basedOn w:val="Heading1"/>
    <w:next w:val="Normal"/>
    <w:uiPriority w:val="39"/>
    <w:unhideWhenUsed/>
    <w:qFormat/>
    <w:pPr>
      <w:outlineLvl w:val="9"/>
    </w:pPr>
    <w:rPr>
      <w:lang w:val="en-US" w:eastAsia="ja-JP"/>
    </w:rPr>
  </w:style>
  <w:style w:type="paragraph" w:styleId="TOC1">
    <w:name w:val="toc 1"/>
    <w:basedOn w:val="Normal"/>
    <w:next w:val="Normal"/>
    <w:autoRedefine/>
    <w:uiPriority w:val="39"/>
    <w:unhideWhenUsed/>
    <w:qFormat/>
    <w:pPr>
      <w:tabs>
        <w:tab w:val="left" w:pos="850"/>
        <w:tab w:val="right" w:leader="dot" w:pos="9062"/>
      </w:tabs>
      <w:spacing w:after="100"/>
    </w:pPr>
    <w:rPr>
      <w:rFonts w:ascii="Times New Roman" w:hAnsi="Times New Roman" w:cs="Times New Roman"/>
      <w:b/>
      <w:noProof/>
      <w:lang w:val="cs-CZ"/>
    </w:rPr>
  </w:style>
  <w:style w:type="paragraph" w:styleId="TOC2">
    <w:name w:val="toc 2"/>
    <w:basedOn w:val="Normal"/>
    <w:next w:val="Normal"/>
    <w:autoRedefine/>
    <w:uiPriority w:val="39"/>
    <w:unhideWhenUsed/>
    <w:qFormat/>
    <w:pPr>
      <w:tabs>
        <w:tab w:val="right" w:leader="dot" w:pos="9062"/>
      </w:tabs>
      <w:spacing w:after="100"/>
      <w:ind w:left="220"/>
    </w:pPr>
    <w:rPr>
      <w:rFonts w:ascii="Times New Roman" w:eastAsia="Calibri" w:hAnsi="Times New Roman" w:cs="Times New Roman"/>
      <w:b/>
      <w:noProof/>
    </w:rPr>
  </w:style>
  <w:style w:type="paragraph" w:styleId="TOC3">
    <w:name w:val="toc 3"/>
    <w:basedOn w:val="Normal"/>
    <w:next w:val="Normal"/>
    <w:autoRedefine/>
    <w:uiPriority w:val="39"/>
    <w:unhideWhenUsed/>
    <w:qFormat/>
    <w:pPr>
      <w:spacing w:after="100"/>
      <w:ind w:left="440"/>
    </w:pPr>
  </w:style>
  <w:style w:type="paragraph" w:styleId="NoSpacing">
    <w:name w:val="No Spacing"/>
    <w:link w:val="NoSpacingChar"/>
    <w:uiPriority w:val="1"/>
    <w:qFormat/>
    <w:pPr>
      <w:spacing w:after="0" w:line="240" w:lineRule="auto"/>
    </w:pPr>
    <w:rPr>
      <w:rFonts w:ascii="Verdana" w:eastAsia="Calibri" w:hAnsi="Verdana" w:cs="Times New Roman"/>
      <w:sz w:val="20"/>
    </w:rPr>
  </w:style>
  <w:style w:type="character" w:customStyle="1" w:styleId="NoSpacingChar">
    <w:name w:val="No Spacing Char"/>
    <w:link w:val="NoSpacing"/>
    <w:uiPriority w:val="1"/>
    <w:rPr>
      <w:rFonts w:ascii="Verdana" w:eastAsia="Calibri" w:hAnsi="Verdana" w:cs="Times New Roman"/>
      <w:sz w:val="20"/>
    </w:rPr>
  </w:style>
  <w:style w:type="paragraph" w:styleId="Caption">
    <w:name w:val="caption"/>
    <w:aliases w:val="Char Char Char,Caption1 Char Char Char Char Char Char Char Char,Caption1 Char Char Char Char Char Char Char Char Tegn Tegn Tegn Tegn Tegn,Caption1 Char Char Char Char Char Char Char Char Tegn Tegn Tegn,Char Car,Caption - Centre Graphic"/>
    <w:basedOn w:val="Normal"/>
    <w:next w:val="Normal"/>
    <w:link w:val="CaptionChar"/>
    <w:unhideWhenUsed/>
    <w:qFormat/>
    <w:pPr>
      <w:spacing w:line="240" w:lineRule="auto"/>
      <w:jc w:val="both"/>
    </w:pPr>
    <w:rPr>
      <w:rFonts w:ascii="Verdana" w:eastAsia="Calibri" w:hAnsi="Verdana" w:cs="Times New Roman"/>
      <w:b/>
      <w:bCs/>
      <w:sz w:val="20"/>
      <w:szCs w:val="18"/>
    </w:rPr>
  </w:style>
  <w:style w:type="character" w:customStyle="1" w:styleId="hps">
    <w:name w:val="hps"/>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numbering" w:customStyle="1" w:styleId="NoList1">
    <w:name w:val="No List1"/>
    <w:next w:val="NoList"/>
    <w:uiPriority w:val="99"/>
    <w:semiHidden/>
    <w:unhideWhenUsed/>
  </w:style>
  <w:style w:type="paragraph" w:styleId="TOC4">
    <w:name w:val="toc 4"/>
    <w:basedOn w:val="Normal"/>
    <w:next w:val="Normal"/>
    <w:uiPriority w:val="39"/>
    <w:pPr>
      <w:tabs>
        <w:tab w:val="right" w:leader="dot" w:pos="9071"/>
      </w:tabs>
      <w:spacing w:before="60" w:after="120" w:line="240" w:lineRule="auto"/>
      <w:ind w:left="850" w:hanging="850"/>
    </w:pPr>
    <w:rPr>
      <w:rFonts w:ascii="Times New Roman" w:eastAsia="Times New Roman" w:hAnsi="Times New Roman" w:cs="Times New Roman"/>
      <w:sz w:val="24"/>
      <w:szCs w:val="24"/>
    </w:rPr>
  </w:style>
  <w:style w:type="paragraph" w:styleId="TOC5">
    <w:name w:val="toc 5"/>
    <w:basedOn w:val="Normal"/>
    <w:next w:val="Normal"/>
    <w:uiPriority w:val="39"/>
    <w:pPr>
      <w:tabs>
        <w:tab w:val="right" w:leader="dot" w:pos="9071"/>
      </w:tabs>
      <w:spacing w:before="300" w:after="120" w:line="240" w:lineRule="auto"/>
    </w:pPr>
    <w:rPr>
      <w:rFonts w:ascii="Times New Roman" w:eastAsia="Times New Roman" w:hAnsi="Times New Roman" w:cs="Times New Roman"/>
      <w:sz w:val="24"/>
      <w:szCs w:val="24"/>
    </w:rPr>
  </w:style>
  <w:style w:type="paragraph" w:styleId="TOC6">
    <w:name w:val="toc 6"/>
    <w:basedOn w:val="Normal"/>
    <w:next w:val="Normal"/>
    <w:uiPriority w:val="39"/>
    <w:pPr>
      <w:tabs>
        <w:tab w:val="right" w:leader="dot" w:pos="9071"/>
      </w:tabs>
      <w:spacing w:before="240" w:after="120" w:line="240" w:lineRule="auto"/>
    </w:pPr>
    <w:rPr>
      <w:rFonts w:ascii="Times New Roman" w:eastAsia="Times New Roman" w:hAnsi="Times New Roman" w:cs="Times New Roman"/>
      <w:sz w:val="24"/>
      <w:szCs w:val="24"/>
    </w:rPr>
  </w:style>
  <w:style w:type="paragraph" w:styleId="TOC7">
    <w:name w:val="toc 7"/>
    <w:basedOn w:val="Normal"/>
    <w:next w:val="Normal"/>
    <w:uiPriority w:val="39"/>
    <w:pPr>
      <w:tabs>
        <w:tab w:val="right" w:leader="dot" w:pos="9071"/>
      </w:tabs>
      <w:spacing w:before="180" w:after="120" w:line="240" w:lineRule="auto"/>
    </w:pPr>
    <w:rPr>
      <w:rFonts w:ascii="Times New Roman" w:eastAsia="Times New Roman" w:hAnsi="Times New Roman" w:cs="Times New Roman"/>
      <w:sz w:val="24"/>
      <w:szCs w:val="24"/>
    </w:rPr>
  </w:style>
  <w:style w:type="paragraph" w:styleId="TOC8">
    <w:name w:val="toc 8"/>
    <w:basedOn w:val="Normal"/>
    <w:next w:val="Normal"/>
    <w:uiPriority w:val="39"/>
    <w:pPr>
      <w:tabs>
        <w:tab w:val="right" w:leader="dot" w:pos="9071"/>
      </w:tabs>
      <w:spacing w:before="120" w:after="120" w:line="240" w:lineRule="auto"/>
    </w:pPr>
    <w:rPr>
      <w:rFonts w:ascii="Times New Roman" w:eastAsia="Times New Roman" w:hAnsi="Times New Roman" w:cs="Times New Roman"/>
      <w:sz w:val="24"/>
      <w:szCs w:val="24"/>
    </w:rPr>
  </w:style>
  <w:style w:type="paragraph" w:styleId="TOC9">
    <w:name w:val="toc 9"/>
    <w:basedOn w:val="Normal"/>
    <w:next w:val="Normal"/>
    <w:uiPriority w:val="39"/>
    <w:pPr>
      <w:tabs>
        <w:tab w:val="right" w:leader="dot" w:pos="9071"/>
      </w:tabs>
      <w:spacing w:before="120" w:after="120" w:line="240" w:lineRule="auto"/>
      <w:jc w:val="both"/>
    </w:pPr>
    <w:rPr>
      <w:rFonts w:ascii="Times New Roman" w:eastAsia="Times New Roman" w:hAnsi="Times New Roman" w:cs="Times New Roman"/>
      <w:sz w:val="24"/>
      <w:szCs w:val="24"/>
    </w:rPr>
  </w:style>
  <w:style w:type="paragraph" w:customStyle="1" w:styleId="FooterLandscape">
    <w:name w:val="FooterLandscape"/>
    <w:basedOn w:val="Normal"/>
    <w:uiPriority w:val="99"/>
    <w:pPr>
      <w:tabs>
        <w:tab w:val="center" w:pos="7285"/>
        <w:tab w:val="center" w:pos="10913"/>
        <w:tab w:val="right" w:pos="15137"/>
      </w:tabs>
      <w:spacing w:before="360" w:after="0" w:line="240" w:lineRule="auto"/>
      <w:ind w:left="-567" w:right="-567"/>
    </w:pPr>
    <w:rPr>
      <w:rFonts w:ascii="Times New Roman" w:eastAsia="Times New Roman" w:hAnsi="Times New Roman" w:cs="Times New Roman"/>
      <w:sz w:val="24"/>
      <w:szCs w:val="24"/>
    </w:rPr>
  </w:style>
  <w:style w:type="paragraph" w:customStyle="1" w:styleId="Text2">
    <w:name w:val="Text 2"/>
    <w:basedOn w:val="Normal"/>
    <w:uiPriority w:val="99"/>
    <w:pPr>
      <w:spacing w:before="120" w:after="120" w:line="240" w:lineRule="auto"/>
      <w:ind w:left="1417"/>
      <w:jc w:val="both"/>
    </w:pPr>
    <w:rPr>
      <w:rFonts w:ascii="Times New Roman" w:eastAsia="Times New Roman" w:hAnsi="Times New Roman" w:cs="Times New Roman"/>
      <w:sz w:val="24"/>
      <w:szCs w:val="24"/>
    </w:rPr>
  </w:style>
  <w:style w:type="paragraph" w:customStyle="1" w:styleId="Text3">
    <w:name w:val="Text 3"/>
    <w:basedOn w:val="Normal"/>
    <w:uiPriority w:val="99"/>
    <w:pPr>
      <w:spacing w:before="120" w:after="120" w:line="240" w:lineRule="auto"/>
      <w:ind w:left="1984"/>
      <w:jc w:val="both"/>
    </w:pPr>
    <w:rPr>
      <w:rFonts w:ascii="Times New Roman" w:eastAsia="Times New Roman" w:hAnsi="Times New Roman" w:cs="Times New Roman"/>
      <w:sz w:val="24"/>
      <w:szCs w:val="24"/>
    </w:rPr>
  </w:style>
  <w:style w:type="paragraph" w:customStyle="1" w:styleId="Text4">
    <w:name w:val="Text 4"/>
    <w:basedOn w:val="Normal"/>
    <w:uiPriority w:val="99"/>
    <w:pPr>
      <w:spacing w:before="120" w:after="120" w:line="240" w:lineRule="auto"/>
      <w:ind w:left="2551"/>
      <w:jc w:val="both"/>
    </w:pPr>
    <w:rPr>
      <w:rFonts w:ascii="Times New Roman" w:eastAsia="Times New Roman" w:hAnsi="Times New Roman" w:cs="Times New Roman"/>
      <w:sz w:val="24"/>
      <w:szCs w:val="24"/>
    </w:rPr>
  </w:style>
  <w:style w:type="paragraph" w:customStyle="1" w:styleId="NormalCentered">
    <w:name w:val="Normal Centered"/>
    <w:basedOn w:val="Normal"/>
    <w:uiPriority w:val="99"/>
    <w:pPr>
      <w:spacing w:before="120" w:after="120" w:line="240" w:lineRule="auto"/>
      <w:jc w:val="center"/>
    </w:pPr>
    <w:rPr>
      <w:rFonts w:ascii="Times New Roman" w:eastAsia="Times New Roman" w:hAnsi="Times New Roman" w:cs="Times New Roman"/>
      <w:sz w:val="24"/>
      <w:szCs w:val="24"/>
    </w:rPr>
  </w:style>
  <w:style w:type="paragraph" w:customStyle="1" w:styleId="NormalLeft">
    <w:name w:val="Normal Left"/>
    <w:basedOn w:val="Normal"/>
    <w:uiPriority w:val="99"/>
    <w:pPr>
      <w:spacing w:before="120" w:after="120" w:line="240" w:lineRule="auto"/>
    </w:pPr>
    <w:rPr>
      <w:rFonts w:ascii="Times New Roman" w:eastAsia="Times New Roman" w:hAnsi="Times New Roman" w:cs="Times New Roman"/>
      <w:sz w:val="24"/>
      <w:szCs w:val="24"/>
    </w:rPr>
  </w:style>
  <w:style w:type="paragraph" w:customStyle="1" w:styleId="NormalRight">
    <w:name w:val="Normal Right"/>
    <w:basedOn w:val="Normal"/>
    <w:uiPriority w:val="99"/>
    <w:pPr>
      <w:spacing w:before="120" w:after="120" w:line="240" w:lineRule="auto"/>
      <w:jc w:val="right"/>
    </w:pPr>
    <w:rPr>
      <w:rFonts w:ascii="Times New Roman" w:eastAsia="Times New Roman" w:hAnsi="Times New Roman" w:cs="Times New Roman"/>
      <w:sz w:val="24"/>
      <w:szCs w:val="24"/>
    </w:rPr>
  </w:style>
  <w:style w:type="paragraph" w:customStyle="1" w:styleId="QuotedText">
    <w:name w:val="Quoted Text"/>
    <w:basedOn w:val="Normal"/>
    <w:uiPriority w:val="99"/>
    <w:pPr>
      <w:spacing w:before="120" w:after="120" w:line="240" w:lineRule="auto"/>
      <w:ind w:left="1417"/>
      <w:jc w:val="both"/>
    </w:pPr>
    <w:rPr>
      <w:rFonts w:ascii="Times New Roman" w:eastAsia="Times New Roman" w:hAnsi="Times New Roman" w:cs="Times New Roman"/>
      <w:sz w:val="24"/>
      <w:szCs w:val="24"/>
    </w:rPr>
  </w:style>
  <w:style w:type="paragraph" w:customStyle="1" w:styleId="Point0">
    <w:name w:val="Point 0"/>
    <w:basedOn w:val="Normal"/>
    <w:uiPriority w:val="99"/>
    <w:pPr>
      <w:spacing w:before="120" w:after="120" w:line="240" w:lineRule="auto"/>
      <w:ind w:left="850" w:hanging="850"/>
      <w:jc w:val="both"/>
    </w:pPr>
    <w:rPr>
      <w:rFonts w:ascii="Times New Roman" w:eastAsia="Times New Roman" w:hAnsi="Times New Roman" w:cs="Times New Roman"/>
      <w:sz w:val="24"/>
      <w:szCs w:val="24"/>
    </w:rPr>
  </w:style>
  <w:style w:type="paragraph" w:customStyle="1" w:styleId="Point1">
    <w:name w:val="Point 1"/>
    <w:basedOn w:val="Normal"/>
    <w:uiPriority w:val="99"/>
    <w:pPr>
      <w:spacing w:before="120" w:after="120" w:line="240" w:lineRule="auto"/>
      <w:ind w:left="1417" w:hanging="567"/>
      <w:jc w:val="both"/>
    </w:pPr>
    <w:rPr>
      <w:rFonts w:ascii="Times New Roman" w:eastAsia="Times New Roman" w:hAnsi="Times New Roman" w:cs="Times New Roman"/>
      <w:sz w:val="24"/>
      <w:szCs w:val="24"/>
    </w:rPr>
  </w:style>
  <w:style w:type="paragraph" w:customStyle="1" w:styleId="Point2">
    <w:name w:val="Point 2"/>
    <w:basedOn w:val="Normal"/>
    <w:uiPriority w:val="99"/>
    <w:pPr>
      <w:spacing w:before="120" w:after="120" w:line="240" w:lineRule="auto"/>
      <w:ind w:left="1984" w:hanging="567"/>
      <w:jc w:val="both"/>
    </w:pPr>
    <w:rPr>
      <w:rFonts w:ascii="Times New Roman" w:eastAsia="Times New Roman" w:hAnsi="Times New Roman" w:cs="Times New Roman"/>
      <w:sz w:val="24"/>
      <w:szCs w:val="24"/>
    </w:rPr>
  </w:style>
  <w:style w:type="paragraph" w:customStyle="1" w:styleId="Point3">
    <w:name w:val="Point 3"/>
    <w:basedOn w:val="Normal"/>
    <w:uiPriority w:val="99"/>
    <w:pPr>
      <w:spacing w:before="120" w:after="120" w:line="240" w:lineRule="auto"/>
      <w:ind w:left="2551" w:hanging="567"/>
      <w:jc w:val="both"/>
    </w:pPr>
    <w:rPr>
      <w:rFonts w:ascii="Times New Roman" w:eastAsia="Times New Roman" w:hAnsi="Times New Roman" w:cs="Times New Roman"/>
      <w:sz w:val="24"/>
      <w:szCs w:val="24"/>
    </w:rPr>
  </w:style>
  <w:style w:type="paragraph" w:customStyle="1" w:styleId="Point4">
    <w:name w:val="Point 4"/>
    <w:basedOn w:val="Normal"/>
    <w:uiPriority w:val="99"/>
    <w:pPr>
      <w:spacing w:before="120" w:after="120" w:line="240" w:lineRule="auto"/>
      <w:ind w:left="3118" w:hanging="567"/>
      <w:jc w:val="both"/>
    </w:pPr>
    <w:rPr>
      <w:rFonts w:ascii="Times New Roman" w:eastAsia="Times New Roman" w:hAnsi="Times New Roman" w:cs="Times New Roman"/>
      <w:sz w:val="24"/>
      <w:szCs w:val="24"/>
    </w:rPr>
  </w:style>
  <w:style w:type="paragraph" w:customStyle="1" w:styleId="Tiret0">
    <w:name w:val="Tiret 0"/>
    <w:basedOn w:val="Point0"/>
    <w:uiPriority w:val="99"/>
    <w:pPr>
      <w:numPr>
        <w:numId w:val="6"/>
      </w:numPr>
    </w:pPr>
  </w:style>
  <w:style w:type="paragraph" w:customStyle="1" w:styleId="Tiret1">
    <w:name w:val="Tiret 1"/>
    <w:basedOn w:val="Point1"/>
    <w:uiPriority w:val="99"/>
    <w:pPr>
      <w:numPr>
        <w:numId w:val="7"/>
      </w:numPr>
    </w:pPr>
  </w:style>
  <w:style w:type="paragraph" w:customStyle="1" w:styleId="Tiret2">
    <w:name w:val="Tiret 2"/>
    <w:basedOn w:val="Point2"/>
    <w:uiPriority w:val="99"/>
    <w:pPr>
      <w:numPr>
        <w:numId w:val="8"/>
      </w:numPr>
    </w:pPr>
  </w:style>
  <w:style w:type="paragraph" w:customStyle="1" w:styleId="Tiret3">
    <w:name w:val="Tiret 3"/>
    <w:basedOn w:val="Point3"/>
    <w:uiPriority w:val="99"/>
    <w:pPr>
      <w:numPr>
        <w:numId w:val="9"/>
      </w:numPr>
    </w:pPr>
  </w:style>
  <w:style w:type="paragraph" w:customStyle="1" w:styleId="Tiret4">
    <w:name w:val="Tiret 4"/>
    <w:basedOn w:val="Point4"/>
    <w:uiPriority w:val="99"/>
    <w:pPr>
      <w:numPr>
        <w:numId w:val="10"/>
      </w:numPr>
    </w:pPr>
  </w:style>
  <w:style w:type="paragraph" w:customStyle="1" w:styleId="PointDouble0">
    <w:name w:val="PointDouble 0"/>
    <w:basedOn w:val="Normal"/>
    <w:uiPriority w:val="99"/>
    <w:pPr>
      <w:tabs>
        <w:tab w:val="left" w:pos="850"/>
      </w:tabs>
      <w:spacing w:before="120" w:after="120" w:line="240" w:lineRule="auto"/>
      <w:ind w:left="1417" w:hanging="1417"/>
      <w:jc w:val="both"/>
    </w:pPr>
    <w:rPr>
      <w:rFonts w:ascii="Times New Roman" w:eastAsia="Times New Roman" w:hAnsi="Times New Roman" w:cs="Times New Roman"/>
      <w:sz w:val="24"/>
      <w:szCs w:val="24"/>
    </w:rPr>
  </w:style>
  <w:style w:type="paragraph" w:customStyle="1" w:styleId="PointDouble1">
    <w:name w:val="PointDouble 1"/>
    <w:basedOn w:val="Normal"/>
    <w:uiPriority w:val="99"/>
    <w:pPr>
      <w:tabs>
        <w:tab w:val="left" w:pos="1417"/>
      </w:tabs>
      <w:spacing w:before="120" w:after="120" w:line="240" w:lineRule="auto"/>
      <w:ind w:left="1984" w:hanging="1134"/>
      <w:jc w:val="both"/>
    </w:pPr>
    <w:rPr>
      <w:rFonts w:ascii="Times New Roman" w:eastAsia="Times New Roman" w:hAnsi="Times New Roman" w:cs="Times New Roman"/>
      <w:sz w:val="24"/>
      <w:szCs w:val="24"/>
    </w:rPr>
  </w:style>
  <w:style w:type="paragraph" w:customStyle="1" w:styleId="PointDouble2">
    <w:name w:val="PointDouble 2"/>
    <w:basedOn w:val="Normal"/>
    <w:uiPriority w:val="99"/>
    <w:pPr>
      <w:tabs>
        <w:tab w:val="left" w:pos="1984"/>
      </w:tabs>
      <w:spacing w:before="120" w:after="120" w:line="240" w:lineRule="auto"/>
      <w:ind w:left="2551" w:hanging="1134"/>
      <w:jc w:val="both"/>
    </w:pPr>
    <w:rPr>
      <w:rFonts w:ascii="Times New Roman" w:eastAsia="Times New Roman" w:hAnsi="Times New Roman" w:cs="Times New Roman"/>
      <w:sz w:val="24"/>
      <w:szCs w:val="24"/>
    </w:rPr>
  </w:style>
  <w:style w:type="paragraph" w:customStyle="1" w:styleId="PointDouble3">
    <w:name w:val="PointDouble 3"/>
    <w:basedOn w:val="Normal"/>
    <w:uiPriority w:val="99"/>
    <w:pPr>
      <w:tabs>
        <w:tab w:val="left" w:pos="2551"/>
      </w:tabs>
      <w:spacing w:before="120" w:after="120" w:line="240" w:lineRule="auto"/>
      <w:ind w:left="3118" w:hanging="1134"/>
      <w:jc w:val="both"/>
    </w:pPr>
    <w:rPr>
      <w:rFonts w:ascii="Times New Roman" w:eastAsia="Times New Roman" w:hAnsi="Times New Roman" w:cs="Times New Roman"/>
      <w:sz w:val="24"/>
      <w:szCs w:val="24"/>
    </w:rPr>
  </w:style>
  <w:style w:type="paragraph" w:customStyle="1" w:styleId="PointDouble4">
    <w:name w:val="PointDouble 4"/>
    <w:basedOn w:val="Normal"/>
    <w:uiPriority w:val="99"/>
    <w:pPr>
      <w:tabs>
        <w:tab w:val="left" w:pos="3118"/>
      </w:tabs>
      <w:spacing w:before="120" w:after="120" w:line="240" w:lineRule="auto"/>
      <w:ind w:left="3685" w:hanging="1134"/>
      <w:jc w:val="both"/>
    </w:pPr>
    <w:rPr>
      <w:rFonts w:ascii="Times New Roman" w:eastAsia="Times New Roman" w:hAnsi="Times New Roman" w:cs="Times New Roman"/>
      <w:sz w:val="24"/>
      <w:szCs w:val="24"/>
    </w:rPr>
  </w:style>
  <w:style w:type="paragraph" w:customStyle="1" w:styleId="PointTriple0">
    <w:name w:val="PointTriple 0"/>
    <w:basedOn w:val="Normal"/>
    <w:uiPriority w:val="99"/>
    <w:pPr>
      <w:tabs>
        <w:tab w:val="left" w:pos="850"/>
        <w:tab w:val="left" w:pos="1417"/>
      </w:tabs>
      <w:spacing w:before="120" w:after="120" w:line="240" w:lineRule="auto"/>
      <w:ind w:left="1984" w:hanging="1984"/>
      <w:jc w:val="both"/>
    </w:pPr>
    <w:rPr>
      <w:rFonts w:ascii="Times New Roman" w:eastAsia="Times New Roman" w:hAnsi="Times New Roman" w:cs="Times New Roman"/>
      <w:sz w:val="24"/>
      <w:szCs w:val="24"/>
    </w:rPr>
  </w:style>
  <w:style w:type="paragraph" w:customStyle="1" w:styleId="PointTriple1">
    <w:name w:val="PointTriple 1"/>
    <w:basedOn w:val="Normal"/>
    <w:uiPriority w:val="99"/>
    <w:pPr>
      <w:tabs>
        <w:tab w:val="left" w:pos="1417"/>
        <w:tab w:val="left" w:pos="1984"/>
      </w:tabs>
      <w:spacing w:before="120" w:after="120" w:line="240" w:lineRule="auto"/>
      <w:ind w:left="2551" w:hanging="1701"/>
      <w:jc w:val="both"/>
    </w:pPr>
    <w:rPr>
      <w:rFonts w:ascii="Times New Roman" w:eastAsia="Times New Roman" w:hAnsi="Times New Roman" w:cs="Times New Roman"/>
      <w:sz w:val="24"/>
      <w:szCs w:val="24"/>
    </w:rPr>
  </w:style>
  <w:style w:type="paragraph" w:customStyle="1" w:styleId="PointTriple2">
    <w:name w:val="PointTriple 2"/>
    <w:basedOn w:val="Normal"/>
    <w:uiPriority w:val="99"/>
    <w:pPr>
      <w:tabs>
        <w:tab w:val="left" w:pos="1984"/>
        <w:tab w:val="left" w:pos="2551"/>
      </w:tabs>
      <w:spacing w:before="120" w:after="120" w:line="240" w:lineRule="auto"/>
      <w:ind w:left="3118" w:hanging="1701"/>
      <w:jc w:val="both"/>
    </w:pPr>
    <w:rPr>
      <w:rFonts w:ascii="Times New Roman" w:eastAsia="Times New Roman" w:hAnsi="Times New Roman" w:cs="Times New Roman"/>
      <w:sz w:val="24"/>
      <w:szCs w:val="24"/>
    </w:rPr>
  </w:style>
  <w:style w:type="paragraph" w:customStyle="1" w:styleId="PointTriple3">
    <w:name w:val="PointTriple 3"/>
    <w:basedOn w:val="Normal"/>
    <w:uiPriority w:val="99"/>
    <w:pPr>
      <w:tabs>
        <w:tab w:val="left" w:pos="2551"/>
        <w:tab w:val="left" w:pos="3118"/>
      </w:tabs>
      <w:spacing w:before="120" w:after="120" w:line="240" w:lineRule="auto"/>
      <w:ind w:left="3685" w:hanging="1701"/>
      <w:jc w:val="both"/>
    </w:pPr>
    <w:rPr>
      <w:rFonts w:ascii="Times New Roman" w:eastAsia="Times New Roman" w:hAnsi="Times New Roman" w:cs="Times New Roman"/>
      <w:sz w:val="24"/>
      <w:szCs w:val="24"/>
    </w:rPr>
  </w:style>
  <w:style w:type="paragraph" w:customStyle="1" w:styleId="PointTriple4">
    <w:name w:val="PointTriple 4"/>
    <w:basedOn w:val="Normal"/>
    <w:uiPriority w:val="99"/>
    <w:pPr>
      <w:tabs>
        <w:tab w:val="left" w:pos="3118"/>
        <w:tab w:val="left" w:pos="3685"/>
      </w:tabs>
      <w:spacing w:before="120" w:after="120" w:line="240" w:lineRule="auto"/>
      <w:ind w:left="4252" w:hanging="1701"/>
      <w:jc w:val="both"/>
    </w:pPr>
    <w:rPr>
      <w:rFonts w:ascii="Times New Roman" w:eastAsia="Times New Roman" w:hAnsi="Times New Roman" w:cs="Times New Roman"/>
      <w:sz w:val="24"/>
      <w:szCs w:val="24"/>
    </w:rPr>
  </w:style>
  <w:style w:type="paragraph" w:customStyle="1" w:styleId="NumPar1">
    <w:name w:val="NumPar 1"/>
    <w:basedOn w:val="Normal"/>
    <w:next w:val="Text1"/>
    <w:uiPriority w:val="99"/>
    <w:pPr>
      <w:numPr>
        <w:numId w:val="11"/>
      </w:numPr>
      <w:spacing w:before="120" w:after="120" w:line="240" w:lineRule="auto"/>
      <w:jc w:val="both"/>
    </w:pPr>
    <w:rPr>
      <w:rFonts w:ascii="Times New Roman" w:eastAsia="Times New Roman" w:hAnsi="Times New Roman" w:cs="Times New Roman"/>
      <w:sz w:val="24"/>
      <w:szCs w:val="24"/>
    </w:rPr>
  </w:style>
  <w:style w:type="paragraph" w:customStyle="1" w:styleId="NumPar2">
    <w:name w:val="NumPar 2"/>
    <w:basedOn w:val="Normal"/>
    <w:next w:val="Text1"/>
    <w:uiPriority w:val="99"/>
    <w:pPr>
      <w:numPr>
        <w:ilvl w:val="1"/>
        <w:numId w:val="11"/>
      </w:numPr>
      <w:spacing w:before="120" w:after="120" w:line="240" w:lineRule="auto"/>
      <w:jc w:val="both"/>
    </w:pPr>
    <w:rPr>
      <w:rFonts w:ascii="Times New Roman" w:eastAsia="Times New Roman" w:hAnsi="Times New Roman" w:cs="Times New Roman"/>
      <w:sz w:val="24"/>
      <w:szCs w:val="24"/>
    </w:rPr>
  </w:style>
  <w:style w:type="paragraph" w:customStyle="1" w:styleId="NumPar3">
    <w:name w:val="NumPar 3"/>
    <w:basedOn w:val="Normal"/>
    <w:next w:val="Text1"/>
    <w:uiPriority w:val="99"/>
    <w:pPr>
      <w:numPr>
        <w:ilvl w:val="2"/>
        <w:numId w:val="11"/>
      </w:numPr>
      <w:spacing w:before="120" w:after="120" w:line="240" w:lineRule="auto"/>
      <w:jc w:val="both"/>
    </w:pPr>
    <w:rPr>
      <w:rFonts w:ascii="Times New Roman" w:eastAsia="Times New Roman" w:hAnsi="Times New Roman" w:cs="Times New Roman"/>
      <w:sz w:val="24"/>
      <w:szCs w:val="24"/>
    </w:rPr>
  </w:style>
  <w:style w:type="paragraph" w:customStyle="1" w:styleId="NumPar4">
    <w:name w:val="NumPar 4"/>
    <w:basedOn w:val="Normal"/>
    <w:next w:val="Text1"/>
    <w:uiPriority w:val="99"/>
    <w:pPr>
      <w:numPr>
        <w:ilvl w:val="3"/>
        <w:numId w:val="11"/>
      </w:numPr>
      <w:spacing w:before="120" w:after="120" w:line="240" w:lineRule="auto"/>
      <w:jc w:val="both"/>
    </w:pPr>
    <w:rPr>
      <w:rFonts w:ascii="Times New Roman" w:eastAsia="Times New Roman" w:hAnsi="Times New Roman" w:cs="Times New Roman"/>
      <w:sz w:val="24"/>
      <w:szCs w:val="24"/>
    </w:rPr>
  </w:style>
  <w:style w:type="paragraph" w:customStyle="1" w:styleId="ManualNumPar1">
    <w:name w:val="Manual NumPar 1"/>
    <w:basedOn w:val="Normal"/>
    <w:next w:val="Text1"/>
    <w:uiPriority w:val="99"/>
    <w:pPr>
      <w:spacing w:before="120" w:after="120" w:line="240" w:lineRule="auto"/>
      <w:ind w:left="850" w:hanging="850"/>
      <w:jc w:val="both"/>
    </w:pPr>
    <w:rPr>
      <w:rFonts w:ascii="Times New Roman" w:eastAsia="Times New Roman" w:hAnsi="Times New Roman" w:cs="Times New Roman"/>
      <w:sz w:val="24"/>
      <w:szCs w:val="24"/>
    </w:rPr>
  </w:style>
  <w:style w:type="paragraph" w:customStyle="1" w:styleId="ManualNumPar2">
    <w:name w:val="Manual NumPar 2"/>
    <w:basedOn w:val="Normal"/>
    <w:next w:val="Text1"/>
    <w:uiPriority w:val="99"/>
    <w:pPr>
      <w:spacing w:before="120" w:after="120" w:line="240" w:lineRule="auto"/>
      <w:ind w:left="850" w:hanging="850"/>
      <w:jc w:val="both"/>
    </w:pPr>
    <w:rPr>
      <w:rFonts w:ascii="Times New Roman" w:eastAsia="Times New Roman" w:hAnsi="Times New Roman" w:cs="Times New Roman"/>
      <w:sz w:val="24"/>
      <w:szCs w:val="24"/>
    </w:rPr>
  </w:style>
  <w:style w:type="paragraph" w:customStyle="1" w:styleId="ManualNumPar3">
    <w:name w:val="Manual NumPar 3"/>
    <w:basedOn w:val="Normal"/>
    <w:next w:val="Text1"/>
    <w:uiPriority w:val="99"/>
    <w:pPr>
      <w:spacing w:before="120" w:after="120" w:line="240" w:lineRule="auto"/>
      <w:ind w:left="850" w:hanging="850"/>
      <w:jc w:val="both"/>
    </w:pPr>
    <w:rPr>
      <w:rFonts w:ascii="Times New Roman" w:eastAsia="Times New Roman" w:hAnsi="Times New Roman" w:cs="Times New Roman"/>
      <w:sz w:val="24"/>
      <w:szCs w:val="24"/>
    </w:rPr>
  </w:style>
  <w:style w:type="paragraph" w:customStyle="1" w:styleId="ManualNumPar4">
    <w:name w:val="Manual NumPar 4"/>
    <w:basedOn w:val="Normal"/>
    <w:next w:val="Text1"/>
    <w:uiPriority w:val="99"/>
    <w:pPr>
      <w:spacing w:before="120" w:after="120" w:line="240" w:lineRule="auto"/>
      <w:ind w:left="850" w:hanging="850"/>
      <w:jc w:val="both"/>
    </w:pPr>
    <w:rPr>
      <w:rFonts w:ascii="Times New Roman" w:eastAsia="Times New Roman" w:hAnsi="Times New Roman" w:cs="Times New Roman"/>
      <w:sz w:val="24"/>
      <w:szCs w:val="24"/>
    </w:rPr>
  </w:style>
  <w:style w:type="paragraph" w:customStyle="1" w:styleId="QuotedNumPar">
    <w:name w:val="Quoted NumPar"/>
    <w:basedOn w:val="Normal"/>
    <w:uiPriority w:val="99"/>
    <w:pPr>
      <w:spacing w:before="120" w:after="120" w:line="240" w:lineRule="auto"/>
      <w:ind w:left="1417" w:hanging="567"/>
      <w:jc w:val="both"/>
    </w:pPr>
    <w:rPr>
      <w:rFonts w:ascii="Times New Roman" w:eastAsia="Times New Roman" w:hAnsi="Times New Roman" w:cs="Times New Roman"/>
      <w:sz w:val="24"/>
      <w:szCs w:val="24"/>
    </w:rPr>
  </w:style>
  <w:style w:type="paragraph" w:customStyle="1" w:styleId="ManualHeading1">
    <w:name w:val="Manual Heading 1"/>
    <w:basedOn w:val="Normal"/>
    <w:next w:val="Text1"/>
    <w:uiPriority w:val="99"/>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rPr>
  </w:style>
  <w:style w:type="paragraph" w:customStyle="1" w:styleId="ManualHeading2">
    <w:name w:val="Manual Heading 2"/>
    <w:basedOn w:val="Normal"/>
    <w:next w:val="Text1"/>
    <w:uiPriority w:val="99"/>
    <w:pPr>
      <w:keepNext/>
      <w:tabs>
        <w:tab w:val="left" w:pos="850"/>
      </w:tabs>
      <w:spacing w:before="120" w:after="120" w:line="240" w:lineRule="auto"/>
      <w:ind w:left="850" w:hanging="850"/>
      <w:jc w:val="both"/>
      <w:outlineLvl w:val="1"/>
    </w:pPr>
    <w:rPr>
      <w:rFonts w:ascii="Times New Roman" w:eastAsia="Times New Roman" w:hAnsi="Times New Roman" w:cs="Times New Roman"/>
      <w:b/>
      <w:sz w:val="24"/>
      <w:szCs w:val="24"/>
    </w:rPr>
  </w:style>
  <w:style w:type="paragraph" w:customStyle="1" w:styleId="ManualHeading3">
    <w:name w:val="Manual Heading 3"/>
    <w:basedOn w:val="Normal"/>
    <w:next w:val="Text1"/>
    <w:uiPriority w:val="99"/>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szCs w:val="24"/>
    </w:rPr>
  </w:style>
  <w:style w:type="paragraph" w:customStyle="1" w:styleId="ManualHeading4">
    <w:name w:val="Manual Heading 4"/>
    <w:basedOn w:val="Normal"/>
    <w:next w:val="Text1"/>
    <w:uiPriority w:val="99"/>
    <w:pPr>
      <w:keepNext/>
      <w:tabs>
        <w:tab w:val="left" w:pos="850"/>
      </w:tabs>
      <w:spacing w:before="120" w:after="120" w:line="240" w:lineRule="auto"/>
      <w:ind w:left="850" w:hanging="850"/>
      <w:jc w:val="both"/>
      <w:outlineLvl w:val="3"/>
    </w:pPr>
    <w:rPr>
      <w:rFonts w:ascii="Times New Roman" w:eastAsia="Times New Roman" w:hAnsi="Times New Roman" w:cs="Times New Roman"/>
      <w:sz w:val="24"/>
      <w:szCs w:val="24"/>
    </w:rPr>
  </w:style>
  <w:style w:type="paragraph" w:customStyle="1" w:styleId="ChapterTitle">
    <w:name w:val="ChapterTitle"/>
    <w:basedOn w:val="Normal"/>
    <w:next w:val="Normal"/>
    <w:uiPriority w:val="99"/>
    <w:pPr>
      <w:keepNext/>
      <w:spacing w:before="120" w:after="360" w:line="240" w:lineRule="auto"/>
      <w:jc w:val="center"/>
    </w:pPr>
    <w:rPr>
      <w:rFonts w:ascii="Times New Roman" w:eastAsia="Times New Roman" w:hAnsi="Times New Roman" w:cs="Times New Roman"/>
      <w:b/>
      <w:sz w:val="32"/>
      <w:szCs w:val="24"/>
    </w:rPr>
  </w:style>
  <w:style w:type="paragraph" w:customStyle="1" w:styleId="PartTitle">
    <w:name w:val="PartTitle"/>
    <w:basedOn w:val="Normal"/>
    <w:next w:val="ChapterTitle"/>
    <w:uiPriority w:val="99"/>
    <w:pPr>
      <w:keepNext/>
      <w:pageBreakBefore/>
      <w:spacing w:before="120" w:after="360" w:line="240" w:lineRule="auto"/>
      <w:jc w:val="center"/>
    </w:pPr>
    <w:rPr>
      <w:rFonts w:ascii="Times New Roman" w:eastAsia="Times New Roman" w:hAnsi="Times New Roman" w:cs="Times New Roman"/>
      <w:b/>
      <w:sz w:val="36"/>
      <w:szCs w:val="24"/>
    </w:rPr>
  </w:style>
  <w:style w:type="paragraph" w:customStyle="1" w:styleId="SectionTitle">
    <w:name w:val="SectionTitle"/>
    <w:basedOn w:val="Normal"/>
    <w:next w:val="Heading1"/>
    <w:uiPriority w:val="99"/>
    <w:pPr>
      <w:keepNext/>
      <w:spacing w:before="120" w:after="360" w:line="240" w:lineRule="auto"/>
      <w:jc w:val="center"/>
    </w:pPr>
    <w:rPr>
      <w:rFonts w:ascii="Times New Roman" w:eastAsia="Times New Roman" w:hAnsi="Times New Roman" w:cs="Times New Roman"/>
      <w:b/>
      <w:smallCaps/>
      <w:sz w:val="28"/>
      <w:szCs w:val="24"/>
    </w:rPr>
  </w:style>
  <w:style w:type="paragraph" w:customStyle="1" w:styleId="TableTitle">
    <w:name w:val="Table Title"/>
    <w:basedOn w:val="Normal"/>
    <w:next w:val="Normal"/>
    <w:uiPriority w:val="99"/>
    <w:pPr>
      <w:spacing w:before="120" w:after="120" w:line="240" w:lineRule="auto"/>
      <w:jc w:val="center"/>
    </w:pPr>
    <w:rPr>
      <w:rFonts w:ascii="Times New Roman" w:eastAsia="Times New Roman" w:hAnsi="Times New Roman" w:cs="Times New Roman"/>
      <w:b/>
      <w:sz w:val="24"/>
      <w:szCs w:val="24"/>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customStyle="1" w:styleId="Point0number">
    <w:name w:val="Point 0 (number)"/>
    <w:basedOn w:val="Normal"/>
    <w:uiPriority w:val="99"/>
    <w:pPr>
      <w:numPr>
        <w:numId w:val="12"/>
      </w:numPr>
      <w:spacing w:before="120" w:after="120" w:line="240" w:lineRule="auto"/>
      <w:jc w:val="both"/>
    </w:pPr>
    <w:rPr>
      <w:rFonts w:ascii="Times New Roman" w:eastAsia="Times New Roman" w:hAnsi="Times New Roman" w:cs="Times New Roman"/>
      <w:sz w:val="24"/>
      <w:szCs w:val="24"/>
    </w:rPr>
  </w:style>
  <w:style w:type="paragraph" w:customStyle="1" w:styleId="Point1number">
    <w:name w:val="Point 1 (number)"/>
    <w:basedOn w:val="Normal"/>
    <w:uiPriority w:val="99"/>
    <w:pPr>
      <w:numPr>
        <w:ilvl w:val="2"/>
        <w:numId w:val="12"/>
      </w:numPr>
      <w:spacing w:before="120" w:after="120" w:line="240" w:lineRule="auto"/>
      <w:jc w:val="both"/>
    </w:pPr>
    <w:rPr>
      <w:rFonts w:ascii="Times New Roman" w:eastAsia="Times New Roman" w:hAnsi="Times New Roman" w:cs="Times New Roman"/>
      <w:sz w:val="24"/>
      <w:szCs w:val="24"/>
    </w:rPr>
  </w:style>
  <w:style w:type="paragraph" w:customStyle="1" w:styleId="Point2number">
    <w:name w:val="Point 2 (number)"/>
    <w:basedOn w:val="Normal"/>
    <w:uiPriority w:val="99"/>
    <w:pPr>
      <w:numPr>
        <w:ilvl w:val="4"/>
        <w:numId w:val="12"/>
      </w:numPr>
      <w:spacing w:before="120" w:after="120" w:line="240" w:lineRule="auto"/>
      <w:jc w:val="both"/>
    </w:pPr>
    <w:rPr>
      <w:rFonts w:ascii="Times New Roman" w:eastAsia="Times New Roman" w:hAnsi="Times New Roman" w:cs="Times New Roman"/>
      <w:sz w:val="24"/>
      <w:szCs w:val="24"/>
    </w:rPr>
  </w:style>
  <w:style w:type="paragraph" w:customStyle="1" w:styleId="Point3number">
    <w:name w:val="Point 3 (number)"/>
    <w:basedOn w:val="Normal"/>
    <w:uiPriority w:val="99"/>
    <w:pPr>
      <w:numPr>
        <w:ilvl w:val="6"/>
        <w:numId w:val="12"/>
      </w:numPr>
      <w:spacing w:before="120" w:after="120" w:line="240" w:lineRule="auto"/>
      <w:jc w:val="both"/>
    </w:pPr>
    <w:rPr>
      <w:rFonts w:ascii="Times New Roman" w:eastAsia="Times New Roman" w:hAnsi="Times New Roman" w:cs="Times New Roman"/>
      <w:sz w:val="24"/>
      <w:szCs w:val="24"/>
    </w:rPr>
  </w:style>
  <w:style w:type="paragraph" w:customStyle="1" w:styleId="Point0letter">
    <w:name w:val="Point 0 (letter)"/>
    <w:basedOn w:val="Normal"/>
    <w:uiPriority w:val="99"/>
    <w:pPr>
      <w:numPr>
        <w:ilvl w:val="1"/>
        <w:numId w:val="12"/>
      </w:numPr>
      <w:spacing w:before="120" w:after="120" w:line="240" w:lineRule="auto"/>
      <w:jc w:val="both"/>
    </w:pPr>
    <w:rPr>
      <w:rFonts w:ascii="Times New Roman" w:eastAsia="Times New Roman" w:hAnsi="Times New Roman" w:cs="Times New Roman"/>
      <w:sz w:val="24"/>
      <w:szCs w:val="24"/>
    </w:rPr>
  </w:style>
  <w:style w:type="paragraph" w:customStyle="1" w:styleId="Point1letter">
    <w:name w:val="Point 1 (letter)"/>
    <w:basedOn w:val="Normal"/>
    <w:uiPriority w:val="99"/>
    <w:pPr>
      <w:numPr>
        <w:ilvl w:val="3"/>
        <w:numId w:val="12"/>
      </w:numPr>
      <w:spacing w:before="120" w:after="120" w:line="240" w:lineRule="auto"/>
      <w:jc w:val="both"/>
    </w:pPr>
    <w:rPr>
      <w:rFonts w:ascii="Times New Roman" w:eastAsia="Times New Roman" w:hAnsi="Times New Roman" w:cs="Times New Roman"/>
      <w:sz w:val="24"/>
      <w:szCs w:val="24"/>
    </w:rPr>
  </w:style>
  <w:style w:type="paragraph" w:customStyle="1" w:styleId="Point2letter">
    <w:name w:val="Point 2 (letter)"/>
    <w:basedOn w:val="Normal"/>
    <w:uiPriority w:val="99"/>
    <w:pPr>
      <w:numPr>
        <w:ilvl w:val="5"/>
        <w:numId w:val="12"/>
      </w:numPr>
      <w:spacing w:before="120" w:after="120" w:line="240" w:lineRule="auto"/>
      <w:jc w:val="both"/>
    </w:pPr>
    <w:rPr>
      <w:rFonts w:ascii="Times New Roman" w:eastAsia="Times New Roman" w:hAnsi="Times New Roman" w:cs="Times New Roman"/>
      <w:sz w:val="24"/>
      <w:szCs w:val="24"/>
    </w:rPr>
  </w:style>
  <w:style w:type="paragraph" w:customStyle="1" w:styleId="Point3letter">
    <w:name w:val="Point 3 (letter)"/>
    <w:basedOn w:val="Normal"/>
    <w:uiPriority w:val="99"/>
    <w:pPr>
      <w:numPr>
        <w:ilvl w:val="7"/>
        <w:numId w:val="12"/>
      </w:numPr>
      <w:spacing w:before="120" w:after="120" w:line="240" w:lineRule="auto"/>
      <w:jc w:val="both"/>
    </w:pPr>
    <w:rPr>
      <w:rFonts w:ascii="Times New Roman" w:eastAsia="Times New Roman" w:hAnsi="Times New Roman" w:cs="Times New Roman"/>
      <w:sz w:val="24"/>
      <w:szCs w:val="24"/>
    </w:rPr>
  </w:style>
  <w:style w:type="paragraph" w:customStyle="1" w:styleId="Point4letter">
    <w:name w:val="Point 4 (letter)"/>
    <w:basedOn w:val="Normal"/>
    <w:uiPriority w:val="99"/>
    <w:pPr>
      <w:numPr>
        <w:ilvl w:val="8"/>
        <w:numId w:val="12"/>
      </w:numPr>
      <w:spacing w:before="120" w:after="120" w:line="240" w:lineRule="auto"/>
      <w:jc w:val="both"/>
    </w:pPr>
    <w:rPr>
      <w:rFonts w:ascii="Times New Roman" w:eastAsia="Times New Roman" w:hAnsi="Times New Roman" w:cs="Times New Roman"/>
      <w:sz w:val="24"/>
      <w:szCs w:val="24"/>
    </w:rPr>
  </w:style>
  <w:style w:type="paragraph" w:customStyle="1" w:styleId="Bullet0">
    <w:name w:val="Bullet 0"/>
    <w:basedOn w:val="Normal"/>
    <w:uiPriority w:val="99"/>
    <w:pPr>
      <w:numPr>
        <w:numId w:val="13"/>
      </w:numPr>
      <w:spacing w:before="120" w:after="120" w:line="240" w:lineRule="auto"/>
      <w:jc w:val="both"/>
    </w:pPr>
    <w:rPr>
      <w:rFonts w:ascii="Times New Roman" w:eastAsia="Times New Roman" w:hAnsi="Times New Roman" w:cs="Times New Roman"/>
      <w:sz w:val="24"/>
      <w:szCs w:val="24"/>
    </w:rPr>
  </w:style>
  <w:style w:type="paragraph" w:customStyle="1" w:styleId="Bullet1">
    <w:name w:val="Bullet 1"/>
    <w:basedOn w:val="Normal"/>
    <w:uiPriority w:val="99"/>
    <w:pPr>
      <w:numPr>
        <w:numId w:val="14"/>
      </w:numPr>
      <w:spacing w:before="120" w:after="120" w:line="240" w:lineRule="auto"/>
      <w:jc w:val="both"/>
    </w:pPr>
    <w:rPr>
      <w:rFonts w:ascii="Times New Roman" w:eastAsia="Times New Roman" w:hAnsi="Times New Roman" w:cs="Times New Roman"/>
      <w:sz w:val="24"/>
      <w:szCs w:val="24"/>
    </w:rPr>
  </w:style>
  <w:style w:type="paragraph" w:customStyle="1" w:styleId="Bullet2">
    <w:name w:val="Bullet 2"/>
    <w:basedOn w:val="Normal"/>
    <w:uiPriority w:val="99"/>
    <w:pPr>
      <w:numPr>
        <w:numId w:val="15"/>
      </w:numPr>
      <w:spacing w:before="120" w:after="120" w:line="240" w:lineRule="auto"/>
      <w:jc w:val="both"/>
    </w:pPr>
    <w:rPr>
      <w:rFonts w:ascii="Times New Roman" w:eastAsia="Times New Roman" w:hAnsi="Times New Roman" w:cs="Times New Roman"/>
      <w:sz w:val="24"/>
      <w:szCs w:val="24"/>
    </w:rPr>
  </w:style>
  <w:style w:type="paragraph" w:customStyle="1" w:styleId="Bullet3">
    <w:name w:val="Bullet 3"/>
    <w:basedOn w:val="Normal"/>
    <w:uiPriority w:val="99"/>
    <w:pPr>
      <w:numPr>
        <w:numId w:val="16"/>
      </w:numPr>
      <w:spacing w:before="120" w:after="120" w:line="240" w:lineRule="auto"/>
      <w:jc w:val="both"/>
    </w:pPr>
    <w:rPr>
      <w:rFonts w:ascii="Times New Roman" w:eastAsia="Times New Roman" w:hAnsi="Times New Roman" w:cs="Times New Roman"/>
      <w:sz w:val="24"/>
      <w:szCs w:val="24"/>
    </w:rPr>
  </w:style>
  <w:style w:type="paragraph" w:customStyle="1" w:styleId="Bullet4">
    <w:name w:val="Bullet 4"/>
    <w:basedOn w:val="Normal"/>
    <w:uiPriority w:val="99"/>
    <w:pPr>
      <w:numPr>
        <w:numId w:val="17"/>
      </w:numPr>
      <w:spacing w:before="120" w:after="120" w:line="240" w:lineRule="auto"/>
      <w:jc w:val="both"/>
    </w:pPr>
    <w:rPr>
      <w:rFonts w:ascii="Times New Roman" w:eastAsia="Times New Roman" w:hAnsi="Times New Roman" w:cs="Times New Roman"/>
      <w:sz w:val="24"/>
      <w:szCs w:val="24"/>
    </w:rPr>
  </w:style>
  <w:style w:type="paragraph" w:customStyle="1" w:styleId="Annexetitreexpos">
    <w:name w:val="Annexe titre (exposé)"/>
    <w:basedOn w:val="Normal"/>
    <w:next w:val="Normal"/>
    <w:uiPriority w:val="99"/>
    <w:pPr>
      <w:spacing w:before="120" w:after="120" w:line="240" w:lineRule="auto"/>
      <w:jc w:val="center"/>
    </w:pPr>
    <w:rPr>
      <w:rFonts w:ascii="Times New Roman" w:eastAsia="Times New Roman" w:hAnsi="Times New Roman" w:cs="Times New Roman"/>
      <w:b/>
      <w:sz w:val="24"/>
      <w:szCs w:val="24"/>
      <w:u w:val="single"/>
    </w:rPr>
  </w:style>
  <w:style w:type="paragraph" w:customStyle="1" w:styleId="Annexetitre">
    <w:name w:val="Annexe titre"/>
    <w:basedOn w:val="Normal"/>
    <w:next w:val="Normal"/>
    <w:uiPriority w:val="99"/>
    <w:pPr>
      <w:spacing w:before="120" w:after="120" w:line="240" w:lineRule="auto"/>
      <w:jc w:val="center"/>
    </w:pPr>
    <w:rPr>
      <w:rFonts w:ascii="Times New Roman" w:eastAsia="Times New Roman" w:hAnsi="Times New Roman" w:cs="Times New Roman"/>
      <w:b/>
      <w:sz w:val="24"/>
      <w:szCs w:val="24"/>
      <w:u w:val="single"/>
    </w:rPr>
  </w:style>
  <w:style w:type="paragraph" w:customStyle="1" w:styleId="Annexetitrefichefinancire">
    <w:name w:val="Annexe titre (fiche financière)"/>
    <w:basedOn w:val="Normal"/>
    <w:next w:val="Normal"/>
    <w:uiPriority w:val="99"/>
    <w:pPr>
      <w:spacing w:before="120" w:after="120" w:line="240" w:lineRule="auto"/>
      <w:jc w:val="center"/>
    </w:pPr>
    <w:rPr>
      <w:rFonts w:ascii="Times New Roman" w:eastAsia="Times New Roman" w:hAnsi="Times New Roman" w:cs="Times New Roman"/>
      <w:b/>
      <w:sz w:val="24"/>
      <w:szCs w:val="24"/>
      <w:u w:val="single"/>
    </w:rPr>
  </w:style>
  <w:style w:type="paragraph" w:customStyle="1" w:styleId="Applicationdirecte">
    <w:name w:val="Application directe"/>
    <w:basedOn w:val="Normal"/>
    <w:next w:val="Fait"/>
    <w:uiPriority w:val="99"/>
    <w:pPr>
      <w:spacing w:before="480" w:after="120" w:line="240" w:lineRule="auto"/>
      <w:jc w:val="both"/>
    </w:pPr>
    <w:rPr>
      <w:rFonts w:ascii="Times New Roman" w:eastAsia="Times New Roman" w:hAnsi="Times New Roman" w:cs="Times New Roman"/>
      <w:sz w:val="24"/>
      <w:szCs w:val="24"/>
    </w:rPr>
  </w:style>
  <w:style w:type="paragraph" w:customStyle="1" w:styleId="Avertissementtitre">
    <w:name w:val="Avertissement titre"/>
    <w:basedOn w:val="Normal"/>
    <w:next w:val="Normal"/>
    <w:uiPriority w:val="99"/>
    <w:pPr>
      <w:keepNext/>
      <w:spacing w:before="480" w:after="120" w:line="240" w:lineRule="auto"/>
      <w:jc w:val="both"/>
    </w:pPr>
    <w:rPr>
      <w:rFonts w:ascii="Times New Roman" w:eastAsia="Times New Roman" w:hAnsi="Times New Roman" w:cs="Times New Roman"/>
      <w:sz w:val="24"/>
      <w:szCs w:val="24"/>
      <w:u w:val="single"/>
    </w:rPr>
  </w:style>
  <w:style w:type="paragraph" w:customStyle="1" w:styleId="Confidence">
    <w:name w:val="Confidence"/>
    <w:basedOn w:val="Normal"/>
    <w:next w:val="Normal"/>
    <w:uiPriority w:val="99"/>
    <w:pPr>
      <w:spacing w:before="360" w:after="120" w:line="240" w:lineRule="auto"/>
      <w:jc w:val="center"/>
    </w:pPr>
    <w:rPr>
      <w:rFonts w:ascii="Times New Roman" w:eastAsia="Times New Roman" w:hAnsi="Times New Roman" w:cs="Times New Roman"/>
      <w:sz w:val="24"/>
      <w:szCs w:val="24"/>
    </w:rPr>
  </w:style>
  <w:style w:type="paragraph" w:customStyle="1" w:styleId="Confidentialit">
    <w:name w:val="Confidentialité"/>
    <w:basedOn w:val="Normal"/>
    <w:next w:val="TypedudocumentPagedecouverture"/>
    <w:uiPriority w:val="99"/>
    <w:pPr>
      <w:spacing w:before="240" w:after="240" w:line="240" w:lineRule="auto"/>
      <w:ind w:left="5103"/>
      <w:jc w:val="both"/>
    </w:pPr>
    <w:rPr>
      <w:rFonts w:ascii="Times New Roman" w:eastAsia="Times New Roman" w:hAnsi="Times New Roman" w:cs="Times New Roman"/>
      <w:i/>
      <w:sz w:val="32"/>
      <w:szCs w:val="24"/>
    </w:rPr>
  </w:style>
  <w:style w:type="paragraph" w:customStyle="1" w:styleId="Considrant">
    <w:name w:val="Considérant"/>
    <w:basedOn w:val="Normal"/>
    <w:uiPriority w:val="99"/>
    <w:pPr>
      <w:numPr>
        <w:numId w:val="18"/>
      </w:numPr>
      <w:spacing w:before="120" w:after="120" w:line="240" w:lineRule="auto"/>
      <w:jc w:val="both"/>
    </w:pPr>
    <w:rPr>
      <w:rFonts w:ascii="Times New Roman" w:eastAsia="Times New Roman" w:hAnsi="Times New Roman" w:cs="Times New Roman"/>
      <w:sz w:val="24"/>
      <w:szCs w:val="24"/>
    </w:rPr>
  </w:style>
  <w:style w:type="paragraph" w:customStyle="1" w:styleId="Corrigendum">
    <w:name w:val="Corrigendum"/>
    <w:basedOn w:val="Normal"/>
    <w:next w:val="Normal"/>
    <w:uiPriority w:val="99"/>
    <w:pPr>
      <w:spacing w:after="240" w:line="240" w:lineRule="auto"/>
    </w:pPr>
    <w:rPr>
      <w:rFonts w:ascii="Times New Roman" w:eastAsia="Times New Roman" w:hAnsi="Times New Roman" w:cs="Times New Roman"/>
      <w:sz w:val="24"/>
      <w:szCs w:val="24"/>
    </w:rPr>
  </w:style>
  <w:style w:type="paragraph" w:customStyle="1" w:styleId="Datedadoption">
    <w:name w:val="Date d'adoption"/>
    <w:basedOn w:val="Normal"/>
    <w:next w:val="Titreobjet"/>
    <w:uiPriority w:val="99"/>
    <w:pPr>
      <w:spacing w:before="360" w:after="0" w:line="240" w:lineRule="auto"/>
      <w:jc w:val="center"/>
    </w:pPr>
    <w:rPr>
      <w:rFonts w:ascii="Times New Roman" w:eastAsia="Times New Roman" w:hAnsi="Times New Roman" w:cs="Times New Roman"/>
      <w:b/>
      <w:sz w:val="24"/>
      <w:szCs w:val="24"/>
    </w:rPr>
  </w:style>
  <w:style w:type="paragraph" w:customStyle="1" w:styleId="Emission">
    <w:name w:val="Emission"/>
    <w:basedOn w:val="Normal"/>
    <w:next w:val="Rfrenceinstitutionnelle"/>
    <w:uiPriority w:val="99"/>
    <w:pPr>
      <w:spacing w:after="0" w:line="240" w:lineRule="auto"/>
      <w:ind w:left="5103"/>
    </w:pPr>
    <w:rPr>
      <w:rFonts w:ascii="Times New Roman" w:eastAsia="Times New Roman" w:hAnsi="Times New Roman" w:cs="Times New Roman"/>
      <w:sz w:val="24"/>
      <w:szCs w:val="24"/>
    </w:rPr>
  </w:style>
  <w:style w:type="paragraph" w:customStyle="1" w:styleId="Exposdesmotifstitre">
    <w:name w:val="Exposé des motifs titre"/>
    <w:basedOn w:val="Normal"/>
    <w:next w:val="Normal"/>
    <w:uiPriority w:val="99"/>
    <w:pPr>
      <w:spacing w:before="120" w:after="120" w:line="240" w:lineRule="auto"/>
      <w:jc w:val="center"/>
    </w:pPr>
    <w:rPr>
      <w:rFonts w:ascii="Times New Roman" w:eastAsia="Times New Roman" w:hAnsi="Times New Roman" w:cs="Times New Roman"/>
      <w:b/>
      <w:sz w:val="24"/>
      <w:szCs w:val="24"/>
      <w:u w:val="single"/>
    </w:rPr>
  </w:style>
  <w:style w:type="paragraph" w:customStyle="1" w:styleId="Fait">
    <w:name w:val="Fait à"/>
    <w:basedOn w:val="Normal"/>
    <w:next w:val="Institutionquisigne"/>
    <w:uiPriority w:val="99"/>
    <w:pPr>
      <w:keepNext/>
      <w:spacing w:before="120" w:after="0" w:line="240" w:lineRule="auto"/>
      <w:jc w:val="both"/>
    </w:pPr>
    <w:rPr>
      <w:rFonts w:ascii="Times New Roman" w:eastAsia="Times New Roman" w:hAnsi="Times New Roman" w:cs="Times New Roman"/>
      <w:sz w:val="24"/>
      <w:szCs w:val="24"/>
    </w:rPr>
  </w:style>
  <w:style w:type="paragraph" w:customStyle="1" w:styleId="Formuledadoption">
    <w:name w:val="Formule d'adoption"/>
    <w:basedOn w:val="Normal"/>
    <w:next w:val="Titrearticle"/>
    <w:uiPriority w:val="99"/>
    <w:pPr>
      <w:keepNext/>
      <w:spacing w:before="120" w:after="120" w:line="240" w:lineRule="auto"/>
      <w:jc w:val="both"/>
    </w:pPr>
    <w:rPr>
      <w:rFonts w:ascii="Times New Roman" w:eastAsia="Times New Roman" w:hAnsi="Times New Roman" w:cs="Times New Roman"/>
      <w:sz w:val="24"/>
      <w:szCs w:val="24"/>
    </w:rPr>
  </w:style>
  <w:style w:type="paragraph" w:customStyle="1" w:styleId="Institutionquiagit">
    <w:name w:val="Institution qui agit"/>
    <w:basedOn w:val="Normal"/>
    <w:next w:val="Normal"/>
    <w:uiPriority w:val="99"/>
    <w:pPr>
      <w:keepNext/>
      <w:spacing w:before="600" w:after="120" w:line="240" w:lineRule="auto"/>
      <w:jc w:val="both"/>
    </w:pPr>
    <w:rPr>
      <w:rFonts w:ascii="Times New Roman" w:eastAsia="Times New Roman" w:hAnsi="Times New Roman" w:cs="Times New Roman"/>
      <w:sz w:val="24"/>
      <w:szCs w:val="24"/>
    </w:rPr>
  </w:style>
  <w:style w:type="paragraph" w:customStyle="1" w:styleId="Institutionquisigne">
    <w:name w:val="Institution qui signe"/>
    <w:basedOn w:val="Normal"/>
    <w:next w:val="Personnequisigne"/>
    <w:uiPriority w:val="99"/>
    <w:pPr>
      <w:keepNext/>
      <w:tabs>
        <w:tab w:val="left" w:pos="4252"/>
      </w:tabs>
      <w:spacing w:before="720" w:after="0" w:line="240" w:lineRule="auto"/>
      <w:jc w:val="both"/>
    </w:pPr>
    <w:rPr>
      <w:rFonts w:ascii="Times New Roman" w:eastAsia="Times New Roman" w:hAnsi="Times New Roman" w:cs="Times New Roman"/>
      <w:i/>
      <w:sz w:val="24"/>
      <w:szCs w:val="24"/>
    </w:rPr>
  </w:style>
  <w:style w:type="paragraph" w:customStyle="1" w:styleId="Langue">
    <w:name w:val="Langue"/>
    <w:basedOn w:val="Normal"/>
    <w:next w:val="Rfrenceinterne"/>
    <w:uiPriority w:val="99"/>
    <w:pPr>
      <w:framePr w:wrap="around" w:vAnchor="page" w:hAnchor="text" w:xAlign="center" w:y="14741"/>
      <w:spacing w:after="600" w:line="240" w:lineRule="auto"/>
      <w:jc w:val="center"/>
    </w:pPr>
    <w:rPr>
      <w:rFonts w:ascii="Times New Roman" w:eastAsia="Times New Roman" w:hAnsi="Times New Roman" w:cs="Times New Roman"/>
      <w:b/>
      <w:caps/>
      <w:sz w:val="24"/>
      <w:szCs w:val="24"/>
    </w:rPr>
  </w:style>
  <w:style w:type="paragraph" w:customStyle="1" w:styleId="ManualConsidrant">
    <w:name w:val="Manual Considérant"/>
    <w:basedOn w:val="Normal"/>
    <w:uiPriority w:val="99"/>
    <w:pPr>
      <w:spacing w:before="120" w:after="120" w:line="240" w:lineRule="auto"/>
      <w:ind w:left="709" w:hanging="709"/>
      <w:jc w:val="both"/>
    </w:pPr>
    <w:rPr>
      <w:rFonts w:ascii="Times New Roman" w:eastAsia="Times New Roman" w:hAnsi="Times New Roman" w:cs="Times New Roman"/>
      <w:sz w:val="24"/>
      <w:szCs w:val="24"/>
    </w:rPr>
  </w:style>
  <w:style w:type="paragraph" w:customStyle="1" w:styleId="Nomdelinstitution">
    <w:name w:val="Nom de l'institution"/>
    <w:basedOn w:val="Normal"/>
    <w:next w:val="Emission"/>
    <w:uiPriority w:val="99"/>
    <w:pPr>
      <w:spacing w:after="0" w:line="240" w:lineRule="auto"/>
    </w:pPr>
    <w:rPr>
      <w:rFonts w:ascii="Arial" w:eastAsia="Times New Roman" w:hAnsi="Arial" w:cs="Arial"/>
      <w:sz w:val="24"/>
      <w:szCs w:val="24"/>
    </w:rPr>
  </w:style>
  <w:style w:type="paragraph" w:customStyle="1" w:styleId="Personnequisigne">
    <w:name w:val="Personne qui signe"/>
    <w:basedOn w:val="Normal"/>
    <w:next w:val="Institutionquisigne"/>
    <w:uiPriority w:val="99"/>
    <w:pPr>
      <w:tabs>
        <w:tab w:val="left" w:pos="4252"/>
      </w:tabs>
      <w:spacing w:after="0" w:line="240" w:lineRule="auto"/>
    </w:pPr>
    <w:rPr>
      <w:rFonts w:ascii="Times New Roman" w:eastAsia="Times New Roman" w:hAnsi="Times New Roman" w:cs="Times New Roman"/>
      <w:i/>
      <w:sz w:val="24"/>
      <w:szCs w:val="24"/>
    </w:rPr>
  </w:style>
  <w:style w:type="paragraph" w:customStyle="1" w:styleId="Rfrenceinstitutionnelle">
    <w:name w:val="Référence institutionnelle"/>
    <w:basedOn w:val="Normal"/>
    <w:next w:val="Confidentialit"/>
    <w:uiPriority w:val="99"/>
    <w:pPr>
      <w:spacing w:after="240" w:line="240" w:lineRule="auto"/>
      <w:ind w:left="5103"/>
    </w:pPr>
    <w:rPr>
      <w:rFonts w:ascii="Times New Roman" w:eastAsia="Times New Roman" w:hAnsi="Times New Roman" w:cs="Times New Roman"/>
      <w:sz w:val="24"/>
      <w:szCs w:val="24"/>
    </w:rPr>
  </w:style>
  <w:style w:type="paragraph" w:customStyle="1" w:styleId="Rfrenceinterinstitutionnelle">
    <w:name w:val="Référence interinstitutionnelle"/>
    <w:basedOn w:val="Normal"/>
    <w:next w:val="Statut"/>
    <w:uiPriority w:val="99"/>
    <w:pPr>
      <w:spacing w:after="0" w:line="240" w:lineRule="auto"/>
      <w:ind w:left="5103"/>
    </w:pPr>
    <w:rPr>
      <w:rFonts w:ascii="Times New Roman" w:eastAsia="Times New Roman" w:hAnsi="Times New Roman" w:cs="Times New Roman"/>
      <w:sz w:val="24"/>
      <w:szCs w:val="24"/>
    </w:rPr>
  </w:style>
  <w:style w:type="paragraph" w:customStyle="1" w:styleId="Rfrenceinterne">
    <w:name w:val="Référence interne"/>
    <w:basedOn w:val="Normal"/>
    <w:next w:val="Rfrenceinterinstitutionnelle"/>
    <w:uiPriority w:val="99"/>
    <w:pPr>
      <w:spacing w:after="0" w:line="240" w:lineRule="auto"/>
      <w:ind w:left="5103"/>
    </w:pPr>
    <w:rPr>
      <w:rFonts w:ascii="Times New Roman" w:eastAsia="Times New Roman" w:hAnsi="Times New Roman" w:cs="Times New Roman"/>
      <w:sz w:val="24"/>
      <w:szCs w:val="24"/>
    </w:rPr>
  </w:style>
  <w:style w:type="paragraph" w:customStyle="1" w:styleId="Sous-titreobjet">
    <w:name w:val="Sous-titre objet"/>
    <w:basedOn w:val="Normal"/>
    <w:uiPriority w:val="99"/>
    <w:pPr>
      <w:spacing w:after="0" w:line="240" w:lineRule="auto"/>
      <w:jc w:val="center"/>
    </w:pPr>
    <w:rPr>
      <w:rFonts w:ascii="Times New Roman" w:eastAsia="Times New Roman" w:hAnsi="Times New Roman" w:cs="Times New Roman"/>
      <w:b/>
      <w:sz w:val="24"/>
      <w:szCs w:val="24"/>
    </w:rPr>
  </w:style>
  <w:style w:type="paragraph" w:customStyle="1" w:styleId="Statut">
    <w:name w:val="Statut"/>
    <w:basedOn w:val="Normal"/>
    <w:next w:val="Typedudocument"/>
    <w:uiPriority w:val="99"/>
    <w:pPr>
      <w:spacing w:before="360" w:after="0" w:line="240" w:lineRule="auto"/>
      <w:jc w:val="center"/>
    </w:pPr>
    <w:rPr>
      <w:rFonts w:ascii="Times New Roman" w:eastAsia="Times New Roman" w:hAnsi="Times New Roman" w:cs="Times New Roman"/>
      <w:sz w:val="24"/>
      <w:szCs w:val="24"/>
    </w:rPr>
  </w:style>
  <w:style w:type="paragraph" w:customStyle="1" w:styleId="Titrearticle">
    <w:name w:val="Titre article"/>
    <w:basedOn w:val="Normal"/>
    <w:next w:val="Normal"/>
    <w:uiPriority w:val="99"/>
    <w:pPr>
      <w:keepNext/>
      <w:spacing w:before="360" w:after="120" w:line="240" w:lineRule="auto"/>
      <w:jc w:val="center"/>
    </w:pPr>
    <w:rPr>
      <w:rFonts w:ascii="Times New Roman" w:eastAsia="Times New Roman" w:hAnsi="Times New Roman" w:cs="Times New Roman"/>
      <w:i/>
      <w:sz w:val="24"/>
      <w:szCs w:val="24"/>
    </w:rPr>
  </w:style>
  <w:style w:type="paragraph" w:customStyle="1" w:styleId="Titreobjet">
    <w:name w:val="Titre objet"/>
    <w:basedOn w:val="Normal"/>
    <w:next w:val="Sous-titreobjet"/>
    <w:uiPriority w:val="99"/>
    <w:pPr>
      <w:spacing w:before="360" w:after="360" w:line="240" w:lineRule="auto"/>
      <w:jc w:val="center"/>
    </w:pPr>
    <w:rPr>
      <w:rFonts w:ascii="Times New Roman" w:eastAsia="Times New Roman" w:hAnsi="Times New Roman" w:cs="Times New Roman"/>
      <w:b/>
      <w:sz w:val="24"/>
      <w:szCs w:val="24"/>
    </w:rPr>
  </w:style>
  <w:style w:type="paragraph" w:customStyle="1" w:styleId="Typedudocument">
    <w:name w:val="Type du document"/>
    <w:basedOn w:val="Normal"/>
    <w:next w:val="Titreobjet"/>
    <w:uiPriority w:val="99"/>
    <w:pPr>
      <w:spacing w:before="360" w:after="0" w:line="240" w:lineRule="auto"/>
      <w:jc w:val="center"/>
    </w:pPr>
    <w:rPr>
      <w:rFonts w:ascii="Times New Roman" w:eastAsia="Times New Roman" w:hAnsi="Times New Roman" w:cs="Times New Roman"/>
      <w:b/>
      <w:sz w:val="24"/>
      <w:szCs w:val="24"/>
    </w:rPr>
  </w:style>
  <w:style w:type="character" w:customStyle="1" w:styleId="Added">
    <w:name w:val="Added"/>
    <w:rPr>
      <w:b/>
      <w:u w:val="single"/>
      <w:shd w:val="clear" w:color="auto" w:fill="auto"/>
    </w:rPr>
  </w:style>
  <w:style w:type="character" w:customStyle="1" w:styleId="Deleted">
    <w:name w:val="Deleted"/>
    <w:rPr>
      <w:strike/>
      <w:shd w:val="clear" w:color="auto" w:fill="auto"/>
    </w:rPr>
  </w:style>
  <w:style w:type="paragraph" w:customStyle="1" w:styleId="Address">
    <w:name w:val="Address"/>
    <w:basedOn w:val="Normal"/>
    <w:next w:val="Normal"/>
    <w:uiPriority w:val="99"/>
    <w:pPr>
      <w:keepLines/>
      <w:spacing w:before="120" w:after="120" w:line="360" w:lineRule="auto"/>
      <w:ind w:left="3402"/>
    </w:pPr>
    <w:rPr>
      <w:rFonts w:ascii="Times New Roman" w:eastAsia="Times New Roman" w:hAnsi="Times New Roman" w:cs="Times New Roman"/>
      <w:sz w:val="24"/>
      <w:szCs w:val="24"/>
    </w:rPr>
  </w:style>
  <w:style w:type="paragraph" w:customStyle="1" w:styleId="Objetexterne">
    <w:name w:val="Objet externe"/>
    <w:basedOn w:val="Normal"/>
    <w:next w:val="Normal"/>
    <w:uiPriority w:val="99"/>
    <w:pPr>
      <w:spacing w:before="120" w:after="120" w:line="240" w:lineRule="auto"/>
      <w:jc w:val="both"/>
    </w:pPr>
    <w:rPr>
      <w:rFonts w:ascii="Times New Roman" w:eastAsia="Times New Roman" w:hAnsi="Times New Roman" w:cs="Times New Roman"/>
      <w:i/>
      <w:caps/>
      <w:sz w:val="24"/>
      <w:szCs w:val="24"/>
    </w:rPr>
  </w:style>
  <w:style w:type="paragraph" w:customStyle="1" w:styleId="Supertitre">
    <w:name w:val="Supertitre"/>
    <w:basedOn w:val="Normal"/>
    <w:next w:val="Normal"/>
    <w:uiPriority w:val="99"/>
    <w:pPr>
      <w:spacing w:after="600" w:line="240" w:lineRule="auto"/>
      <w:jc w:val="center"/>
    </w:pPr>
    <w:rPr>
      <w:rFonts w:ascii="Times New Roman" w:eastAsia="Times New Roman" w:hAnsi="Times New Roman" w:cs="Times New Roman"/>
      <w:b/>
      <w:sz w:val="24"/>
      <w:szCs w:val="24"/>
    </w:rPr>
  </w:style>
  <w:style w:type="paragraph" w:customStyle="1" w:styleId="Languesfaisantfoi">
    <w:name w:val="Langues faisant foi"/>
    <w:basedOn w:val="Normal"/>
    <w:next w:val="Normal"/>
    <w:uiPriority w:val="99"/>
    <w:pPr>
      <w:spacing w:before="360" w:after="0" w:line="240" w:lineRule="auto"/>
      <w:jc w:val="center"/>
    </w:pPr>
    <w:rPr>
      <w:rFonts w:ascii="Times New Roman" w:eastAsia="Times New Roman" w:hAnsi="Times New Roman" w:cs="Times New Roman"/>
      <w:sz w:val="24"/>
      <w:szCs w:val="24"/>
    </w:rPr>
  </w:style>
  <w:style w:type="paragraph" w:customStyle="1" w:styleId="Rfrencecroise">
    <w:name w:val="Référence croisée"/>
    <w:basedOn w:val="Normal"/>
    <w:uiPriority w:val="99"/>
    <w:pPr>
      <w:spacing w:after="0" w:line="240" w:lineRule="auto"/>
      <w:jc w:val="center"/>
    </w:pPr>
    <w:rPr>
      <w:rFonts w:ascii="Times New Roman" w:eastAsia="Times New Roman" w:hAnsi="Times New Roman" w:cs="Times New Roman"/>
      <w:sz w:val="24"/>
      <w:szCs w:val="24"/>
    </w:rPr>
  </w:style>
  <w:style w:type="paragraph" w:customStyle="1" w:styleId="Fichefinanciretitre">
    <w:name w:val="Fiche financière titre"/>
    <w:basedOn w:val="Normal"/>
    <w:next w:val="Normal"/>
    <w:uiPriority w:val="99"/>
    <w:pPr>
      <w:spacing w:before="120" w:after="120" w:line="240" w:lineRule="auto"/>
      <w:jc w:val="center"/>
    </w:pPr>
    <w:rPr>
      <w:rFonts w:ascii="Times New Roman" w:eastAsia="Times New Roman" w:hAnsi="Times New Roman" w:cs="Times New Roman"/>
      <w:b/>
      <w:sz w:val="24"/>
      <w:szCs w:val="24"/>
      <w:u w:val="single"/>
    </w:rPr>
  </w:style>
  <w:style w:type="paragraph" w:customStyle="1" w:styleId="DatedadoptionPagedecouverture">
    <w:name w:val="Date d'adoption (Page de couverture)"/>
    <w:basedOn w:val="Datedadoption"/>
    <w:next w:val="TitreobjetPagedecouverture"/>
    <w:uiPriority w:val="99"/>
  </w:style>
  <w:style w:type="paragraph" w:customStyle="1" w:styleId="RfrenceinterinstitutionnellePagedecouverture">
    <w:name w:val="Référence interinstitutionnelle (Page de couverture)"/>
    <w:basedOn w:val="Rfrenceinterinstitutionnelle"/>
    <w:next w:val="Confidentialit"/>
    <w:uiPriority w:val="99"/>
  </w:style>
  <w:style w:type="paragraph" w:customStyle="1" w:styleId="Sous-titreobjetPagedecouverture">
    <w:name w:val="Sous-titre objet (Page de couverture)"/>
    <w:basedOn w:val="Sous-titreobjet"/>
    <w:uiPriority w:val="99"/>
  </w:style>
  <w:style w:type="paragraph" w:customStyle="1" w:styleId="StatutPagedecouverture">
    <w:name w:val="Statut (Page de couverture)"/>
    <w:basedOn w:val="Statut"/>
    <w:next w:val="TypedudocumentPagedecouverture"/>
    <w:uiPriority w:val="99"/>
  </w:style>
  <w:style w:type="paragraph" w:customStyle="1" w:styleId="TitreobjetPagedecouverture">
    <w:name w:val="Titre objet (Page de couverture)"/>
    <w:basedOn w:val="Titreobjet"/>
    <w:next w:val="Sous-titreobjetPagedecouverture"/>
    <w:uiPriority w:val="99"/>
  </w:style>
  <w:style w:type="paragraph" w:customStyle="1" w:styleId="TypedudocumentPagedecouverture">
    <w:name w:val="Type du document (Page de couverture)"/>
    <w:basedOn w:val="Typedudocument"/>
    <w:next w:val="TitreobjetPagedecouverture"/>
    <w:uiPriority w:val="99"/>
  </w:style>
  <w:style w:type="paragraph" w:customStyle="1" w:styleId="Volume">
    <w:name w:val="Volume"/>
    <w:basedOn w:val="Normal"/>
    <w:next w:val="Confidentialit"/>
    <w:uiPriority w:val="99"/>
    <w:pPr>
      <w:spacing w:after="240" w:line="240" w:lineRule="auto"/>
      <w:ind w:left="5103"/>
    </w:pPr>
    <w:rPr>
      <w:rFonts w:ascii="Times New Roman" w:eastAsia="Times New Roman" w:hAnsi="Times New Roman" w:cs="Times New Roman"/>
      <w:sz w:val="24"/>
      <w:szCs w:val="24"/>
    </w:rPr>
  </w:style>
  <w:style w:type="paragraph" w:customStyle="1" w:styleId="IntrtEEE">
    <w:name w:val="Intérêt EEE"/>
    <w:basedOn w:val="Languesfaisantfoi"/>
    <w:next w:val="Normal"/>
    <w:uiPriority w:val="99"/>
    <w:pPr>
      <w:spacing w:after="240"/>
    </w:pPr>
  </w:style>
  <w:style w:type="paragraph" w:customStyle="1" w:styleId="Accompagnant">
    <w:name w:val="Accompagnant"/>
    <w:basedOn w:val="Normal"/>
    <w:next w:val="Typeacteprincipal"/>
    <w:uiPriority w:val="99"/>
    <w:pPr>
      <w:spacing w:after="240" w:line="240" w:lineRule="auto"/>
      <w:jc w:val="center"/>
    </w:pPr>
    <w:rPr>
      <w:rFonts w:ascii="Times New Roman" w:eastAsia="Times New Roman" w:hAnsi="Times New Roman" w:cs="Times New Roman"/>
      <w:b/>
      <w:i/>
      <w:sz w:val="24"/>
      <w:szCs w:val="24"/>
    </w:rPr>
  </w:style>
  <w:style w:type="paragraph" w:customStyle="1" w:styleId="Typeacteprincipal">
    <w:name w:val="Type acte principal"/>
    <w:basedOn w:val="Normal"/>
    <w:next w:val="Objetacteprincipal"/>
    <w:uiPriority w:val="99"/>
    <w:pPr>
      <w:spacing w:after="240" w:line="240" w:lineRule="auto"/>
      <w:jc w:val="center"/>
    </w:pPr>
    <w:rPr>
      <w:rFonts w:ascii="Times New Roman" w:eastAsia="Times New Roman" w:hAnsi="Times New Roman" w:cs="Times New Roman"/>
      <w:b/>
      <w:sz w:val="24"/>
      <w:szCs w:val="24"/>
    </w:rPr>
  </w:style>
  <w:style w:type="paragraph" w:customStyle="1" w:styleId="Objetacteprincipal">
    <w:name w:val="Objet acte principal"/>
    <w:basedOn w:val="Normal"/>
    <w:next w:val="Titrearticle"/>
    <w:uiPriority w:val="99"/>
    <w:pPr>
      <w:spacing w:after="360" w:line="240" w:lineRule="auto"/>
      <w:jc w:val="center"/>
    </w:pPr>
    <w:rPr>
      <w:rFonts w:ascii="Times New Roman" w:eastAsia="Times New Roman" w:hAnsi="Times New Roman" w:cs="Times New Roman"/>
      <w:b/>
      <w:sz w:val="24"/>
      <w:szCs w:val="24"/>
    </w:rPr>
  </w:style>
  <w:style w:type="paragraph" w:customStyle="1" w:styleId="IntrtEEEPagedecouverture">
    <w:name w:val="Intérêt EEE (Page de couverture)"/>
    <w:basedOn w:val="IntrtEEE"/>
    <w:next w:val="Rfrencecroise"/>
    <w:uiPriority w:val="99"/>
  </w:style>
  <w:style w:type="paragraph" w:customStyle="1" w:styleId="AccompagnantPagedecouverture">
    <w:name w:val="Accompagnant (Page de couverture)"/>
    <w:basedOn w:val="Accompagnant"/>
    <w:next w:val="TypeacteprincipalPagedecouverture"/>
    <w:uiPriority w:val="99"/>
  </w:style>
  <w:style w:type="paragraph" w:customStyle="1" w:styleId="TypeacteprincipalPagedecouverture">
    <w:name w:val="Type acte principal (Page de couverture)"/>
    <w:basedOn w:val="Typeacteprincipal"/>
    <w:next w:val="ObjetacteprincipalPagedecouverture"/>
    <w:uiPriority w:val="99"/>
  </w:style>
  <w:style w:type="paragraph" w:customStyle="1" w:styleId="ObjetacteprincipalPagedecouverture">
    <w:name w:val="Objet acte principal (Page de couverture)"/>
    <w:basedOn w:val="Objetacteprincipal"/>
    <w:next w:val="Rfrencecroise"/>
    <w:uiPriority w:val="99"/>
  </w:style>
  <w:style w:type="paragraph" w:customStyle="1" w:styleId="LanguesfaisantfoiPagedecouverture">
    <w:name w:val="Langues faisant foi (Page de couverture)"/>
    <w:basedOn w:val="Normal"/>
    <w:next w:val="Normal"/>
    <w:uiPriority w:val="99"/>
    <w:pPr>
      <w:spacing w:before="360" w:after="0" w:line="240" w:lineRule="auto"/>
      <w:jc w:val="center"/>
    </w:pPr>
    <w:rPr>
      <w:rFonts w:ascii="Times New Roman" w:eastAsia="Times New Roman" w:hAnsi="Times New Roman" w:cs="Times New Roman"/>
      <w:sz w:val="24"/>
      <w:szCs w:val="24"/>
    </w:rPr>
  </w:style>
  <w:style w:type="paragraph" w:styleId="ListBullet2">
    <w:name w:val="List Bullet 2"/>
    <w:basedOn w:val="Normal"/>
    <w:uiPriority w:val="99"/>
    <w:pPr>
      <w:numPr>
        <w:numId w:val="19"/>
      </w:numPr>
      <w:spacing w:before="120" w:after="120" w:line="240" w:lineRule="auto"/>
      <w:contextualSpacing/>
      <w:jc w:val="both"/>
    </w:pPr>
    <w:rPr>
      <w:rFonts w:ascii="Times New Roman" w:eastAsia="Times New Roman" w:hAnsi="Times New Roman" w:cs="Times New Roman"/>
      <w:sz w:val="24"/>
      <w:szCs w:val="24"/>
    </w:rPr>
  </w:style>
  <w:style w:type="paragraph" w:styleId="ListBullet3">
    <w:name w:val="List Bullet 3"/>
    <w:basedOn w:val="Normal"/>
    <w:uiPriority w:val="99"/>
    <w:pPr>
      <w:numPr>
        <w:numId w:val="20"/>
      </w:numPr>
      <w:spacing w:before="120" w:after="120" w:line="240" w:lineRule="auto"/>
      <w:contextualSpacing/>
      <w:jc w:val="both"/>
    </w:pPr>
    <w:rPr>
      <w:rFonts w:ascii="Times New Roman" w:eastAsia="Times New Roman" w:hAnsi="Times New Roman" w:cs="Times New Roman"/>
      <w:sz w:val="24"/>
      <w:szCs w:val="24"/>
    </w:rPr>
  </w:style>
  <w:style w:type="paragraph" w:styleId="ListBullet4">
    <w:name w:val="List Bullet 4"/>
    <w:basedOn w:val="Normal"/>
    <w:uiPriority w:val="99"/>
    <w:pPr>
      <w:numPr>
        <w:numId w:val="21"/>
      </w:numPr>
      <w:spacing w:before="120" w:after="120" w:line="240" w:lineRule="auto"/>
      <w:contextualSpacing/>
      <w:jc w:val="both"/>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tandard3520normal">
    <w:name w:val="a_standard__35__20_normal"/>
    <w:basedOn w:val="Normal"/>
    <w:uiPriority w:val="99"/>
    <w:pPr>
      <w:spacing w:after="120" w:line="240" w:lineRule="auto"/>
      <w:ind w:right="57"/>
      <w:jc w:val="both"/>
    </w:pPr>
    <w:rPr>
      <w:rFonts w:ascii="Times New Roman" w:eastAsia="Times New Roman" w:hAnsi="Times New Roman" w:cs="Times New Roman"/>
      <w:b/>
      <w:bCs/>
      <w:sz w:val="24"/>
      <w:szCs w:val="24"/>
      <w:lang w:eastAsia="en-GB"/>
    </w:rPr>
  </w:style>
  <w:style w:type="character" w:customStyle="1" w:styleId="at21">
    <w:name w:val="a__t21"/>
    <w:rPr>
      <w:b w:val="0"/>
      <w:bCs w:val="0"/>
    </w:rPr>
  </w:style>
  <w:style w:type="character" w:customStyle="1" w:styleId="at12">
    <w:name w:val="a__t12"/>
    <w:rPr>
      <w:b w:val="0"/>
      <w:bCs w:val="0"/>
    </w:rPr>
  </w:style>
  <w:style w:type="paragraph" w:customStyle="1" w:styleId="Headinsh2">
    <w:name w:val="Headinsh 2"/>
    <w:basedOn w:val="Text1"/>
    <w:uiPriority w:val="99"/>
  </w:style>
  <w:style w:type="character" w:styleId="FollowedHyperlink">
    <w:name w:val="FollowedHyperlink"/>
    <w:uiPriority w:val="99"/>
    <w:rPr>
      <w:color w:val="800080"/>
      <w:u w:val="single"/>
    </w:rPr>
  </w:style>
  <w:style w:type="paragraph" w:customStyle="1" w:styleId="Headig4">
    <w:name w:val="Headig 4"/>
    <w:basedOn w:val="Normal"/>
    <w:uiPriority w:val="99"/>
    <w:pPr>
      <w:autoSpaceDE w:val="0"/>
      <w:autoSpaceDN w:val="0"/>
      <w:adjustRightInd w:val="0"/>
      <w:spacing w:after="166" w:line="240" w:lineRule="auto"/>
      <w:jc w:val="both"/>
    </w:pPr>
    <w:rPr>
      <w:rFonts w:ascii="Times New Roman" w:eastAsia="Times New Roman" w:hAnsi="Times New Roman" w:cs="Times New Roman"/>
      <w:b/>
      <w:sz w:val="24"/>
      <w:szCs w:val="24"/>
      <w:lang w:eastAsia="en-GB"/>
    </w:rPr>
  </w:style>
  <w:style w:type="character" w:styleId="HTMLCite">
    <w:name w:val="HTML Cite"/>
    <w:uiPriority w:val="99"/>
    <w:unhideWhenUsed/>
    <w:rPr>
      <w:i/>
      <w:iCs/>
    </w:rPr>
  </w:style>
  <w:style w:type="character" w:customStyle="1" w:styleId="t-dates1">
    <w:name w:val="t-dates1"/>
    <w:rPr>
      <w:color w:val="414141"/>
    </w:rPr>
  </w:style>
  <w:style w:type="character" w:customStyle="1" w:styleId="FootnoteCharacters">
    <w:name w:val="Footnote Characters"/>
    <w:rPr>
      <w:rFonts w:cs="Times New Roman"/>
      <w:vertAlign w:val="superscript"/>
    </w:rPr>
  </w:style>
  <w:style w:type="character" w:customStyle="1" w:styleId="Odwoanieprzypisudolnego2">
    <w:name w:val="Odwołanie przypisu dolnego2"/>
    <w:rPr>
      <w:vertAlign w:val="superscript"/>
    </w:rPr>
  </w:style>
  <w:style w:type="paragraph" w:customStyle="1" w:styleId="Heaing2">
    <w:name w:val="Heaing 2"/>
    <w:basedOn w:val="Heading3"/>
    <w:uiPriority w:val="99"/>
    <w:pPr>
      <w:keepLines w:val="0"/>
      <w:spacing w:before="120" w:after="120" w:line="240" w:lineRule="auto"/>
      <w:jc w:val="both"/>
    </w:pPr>
    <w:rPr>
      <w:rFonts w:ascii="Times New Roman" w:eastAsia="Times New Roman" w:hAnsi="Times New Roman" w:cs="Times New Roman"/>
      <w:color w:val="auto"/>
      <w:sz w:val="24"/>
      <w:szCs w:val="26"/>
      <w:lang w:eastAsia="en-GB"/>
    </w:rPr>
  </w:style>
  <w:style w:type="paragraph" w:customStyle="1" w:styleId="Headung3">
    <w:name w:val="Headung 3"/>
    <w:basedOn w:val="Normal"/>
    <w:uiPriority w:val="99"/>
    <w:rPr>
      <w:rFonts w:ascii="Times New Roman" w:eastAsia="Calibri" w:hAnsi="Times New Roman" w:cs="Times New Roman"/>
      <w:color w:val="000000"/>
      <w:sz w:val="24"/>
      <w:szCs w:val="24"/>
    </w:rPr>
  </w:style>
  <w:style w:type="paragraph" w:customStyle="1" w:styleId="ZDGName">
    <w:name w:val="Z_DGName"/>
    <w:basedOn w:val="Normal"/>
    <w:uiPriority w:val="99"/>
    <w:pPr>
      <w:widowControl w:val="0"/>
      <w:autoSpaceDE w:val="0"/>
      <w:autoSpaceDN w:val="0"/>
      <w:spacing w:after="0" w:line="240" w:lineRule="auto"/>
      <w:ind w:right="85"/>
    </w:pPr>
    <w:rPr>
      <w:rFonts w:ascii="Arial" w:eastAsia="Times New Roman" w:hAnsi="Arial" w:cs="Arial"/>
      <w:sz w:val="16"/>
      <w:szCs w:val="16"/>
      <w:lang w:eastAsia="en-GB"/>
    </w:rPr>
  </w:style>
  <w:style w:type="numbering" w:customStyle="1" w:styleId="NoList2">
    <w:name w:val="No List2"/>
    <w:next w:val="NoList"/>
    <w:uiPriority w:val="99"/>
    <w:semiHidden/>
    <w:unhideWhenUsed/>
  </w:style>
  <w:style w:type="table" w:customStyle="1" w:styleId="TableGrid2">
    <w:name w:val="Table Grid2"/>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Efoot">
    <w:name w:val="SME_foot"/>
    <w:basedOn w:val="Normal"/>
    <w:link w:val="SMEfootCar"/>
    <w:qFormat/>
    <w:pPr>
      <w:autoSpaceDE w:val="0"/>
      <w:autoSpaceDN w:val="0"/>
      <w:adjustRightInd w:val="0"/>
      <w:spacing w:after="0" w:line="240" w:lineRule="auto"/>
      <w:ind w:right="74"/>
    </w:pPr>
    <w:rPr>
      <w:rFonts w:ascii="EC Square Sans Pro Medium" w:hAnsi="EC Square Sans Pro Medium" w:cs="MyriadPro-It"/>
      <w:i/>
      <w:iCs/>
      <w:sz w:val="16"/>
      <w:szCs w:val="16"/>
      <w:lang w:val="fr-FR"/>
    </w:rPr>
  </w:style>
  <w:style w:type="character" w:customStyle="1" w:styleId="SMEfootCar">
    <w:name w:val="SME_foot Car"/>
    <w:basedOn w:val="DefaultParagraphFont"/>
    <w:link w:val="SMEfoot"/>
    <w:rPr>
      <w:rFonts w:ascii="EC Square Sans Pro Medium" w:hAnsi="EC Square Sans Pro Medium" w:cs="MyriadPro-It"/>
      <w:i/>
      <w:iCs/>
      <w:sz w:val="16"/>
      <w:szCs w:val="16"/>
      <w:lang w:val="fr-FR"/>
    </w:rPr>
  </w:style>
  <w:style w:type="character" w:customStyle="1" w:styleId="FootnoteTextChar2">
    <w:name w:val="Footnote Text Char2"/>
    <w:aliases w:val="Footnote Char1,Fußnote Char1,Footnote Text Char Char Char1,Footnote Text Char1 Char1,Footnote Text Char2 Char Char1,Footnote Text Char1 Char1 Char Char1,Footnote Text Char2 Char Char Char Char1,Plonk Char,fn Char,fn Char Char Char"/>
    <w:basedOn w:val="DefaultParagraphFont"/>
    <w:uiPriority w:val="99"/>
    <w:semiHidden/>
  </w:style>
  <w:style w:type="paragraph" w:customStyle="1" w:styleId="SMEparagraph">
    <w:name w:val="SME_paragraph"/>
    <w:autoRedefine/>
    <w:uiPriority w:val="99"/>
    <w:qFormat/>
    <w:pPr>
      <w:autoSpaceDE w:val="0"/>
      <w:autoSpaceDN w:val="0"/>
      <w:adjustRightInd w:val="0"/>
      <w:spacing w:after="0" w:line="240" w:lineRule="exact"/>
      <w:ind w:left="360" w:right="720"/>
      <w:jc w:val="both"/>
    </w:pPr>
    <w:rPr>
      <w:rFonts w:ascii="EC Square Sans Pro" w:hAnsi="EC Square Sans Pro"/>
      <w:noProof/>
      <w:sz w:val="20"/>
      <w:szCs w:val="20"/>
      <w:lang w:val="en-US" w:eastAsia="en-GB"/>
    </w:rPr>
  </w:style>
  <w:style w:type="character" w:customStyle="1" w:styleId="CaptionChar">
    <w:name w:val="Caption Char"/>
    <w:aliases w:val="Char Char Char Char,Caption1 Char Char Char Char Char Char Char Char Char,Caption1 Char Char Char Char Char Char Char Char Tegn Tegn Tegn Tegn Tegn Char,Caption1 Char Char Char Char Char Char Char Char Tegn Tegn Tegn Char,Char Car Char"/>
    <w:link w:val="Caption"/>
    <w:rPr>
      <w:rFonts w:ascii="Verdana" w:eastAsia="Calibri" w:hAnsi="Verdana" w:cs="Times New Roman"/>
      <w:b/>
      <w:bCs/>
      <w:sz w:val="20"/>
      <w:szCs w:val="18"/>
    </w:rPr>
  </w:style>
  <w:style w:type="character" w:customStyle="1" w:styleId="LETableHeading">
    <w:name w:val="LE Table Heading"/>
    <w:basedOn w:val="DefaultParagraphFont"/>
    <w:uiPriority w:val="1"/>
    <w:qFormat/>
    <w:rPr>
      <w:rFonts w:ascii="Calibri" w:hAnsi="Calibri"/>
      <w:b/>
      <w:dstrike w:val="0"/>
      <w:color w:val="244890"/>
      <w:sz w:val="20"/>
      <w:vertAlign w:val="baseline"/>
    </w:rPr>
  </w:style>
  <w:style w:type="paragraph" w:styleId="BodyText">
    <w:name w:val="Body Text"/>
    <w:aliases w:val="Body Text Char1,Body Text Char Char,Body Text Char2 Char Char,Body Text Char1 Char Char Char,Body Text Char Char Char Char Char,Body Text Char2 Char Char Char Char Char,Body Text Char1 Char Char Char Char Char Char,Bod,Body,bt,b,body"/>
    <w:basedOn w:val="Normal"/>
    <w:link w:val="BodyTextChar"/>
    <w:pPr>
      <w:spacing w:after="270" w:line="270" w:lineRule="atLeast"/>
    </w:pPr>
    <w:rPr>
      <w:rFonts w:ascii="Times New Roman" w:hAnsi="Times New Roman" w:cs="Times New Roman"/>
      <w:sz w:val="23"/>
      <w:szCs w:val="20"/>
      <w:lang w:eastAsia="da-DK"/>
    </w:rPr>
  </w:style>
  <w:style w:type="character" w:customStyle="1" w:styleId="BodyTextChar">
    <w:name w:val="Body Text Char"/>
    <w:aliases w:val="Body Text Char1 Char,Body Text Char Char Char,Body Text Char2 Char Char Char,Body Text Char1 Char Char Char Char,Body Text Char Char Char Char Char Char,Body Text Char2 Char Char Char Char Char Char,Bod Char,Body Char,bt Char,b Char"/>
    <w:basedOn w:val="DefaultParagraphFont"/>
    <w:link w:val="BodyText"/>
    <w:rPr>
      <w:rFonts w:ascii="Times New Roman" w:hAnsi="Times New Roman" w:cs="Times New Roman"/>
      <w:sz w:val="23"/>
      <w:szCs w:val="20"/>
      <w:lang w:eastAsia="da-DK"/>
    </w:rPr>
  </w:style>
  <w:style w:type="paragraph" w:customStyle="1" w:styleId="Standard">
    <w:name w:val="Standard"/>
    <w:pPr>
      <w:suppressAutoHyphens/>
      <w:autoSpaceDN w:val="0"/>
      <w:spacing w:after="240" w:line="240" w:lineRule="auto"/>
      <w:jc w:val="both"/>
      <w:textAlignment w:val="baseline"/>
    </w:pPr>
    <w:rPr>
      <w:rFonts w:ascii="Times New Roman" w:eastAsia="Times New Roman" w:hAnsi="Times New Roman" w:cs="Times New Roman"/>
      <w:kern w:val="3"/>
      <w:sz w:val="28"/>
      <w:szCs w:val="20"/>
    </w:rPr>
  </w:style>
  <w:style w:type="paragraph" w:styleId="DocumentMap">
    <w:name w:val="Document Map"/>
    <w:basedOn w:val="Normal"/>
    <w:link w:val="DocumentMapChar"/>
    <w:uiPriority w:val="99"/>
    <w:semiHidden/>
    <w:unhideWhenUsed/>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Pr>
      <w:rFonts w:ascii="Lucida Grande" w:hAnsi="Lucida Grande" w:cs="Lucida Grande"/>
      <w:sz w:val="24"/>
      <w:szCs w:val="24"/>
    </w:rPr>
  </w:style>
  <w:style w:type="character" w:customStyle="1" w:styleId="Corpsdutexte0">
    <w:name w:val="Corps du texte_"/>
    <w:basedOn w:val="DefaultParagraphFont"/>
    <w:link w:val="Corpsdutexte"/>
    <w:rPr>
      <w:sz w:val="24"/>
      <w:szCs w:val="24"/>
    </w:rPr>
  </w:style>
  <w:style w:type="paragraph" w:customStyle="1" w:styleId="Corpsdutexte">
    <w:name w:val="Corps du texte"/>
    <w:basedOn w:val="Normal"/>
    <w:link w:val="Corpsdutexte0"/>
    <w:pPr>
      <w:widowControl w:val="0"/>
      <w:numPr>
        <w:ilvl w:val="4"/>
        <w:numId w:val="30"/>
      </w:numPr>
      <w:tabs>
        <w:tab w:val="left" w:pos="1422"/>
      </w:tabs>
      <w:spacing w:after="0" w:line="240" w:lineRule="auto"/>
      <w:ind w:left="709" w:right="40" w:hanging="709"/>
      <w:jc w:val="both"/>
    </w:pPr>
    <w:rPr>
      <w:sz w:val="24"/>
      <w:szCs w:val="24"/>
    </w:rPr>
  </w:style>
  <w:style w:type="table" w:styleId="LightShading-Accent4">
    <w:name w:val="Light Shading Accent 4"/>
    <w:basedOn w:val="TableNormal"/>
    <w:uiPriority w:val="6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2">
    <w:name w:val="Light Shading Accent 2"/>
    <w:basedOn w:val="TableNormal"/>
    <w:uiPriority w:val="6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IntenseEmphasis">
    <w:name w:val="Intense Emphasis"/>
    <w:basedOn w:val="DefaultParagraphFont"/>
    <w:uiPriority w:val="21"/>
    <w:qFormat/>
    <w:rPr>
      <w:b/>
      <w:bCs/>
      <w:i/>
      <w:iCs/>
      <w:color w:val="4F81BD" w:themeColor="accent1"/>
    </w:r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SubtleEmphasis">
    <w:name w:val="Subtle Emphasis"/>
    <w:basedOn w:val="DefaultParagraphFont"/>
    <w:uiPriority w:val="19"/>
    <w:qFormat/>
    <w:rPr>
      <w:i/>
      <w:iCs/>
      <w:color w:val="808080" w:themeColor="text1" w:themeTint="7F"/>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CM1">
    <w:name w:val="CM1"/>
    <w:basedOn w:val="Normal"/>
    <w:next w:val="Normal"/>
    <w:uiPriority w:val="99"/>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uiPriority w:val="99"/>
    <w:pPr>
      <w:autoSpaceDE w:val="0"/>
      <w:autoSpaceDN w:val="0"/>
      <w:adjustRightInd w:val="0"/>
      <w:spacing w:after="0" w:line="240" w:lineRule="auto"/>
    </w:pPr>
    <w:rPr>
      <w:rFonts w:ascii="EUAlbertina" w:hAnsi="EUAlbertina"/>
      <w:sz w:val="24"/>
      <w:szCs w:val="24"/>
    </w:rPr>
  </w:style>
  <w:style w:type="paragraph" w:customStyle="1" w:styleId="CM4">
    <w:name w:val="CM4"/>
    <w:basedOn w:val="Normal"/>
    <w:next w:val="Normal"/>
    <w:uiPriority w:val="99"/>
    <w:pPr>
      <w:autoSpaceDE w:val="0"/>
      <w:autoSpaceDN w:val="0"/>
      <w:adjustRightInd w:val="0"/>
      <w:spacing w:after="0" w:line="240" w:lineRule="auto"/>
    </w:pPr>
    <w:rPr>
      <w:rFonts w:ascii="EUAlbertina" w:hAnsi="EUAlbertina"/>
      <w:sz w:val="24"/>
      <w:szCs w:val="24"/>
    </w:r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Shading1">
    <w:name w:val="Light Shading1"/>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1">
    <w:name w:val="Medium Shading 1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ListParagraphChar">
    <w:name w:val="List Paragraph Char"/>
    <w:aliases w:val="Normal bullet 2 Char,List Paragraph1 Char,Bullet list Char,Lettre d'introduction Char,1st level - Bullet List Paragraph Char,Bullet List Paragraph Char,Medium Grid 1 - Accent 21 Char,Listenabsatz Char,List Paragraph11 Char"/>
    <w:basedOn w:val="DefaultParagraphFont"/>
    <w:link w:val="ListParagraph"/>
    <w:uiPriority w:val="34"/>
    <w:locked/>
  </w:style>
  <w:style w:type="paragraph" w:styleId="PlainText">
    <w:name w:val="Plain Text"/>
    <w:basedOn w:val="Normal"/>
    <w:link w:val="PlainTextChar"/>
    <w:uiPriority w:val="99"/>
    <w:unhideWhenUsed/>
    <w:pPr>
      <w:spacing w:after="0" w:line="240" w:lineRule="auto"/>
    </w:pPr>
    <w:rPr>
      <w:rFonts w:ascii="Calibri" w:eastAsiaTheme="minorEastAsia" w:hAnsi="Calibri" w:cs="Consolas"/>
      <w:szCs w:val="21"/>
      <w:lang w:val="it-IT" w:eastAsia="zh-TW"/>
    </w:rPr>
  </w:style>
  <w:style w:type="character" w:customStyle="1" w:styleId="PlainTextChar">
    <w:name w:val="Plain Text Char"/>
    <w:basedOn w:val="DefaultParagraphFont"/>
    <w:link w:val="PlainText"/>
    <w:uiPriority w:val="99"/>
    <w:rPr>
      <w:rFonts w:ascii="Calibri" w:eastAsiaTheme="minorEastAsia" w:hAnsi="Calibri" w:cs="Consolas"/>
      <w:szCs w:val="21"/>
      <w:lang w:val="it-IT" w:eastAsia="zh-TW"/>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0" w:line="240" w:lineRule="auto"/>
      <w:ind w:left="284" w:hanging="284"/>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uiPriority w:val="99"/>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unhideWhenUsed/>
    <w:rPr>
      <w:sz w:val="18"/>
      <w:szCs w:val="18"/>
    </w:rPr>
  </w:style>
  <w:style w:type="paragraph" w:styleId="CommentText">
    <w:name w:val="annotation text"/>
    <w:basedOn w:val="Normal"/>
    <w:link w:val="CommentTextChar"/>
    <w:uiPriority w:val="99"/>
    <w:unhideWhenUsed/>
    <w:pPr>
      <w:spacing w:line="240" w:lineRule="auto"/>
    </w:pPr>
    <w:rPr>
      <w:sz w:val="24"/>
      <w:szCs w:val="24"/>
    </w:rPr>
  </w:style>
  <w:style w:type="character" w:customStyle="1" w:styleId="CommentTextChar">
    <w:name w:val="Comment Text Char"/>
    <w:basedOn w:val="DefaultParagraphFont"/>
    <w:link w:val="CommentText"/>
    <w:uiPriority w:val="99"/>
    <w:rPr>
      <w:sz w:val="24"/>
      <w:szCs w:val="24"/>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FootnoteText">
    <w:name w:val="footnote text"/>
    <w:aliases w:val="Footnote,Fußnote,Footnote Text Char Char,Footnote Text Char1,Footnote Text Char2 Char,Footnote Text Char1 Char1 Char,Footnote Text Char2 Char Char Char,Footnote Text Char1 Char1 Char Char Char,Plonk,fn,fn Char Char,Char,stile 1,Footnote1,o"/>
    <w:basedOn w:val="Normal"/>
    <w:link w:val="FootnoteTextChar"/>
    <w:uiPriority w:val="99"/>
    <w:qFormat/>
    <w:pPr>
      <w:spacing w:after="0" w:line="240" w:lineRule="auto"/>
      <w:ind w:left="720" w:hanging="720"/>
      <w:jc w:val="both"/>
    </w:pPr>
    <w:rPr>
      <w:rFonts w:ascii="Times New Roman" w:eastAsia="Times New Roman" w:hAnsi="Times New Roman" w:cs="Times New Roman"/>
      <w:sz w:val="20"/>
      <w:szCs w:val="20"/>
      <w:lang w:eastAsia="de-DE"/>
    </w:rPr>
  </w:style>
  <w:style w:type="character" w:customStyle="1" w:styleId="FootnoteTextChar">
    <w:name w:val="Footnote Text Char"/>
    <w:aliases w:val="Footnote Char,Fußnote Char,Footnote Text Char Char Char,Footnote Text Char1 Char,Footnote Text Char2 Char Char,Footnote Text Char1 Char1 Char Char,Footnote Text Char2 Char Char Char Char,Footnote Text Char1 Char1 Char Char Char Char"/>
    <w:basedOn w:val="DefaultParagraphFont"/>
    <w:link w:val="FootnoteText"/>
    <w:uiPriority w:val="99"/>
    <w:rPr>
      <w:rFonts w:ascii="Times New Roman" w:eastAsia="Times New Roman" w:hAnsi="Times New Roman" w:cs="Times New Roman"/>
      <w:sz w:val="20"/>
      <w:szCs w:val="20"/>
      <w:lang w:eastAsia="de-DE"/>
    </w:rPr>
  </w:style>
  <w:style w:type="character" w:styleId="FootnoteReference">
    <w:name w:val="footnote reference"/>
    <w:aliases w:val="Footnote Reference Superscript,Footnote symbol,Footnote Reference Number,BVI fnr,Voetnootverwijzing,Footnote reference number,Times 10 Point,Exposant 3 Point,Ref,de nota al pie,note TESI,SUPERS,EN Footnote Reference,Footnote Refernece"/>
    <w:link w:val="16Point"/>
    <w:uiPriority w:val="99"/>
    <w:qFormat/>
    <w:rPr>
      <w:rFonts w:cs="Times New Roman"/>
      <w:vertAlign w:val="superscript"/>
    </w:rPr>
  </w:style>
  <w:style w:type="paragraph" w:styleId="ListParagraph">
    <w:name w:val="List Paragraph"/>
    <w:aliases w:val="Normal bullet 2,List Paragraph1,Bullet list,Lettre d'introduction,1st level - Bullet List Paragraph,Bullet List Paragraph,Medium Grid 1 - Accent 21,Listenabsatz,List Paragraph11,Numbered paragraph 1,Heading 2_sj,Paragrafo elenco"/>
    <w:basedOn w:val="Normal"/>
    <w:link w:val="ListParagraphChar"/>
    <w:uiPriority w:val="34"/>
    <w:qFormat/>
    <w:pPr>
      <w:ind w:left="720"/>
      <w:contextualSpacing/>
    </w:pPr>
  </w:style>
  <w:style w:type="character" w:styleId="Hyperlink">
    <w:name w:val="Hyperlink"/>
    <w:uiPriority w:val="99"/>
    <w:rPr>
      <w:color w:val="0000FF"/>
      <w:u w:val="single"/>
    </w:rPr>
  </w:style>
  <w:style w:type="paragraph" w:styleId="ListBullet">
    <w:name w:val="List Bullet"/>
    <w:basedOn w:val="Normal"/>
    <w:pPr>
      <w:numPr>
        <w:numId w:val="1"/>
      </w:numPr>
      <w:spacing w:before="120" w:after="120" w:line="240" w:lineRule="auto"/>
      <w:contextualSpacing/>
      <w:jc w:val="both"/>
    </w:pPr>
    <w:rPr>
      <w:rFonts w:ascii="Times New Roman" w:eastAsia="Times New Roman" w:hAnsi="Times New Roman" w:cs="Times New Roman"/>
      <w:sz w:val="24"/>
      <w:szCs w:val="24"/>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EndnoteText">
    <w:name w:val="endnote text"/>
    <w:basedOn w:val="Normal"/>
    <w:link w:val="EndnoteTextChar1"/>
    <w:uiPriority w:val="99"/>
    <w:unhideWhenUsed/>
    <w:pPr>
      <w:spacing w:after="0" w:line="240" w:lineRule="auto"/>
      <w:jc w:val="both"/>
    </w:pPr>
    <w:rPr>
      <w:rFonts w:ascii="Times New Roman" w:eastAsia="Calibri" w:hAnsi="Times New Roman" w:cs="Times New Roman"/>
      <w:sz w:val="20"/>
      <w:szCs w:val="20"/>
      <w:lang w:val="x-none" w:eastAsia="x-none"/>
    </w:rPr>
  </w:style>
  <w:style w:type="character" w:customStyle="1" w:styleId="EndnoteTextChar">
    <w:name w:val="Endnote Text Char"/>
    <w:basedOn w:val="DefaultParagraphFont"/>
    <w:uiPriority w:val="99"/>
    <w:rPr>
      <w:sz w:val="20"/>
      <w:szCs w:val="20"/>
    </w:rPr>
  </w:style>
  <w:style w:type="character" w:customStyle="1" w:styleId="A7">
    <w:name w:val="A7"/>
    <w:uiPriority w:val="99"/>
    <w:rPr>
      <w:rFonts w:ascii="TradeGothic" w:hAnsi="TradeGothic" w:cs="TradeGothic" w:hint="default"/>
      <w:color w:val="000000"/>
      <w:sz w:val="17"/>
      <w:szCs w:val="17"/>
    </w:rPr>
  </w:style>
  <w:style w:type="character" w:customStyle="1" w:styleId="EndnoteTextChar1">
    <w:name w:val="Endnote Text Char1"/>
    <w:link w:val="EndnoteText"/>
    <w:uiPriority w:val="99"/>
    <w:locked/>
    <w:rPr>
      <w:rFonts w:ascii="Times New Roman" w:eastAsia="Calibri" w:hAnsi="Times New Roman" w:cs="Times New Roman"/>
      <w:sz w:val="20"/>
      <w:szCs w:val="20"/>
      <w:lang w:val="x-none" w:eastAsia="x-none"/>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eastAsia="Calibri" w:hAnsi="Times New Roman" w:cs="Times New Roman"/>
      <w:sz w:val="24"/>
    </w:rPr>
  </w:style>
  <w:style w:type="table" w:styleId="TableGrid">
    <w:name w:val="Table Grid"/>
    <w:aliases w:val="TabelEcorys,Simple table,Table Grid IDEA"/>
    <w:basedOn w:val="TableNormal"/>
    <w:uiPriority w:val="59"/>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unhideWhenUsed/>
    <w:rPr>
      <w:b/>
      <w:bCs/>
      <w:sz w:val="20"/>
      <w:szCs w:val="20"/>
    </w:rPr>
  </w:style>
  <w:style w:type="character" w:customStyle="1" w:styleId="CommentSubjectChar">
    <w:name w:val="Comment Subject Char"/>
    <w:basedOn w:val="CommentTextChar"/>
    <w:link w:val="CommentSubject"/>
    <w:uiPriority w:val="99"/>
    <w:rPr>
      <w:b/>
      <w:bCs/>
      <w:sz w:val="20"/>
      <w:szCs w:val="20"/>
    </w:rPr>
  </w:style>
  <w:style w:type="paragraph" w:styleId="Revision">
    <w:name w:val="Revision"/>
    <w:hidden/>
    <w:uiPriority w:val="99"/>
    <w:semiHidden/>
    <w:pPr>
      <w:spacing w:after="0" w:line="240" w:lineRule="auto"/>
    </w:pPr>
  </w:style>
  <w:style w:type="paragraph" w:customStyle="1" w:styleId="16Point">
    <w:name w:val="16 Point"/>
    <w:aliases w:val="Superscript 6 Point,Odwołanie przypisu,footnote ref,2001+ Fußnotenzeichen, Exposant 3 Point,number"/>
    <w:basedOn w:val="Normal"/>
    <w:link w:val="FootnoteReference"/>
    <w:uiPriority w:val="99"/>
    <w:pPr>
      <w:spacing w:after="160" w:line="240" w:lineRule="exact"/>
    </w:pPr>
    <w:rPr>
      <w:rFonts w:cs="Times New Roman"/>
      <w:vertAlign w:val="superscript"/>
    </w:rPr>
  </w:style>
  <w:style w:type="paragraph" w:customStyle="1" w:styleId="Text1">
    <w:name w:val="Text 1"/>
    <w:basedOn w:val="Normal"/>
    <w:uiPriority w:val="99"/>
    <w:pPr>
      <w:spacing w:before="120" w:after="120" w:line="240" w:lineRule="auto"/>
      <w:ind w:left="850"/>
      <w:jc w:val="both"/>
    </w:pPr>
    <w:rPr>
      <w:rFonts w:ascii="Times New Roman" w:eastAsia="Times New Roman" w:hAnsi="Times New Roman" w:cs="Times New Roman"/>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journaltitle">
    <w:name w:val="journaltitle"/>
    <w:basedOn w:val="DefaultParagraphFont"/>
  </w:style>
  <w:style w:type="character" w:customStyle="1" w:styleId="articlecitationyear">
    <w:name w:val="articlecitation_year"/>
    <w:basedOn w:val="DefaultParagraphFont"/>
  </w:style>
  <w:style w:type="character" w:customStyle="1" w:styleId="articlecitationvolume">
    <w:name w:val="articlecitation_volume"/>
    <w:basedOn w:val="DefaultParagraphFont"/>
  </w:style>
  <w:style w:type="character" w:customStyle="1" w:styleId="articlecitationpages">
    <w:name w:val="articlecitation_pages"/>
    <w:basedOn w:val="DefaultParagraphFont"/>
  </w:style>
  <w:style w:type="character" w:customStyle="1" w:styleId="authorname">
    <w:name w:val="authorname"/>
    <w:basedOn w:val="DefaultParagraphFont"/>
  </w:style>
  <w:style w:type="paragraph" w:styleId="TOCHeading">
    <w:name w:val="TOC Heading"/>
    <w:basedOn w:val="Heading1"/>
    <w:next w:val="Normal"/>
    <w:uiPriority w:val="39"/>
    <w:unhideWhenUsed/>
    <w:qFormat/>
    <w:pPr>
      <w:outlineLvl w:val="9"/>
    </w:pPr>
    <w:rPr>
      <w:lang w:val="en-US" w:eastAsia="ja-JP"/>
    </w:rPr>
  </w:style>
  <w:style w:type="paragraph" w:styleId="TOC1">
    <w:name w:val="toc 1"/>
    <w:basedOn w:val="Normal"/>
    <w:next w:val="Normal"/>
    <w:autoRedefine/>
    <w:uiPriority w:val="39"/>
    <w:unhideWhenUsed/>
    <w:qFormat/>
    <w:pPr>
      <w:tabs>
        <w:tab w:val="left" w:pos="850"/>
        <w:tab w:val="right" w:leader="dot" w:pos="9062"/>
      </w:tabs>
      <w:spacing w:after="100"/>
    </w:pPr>
    <w:rPr>
      <w:rFonts w:ascii="Times New Roman" w:hAnsi="Times New Roman" w:cs="Times New Roman"/>
      <w:b/>
      <w:noProof/>
      <w:lang w:val="cs-CZ"/>
    </w:rPr>
  </w:style>
  <w:style w:type="paragraph" w:styleId="TOC2">
    <w:name w:val="toc 2"/>
    <w:basedOn w:val="Normal"/>
    <w:next w:val="Normal"/>
    <w:autoRedefine/>
    <w:uiPriority w:val="39"/>
    <w:unhideWhenUsed/>
    <w:qFormat/>
    <w:pPr>
      <w:tabs>
        <w:tab w:val="right" w:leader="dot" w:pos="9062"/>
      </w:tabs>
      <w:spacing w:after="100"/>
      <w:ind w:left="220"/>
    </w:pPr>
    <w:rPr>
      <w:rFonts w:ascii="Times New Roman" w:eastAsia="Calibri" w:hAnsi="Times New Roman" w:cs="Times New Roman"/>
      <w:b/>
      <w:noProof/>
    </w:rPr>
  </w:style>
  <w:style w:type="paragraph" w:styleId="TOC3">
    <w:name w:val="toc 3"/>
    <w:basedOn w:val="Normal"/>
    <w:next w:val="Normal"/>
    <w:autoRedefine/>
    <w:uiPriority w:val="39"/>
    <w:unhideWhenUsed/>
    <w:qFormat/>
    <w:pPr>
      <w:spacing w:after="100"/>
      <w:ind w:left="440"/>
    </w:pPr>
  </w:style>
  <w:style w:type="paragraph" w:styleId="NoSpacing">
    <w:name w:val="No Spacing"/>
    <w:link w:val="NoSpacingChar"/>
    <w:uiPriority w:val="1"/>
    <w:qFormat/>
    <w:pPr>
      <w:spacing w:after="0" w:line="240" w:lineRule="auto"/>
    </w:pPr>
    <w:rPr>
      <w:rFonts w:ascii="Verdana" w:eastAsia="Calibri" w:hAnsi="Verdana" w:cs="Times New Roman"/>
      <w:sz w:val="20"/>
    </w:rPr>
  </w:style>
  <w:style w:type="character" w:customStyle="1" w:styleId="NoSpacingChar">
    <w:name w:val="No Spacing Char"/>
    <w:link w:val="NoSpacing"/>
    <w:uiPriority w:val="1"/>
    <w:rPr>
      <w:rFonts w:ascii="Verdana" w:eastAsia="Calibri" w:hAnsi="Verdana" w:cs="Times New Roman"/>
      <w:sz w:val="20"/>
    </w:rPr>
  </w:style>
  <w:style w:type="paragraph" w:styleId="Caption">
    <w:name w:val="caption"/>
    <w:aliases w:val="Char Char Char,Caption1 Char Char Char Char Char Char Char Char,Caption1 Char Char Char Char Char Char Char Char Tegn Tegn Tegn Tegn Tegn,Caption1 Char Char Char Char Char Char Char Char Tegn Tegn Tegn,Char Car,Caption - Centre Graphic"/>
    <w:basedOn w:val="Normal"/>
    <w:next w:val="Normal"/>
    <w:link w:val="CaptionChar"/>
    <w:unhideWhenUsed/>
    <w:qFormat/>
    <w:pPr>
      <w:spacing w:line="240" w:lineRule="auto"/>
      <w:jc w:val="both"/>
    </w:pPr>
    <w:rPr>
      <w:rFonts w:ascii="Verdana" w:eastAsia="Calibri" w:hAnsi="Verdana" w:cs="Times New Roman"/>
      <w:b/>
      <w:bCs/>
      <w:sz w:val="20"/>
      <w:szCs w:val="18"/>
    </w:rPr>
  </w:style>
  <w:style w:type="character" w:customStyle="1" w:styleId="hps">
    <w:name w:val="hps"/>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numbering" w:customStyle="1" w:styleId="NoList1">
    <w:name w:val="No List1"/>
    <w:next w:val="NoList"/>
    <w:uiPriority w:val="99"/>
    <w:semiHidden/>
    <w:unhideWhenUsed/>
  </w:style>
  <w:style w:type="paragraph" w:styleId="TOC4">
    <w:name w:val="toc 4"/>
    <w:basedOn w:val="Normal"/>
    <w:next w:val="Normal"/>
    <w:uiPriority w:val="39"/>
    <w:pPr>
      <w:tabs>
        <w:tab w:val="right" w:leader="dot" w:pos="9071"/>
      </w:tabs>
      <w:spacing w:before="60" w:after="120" w:line="240" w:lineRule="auto"/>
      <w:ind w:left="850" w:hanging="850"/>
    </w:pPr>
    <w:rPr>
      <w:rFonts w:ascii="Times New Roman" w:eastAsia="Times New Roman" w:hAnsi="Times New Roman" w:cs="Times New Roman"/>
      <w:sz w:val="24"/>
      <w:szCs w:val="24"/>
    </w:rPr>
  </w:style>
  <w:style w:type="paragraph" w:styleId="TOC5">
    <w:name w:val="toc 5"/>
    <w:basedOn w:val="Normal"/>
    <w:next w:val="Normal"/>
    <w:uiPriority w:val="39"/>
    <w:pPr>
      <w:tabs>
        <w:tab w:val="right" w:leader="dot" w:pos="9071"/>
      </w:tabs>
      <w:spacing w:before="300" w:after="120" w:line="240" w:lineRule="auto"/>
    </w:pPr>
    <w:rPr>
      <w:rFonts w:ascii="Times New Roman" w:eastAsia="Times New Roman" w:hAnsi="Times New Roman" w:cs="Times New Roman"/>
      <w:sz w:val="24"/>
      <w:szCs w:val="24"/>
    </w:rPr>
  </w:style>
  <w:style w:type="paragraph" w:styleId="TOC6">
    <w:name w:val="toc 6"/>
    <w:basedOn w:val="Normal"/>
    <w:next w:val="Normal"/>
    <w:uiPriority w:val="39"/>
    <w:pPr>
      <w:tabs>
        <w:tab w:val="right" w:leader="dot" w:pos="9071"/>
      </w:tabs>
      <w:spacing w:before="240" w:after="120" w:line="240" w:lineRule="auto"/>
    </w:pPr>
    <w:rPr>
      <w:rFonts w:ascii="Times New Roman" w:eastAsia="Times New Roman" w:hAnsi="Times New Roman" w:cs="Times New Roman"/>
      <w:sz w:val="24"/>
      <w:szCs w:val="24"/>
    </w:rPr>
  </w:style>
  <w:style w:type="paragraph" w:styleId="TOC7">
    <w:name w:val="toc 7"/>
    <w:basedOn w:val="Normal"/>
    <w:next w:val="Normal"/>
    <w:uiPriority w:val="39"/>
    <w:pPr>
      <w:tabs>
        <w:tab w:val="right" w:leader="dot" w:pos="9071"/>
      </w:tabs>
      <w:spacing w:before="180" w:after="120" w:line="240" w:lineRule="auto"/>
    </w:pPr>
    <w:rPr>
      <w:rFonts w:ascii="Times New Roman" w:eastAsia="Times New Roman" w:hAnsi="Times New Roman" w:cs="Times New Roman"/>
      <w:sz w:val="24"/>
      <w:szCs w:val="24"/>
    </w:rPr>
  </w:style>
  <w:style w:type="paragraph" w:styleId="TOC8">
    <w:name w:val="toc 8"/>
    <w:basedOn w:val="Normal"/>
    <w:next w:val="Normal"/>
    <w:uiPriority w:val="39"/>
    <w:pPr>
      <w:tabs>
        <w:tab w:val="right" w:leader="dot" w:pos="9071"/>
      </w:tabs>
      <w:spacing w:before="120" w:after="120" w:line="240" w:lineRule="auto"/>
    </w:pPr>
    <w:rPr>
      <w:rFonts w:ascii="Times New Roman" w:eastAsia="Times New Roman" w:hAnsi="Times New Roman" w:cs="Times New Roman"/>
      <w:sz w:val="24"/>
      <w:szCs w:val="24"/>
    </w:rPr>
  </w:style>
  <w:style w:type="paragraph" w:styleId="TOC9">
    <w:name w:val="toc 9"/>
    <w:basedOn w:val="Normal"/>
    <w:next w:val="Normal"/>
    <w:uiPriority w:val="39"/>
    <w:pPr>
      <w:tabs>
        <w:tab w:val="right" w:leader="dot" w:pos="9071"/>
      </w:tabs>
      <w:spacing w:before="120" w:after="120" w:line="240" w:lineRule="auto"/>
      <w:jc w:val="both"/>
    </w:pPr>
    <w:rPr>
      <w:rFonts w:ascii="Times New Roman" w:eastAsia="Times New Roman" w:hAnsi="Times New Roman" w:cs="Times New Roman"/>
      <w:sz w:val="24"/>
      <w:szCs w:val="24"/>
    </w:rPr>
  </w:style>
  <w:style w:type="paragraph" w:customStyle="1" w:styleId="FooterLandscape">
    <w:name w:val="FooterLandscape"/>
    <w:basedOn w:val="Normal"/>
    <w:uiPriority w:val="99"/>
    <w:pPr>
      <w:tabs>
        <w:tab w:val="center" w:pos="7285"/>
        <w:tab w:val="center" w:pos="10913"/>
        <w:tab w:val="right" w:pos="15137"/>
      </w:tabs>
      <w:spacing w:before="360" w:after="0" w:line="240" w:lineRule="auto"/>
      <w:ind w:left="-567" w:right="-567"/>
    </w:pPr>
    <w:rPr>
      <w:rFonts w:ascii="Times New Roman" w:eastAsia="Times New Roman" w:hAnsi="Times New Roman" w:cs="Times New Roman"/>
      <w:sz w:val="24"/>
      <w:szCs w:val="24"/>
    </w:rPr>
  </w:style>
  <w:style w:type="paragraph" w:customStyle="1" w:styleId="Text2">
    <w:name w:val="Text 2"/>
    <w:basedOn w:val="Normal"/>
    <w:uiPriority w:val="99"/>
    <w:pPr>
      <w:spacing w:before="120" w:after="120" w:line="240" w:lineRule="auto"/>
      <w:ind w:left="1417"/>
      <w:jc w:val="both"/>
    </w:pPr>
    <w:rPr>
      <w:rFonts w:ascii="Times New Roman" w:eastAsia="Times New Roman" w:hAnsi="Times New Roman" w:cs="Times New Roman"/>
      <w:sz w:val="24"/>
      <w:szCs w:val="24"/>
    </w:rPr>
  </w:style>
  <w:style w:type="paragraph" w:customStyle="1" w:styleId="Text3">
    <w:name w:val="Text 3"/>
    <w:basedOn w:val="Normal"/>
    <w:uiPriority w:val="99"/>
    <w:pPr>
      <w:spacing w:before="120" w:after="120" w:line="240" w:lineRule="auto"/>
      <w:ind w:left="1984"/>
      <w:jc w:val="both"/>
    </w:pPr>
    <w:rPr>
      <w:rFonts w:ascii="Times New Roman" w:eastAsia="Times New Roman" w:hAnsi="Times New Roman" w:cs="Times New Roman"/>
      <w:sz w:val="24"/>
      <w:szCs w:val="24"/>
    </w:rPr>
  </w:style>
  <w:style w:type="paragraph" w:customStyle="1" w:styleId="Text4">
    <w:name w:val="Text 4"/>
    <w:basedOn w:val="Normal"/>
    <w:uiPriority w:val="99"/>
    <w:pPr>
      <w:spacing w:before="120" w:after="120" w:line="240" w:lineRule="auto"/>
      <w:ind w:left="2551"/>
      <w:jc w:val="both"/>
    </w:pPr>
    <w:rPr>
      <w:rFonts w:ascii="Times New Roman" w:eastAsia="Times New Roman" w:hAnsi="Times New Roman" w:cs="Times New Roman"/>
      <w:sz w:val="24"/>
      <w:szCs w:val="24"/>
    </w:rPr>
  </w:style>
  <w:style w:type="paragraph" w:customStyle="1" w:styleId="NormalCentered">
    <w:name w:val="Normal Centered"/>
    <w:basedOn w:val="Normal"/>
    <w:uiPriority w:val="99"/>
    <w:pPr>
      <w:spacing w:before="120" w:after="120" w:line="240" w:lineRule="auto"/>
      <w:jc w:val="center"/>
    </w:pPr>
    <w:rPr>
      <w:rFonts w:ascii="Times New Roman" w:eastAsia="Times New Roman" w:hAnsi="Times New Roman" w:cs="Times New Roman"/>
      <w:sz w:val="24"/>
      <w:szCs w:val="24"/>
    </w:rPr>
  </w:style>
  <w:style w:type="paragraph" w:customStyle="1" w:styleId="NormalLeft">
    <w:name w:val="Normal Left"/>
    <w:basedOn w:val="Normal"/>
    <w:uiPriority w:val="99"/>
    <w:pPr>
      <w:spacing w:before="120" w:after="120" w:line="240" w:lineRule="auto"/>
    </w:pPr>
    <w:rPr>
      <w:rFonts w:ascii="Times New Roman" w:eastAsia="Times New Roman" w:hAnsi="Times New Roman" w:cs="Times New Roman"/>
      <w:sz w:val="24"/>
      <w:szCs w:val="24"/>
    </w:rPr>
  </w:style>
  <w:style w:type="paragraph" w:customStyle="1" w:styleId="NormalRight">
    <w:name w:val="Normal Right"/>
    <w:basedOn w:val="Normal"/>
    <w:uiPriority w:val="99"/>
    <w:pPr>
      <w:spacing w:before="120" w:after="120" w:line="240" w:lineRule="auto"/>
      <w:jc w:val="right"/>
    </w:pPr>
    <w:rPr>
      <w:rFonts w:ascii="Times New Roman" w:eastAsia="Times New Roman" w:hAnsi="Times New Roman" w:cs="Times New Roman"/>
      <w:sz w:val="24"/>
      <w:szCs w:val="24"/>
    </w:rPr>
  </w:style>
  <w:style w:type="paragraph" w:customStyle="1" w:styleId="QuotedText">
    <w:name w:val="Quoted Text"/>
    <w:basedOn w:val="Normal"/>
    <w:uiPriority w:val="99"/>
    <w:pPr>
      <w:spacing w:before="120" w:after="120" w:line="240" w:lineRule="auto"/>
      <w:ind w:left="1417"/>
      <w:jc w:val="both"/>
    </w:pPr>
    <w:rPr>
      <w:rFonts w:ascii="Times New Roman" w:eastAsia="Times New Roman" w:hAnsi="Times New Roman" w:cs="Times New Roman"/>
      <w:sz w:val="24"/>
      <w:szCs w:val="24"/>
    </w:rPr>
  </w:style>
  <w:style w:type="paragraph" w:customStyle="1" w:styleId="Point0">
    <w:name w:val="Point 0"/>
    <w:basedOn w:val="Normal"/>
    <w:uiPriority w:val="99"/>
    <w:pPr>
      <w:spacing w:before="120" w:after="120" w:line="240" w:lineRule="auto"/>
      <w:ind w:left="850" w:hanging="850"/>
      <w:jc w:val="both"/>
    </w:pPr>
    <w:rPr>
      <w:rFonts w:ascii="Times New Roman" w:eastAsia="Times New Roman" w:hAnsi="Times New Roman" w:cs="Times New Roman"/>
      <w:sz w:val="24"/>
      <w:szCs w:val="24"/>
    </w:rPr>
  </w:style>
  <w:style w:type="paragraph" w:customStyle="1" w:styleId="Point1">
    <w:name w:val="Point 1"/>
    <w:basedOn w:val="Normal"/>
    <w:uiPriority w:val="99"/>
    <w:pPr>
      <w:spacing w:before="120" w:after="120" w:line="240" w:lineRule="auto"/>
      <w:ind w:left="1417" w:hanging="567"/>
      <w:jc w:val="both"/>
    </w:pPr>
    <w:rPr>
      <w:rFonts w:ascii="Times New Roman" w:eastAsia="Times New Roman" w:hAnsi="Times New Roman" w:cs="Times New Roman"/>
      <w:sz w:val="24"/>
      <w:szCs w:val="24"/>
    </w:rPr>
  </w:style>
  <w:style w:type="paragraph" w:customStyle="1" w:styleId="Point2">
    <w:name w:val="Point 2"/>
    <w:basedOn w:val="Normal"/>
    <w:uiPriority w:val="99"/>
    <w:pPr>
      <w:spacing w:before="120" w:after="120" w:line="240" w:lineRule="auto"/>
      <w:ind w:left="1984" w:hanging="567"/>
      <w:jc w:val="both"/>
    </w:pPr>
    <w:rPr>
      <w:rFonts w:ascii="Times New Roman" w:eastAsia="Times New Roman" w:hAnsi="Times New Roman" w:cs="Times New Roman"/>
      <w:sz w:val="24"/>
      <w:szCs w:val="24"/>
    </w:rPr>
  </w:style>
  <w:style w:type="paragraph" w:customStyle="1" w:styleId="Point3">
    <w:name w:val="Point 3"/>
    <w:basedOn w:val="Normal"/>
    <w:uiPriority w:val="99"/>
    <w:pPr>
      <w:spacing w:before="120" w:after="120" w:line="240" w:lineRule="auto"/>
      <w:ind w:left="2551" w:hanging="567"/>
      <w:jc w:val="both"/>
    </w:pPr>
    <w:rPr>
      <w:rFonts w:ascii="Times New Roman" w:eastAsia="Times New Roman" w:hAnsi="Times New Roman" w:cs="Times New Roman"/>
      <w:sz w:val="24"/>
      <w:szCs w:val="24"/>
    </w:rPr>
  </w:style>
  <w:style w:type="paragraph" w:customStyle="1" w:styleId="Point4">
    <w:name w:val="Point 4"/>
    <w:basedOn w:val="Normal"/>
    <w:uiPriority w:val="99"/>
    <w:pPr>
      <w:spacing w:before="120" w:after="120" w:line="240" w:lineRule="auto"/>
      <w:ind w:left="3118" w:hanging="567"/>
      <w:jc w:val="both"/>
    </w:pPr>
    <w:rPr>
      <w:rFonts w:ascii="Times New Roman" w:eastAsia="Times New Roman" w:hAnsi="Times New Roman" w:cs="Times New Roman"/>
      <w:sz w:val="24"/>
      <w:szCs w:val="24"/>
    </w:rPr>
  </w:style>
  <w:style w:type="paragraph" w:customStyle="1" w:styleId="Tiret0">
    <w:name w:val="Tiret 0"/>
    <w:basedOn w:val="Point0"/>
    <w:uiPriority w:val="99"/>
    <w:pPr>
      <w:numPr>
        <w:numId w:val="6"/>
      </w:numPr>
    </w:pPr>
  </w:style>
  <w:style w:type="paragraph" w:customStyle="1" w:styleId="Tiret1">
    <w:name w:val="Tiret 1"/>
    <w:basedOn w:val="Point1"/>
    <w:uiPriority w:val="99"/>
    <w:pPr>
      <w:numPr>
        <w:numId w:val="7"/>
      </w:numPr>
    </w:pPr>
  </w:style>
  <w:style w:type="paragraph" w:customStyle="1" w:styleId="Tiret2">
    <w:name w:val="Tiret 2"/>
    <w:basedOn w:val="Point2"/>
    <w:uiPriority w:val="99"/>
    <w:pPr>
      <w:numPr>
        <w:numId w:val="8"/>
      </w:numPr>
    </w:pPr>
  </w:style>
  <w:style w:type="paragraph" w:customStyle="1" w:styleId="Tiret3">
    <w:name w:val="Tiret 3"/>
    <w:basedOn w:val="Point3"/>
    <w:uiPriority w:val="99"/>
    <w:pPr>
      <w:numPr>
        <w:numId w:val="9"/>
      </w:numPr>
    </w:pPr>
  </w:style>
  <w:style w:type="paragraph" w:customStyle="1" w:styleId="Tiret4">
    <w:name w:val="Tiret 4"/>
    <w:basedOn w:val="Point4"/>
    <w:uiPriority w:val="99"/>
    <w:pPr>
      <w:numPr>
        <w:numId w:val="10"/>
      </w:numPr>
    </w:pPr>
  </w:style>
  <w:style w:type="paragraph" w:customStyle="1" w:styleId="PointDouble0">
    <w:name w:val="PointDouble 0"/>
    <w:basedOn w:val="Normal"/>
    <w:uiPriority w:val="99"/>
    <w:pPr>
      <w:tabs>
        <w:tab w:val="left" w:pos="850"/>
      </w:tabs>
      <w:spacing w:before="120" w:after="120" w:line="240" w:lineRule="auto"/>
      <w:ind w:left="1417" w:hanging="1417"/>
      <w:jc w:val="both"/>
    </w:pPr>
    <w:rPr>
      <w:rFonts w:ascii="Times New Roman" w:eastAsia="Times New Roman" w:hAnsi="Times New Roman" w:cs="Times New Roman"/>
      <w:sz w:val="24"/>
      <w:szCs w:val="24"/>
    </w:rPr>
  </w:style>
  <w:style w:type="paragraph" w:customStyle="1" w:styleId="PointDouble1">
    <w:name w:val="PointDouble 1"/>
    <w:basedOn w:val="Normal"/>
    <w:uiPriority w:val="99"/>
    <w:pPr>
      <w:tabs>
        <w:tab w:val="left" w:pos="1417"/>
      </w:tabs>
      <w:spacing w:before="120" w:after="120" w:line="240" w:lineRule="auto"/>
      <w:ind w:left="1984" w:hanging="1134"/>
      <w:jc w:val="both"/>
    </w:pPr>
    <w:rPr>
      <w:rFonts w:ascii="Times New Roman" w:eastAsia="Times New Roman" w:hAnsi="Times New Roman" w:cs="Times New Roman"/>
      <w:sz w:val="24"/>
      <w:szCs w:val="24"/>
    </w:rPr>
  </w:style>
  <w:style w:type="paragraph" w:customStyle="1" w:styleId="PointDouble2">
    <w:name w:val="PointDouble 2"/>
    <w:basedOn w:val="Normal"/>
    <w:uiPriority w:val="99"/>
    <w:pPr>
      <w:tabs>
        <w:tab w:val="left" w:pos="1984"/>
      </w:tabs>
      <w:spacing w:before="120" w:after="120" w:line="240" w:lineRule="auto"/>
      <w:ind w:left="2551" w:hanging="1134"/>
      <w:jc w:val="both"/>
    </w:pPr>
    <w:rPr>
      <w:rFonts w:ascii="Times New Roman" w:eastAsia="Times New Roman" w:hAnsi="Times New Roman" w:cs="Times New Roman"/>
      <w:sz w:val="24"/>
      <w:szCs w:val="24"/>
    </w:rPr>
  </w:style>
  <w:style w:type="paragraph" w:customStyle="1" w:styleId="PointDouble3">
    <w:name w:val="PointDouble 3"/>
    <w:basedOn w:val="Normal"/>
    <w:uiPriority w:val="99"/>
    <w:pPr>
      <w:tabs>
        <w:tab w:val="left" w:pos="2551"/>
      </w:tabs>
      <w:spacing w:before="120" w:after="120" w:line="240" w:lineRule="auto"/>
      <w:ind w:left="3118" w:hanging="1134"/>
      <w:jc w:val="both"/>
    </w:pPr>
    <w:rPr>
      <w:rFonts w:ascii="Times New Roman" w:eastAsia="Times New Roman" w:hAnsi="Times New Roman" w:cs="Times New Roman"/>
      <w:sz w:val="24"/>
      <w:szCs w:val="24"/>
    </w:rPr>
  </w:style>
  <w:style w:type="paragraph" w:customStyle="1" w:styleId="PointDouble4">
    <w:name w:val="PointDouble 4"/>
    <w:basedOn w:val="Normal"/>
    <w:uiPriority w:val="99"/>
    <w:pPr>
      <w:tabs>
        <w:tab w:val="left" w:pos="3118"/>
      </w:tabs>
      <w:spacing w:before="120" w:after="120" w:line="240" w:lineRule="auto"/>
      <w:ind w:left="3685" w:hanging="1134"/>
      <w:jc w:val="both"/>
    </w:pPr>
    <w:rPr>
      <w:rFonts w:ascii="Times New Roman" w:eastAsia="Times New Roman" w:hAnsi="Times New Roman" w:cs="Times New Roman"/>
      <w:sz w:val="24"/>
      <w:szCs w:val="24"/>
    </w:rPr>
  </w:style>
  <w:style w:type="paragraph" w:customStyle="1" w:styleId="PointTriple0">
    <w:name w:val="PointTriple 0"/>
    <w:basedOn w:val="Normal"/>
    <w:uiPriority w:val="99"/>
    <w:pPr>
      <w:tabs>
        <w:tab w:val="left" w:pos="850"/>
        <w:tab w:val="left" w:pos="1417"/>
      </w:tabs>
      <w:spacing w:before="120" w:after="120" w:line="240" w:lineRule="auto"/>
      <w:ind w:left="1984" w:hanging="1984"/>
      <w:jc w:val="both"/>
    </w:pPr>
    <w:rPr>
      <w:rFonts w:ascii="Times New Roman" w:eastAsia="Times New Roman" w:hAnsi="Times New Roman" w:cs="Times New Roman"/>
      <w:sz w:val="24"/>
      <w:szCs w:val="24"/>
    </w:rPr>
  </w:style>
  <w:style w:type="paragraph" w:customStyle="1" w:styleId="PointTriple1">
    <w:name w:val="PointTriple 1"/>
    <w:basedOn w:val="Normal"/>
    <w:uiPriority w:val="99"/>
    <w:pPr>
      <w:tabs>
        <w:tab w:val="left" w:pos="1417"/>
        <w:tab w:val="left" w:pos="1984"/>
      </w:tabs>
      <w:spacing w:before="120" w:after="120" w:line="240" w:lineRule="auto"/>
      <w:ind w:left="2551" w:hanging="1701"/>
      <w:jc w:val="both"/>
    </w:pPr>
    <w:rPr>
      <w:rFonts w:ascii="Times New Roman" w:eastAsia="Times New Roman" w:hAnsi="Times New Roman" w:cs="Times New Roman"/>
      <w:sz w:val="24"/>
      <w:szCs w:val="24"/>
    </w:rPr>
  </w:style>
  <w:style w:type="paragraph" w:customStyle="1" w:styleId="PointTriple2">
    <w:name w:val="PointTriple 2"/>
    <w:basedOn w:val="Normal"/>
    <w:uiPriority w:val="99"/>
    <w:pPr>
      <w:tabs>
        <w:tab w:val="left" w:pos="1984"/>
        <w:tab w:val="left" w:pos="2551"/>
      </w:tabs>
      <w:spacing w:before="120" w:after="120" w:line="240" w:lineRule="auto"/>
      <w:ind w:left="3118" w:hanging="1701"/>
      <w:jc w:val="both"/>
    </w:pPr>
    <w:rPr>
      <w:rFonts w:ascii="Times New Roman" w:eastAsia="Times New Roman" w:hAnsi="Times New Roman" w:cs="Times New Roman"/>
      <w:sz w:val="24"/>
      <w:szCs w:val="24"/>
    </w:rPr>
  </w:style>
  <w:style w:type="paragraph" w:customStyle="1" w:styleId="PointTriple3">
    <w:name w:val="PointTriple 3"/>
    <w:basedOn w:val="Normal"/>
    <w:uiPriority w:val="99"/>
    <w:pPr>
      <w:tabs>
        <w:tab w:val="left" w:pos="2551"/>
        <w:tab w:val="left" w:pos="3118"/>
      </w:tabs>
      <w:spacing w:before="120" w:after="120" w:line="240" w:lineRule="auto"/>
      <w:ind w:left="3685" w:hanging="1701"/>
      <w:jc w:val="both"/>
    </w:pPr>
    <w:rPr>
      <w:rFonts w:ascii="Times New Roman" w:eastAsia="Times New Roman" w:hAnsi="Times New Roman" w:cs="Times New Roman"/>
      <w:sz w:val="24"/>
      <w:szCs w:val="24"/>
    </w:rPr>
  </w:style>
  <w:style w:type="paragraph" w:customStyle="1" w:styleId="PointTriple4">
    <w:name w:val="PointTriple 4"/>
    <w:basedOn w:val="Normal"/>
    <w:uiPriority w:val="99"/>
    <w:pPr>
      <w:tabs>
        <w:tab w:val="left" w:pos="3118"/>
        <w:tab w:val="left" w:pos="3685"/>
      </w:tabs>
      <w:spacing w:before="120" w:after="120" w:line="240" w:lineRule="auto"/>
      <w:ind w:left="4252" w:hanging="1701"/>
      <w:jc w:val="both"/>
    </w:pPr>
    <w:rPr>
      <w:rFonts w:ascii="Times New Roman" w:eastAsia="Times New Roman" w:hAnsi="Times New Roman" w:cs="Times New Roman"/>
      <w:sz w:val="24"/>
      <w:szCs w:val="24"/>
    </w:rPr>
  </w:style>
  <w:style w:type="paragraph" w:customStyle="1" w:styleId="NumPar1">
    <w:name w:val="NumPar 1"/>
    <w:basedOn w:val="Normal"/>
    <w:next w:val="Text1"/>
    <w:uiPriority w:val="99"/>
    <w:pPr>
      <w:numPr>
        <w:numId w:val="11"/>
      </w:numPr>
      <w:spacing w:before="120" w:after="120" w:line="240" w:lineRule="auto"/>
      <w:jc w:val="both"/>
    </w:pPr>
    <w:rPr>
      <w:rFonts w:ascii="Times New Roman" w:eastAsia="Times New Roman" w:hAnsi="Times New Roman" w:cs="Times New Roman"/>
      <w:sz w:val="24"/>
      <w:szCs w:val="24"/>
    </w:rPr>
  </w:style>
  <w:style w:type="paragraph" w:customStyle="1" w:styleId="NumPar2">
    <w:name w:val="NumPar 2"/>
    <w:basedOn w:val="Normal"/>
    <w:next w:val="Text1"/>
    <w:uiPriority w:val="99"/>
    <w:pPr>
      <w:numPr>
        <w:ilvl w:val="1"/>
        <w:numId w:val="11"/>
      </w:numPr>
      <w:spacing w:before="120" w:after="120" w:line="240" w:lineRule="auto"/>
      <w:jc w:val="both"/>
    </w:pPr>
    <w:rPr>
      <w:rFonts w:ascii="Times New Roman" w:eastAsia="Times New Roman" w:hAnsi="Times New Roman" w:cs="Times New Roman"/>
      <w:sz w:val="24"/>
      <w:szCs w:val="24"/>
    </w:rPr>
  </w:style>
  <w:style w:type="paragraph" w:customStyle="1" w:styleId="NumPar3">
    <w:name w:val="NumPar 3"/>
    <w:basedOn w:val="Normal"/>
    <w:next w:val="Text1"/>
    <w:uiPriority w:val="99"/>
    <w:pPr>
      <w:numPr>
        <w:ilvl w:val="2"/>
        <w:numId w:val="11"/>
      </w:numPr>
      <w:spacing w:before="120" w:after="120" w:line="240" w:lineRule="auto"/>
      <w:jc w:val="both"/>
    </w:pPr>
    <w:rPr>
      <w:rFonts w:ascii="Times New Roman" w:eastAsia="Times New Roman" w:hAnsi="Times New Roman" w:cs="Times New Roman"/>
      <w:sz w:val="24"/>
      <w:szCs w:val="24"/>
    </w:rPr>
  </w:style>
  <w:style w:type="paragraph" w:customStyle="1" w:styleId="NumPar4">
    <w:name w:val="NumPar 4"/>
    <w:basedOn w:val="Normal"/>
    <w:next w:val="Text1"/>
    <w:uiPriority w:val="99"/>
    <w:pPr>
      <w:numPr>
        <w:ilvl w:val="3"/>
        <w:numId w:val="11"/>
      </w:numPr>
      <w:spacing w:before="120" w:after="120" w:line="240" w:lineRule="auto"/>
      <w:jc w:val="both"/>
    </w:pPr>
    <w:rPr>
      <w:rFonts w:ascii="Times New Roman" w:eastAsia="Times New Roman" w:hAnsi="Times New Roman" w:cs="Times New Roman"/>
      <w:sz w:val="24"/>
      <w:szCs w:val="24"/>
    </w:rPr>
  </w:style>
  <w:style w:type="paragraph" w:customStyle="1" w:styleId="ManualNumPar1">
    <w:name w:val="Manual NumPar 1"/>
    <w:basedOn w:val="Normal"/>
    <w:next w:val="Text1"/>
    <w:uiPriority w:val="99"/>
    <w:pPr>
      <w:spacing w:before="120" w:after="120" w:line="240" w:lineRule="auto"/>
      <w:ind w:left="850" w:hanging="850"/>
      <w:jc w:val="both"/>
    </w:pPr>
    <w:rPr>
      <w:rFonts w:ascii="Times New Roman" w:eastAsia="Times New Roman" w:hAnsi="Times New Roman" w:cs="Times New Roman"/>
      <w:sz w:val="24"/>
      <w:szCs w:val="24"/>
    </w:rPr>
  </w:style>
  <w:style w:type="paragraph" w:customStyle="1" w:styleId="ManualNumPar2">
    <w:name w:val="Manual NumPar 2"/>
    <w:basedOn w:val="Normal"/>
    <w:next w:val="Text1"/>
    <w:uiPriority w:val="99"/>
    <w:pPr>
      <w:spacing w:before="120" w:after="120" w:line="240" w:lineRule="auto"/>
      <w:ind w:left="850" w:hanging="850"/>
      <w:jc w:val="both"/>
    </w:pPr>
    <w:rPr>
      <w:rFonts w:ascii="Times New Roman" w:eastAsia="Times New Roman" w:hAnsi="Times New Roman" w:cs="Times New Roman"/>
      <w:sz w:val="24"/>
      <w:szCs w:val="24"/>
    </w:rPr>
  </w:style>
  <w:style w:type="paragraph" w:customStyle="1" w:styleId="ManualNumPar3">
    <w:name w:val="Manual NumPar 3"/>
    <w:basedOn w:val="Normal"/>
    <w:next w:val="Text1"/>
    <w:uiPriority w:val="99"/>
    <w:pPr>
      <w:spacing w:before="120" w:after="120" w:line="240" w:lineRule="auto"/>
      <w:ind w:left="850" w:hanging="850"/>
      <w:jc w:val="both"/>
    </w:pPr>
    <w:rPr>
      <w:rFonts w:ascii="Times New Roman" w:eastAsia="Times New Roman" w:hAnsi="Times New Roman" w:cs="Times New Roman"/>
      <w:sz w:val="24"/>
      <w:szCs w:val="24"/>
    </w:rPr>
  </w:style>
  <w:style w:type="paragraph" w:customStyle="1" w:styleId="ManualNumPar4">
    <w:name w:val="Manual NumPar 4"/>
    <w:basedOn w:val="Normal"/>
    <w:next w:val="Text1"/>
    <w:uiPriority w:val="99"/>
    <w:pPr>
      <w:spacing w:before="120" w:after="120" w:line="240" w:lineRule="auto"/>
      <w:ind w:left="850" w:hanging="850"/>
      <w:jc w:val="both"/>
    </w:pPr>
    <w:rPr>
      <w:rFonts w:ascii="Times New Roman" w:eastAsia="Times New Roman" w:hAnsi="Times New Roman" w:cs="Times New Roman"/>
      <w:sz w:val="24"/>
      <w:szCs w:val="24"/>
    </w:rPr>
  </w:style>
  <w:style w:type="paragraph" w:customStyle="1" w:styleId="QuotedNumPar">
    <w:name w:val="Quoted NumPar"/>
    <w:basedOn w:val="Normal"/>
    <w:uiPriority w:val="99"/>
    <w:pPr>
      <w:spacing w:before="120" w:after="120" w:line="240" w:lineRule="auto"/>
      <w:ind w:left="1417" w:hanging="567"/>
      <w:jc w:val="both"/>
    </w:pPr>
    <w:rPr>
      <w:rFonts w:ascii="Times New Roman" w:eastAsia="Times New Roman" w:hAnsi="Times New Roman" w:cs="Times New Roman"/>
      <w:sz w:val="24"/>
      <w:szCs w:val="24"/>
    </w:rPr>
  </w:style>
  <w:style w:type="paragraph" w:customStyle="1" w:styleId="ManualHeading1">
    <w:name w:val="Manual Heading 1"/>
    <w:basedOn w:val="Normal"/>
    <w:next w:val="Text1"/>
    <w:uiPriority w:val="99"/>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rPr>
  </w:style>
  <w:style w:type="paragraph" w:customStyle="1" w:styleId="ManualHeading2">
    <w:name w:val="Manual Heading 2"/>
    <w:basedOn w:val="Normal"/>
    <w:next w:val="Text1"/>
    <w:uiPriority w:val="99"/>
    <w:pPr>
      <w:keepNext/>
      <w:tabs>
        <w:tab w:val="left" w:pos="850"/>
      </w:tabs>
      <w:spacing w:before="120" w:after="120" w:line="240" w:lineRule="auto"/>
      <w:ind w:left="850" w:hanging="850"/>
      <w:jc w:val="both"/>
      <w:outlineLvl w:val="1"/>
    </w:pPr>
    <w:rPr>
      <w:rFonts w:ascii="Times New Roman" w:eastAsia="Times New Roman" w:hAnsi="Times New Roman" w:cs="Times New Roman"/>
      <w:b/>
      <w:sz w:val="24"/>
      <w:szCs w:val="24"/>
    </w:rPr>
  </w:style>
  <w:style w:type="paragraph" w:customStyle="1" w:styleId="ManualHeading3">
    <w:name w:val="Manual Heading 3"/>
    <w:basedOn w:val="Normal"/>
    <w:next w:val="Text1"/>
    <w:uiPriority w:val="99"/>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szCs w:val="24"/>
    </w:rPr>
  </w:style>
  <w:style w:type="paragraph" w:customStyle="1" w:styleId="ManualHeading4">
    <w:name w:val="Manual Heading 4"/>
    <w:basedOn w:val="Normal"/>
    <w:next w:val="Text1"/>
    <w:uiPriority w:val="99"/>
    <w:pPr>
      <w:keepNext/>
      <w:tabs>
        <w:tab w:val="left" w:pos="850"/>
      </w:tabs>
      <w:spacing w:before="120" w:after="120" w:line="240" w:lineRule="auto"/>
      <w:ind w:left="850" w:hanging="850"/>
      <w:jc w:val="both"/>
      <w:outlineLvl w:val="3"/>
    </w:pPr>
    <w:rPr>
      <w:rFonts w:ascii="Times New Roman" w:eastAsia="Times New Roman" w:hAnsi="Times New Roman" w:cs="Times New Roman"/>
      <w:sz w:val="24"/>
      <w:szCs w:val="24"/>
    </w:rPr>
  </w:style>
  <w:style w:type="paragraph" w:customStyle="1" w:styleId="ChapterTitle">
    <w:name w:val="ChapterTitle"/>
    <w:basedOn w:val="Normal"/>
    <w:next w:val="Normal"/>
    <w:uiPriority w:val="99"/>
    <w:pPr>
      <w:keepNext/>
      <w:spacing w:before="120" w:after="360" w:line="240" w:lineRule="auto"/>
      <w:jc w:val="center"/>
    </w:pPr>
    <w:rPr>
      <w:rFonts w:ascii="Times New Roman" w:eastAsia="Times New Roman" w:hAnsi="Times New Roman" w:cs="Times New Roman"/>
      <w:b/>
      <w:sz w:val="32"/>
      <w:szCs w:val="24"/>
    </w:rPr>
  </w:style>
  <w:style w:type="paragraph" w:customStyle="1" w:styleId="PartTitle">
    <w:name w:val="PartTitle"/>
    <w:basedOn w:val="Normal"/>
    <w:next w:val="ChapterTitle"/>
    <w:uiPriority w:val="99"/>
    <w:pPr>
      <w:keepNext/>
      <w:pageBreakBefore/>
      <w:spacing w:before="120" w:after="360" w:line="240" w:lineRule="auto"/>
      <w:jc w:val="center"/>
    </w:pPr>
    <w:rPr>
      <w:rFonts w:ascii="Times New Roman" w:eastAsia="Times New Roman" w:hAnsi="Times New Roman" w:cs="Times New Roman"/>
      <w:b/>
      <w:sz w:val="36"/>
      <w:szCs w:val="24"/>
    </w:rPr>
  </w:style>
  <w:style w:type="paragraph" w:customStyle="1" w:styleId="SectionTitle">
    <w:name w:val="SectionTitle"/>
    <w:basedOn w:val="Normal"/>
    <w:next w:val="Heading1"/>
    <w:uiPriority w:val="99"/>
    <w:pPr>
      <w:keepNext/>
      <w:spacing w:before="120" w:after="360" w:line="240" w:lineRule="auto"/>
      <w:jc w:val="center"/>
    </w:pPr>
    <w:rPr>
      <w:rFonts w:ascii="Times New Roman" w:eastAsia="Times New Roman" w:hAnsi="Times New Roman" w:cs="Times New Roman"/>
      <w:b/>
      <w:smallCaps/>
      <w:sz w:val="28"/>
      <w:szCs w:val="24"/>
    </w:rPr>
  </w:style>
  <w:style w:type="paragraph" w:customStyle="1" w:styleId="TableTitle">
    <w:name w:val="Table Title"/>
    <w:basedOn w:val="Normal"/>
    <w:next w:val="Normal"/>
    <w:uiPriority w:val="99"/>
    <w:pPr>
      <w:spacing w:before="120" w:after="120" w:line="240" w:lineRule="auto"/>
      <w:jc w:val="center"/>
    </w:pPr>
    <w:rPr>
      <w:rFonts w:ascii="Times New Roman" w:eastAsia="Times New Roman" w:hAnsi="Times New Roman" w:cs="Times New Roman"/>
      <w:b/>
      <w:sz w:val="24"/>
      <w:szCs w:val="24"/>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customStyle="1" w:styleId="Point0number">
    <w:name w:val="Point 0 (number)"/>
    <w:basedOn w:val="Normal"/>
    <w:uiPriority w:val="99"/>
    <w:pPr>
      <w:numPr>
        <w:numId w:val="12"/>
      </w:numPr>
      <w:spacing w:before="120" w:after="120" w:line="240" w:lineRule="auto"/>
      <w:jc w:val="both"/>
    </w:pPr>
    <w:rPr>
      <w:rFonts w:ascii="Times New Roman" w:eastAsia="Times New Roman" w:hAnsi="Times New Roman" w:cs="Times New Roman"/>
      <w:sz w:val="24"/>
      <w:szCs w:val="24"/>
    </w:rPr>
  </w:style>
  <w:style w:type="paragraph" w:customStyle="1" w:styleId="Point1number">
    <w:name w:val="Point 1 (number)"/>
    <w:basedOn w:val="Normal"/>
    <w:uiPriority w:val="99"/>
    <w:pPr>
      <w:numPr>
        <w:ilvl w:val="2"/>
        <w:numId w:val="12"/>
      </w:numPr>
      <w:spacing w:before="120" w:after="120" w:line="240" w:lineRule="auto"/>
      <w:jc w:val="both"/>
    </w:pPr>
    <w:rPr>
      <w:rFonts w:ascii="Times New Roman" w:eastAsia="Times New Roman" w:hAnsi="Times New Roman" w:cs="Times New Roman"/>
      <w:sz w:val="24"/>
      <w:szCs w:val="24"/>
    </w:rPr>
  </w:style>
  <w:style w:type="paragraph" w:customStyle="1" w:styleId="Point2number">
    <w:name w:val="Point 2 (number)"/>
    <w:basedOn w:val="Normal"/>
    <w:uiPriority w:val="99"/>
    <w:pPr>
      <w:numPr>
        <w:ilvl w:val="4"/>
        <w:numId w:val="12"/>
      </w:numPr>
      <w:spacing w:before="120" w:after="120" w:line="240" w:lineRule="auto"/>
      <w:jc w:val="both"/>
    </w:pPr>
    <w:rPr>
      <w:rFonts w:ascii="Times New Roman" w:eastAsia="Times New Roman" w:hAnsi="Times New Roman" w:cs="Times New Roman"/>
      <w:sz w:val="24"/>
      <w:szCs w:val="24"/>
    </w:rPr>
  </w:style>
  <w:style w:type="paragraph" w:customStyle="1" w:styleId="Point3number">
    <w:name w:val="Point 3 (number)"/>
    <w:basedOn w:val="Normal"/>
    <w:uiPriority w:val="99"/>
    <w:pPr>
      <w:numPr>
        <w:ilvl w:val="6"/>
        <w:numId w:val="12"/>
      </w:numPr>
      <w:spacing w:before="120" w:after="120" w:line="240" w:lineRule="auto"/>
      <w:jc w:val="both"/>
    </w:pPr>
    <w:rPr>
      <w:rFonts w:ascii="Times New Roman" w:eastAsia="Times New Roman" w:hAnsi="Times New Roman" w:cs="Times New Roman"/>
      <w:sz w:val="24"/>
      <w:szCs w:val="24"/>
    </w:rPr>
  </w:style>
  <w:style w:type="paragraph" w:customStyle="1" w:styleId="Point0letter">
    <w:name w:val="Point 0 (letter)"/>
    <w:basedOn w:val="Normal"/>
    <w:uiPriority w:val="99"/>
    <w:pPr>
      <w:numPr>
        <w:ilvl w:val="1"/>
        <w:numId w:val="12"/>
      </w:numPr>
      <w:spacing w:before="120" w:after="120" w:line="240" w:lineRule="auto"/>
      <w:jc w:val="both"/>
    </w:pPr>
    <w:rPr>
      <w:rFonts w:ascii="Times New Roman" w:eastAsia="Times New Roman" w:hAnsi="Times New Roman" w:cs="Times New Roman"/>
      <w:sz w:val="24"/>
      <w:szCs w:val="24"/>
    </w:rPr>
  </w:style>
  <w:style w:type="paragraph" w:customStyle="1" w:styleId="Point1letter">
    <w:name w:val="Point 1 (letter)"/>
    <w:basedOn w:val="Normal"/>
    <w:uiPriority w:val="99"/>
    <w:pPr>
      <w:numPr>
        <w:ilvl w:val="3"/>
        <w:numId w:val="12"/>
      </w:numPr>
      <w:spacing w:before="120" w:after="120" w:line="240" w:lineRule="auto"/>
      <w:jc w:val="both"/>
    </w:pPr>
    <w:rPr>
      <w:rFonts w:ascii="Times New Roman" w:eastAsia="Times New Roman" w:hAnsi="Times New Roman" w:cs="Times New Roman"/>
      <w:sz w:val="24"/>
      <w:szCs w:val="24"/>
    </w:rPr>
  </w:style>
  <w:style w:type="paragraph" w:customStyle="1" w:styleId="Point2letter">
    <w:name w:val="Point 2 (letter)"/>
    <w:basedOn w:val="Normal"/>
    <w:uiPriority w:val="99"/>
    <w:pPr>
      <w:numPr>
        <w:ilvl w:val="5"/>
        <w:numId w:val="12"/>
      </w:numPr>
      <w:spacing w:before="120" w:after="120" w:line="240" w:lineRule="auto"/>
      <w:jc w:val="both"/>
    </w:pPr>
    <w:rPr>
      <w:rFonts w:ascii="Times New Roman" w:eastAsia="Times New Roman" w:hAnsi="Times New Roman" w:cs="Times New Roman"/>
      <w:sz w:val="24"/>
      <w:szCs w:val="24"/>
    </w:rPr>
  </w:style>
  <w:style w:type="paragraph" w:customStyle="1" w:styleId="Point3letter">
    <w:name w:val="Point 3 (letter)"/>
    <w:basedOn w:val="Normal"/>
    <w:uiPriority w:val="99"/>
    <w:pPr>
      <w:numPr>
        <w:ilvl w:val="7"/>
        <w:numId w:val="12"/>
      </w:numPr>
      <w:spacing w:before="120" w:after="120" w:line="240" w:lineRule="auto"/>
      <w:jc w:val="both"/>
    </w:pPr>
    <w:rPr>
      <w:rFonts w:ascii="Times New Roman" w:eastAsia="Times New Roman" w:hAnsi="Times New Roman" w:cs="Times New Roman"/>
      <w:sz w:val="24"/>
      <w:szCs w:val="24"/>
    </w:rPr>
  </w:style>
  <w:style w:type="paragraph" w:customStyle="1" w:styleId="Point4letter">
    <w:name w:val="Point 4 (letter)"/>
    <w:basedOn w:val="Normal"/>
    <w:uiPriority w:val="99"/>
    <w:pPr>
      <w:numPr>
        <w:ilvl w:val="8"/>
        <w:numId w:val="12"/>
      </w:numPr>
      <w:spacing w:before="120" w:after="120" w:line="240" w:lineRule="auto"/>
      <w:jc w:val="both"/>
    </w:pPr>
    <w:rPr>
      <w:rFonts w:ascii="Times New Roman" w:eastAsia="Times New Roman" w:hAnsi="Times New Roman" w:cs="Times New Roman"/>
      <w:sz w:val="24"/>
      <w:szCs w:val="24"/>
    </w:rPr>
  </w:style>
  <w:style w:type="paragraph" w:customStyle="1" w:styleId="Bullet0">
    <w:name w:val="Bullet 0"/>
    <w:basedOn w:val="Normal"/>
    <w:uiPriority w:val="99"/>
    <w:pPr>
      <w:numPr>
        <w:numId w:val="13"/>
      </w:numPr>
      <w:spacing w:before="120" w:after="120" w:line="240" w:lineRule="auto"/>
      <w:jc w:val="both"/>
    </w:pPr>
    <w:rPr>
      <w:rFonts w:ascii="Times New Roman" w:eastAsia="Times New Roman" w:hAnsi="Times New Roman" w:cs="Times New Roman"/>
      <w:sz w:val="24"/>
      <w:szCs w:val="24"/>
    </w:rPr>
  </w:style>
  <w:style w:type="paragraph" w:customStyle="1" w:styleId="Bullet1">
    <w:name w:val="Bullet 1"/>
    <w:basedOn w:val="Normal"/>
    <w:uiPriority w:val="99"/>
    <w:pPr>
      <w:numPr>
        <w:numId w:val="14"/>
      </w:numPr>
      <w:spacing w:before="120" w:after="120" w:line="240" w:lineRule="auto"/>
      <w:jc w:val="both"/>
    </w:pPr>
    <w:rPr>
      <w:rFonts w:ascii="Times New Roman" w:eastAsia="Times New Roman" w:hAnsi="Times New Roman" w:cs="Times New Roman"/>
      <w:sz w:val="24"/>
      <w:szCs w:val="24"/>
    </w:rPr>
  </w:style>
  <w:style w:type="paragraph" w:customStyle="1" w:styleId="Bullet2">
    <w:name w:val="Bullet 2"/>
    <w:basedOn w:val="Normal"/>
    <w:uiPriority w:val="99"/>
    <w:pPr>
      <w:numPr>
        <w:numId w:val="15"/>
      </w:numPr>
      <w:spacing w:before="120" w:after="120" w:line="240" w:lineRule="auto"/>
      <w:jc w:val="both"/>
    </w:pPr>
    <w:rPr>
      <w:rFonts w:ascii="Times New Roman" w:eastAsia="Times New Roman" w:hAnsi="Times New Roman" w:cs="Times New Roman"/>
      <w:sz w:val="24"/>
      <w:szCs w:val="24"/>
    </w:rPr>
  </w:style>
  <w:style w:type="paragraph" w:customStyle="1" w:styleId="Bullet3">
    <w:name w:val="Bullet 3"/>
    <w:basedOn w:val="Normal"/>
    <w:uiPriority w:val="99"/>
    <w:pPr>
      <w:numPr>
        <w:numId w:val="16"/>
      </w:numPr>
      <w:spacing w:before="120" w:after="120" w:line="240" w:lineRule="auto"/>
      <w:jc w:val="both"/>
    </w:pPr>
    <w:rPr>
      <w:rFonts w:ascii="Times New Roman" w:eastAsia="Times New Roman" w:hAnsi="Times New Roman" w:cs="Times New Roman"/>
      <w:sz w:val="24"/>
      <w:szCs w:val="24"/>
    </w:rPr>
  </w:style>
  <w:style w:type="paragraph" w:customStyle="1" w:styleId="Bullet4">
    <w:name w:val="Bullet 4"/>
    <w:basedOn w:val="Normal"/>
    <w:uiPriority w:val="99"/>
    <w:pPr>
      <w:numPr>
        <w:numId w:val="17"/>
      </w:numPr>
      <w:spacing w:before="120" w:after="120" w:line="240" w:lineRule="auto"/>
      <w:jc w:val="both"/>
    </w:pPr>
    <w:rPr>
      <w:rFonts w:ascii="Times New Roman" w:eastAsia="Times New Roman" w:hAnsi="Times New Roman" w:cs="Times New Roman"/>
      <w:sz w:val="24"/>
      <w:szCs w:val="24"/>
    </w:rPr>
  </w:style>
  <w:style w:type="paragraph" w:customStyle="1" w:styleId="Annexetitreexpos">
    <w:name w:val="Annexe titre (exposé)"/>
    <w:basedOn w:val="Normal"/>
    <w:next w:val="Normal"/>
    <w:uiPriority w:val="99"/>
    <w:pPr>
      <w:spacing w:before="120" w:after="120" w:line="240" w:lineRule="auto"/>
      <w:jc w:val="center"/>
    </w:pPr>
    <w:rPr>
      <w:rFonts w:ascii="Times New Roman" w:eastAsia="Times New Roman" w:hAnsi="Times New Roman" w:cs="Times New Roman"/>
      <w:b/>
      <w:sz w:val="24"/>
      <w:szCs w:val="24"/>
      <w:u w:val="single"/>
    </w:rPr>
  </w:style>
  <w:style w:type="paragraph" w:customStyle="1" w:styleId="Annexetitre">
    <w:name w:val="Annexe titre"/>
    <w:basedOn w:val="Normal"/>
    <w:next w:val="Normal"/>
    <w:uiPriority w:val="99"/>
    <w:pPr>
      <w:spacing w:before="120" w:after="120" w:line="240" w:lineRule="auto"/>
      <w:jc w:val="center"/>
    </w:pPr>
    <w:rPr>
      <w:rFonts w:ascii="Times New Roman" w:eastAsia="Times New Roman" w:hAnsi="Times New Roman" w:cs="Times New Roman"/>
      <w:b/>
      <w:sz w:val="24"/>
      <w:szCs w:val="24"/>
      <w:u w:val="single"/>
    </w:rPr>
  </w:style>
  <w:style w:type="paragraph" w:customStyle="1" w:styleId="Annexetitrefichefinancire">
    <w:name w:val="Annexe titre (fiche financière)"/>
    <w:basedOn w:val="Normal"/>
    <w:next w:val="Normal"/>
    <w:uiPriority w:val="99"/>
    <w:pPr>
      <w:spacing w:before="120" w:after="120" w:line="240" w:lineRule="auto"/>
      <w:jc w:val="center"/>
    </w:pPr>
    <w:rPr>
      <w:rFonts w:ascii="Times New Roman" w:eastAsia="Times New Roman" w:hAnsi="Times New Roman" w:cs="Times New Roman"/>
      <w:b/>
      <w:sz w:val="24"/>
      <w:szCs w:val="24"/>
      <w:u w:val="single"/>
    </w:rPr>
  </w:style>
  <w:style w:type="paragraph" w:customStyle="1" w:styleId="Applicationdirecte">
    <w:name w:val="Application directe"/>
    <w:basedOn w:val="Normal"/>
    <w:next w:val="Fait"/>
    <w:uiPriority w:val="99"/>
    <w:pPr>
      <w:spacing w:before="480" w:after="120" w:line="240" w:lineRule="auto"/>
      <w:jc w:val="both"/>
    </w:pPr>
    <w:rPr>
      <w:rFonts w:ascii="Times New Roman" w:eastAsia="Times New Roman" w:hAnsi="Times New Roman" w:cs="Times New Roman"/>
      <w:sz w:val="24"/>
      <w:szCs w:val="24"/>
    </w:rPr>
  </w:style>
  <w:style w:type="paragraph" w:customStyle="1" w:styleId="Avertissementtitre">
    <w:name w:val="Avertissement titre"/>
    <w:basedOn w:val="Normal"/>
    <w:next w:val="Normal"/>
    <w:uiPriority w:val="99"/>
    <w:pPr>
      <w:keepNext/>
      <w:spacing w:before="480" w:after="120" w:line="240" w:lineRule="auto"/>
      <w:jc w:val="both"/>
    </w:pPr>
    <w:rPr>
      <w:rFonts w:ascii="Times New Roman" w:eastAsia="Times New Roman" w:hAnsi="Times New Roman" w:cs="Times New Roman"/>
      <w:sz w:val="24"/>
      <w:szCs w:val="24"/>
      <w:u w:val="single"/>
    </w:rPr>
  </w:style>
  <w:style w:type="paragraph" w:customStyle="1" w:styleId="Confidence">
    <w:name w:val="Confidence"/>
    <w:basedOn w:val="Normal"/>
    <w:next w:val="Normal"/>
    <w:uiPriority w:val="99"/>
    <w:pPr>
      <w:spacing w:before="360" w:after="120" w:line="240" w:lineRule="auto"/>
      <w:jc w:val="center"/>
    </w:pPr>
    <w:rPr>
      <w:rFonts w:ascii="Times New Roman" w:eastAsia="Times New Roman" w:hAnsi="Times New Roman" w:cs="Times New Roman"/>
      <w:sz w:val="24"/>
      <w:szCs w:val="24"/>
    </w:rPr>
  </w:style>
  <w:style w:type="paragraph" w:customStyle="1" w:styleId="Confidentialit">
    <w:name w:val="Confidentialité"/>
    <w:basedOn w:val="Normal"/>
    <w:next w:val="TypedudocumentPagedecouverture"/>
    <w:uiPriority w:val="99"/>
    <w:pPr>
      <w:spacing w:before="240" w:after="240" w:line="240" w:lineRule="auto"/>
      <w:ind w:left="5103"/>
      <w:jc w:val="both"/>
    </w:pPr>
    <w:rPr>
      <w:rFonts w:ascii="Times New Roman" w:eastAsia="Times New Roman" w:hAnsi="Times New Roman" w:cs="Times New Roman"/>
      <w:i/>
      <w:sz w:val="32"/>
      <w:szCs w:val="24"/>
    </w:rPr>
  </w:style>
  <w:style w:type="paragraph" w:customStyle="1" w:styleId="Considrant">
    <w:name w:val="Considérant"/>
    <w:basedOn w:val="Normal"/>
    <w:uiPriority w:val="99"/>
    <w:pPr>
      <w:numPr>
        <w:numId w:val="18"/>
      </w:numPr>
      <w:spacing w:before="120" w:after="120" w:line="240" w:lineRule="auto"/>
      <w:jc w:val="both"/>
    </w:pPr>
    <w:rPr>
      <w:rFonts w:ascii="Times New Roman" w:eastAsia="Times New Roman" w:hAnsi="Times New Roman" w:cs="Times New Roman"/>
      <w:sz w:val="24"/>
      <w:szCs w:val="24"/>
    </w:rPr>
  </w:style>
  <w:style w:type="paragraph" w:customStyle="1" w:styleId="Corrigendum">
    <w:name w:val="Corrigendum"/>
    <w:basedOn w:val="Normal"/>
    <w:next w:val="Normal"/>
    <w:uiPriority w:val="99"/>
    <w:pPr>
      <w:spacing w:after="240" w:line="240" w:lineRule="auto"/>
    </w:pPr>
    <w:rPr>
      <w:rFonts w:ascii="Times New Roman" w:eastAsia="Times New Roman" w:hAnsi="Times New Roman" w:cs="Times New Roman"/>
      <w:sz w:val="24"/>
      <w:szCs w:val="24"/>
    </w:rPr>
  </w:style>
  <w:style w:type="paragraph" w:customStyle="1" w:styleId="Datedadoption">
    <w:name w:val="Date d'adoption"/>
    <w:basedOn w:val="Normal"/>
    <w:next w:val="Titreobjet"/>
    <w:uiPriority w:val="99"/>
    <w:pPr>
      <w:spacing w:before="360" w:after="0" w:line="240" w:lineRule="auto"/>
      <w:jc w:val="center"/>
    </w:pPr>
    <w:rPr>
      <w:rFonts w:ascii="Times New Roman" w:eastAsia="Times New Roman" w:hAnsi="Times New Roman" w:cs="Times New Roman"/>
      <w:b/>
      <w:sz w:val="24"/>
      <w:szCs w:val="24"/>
    </w:rPr>
  </w:style>
  <w:style w:type="paragraph" w:customStyle="1" w:styleId="Emission">
    <w:name w:val="Emission"/>
    <w:basedOn w:val="Normal"/>
    <w:next w:val="Rfrenceinstitutionnelle"/>
    <w:uiPriority w:val="99"/>
    <w:pPr>
      <w:spacing w:after="0" w:line="240" w:lineRule="auto"/>
      <w:ind w:left="5103"/>
    </w:pPr>
    <w:rPr>
      <w:rFonts w:ascii="Times New Roman" w:eastAsia="Times New Roman" w:hAnsi="Times New Roman" w:cs="Times New Roman"/>
      <w:sz w:val="24"/>
      <w:szCs w:val="24"/>
    </w:rPr>
  </w:style>
  <w:style w:type="paragraph" w:customStyle="1" w:styleId="Exposdesmotifstitre">
    <w:name w:val="Exposé des motifs titre"/>
    <w:basedOn w:val="Normal"/>
    <w:next w:val="Normal"/>
    <w:uiPriority w:val="99"/>
    <w:pPr>
      <w:spacing w:before="120" w:after="120" w:line="240" w:lineRule="auto"/>
      <w:jc w:val="center"/>
    </w:pPr>
    <w:rPr>
      <w:rFonts w:ascii="Times New Roman" w:eastAsia="Times New Roman" w:hAnsi="Times New Roman" w:cs="Times New Roman"/>
      <w:b/>
      <w:sz w:val="24"/>
      <w:szCs w:val="24"/>
      <w:u w:val="single"/>
    </w:rPr>
  </w:style>
  <w:style w:type="paragraph" w:customStyle="1" w:styleId="Fait">
    <w:name w:val="Fait à"/>
    <w:basedOn w:val="Normal"/>
    <w:next w:val="Institutionquisigne"/>
    <w:uiPriority w:val="99"/>
    <w:pPr>
      <w:keepNext/>
      <w:spacing w:before="120" w:after="0" w:line="240" w:lineRule="auto"/>
      <w:jc w:val="both"/>
    </w:pPr>
    <w:rPr>
      <w:rFonts w:ascii="Times New Roman" w:eastAsia="Times New Roman" w:hAnsi="Times New Roman" w:cs="Times New Roman"/>
      <w:sz w:val="24"/>
      <w:szCs w:val="24"/>
    </w:rPr>
  </w:style>
  <w:style w:type="paragraph" w:customStyle="1" w:styleId="Formuledadoption">
    <w:name w:val="Formule d'adoption"/>
    <w:basedOn w:val="Normal"/>
    <w:next w:val="Titrearticle"/>
    <w:uiPriority w:val="99"/>
    <w:pPr>
      <w:keepNext/>
      <w:spacing w:before="120" w:after="120" w:line="240" w:lineRule="auto"/>
      <w:jc w:val="both"/>
    </w:pPr>
    <w:rPr>
      <w:rFonts w:ascii="Times New Roman" w:eastAsia="Times New Roman" w:hAnsi="Times New Roman" w:cs="Times New Roman"/>
      <w:sz w:val="24"/>
      <w:szCs w:val="24"/>
    </w:rPr>
  </w:style>
  <w:style w:type="paragraph" w:customStyle="1" w:styleId="Institutionquiagit">
    <w:name w:val="Institution qui agit"/>
    <w:basedOn w:val="Normal"/>
    <w:next w:val="Normal"/>
    <w:uiPriority w:val="99"/>
    <w:pPr>
      <w:keepNext/>
      <w:spacing w:before="600" w:after="120" w:line="240" w:lineRule="auto"/>
      <w:jc w:val="both"/>
    </w:pPr>
    <w:rPr>
      <w:rFonts w:ascii="Times New Roman" w:eastAsia="Times New Roman" w:hAnsi="Times New Roman" w:cs="Times New Roman"/>
      <w:sz w:val="24"/>
      <w:szCs w:val="24"/>
    </w:rPr>
  </w:style>
  <w:style w:type="paragraph" w:customStyle="1" w:styleId="Institutionquisigne">
    <w:name w:val="Institution qui signe"/>
    <w:basedOn w:val="Normal"/>
    <w:next w:val="Personnequisigne"/>
    <w:uiPriority w:val="99"/>
    <w:pPr>
      <w:keepNext/>
      <w:tabs>
        <w:tab w:val="left" w:pos="4252"/>
      </w:tabs>
      <w:spacing w:before="720" w:after="0" w:line="240" w:lineRule="auto"/>
      <w:jc w:val="both"/>
    </w:pPr>
    <w:rPr>
      <w:rFonts w:ascii="Times New Roman" w:eastAsia="Times New Roman" w:hAnsi="Times New Roman" w:cs="Times New Roman"/>
      <w:i/>
      <w:sz w:val="24"/>
      <w:szCs w:val="24"/>
    </w:rPr>
  </w:style>
  <w:style w:type="paragraph" w:customStyle="1" w:styleId="Langue">
    <w:name w:val="Langue"/>
    <w:basedOn w:val="Normal"/>
    <w:next w:val="Rfrenceinterne"/>
    <w:uiPriority w:val="99"/>
    <w:pPr>
      <w:framePr w:wrap="around" w:vAnchor="page" w:hAnchor="text" w:xAlign="center" w:y="14741"/>
      <w:spacing w:after="600" w:line="240" w:lineRule="auto"/>
      <w:jc w:val="center"/>
    </w:pPr>
    <w:rPr>
      <w:rFonts w:ascii="Times New Roman" w:eastAsia="Times New Roman" w:hAnsi="Times New Roman" w:cs="Times New Roman"/>
      <w:b/>
      <w:caps/>
      <w:sz w:val="24"/>
      <w:szCs w:val="24"/>
    </w:rPr>
  </w:style>
  <w:style w:type="paragraph" w:customStyle="1" w:styleId="ManualConsidrant">
    <w:name w:val="Manual Considérant"/>
    <w:basedOn w:val="Normal"/>
    <w:uiPriority w:val="99"/>
    <w:pPr>
      <w:spacing w:before="120" w:after="120" w:line="240" w:lineRule="auto"/>
      <w:ind w:left="709" w:hanging="709"/>
      <w:jc w:val="both"/>
    </w:pPr>
    <w:rPr>
      <w:rFonts w:ascii="Times New Roman" w:eastAsia="Times New Roman" w:hAnsi="Times New Roman" w:cs="Times New Roman"/>
      <w:sz w:val="24"/>
      <w:szCs w:val="24"/>
    </w:rPr>
  </w:style>
  <w:style w:type="paragraph" w:customStyle="1" w:styleId="Nomdelinstitution">
    <w:name w:val="Nom de l'institution"/>
    <w:basedOn w:val="Normal"/>
    <w:next w:val="Emission"/>
    <w:uiPriority w:val="99"/>
    <w:pPr>
      <w:spacing w:after="0" w:line="240" w:lineRule="auto"/>
    </w:pPr>
    <w:rPr>
      <w:rFonts w:ascii="Arial" w:eastAsia="Times New Roman" w:hAnsi="Arial" w:cs="Arial"/>
      <w:sz w:val="24"/>
      <w:szCs w:val="24"/>
    </w:rPr>
  </w:style>
  <w:style w:type="paragraph" w:customStyle="1" w:styleId="Personnequisigne">
    <w:name w:val="Personne qui signe"/>
    <w:basedOn w:val="Normal"/>
    <w:next w:val="Institutionquisigne"/>
    <w:uiPriority w:val="99"/>
    <w:pPr>
      <w:tabs>
        <w:tab w:val="left" w:pos="4252"/>
      </w:tabs>
      <w:spacing w:after="0" w:line="240" w:lineRule="auto"/>
    </w:pPr>
    <w:rPr>
      <w:rFonts w:ascii="Times New Roman" w:eastAsia="Times New Roman" w:hAnsi="Times New Roman" w:cs="Times New Roman"/>
      <w:i/>
      <w:sz w:val="24"/>
      <w:szCs w:val="24"/>
    </w:rPr>
  </w:style>
  <w:style w:type="paragraph" w:customStyle="1" w:styleId="Rfrenceinstitutionnelle">
    <w:name w:val="Référence institutionnelle"/>
    <w:basedOn w:val="Normal"/>
    <w:next w:val="Confidentialit"/>
    <w:uiPriority w:val="99"/>
    <w:pPr>
      <w:spacing w:after="240" w:line="240" w:lineRule="auto"/>
      <w:ind w:left="5103"/>
    </w:pPr>
    <w:rPr>
      <w:rFonts w:ascii="Times New Roman" w:eastAsia="Times New Roman" w:hAnsi="Times New Roman" w:cs="Times New Roman"/>
      <w:sz w:val="24"/>
      <w:szCs w:val="24"/>
    </w:rPr>
  </w:style>
  <w:style w:type="paragraph" w:customStyle="1" w:styleId="Rfrenceinterinstitutionnelle">
    <w:name w:val="Référence interinstitutionnelle"/>
    <w:basedOn w:val="Normal"/>
    <w:next w:val="Statut"/>
    <w:uiPriority w:val="99"/>
    <w:pPr>
      <w:spacing w:after="0" w:line="240" w:lineRule="auto"/>
      <w:ind w:left="5103"/>
    </w:pPr>
    <w:rPr>
      <w:rFonts w:ascii="Times New Roman" w:eastAsia="Times New Roman" w:hAnsi="Times New Roman" w:cs="Times New Roman"/>
      <w:sz w:val="24"/>
      <w:szCs w:val="24"/>
    </w:rPr>
  </w:style>
  <w:style w:type="paragraph" w:customStyle="1" w:styleId="Rfrenceinterne">
    <w:name w:val="Référence interne"/>
    <w:basedOn w:val="Normal"/>
    <w:next w:val="Rfrenceinterinstitutionnelle"/>
    <w:uiPriority w:val="99"/>
    <w:pPr>
      <w:spacing w:after="0" w:line="240" w:lineRule="auto"/>
      <w:ind w:left="5103"/>
    </w:pPr>
    <w:rPr>
      <w:rFonts w:ascii="Times New Roman" w:eastAsia="Times New Roman" w:hAnsi="Times New Roman" w:cs="Times New Roman"/>
      <w:sz w:val="24"/>
      <w:szCs w:val="24"/>
    </w:rPr>
  </w:style>
  <w:style w:type="paragraph" w:customStyle="1" w:styleId="Sous-titreobjet">
    <w:name w:val="Sous-titre objet"/>
    <w:basedOn w:val="Normal"/>
    <w:uiPriority w:val="99"/>
    <w:pPr>
      <w:spacing w:after="0" w:line="240" w:lineRule="auto"/>
      <w:jc w:val="center"/>
    </w:pPr>
    <w:rPr>
      <w:rFonts w:ascii="Times New Roman" w:eastAsia="Times New Roman" w:hAnsi="Times New Roman" w:cs="Times New Roman"/>
      <w:b/>
      <w:sz w:val="24"/>
      <w:szCs w:val="24"/>
    </w:rPr>
  </w:style>
  <w:style w:type="paragraph" w:customStyle="1" w:styleId="Statut">
    <w:name w:val="Statut"/>
    <w:basedOn w:val="Normal"/>
    <w:next w:val="Typedudocument"/>
    <w:uiPriority w:val="99"/>
    <w:pPr>
      <w:spacing w:before="360" w:after="0" w:line="240" w:lineRule="auto"/>
      <w:jc w:val="center"/>
    </w:pPr>
    <w:rPr>
      <w:rFonts w:ascii="Times New Roman" w:eastAsia="Times New Roman" w:hAnsi="Times New Roman" w:cs="Times New Roman"/>
      <w:sz w:val="24"/>
      <w:szCs w:val="24"/>
    </w:rPr>
  </w:style>
  <w:style w:type="paragraph" w:customStyle="1" w:styleId="Titrearticle">
    <w:name w:val="Titre article"/>
    <w:basedOn w:val="Normal"/>
    <w:next w:val="Normal"/>
    <w:uiPriority w:val="99"/>
    <w:pPr>
      <w:keepNext/>
      <w:spacing w:before="360" w:after="120" w:line="240" w:lineRule="auto"/>
      <w:jc w:val="center"/>
    </w:pPr>
    <w:rPr>
      <w:rFonts w:ascii="Times New Roman" w:eastAsia="Times New Roman" w:hAnsi="Times New Roman" w:cs="Times New Roman"/>
      <w:i/>
      <w:sz w:val="24"/>
      <w:szCs w:val="24"/>
    </w:rPr>
  </w:style>
  <w:style w:type="paragraph" w:customStyle="1" w:styleId="Titreobjet">
    <w:name w:val="Titre objet"/>
    <w:basedOn w:val="Normal"/>
    <w:next w:val="Sous-titreobjet"/>
    <w:uiPriority w:val="99"/>
    <w:pPr>
      <w:spacing w:before="360" w:after="360" w:line="240" w:lineRule="auto"/>
      <w:jc w:val="center"/>
    </w:pPr>
    <w:rPr>
      <w:rFonts w:ascii="Times New Roman" w:eastAsia="Times New Roman" w:hAnsi="Times New Roman" w:cs="Times New Roman"/>
      <w:b/>
      <w:sz w:val="24"/>
      <w:szCs w:val="24"/>
    </w:rPr>
  </w:style>
  <w:style w:type="paragraph" w:customStyle="1" w:styleId="Typedudocument">
    <w:name w:val="Type du document"/>
    <w:basedOn w:val="Normal"/>
    <w:next w:val="Titreobjet"/>
    <w:uiPriority w:val="99"/>
    <w:pPr>
      <w:spacing w:before="360" w:after="0" w:line="240" w:lineRule="auto"/>
      <w:jc w:val="center"/>
    </w:pPr>
    <w:rPr>
      <w:rFonts w:ascii="Times New Roman" w:eastAsia="Times New Roman" w:hAnsi="Times New Roman" w:cs="Times New Roman"/>
      <w:b/>
      <w:sz w:val="24"/>
      <w:szCs w:val="24"/>
    </w:rPr>
  </w:style>
  <w:style w:type="character" w:customStyle="1" w:styleId="Added">
    <w:name w:val="Added"/>
    <w:rPr>
      <w:b/>
      <w:u w:val="single"/>
      <w:shd w:val="clear" w:color="auto" w:fill="auto"/>
    </w:rPr>
  </w:style>
  <w:style w:type="character" w:customStyle="1" w:styleId="Deleted">
    <w:name w:val="Deleted"/>
    <w:rPr>
      <w:strike/>
      <w:shd w:val="clear" w:color="auto" w:fill="auto"/>
    </w:rPr>
  </w:style>
  <w:style w:type="paragraph" w:customStyle="1" w:styleId="Address">
    <w:name w:val="Address"/>
    <w:basedOn w:val="Normal"/>
    <w:next w:val="Normal"/>
    <w:uiPriority w:val="99"/>
    <w:pPr>
      <w:keepLines/>
      <w:spacing w:before="120" w:after="120" w:line="360" w:lineRule="auto"/>
      <w:ind w:left="3402"/>
    </w:pPr>
    <w:rPr>
      <w:rFonts w:ascii="Times New Roman" w:eastAsia="Times New Roman" w:hAnsi="Times New Roman" w:cs="Times New Roman"/>
      <w:sz w:val="24"/>
      <w:szCs w:val="24"/>
    </w:rPr>
  </w:style>
  <w:style w:type="paragraph" w:customStyle="1" w:styleId="Objetexterne">
    <w:name w:val="Objet externe"/>
    <w:basedOn w:val="Normal"/>
    <w:next w:val="Normal"/>
    <w:uiPriority w:val="99"/>
    <w:pPr>
      <w:spacing w:before="120" w:after="120" w:line="240" w:lineRule="auto"/>
      <w:jc w:val="both"/>
    </w:pPr>
    <w:rPr>
      <w:rFonts w:ascii="Times New Roman" w:eastAsia="Times New Roman" w:hAnsi="Times New Roman" w:cs="Times New Roman"/>
      <w:i/>
      <w:caps/>
      <w:sz w:val="24"/>
      <w:szCs w:val="24"/>
    </w:rPr>
  </w:style>
  <w:style w:type="paragraph" w:customStyle="1" w:styleId="Supertitre">
    <w:name w:val="Supertitre"/>
    <w:basedOn w:val="Normal"/>
    <w:next w:val="Normal"/>
    <w:uiPriority w:val="99"/>
    <w:pPr>
      <w:spacing w:after="600" w:line="240" w:lineRule="auto"/>
      <w:jc w:val="center"/>
    </w:pPr>
    <w:rPr>
      <w:rFonts w:ascii="Times New Roman" w:eastAsia="Times New Roman" w:hAnsi="Times New Roman" w:cs="Times New Roman"/>
      <w:b/>
      <w:sz w:val="24"/>
      <w:szCs w:val="24"/>
    </w:rPr>
  </w:style>
  <w:style w:type="paragraph" w:customStyle="1" w:styleId="Languesfaisantfoi">
    <w:name w:val="Langues faisant foi"/>
    <w:basedOn w:val="Normal"/>
    <w:next w:val="Normal"/>
    <w:uiPriority w:val="99"/>
    <w:pPr>
      <w:spacing w:before="360" w:after="0" w:line="240" w:lineRule="auto"/>
      <w:jc w:val="center"/>
    </w:pPr>
    <w:rPr>
      <w:rFonts w:ascii="Times New Roman" w:eastAsia="Times New Roman" w:hAnsi="Times New Roman" w:cs="Times New Roman"/>
      <w:sz w:val="24"/>
      <w:szCs w:val="24"/>
    </w:rPr>
  </w:style>
  <w:style w:type="paragraph" w:customStyle="1" w:styleId="Rfrencecroise">
    <w:name w:val="Référence croisée"/>
    <w:basedOn w:val="Normal"/>
    <w:uiPriority w:val="99"/>
    <w:pPr>
      <w:spacing w:after="0" w:line="240" w:lineRule="auto"/>
      <w:jc w:val="center"/>
    </w:pPr>
    <w:rPr>
      <w:rFonts w:ascii="Times New Roman" w:eastAsia="Times New Roman" w:hAnsi="Times New Roman" w:cs="Times New Roman"/>
      <w:sz w:val="24"/>
      <w:szCs w:val="24"/>
    </w:rPr>
  </w:style>
  <w:style w:type="paragraph" w:customStyle="1" w:styleId="Fichefinanciretitre">
    <w:name w:val="Fiche financière titre"/>
    <w:basedOn w:val="Normal"/>
    <w:next w:val="Normal"/>
    <w:uiPriority w:val="99"/>
    <w:pPr>
      <w:spacing w:before="120" w:after="120" w:line="240" w:lineRule="auto"/>
      <w:jc w:val="center"/>
    </w:pPr>
    <w:rPr>
      <w:rFonts w:ascii="Times New Roman" w:eastAsia="Times New Roman" w:hAnsi="Times New Roman" w:cs="Times New Roman"/>
      <w:b/>
      <w:sz w:val="24"/>
      <w:szCs w:val="24"/>
      <w:u w:val="single"/>
    </w:rPr>
  </w:style>
  <w:style w:type="paragraph" w:customStyle="1" w:styleId="DatedadoptionPagedecouverture">
    <w:name w:val="Date d'adoption (Page de couverture)"/>
    <w:basedOn w:val="Datedadoption"/>
    <w:next w:val="TitreobjetPagedecouverture"/>
    <w:uiPriority w:val="99"/>
  </w:style>
  <w:style w:type="paragraph" w:customStyle="1" w:styleId="RfrenceinterinstitutionnellePagedecouverture">
    <w:name w:val="Référence interinstitutionnelle (Page de couverture)"/>
    <w:basedOn w:val="Rfrenceinterinstitutionnelle"/>
    <w:next w:val="Confidentialit"/>
    <w:uiPriority w:val="99"/>
  </w:style>
  <w:style w:type="paragraph" w:customStyle="1" w:styleId="Sous-titreobjetPagedecouverture">
    <w:name w:val="Sous-titre objet (Page de couverture)"/>
    <w:basedOn w:val="Sous-titreobjet"/>
    <w:uiPriority w:val="99"/>
  </w:style>
  <w:style w:type="paragraph" w:customStyle="1" w:styleId="StatutPagedecouverture">
    <w:name w:val="Statut (Page de couverture)"/>
    <w:basedOn w:val="Statut"/>
    <w:next w:val="TypedudocumentPagedecouverture"/>
    <w:uiPriority w:val="99"/>
  </w:style>
  <w:style w:type="paragraph" w:customStyle="1" w:styleId="TitreobjetPagedecouverture">
    <w:name w:val="Titre objet (Page de couverture)"/>
    <w:basedOn w:val="Titreobjet"/>
    <w:next w:val="Sous-titreobjetPagedecouverture"/>
    <w:uiPriority w:val="99"/>
  </w:style>
  <w:style w:type="paragraph" w:customStyle="1" w:styleId="TypedudocumentPagedecouverture">
    <w:name w:val="Type du document (Page de couverture)"/>
    <w:basedOn w:val="Typedudocument"/>
    <w:next w:val="TitreobjetPagedecouverture"/>
    <w:uiPriority w:val="99"/>
  </w:style>
  <w:style w:type="paragraph" w:customStyle="1" w:styleId="Volume">
    <w:name w:val="Volume"/>
    <w:basedOn w:val="Normal"/>
    <w:next w:val="Confidentialit"/>
    <w:uiPriority w:val="99"/>
    <w:pPr>
      <w:spacing w:after="240" w:line="240" w:lineRule="auto"/>
      <w:ind w:left="5103"/>
    </w:pPr>
    <w:rPr>
      <w:rFonts w:ascii="Times New Roman" w:eastAsia="Times New Roman" w:hAnsi="Times New Roman" w:cs="Times New Roman"/>
      <w:sz w:val="24"/>
      <w:szCs w:val="24"/>
    </w:rPr>
  </w:style>
  <w:style w:type="paragraph" w:customStyle="1" w:styleId="IntrtEEE">
    <w:name w:val="Intérêt EEE"/>
    <w:basedOn w:val="Languesfaisantfoi"/>
    <w:next w:val="Normal"/>
    <w:uiPriority w:val="99"/>
    <w:pPr>
      <w:spacing w:after="240"/>
    </w:pPr>
  </w:style>
  <w:style w:type="paragraph" w:customStyle="1" w:styleId="Accompagnant">
    <w:name w:val="Accompagnant"/>
    <w:basedOn w:val="Normal"/>
    <w:next w:val="Typeacteprincipal"/>
    <w:uiPriority w:val="99"/>
    <w:pPr>
      <w:spacing w:after="240" w:line="240" w:lineRule="auto"/>
      <w:jc w:val="center"/>
    </w:pPr>
    <w:rPr>
      <w:rFonts w:ascii="Times New Roman" w:eastAsia="Times New Roman" w:hAnsi="Times New Roman" w:cs="Times New Roman"/>
      <w:b/>
      <w:i/>
      <w:sz w:val="24"/>
      <w:szCs w:val="24"/>
    </w:rPr>
  </w:style>
  <w:style w:type="paragraph" w:customStyle="1" w:styleId="Typeacteprincipal">
    <w:name w:val="Type acte principal"/>
    <w:basedOn w:val="Normal"/>
    <w:next w:val="Objetacteprincipal"/>
    <w:uiPriority w:val="99"/>
    <w:pPr>
      <w:spacing w:after="240" w:line="240" w:lineRule="auto"/>
      <w:jc w:val="center"/>
    </w:pPr>
    <w:rPr>
      <w:rFonts w:ascii="Times New Roman" w:eastAsia="Times New Roman" w:hAnsi="Times New Roman" w:cs="Times New Roman"/>
      <w:b/>
      <w:sz w:val="24"/>
      <w:szCs w:val="24"/>
    </w:rPr>
  </w:style>
  <w:style w:type="paragraph" w:customStyle="1" w:styleId="Objetacteprincipal">
    <w:name w:val="Objet acte principal"/>
    <w:basedOn w:val="Normal"/>
    <w:next w:val="Titrearticle"/>
    <w:uiPriority w:val="99"/>
    <w:pPr>
      <w:spacing w:after="360" w:line="240" w:lineRule="auto"/>
      <w:jc w:val="center"/>
    </w:pPr>
    <w:rPr>
      <w:rFonts w:ascii="Times New Roman" w:eastAsia="Times New Roman" w:hAnsi="Times New Roman" w:cs="Times New Roman"/>
      <w:b/>
      <w:sz w:val="24"/>
      <w:szCs w:val="24"/>
    </w:rPr>
  </w:style>
  <w:style w:type="paragraph" w:customStyle="1" w:styleId="IntrtEEEPagedecouverture">
    <w:name w:val="Intérêt EEE (Page de couverture)"/>
    <w:basedOn w:val="IntrtEEE"/>
    <w:next w:val="Rfrencecroise"/>
    <w:uiPriority w:val="99"/>
  </w:style>
  <w:style w:type="paragraph" w:customStyle="1" w:styleId="AccompagnantPagedecouverture">
    <w:name w:val="Accompagnant (Page de couverture)"/>
    <w:basedOn w:val="Accompagnant"/>
    <w:next w:val="TypeacteprincipalPagedecouverture"/>
    <w:uiPriority w:val="99"/>
  </w:style>
  <w:style w:type="paragraph" w:customStyle="1" w:styleId="TypeacteprincipalPagedecouverture">
    <w:name w:val="Type acte principal (Page de couverture)"/>
    <w:basedOn w:val="Typeacteprincipal"/>
    <w:next w:val="ObjetacteprincipalPagedecouverture"/>
    <w:uiPriority w:val="99"/>
  </w:style>
  <w:style w:type="paragraph" w:customStyle="1" w:styleId="ObjetacteprincipalPagedecouverture">
    <w:name w:val="Objet acte principal (Page de couverture)"/>
    <w:basedOn w:val="Objetacteprincipal"/>
    <w:next w:val="Rfrencecroise"/>
    <w:uiPriority w:val="99"/>
  </w:style>
  <w:style w:type="paragraph" w:customStyle="1" w:styleId="LanguesfaisantfoiPagedecouverture">
    <w:name w:val="Langues faisant foi (Page de couverture)"/>
    <w:basedOn w:val="Normal"/>
    <w:next w:val="Normal"/>
    <w:uiPriority w:val="99"/>
    <w:pPr>
      <w:spacing w:before="360" w:after="0" w:line="240" w:lineRule="auto"/>
      <w:jc w:val="center"/>
    </w:pPr>
    <w:rPr>
      <w:rFonts w:ascii="Times New Roman" w:eastAsia="Times New Roman" w:hAnsi="Times New Roman" w:cs="Times New Roman"/>
      <w:sz w:val="24"/>
      <w:szCs w:val="24"/>
    </w:rPr>
  </w:style>
  <w:style w:type="paragraph" w:styleId="ListBullet2">
    <w:name w:val="List Bullet 2"/>
    <w:basedOn w:val="Normal"/>
    <w:uiPriority w:val="99"/>
    <w:pPr>
      <w:numPr>
        <w:numId w:val="19"/>
      </w:numPr>
      <w:spacing w:before="120" w:after="120" w:line="240" w:lineRule="auto"/>
      <w:contextualSpacing/>
      <w:jc w:val="both"/>
    </w:pPr>
    <w:rPr>
      <w:rFonts w:ascii="Times New Roman" w:eastAsia="Times New Roman" w:hAnsi="Times New Roman" w:cs="Times New Roman"/>
      <w:sz w:val="24"/>
      <w:szCs w:val="24"/>
    </w:rPr>
  </w:style>
  <w:style w:type="paragraph" w:styleId="ListBullet3">
    <w:name w:val="List Bullet 3"/>
    <w:basedOn w:val="Normal"/>
    <w:uiPriority w:val="99"/>
    <w:pPr>
      <w:numPr>
        <w:numId w:val="20"/>
      </w:numPr>
      <w:spacing w:before="120" w:after="120" w:line="240" w:lineRule="auto"/>
      <w:contextualSpacing/>
      <w:jc w:val="both"/>
    </w:pPr>
    <w:rPr>
      <w:rFonts w:ascii="Times New Roman" w:eastAsia="Times New Roman" w:hAnsi="Times New Roman" w:cs="Times New Roman"/>
      <w:sz w:val="24"/>
      <w:szCs w:val="24"/>
    </w:rPr>
  </w:style>
  <w:style w:type="paragraph" w:styleId="ListBullet4">
    <w:name w:val="List Bullet 4"/>
    <w:basedOn w:val="Normal"/>
    <w:uiPriority w:val="99"/>
    <w:pPr>
      <w:numPr>
        <w:numId w:val="21"/>
      </w:numPr>
      <w:spacing w:before="120" w:after="120" w:line="240" w:lineRule="auto"/>
      <w:contextualSpacing/>
      <w:jc w:val="both"/>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tandard3520normal">
    <w:name w:val="a_standard__35__20_normal"/>
    <w:basedOn w:val="Normal"/>
    <w:uiPriority w:val="99"/>
    <w:pPr>
      <w:spacing w:after="120" w:line="240" w:lineRule="auto"/>
      <w:ind w:right="57"/>
      <w:jc w:val="both"/>
    </w:pPr>
    <w:rPr>
      <w:rFonts w:ascii="Times New Roman" w:eastAsia="Times New Roman" w:hAnsi="Times New Roman" w:cs="Times New Roman"/>
      <w:b/>
      <w:bCs/>
      <w:sz w:val="24"/>
      <w:szCs w:val="24"/>
      <w:lang w:eastAsia="en-GB"/>
    </w:rPr>
  </w:style>
  <w:style w:type="character" w:customStyle="1" w:styleId="at21">
    <w:name w:val="a__t21"/>
    <w:rPr>
      <w:b w:val="0"/>
      <w:bCs w:val="0"/>
    </w:rPr>
  </w:style>
  <w:style w:type="character" w:customStyle="1" w:styleId="at12">
    <w:name w:val="a__t12"/>
    <w:rPr>
      <w:b w:val="0"/>
      <w:bCs w:val="0"/>
    </w:rPr>
  </w:style>
  <w:style w:type="paragraph" w:customStyle="1" w:styleId="Headinsh2">
    <w:name w:val="Headinsh 2"/>
    <w:basedOn w:val="Text1"/>
    <w:uiPriority w:val="99"/>
  </w:style>
  <w:style w:type="character" w:styleId="FollowedHyperlink">
    <w:name w:val="FollowedHyperlink"/>
    <w:uiPriority w:val="99"/>
    <w:rPr>
      <w:color w:val="800080"/>
      <w:u w:val="single"/>
    </w:rPr>
  </w:style>
  <w:style w:type="paragraph" w:customStyle="1" w:styleId="Headig4">
    <w:name w:val="Headig 4"/>
    <w:basedOn w:val="Normal"/>
    <w:uiPriority w:val="99"/>
    <w:pPr>
      <w:autoSpaceDE w:val="0"/>
      <w:autoSpaceDN w:val="0"/>
      <w:adjustRightInd w:val="0"/>
      <w:spacing w:after="166" w:line="240" w:lineRule="auto"/>
      <w:jc w:val="both"/>
    </w:pPr>
    <w:rPr>
      <w:rFonts w:ascii="Times New Roman" w:eastAsia="Times New Roman" w:hAnsi="Times New Roman" w:cs="Times New Roman"/>
      <w:b/>
      <w:sz w:val="24"/>
      <w:szCs w:val="24"/>
      <w:lang w:eastAsia="en-GB"/>
    </w:rPr>
  </w:style>
  <w:style w:type="character" w:styleId="HTMLCite">
    <w:name w:val="HTML Cite"/>
    <w:uiPriority w:val="99"/>
    <w:unhideWhenUsed/>
    <w:rPr>
      <w:i/>
      <w:iCs/>
    </w:rPr>
  </w:style>
  <w:style w:type="character" w:customStyle="1" w:styleId="t-dates1">
    <w:name w:val="t-dates1"/>
    <w:rPr>
      <w:color w:val="414141"/>
    </w:rPr>
  </w:style>
  <w:style w:type="character" w:customStyle="1" w:styleId="FootnoteCharacters">
    <w:name w:val="Footnote Characters"/>
    <w:rPr>
      <w:rFonts w:cs="Times New Roman"/>
      <w:vertAlign w:val="superscript"/>
    </w:rPr>
  </w:style>
  <w:style w:type="character" w:customStyle="1" w:styleId="Odwoanieprzypisudolnego2">
    <w:name w:val="Odwołanie przypisu dolnego2"/>
    <w:rPr>
      <w:vertAlign w:val="superscript"/>
    </w:rPr>
  </w:style>
  <w:style w:type="paragraph" w:customStyle="1" w:styleId="Heaing2">
    <w:name w:val="Heaing 2"/>
    <w:basedOn w:val="Heading3"/>
    <w:uiPriority w:val="99"/>
    <w:pPr>
      <w:keepLines w:val="0"/>
      <w:spacing w:before="120" w:after="120" w:line="240" w:lineRule="auto"/>
      <w:jc w:val="both"/>
    </w:pPr>
    <w:rPr>
      <w:rFonts w:ascii="Times New Roman" w:eastAsia="Times New Roman" w:hAnsi="Times New Roman" w:cs="Times New Roman"/>
      <w:color w:val="auto"/>
      <w:sz w:val="24"/>
      <w:szCs w:val="26"/>
      <w:lang w:eastAsia="en-GB"/>
    </w:rPr>
  </w:style>
  <w:style w:type="paragraph" w:customStyle="1" w:styleId="Headung3">
    <w:name w:val="Headung 3"/>
    <w:basedOn w:val="Normal"/>
    <w:uiPriority w:val="99"/>
    <w:rPr>
      <w:rFonts w:ascii="Times New Roman" w:eastAsia="Calibri" w:hAnsi="Times New Roman" w:cs="Times New Roman"/>
      <w:color w:val="000000"/>
      <w:sz w:val="24"/>
      <w:szCs w:val="24"/>
    </w:rPr>
  </w:style>
  <w:style w:type="paragraph" w:customStyle="1" w:styleId="ZDGName">
    <w:name w:val="Z_DGName"/>
    <w:basedOn w:val="Normal"/>
    <w:uiPriority w:val="99"/>
    <w:pPr>
      <w:widowControl w:val="0"/>
      <w:autoSpaceDE w:val="0"/>
      <w:autoSpaceDN w:val="0"/>
      <w:spacing w:after="0" w:line="240" w:lineRule="auto"/>
      <w:ind w:right="85"/>
    </w:pPr>
    <w:rPr>
      <w:rFonts w:ascii="Arial" w:eastAsia="Times New Roman" w:hAnsi="Arial" w:cs="Arial"/>
      <w:sz w:val="16"/>
      <w:szCs w:val="16"/>
      <w:lang w:eastAsia="en-GB"/>
    </w:rPr>
  </w:style>
  <w:style w:type="numbering" w:customStyle="1" w:styleId="NoList2">
    <w:name w:val="No List2"/>
    <w:next w:val="NoList"/>
    <w:uiPriority w:val="99"/>
    <w:semiHidden/>
    <w:unhideWhenUsed/>
  </w:style>
  <w:style w:type="table" w:customStyle="1" w:styleId="TableGrid2">
    <w:name w:val="Table Grid2"/>
    <w:basedOn w:val="TableNormal"/>
    <w:next w:val="TableGri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Efoot">
    <w:name w:val="SME_foot"/>
    <w:basedOn w:val="Normal"/>
    <w:link w:val="SMEfootCar"/>
    <w:qFormat/>
    <w:pPr>
      <w:autoSpaceDE w:val="0"/>
      <w:autoSpaceDN w:val="0"/>
      <w:adjustRightInd w:val="0"/>
      <w:spacing w:after="0" w:line="240" w:lineRule="auto"/>
      <w:ind w:right="74"/>
    </w:pPr>
    <w:rPr>
      <w:rFonts w:ascii="EC Square Sans Pro Medium" w:hAnsi="EC Square Sans Pro Medium" w:cs="MyriadPro-It"/>
      <w:i/>
      <w:iCs/>
      <w:sz w:val="16"/>
      <w:szCs w:val="16"/>
      <w:lang w:val="fr-FR"/>
    </w:rPr>
  </w:style>
  <w:style w:type="character" w:customStyle="1" w:styleId="SMEfootCar">
    <w:name w:val="SME_foot Car"/>
    <w:basedOn w:val="DefaultParagraphFont"/>
    <w:link w:val="SMEfoot"/>
    <w:rPr>
      <w:rFonts w:ascii="EC Square Sans Pro Medium" w:hAnsi="EC Square Sans Pro Medium" w:cs="MyriadPro-It"/>
      <w:i/>
      <w:iCs/>
      <w:sz w:val="16"/>
      <w:szCs w:val="16"/>
      <w:lang w:val="fr-FR"/>
    </w:rPr>
  </w:style>
  <w:style w:type="character" w:customStyle="1" w:styleId="FootnoteTextChar2">
    <w:name w:val="Footnote Text Char2"/>
    <w:aliases w:val="Footnote Char1,Fußnote Char1,Footnote Text Char Char Char1,Footnote Text Char1 Char1,Footnote Text Char2 Char Char1,Footnote Text Char1 Char1 Char Char1,Footnote Text Char2 Char Char Char Char1,Plonk Char,fn Char,fn Char Char Char"/>
    <w:basedOn w:val="DefaultParagraphFont"/>
    <w:uiPriority w:val="99"/>
    <w:semiHidden/>
  </w:style>
  <w:style w:type="paragraph" w:customStyle="1" w:styleId="SMEparagraph">
    <w:name w:val="SME_paragraph"/>
    <w:autoRedefine/>
    <w:uiPriority w:val="99"/>
    <w:qFormat/>
    <w:pPr>
      <w:autoSpaceDE w:val="0"/>
      <w:autoSpaceDN w:val="0"/>
      <w:adjustRightInd w:val="0"/>
      <w:spacing w:after="0" w:line="240" w:lineRule="exact"/>
      <w:ind w:left="360" w:right="720"/>
      <w:jc w:val="both"/>
    </w:pPr>
    <w:rPr>
      <w:rFonts w:ascii="EC Square Sans Pro" w:hAnsi="EC Square Sans Pro"/>
      <w:noProof/>
      <w:sz w:val="20"/>
      <w:szCs w:val="20"/>
      <w:lang w:val="en-US" w:eastAsia="en-GB"/>
    </w:rPr>
  </w:style>
  <w:style w:type="character" w:customStyle="1" w:styleId="CaptionChar">
    <w:name w:val="Caption Char"/>
    <w:aliases w:val="Char Char Char Char,Caption1 Char Char Char Char Char Char Char Char Char,Caption1 Char Char Char Char Char Char Char Char Tegn Tegn Tegn Tegn Tegn Char,Caption1 Char Char Char Char Char Char Char Char Tegn Tegn Tegn Char,Char Car Char"/>
    <w:link w:val="Caption"/>
    <w:rPr>
      <w:rFonts w:ascii="Verdana" w:eastAsia="Calibri" w:hAnsi="Verdana" w:cs="Times New Roman"/>
      <w:b/>
      <w:bCs/>
      <w:sz w:val="20"/>
      <w:szCs w:val="18"/>
    </w:rPr>
  </w:style>
  <w:style w:type="character" w:customStyle="1" w:styleId="LETableHeading">
    <w:name w:val="LE Table Heading"/>
    <w:basedOn w:val="DefaultParagraphFont"/>
    <w:uiPriority w:val="1"/>
    <w:qFormat/>
    <w:rPr>
      <w:rFonts w:ascii="Calibri" w:hAnsi="Calibri"/>
      <w:b/>
      <w:dstrike w:val="0"/>
      <w:color w:val="244890"/>
      <w:sz w:val="20"/>
      <w:vertAlign w:val="baseline"/>
    </w:rPr>
  </w:style>
  <w:style w:type="paragraph" w:styleId="BodyText">
    <w:name w:val="Body Text"/>
    <w:aliases w:val="Body Text Char1,Body Text Char Char,Body Text Char2 Char Char,Body Text Char1 Char Char Char,Body Text Char Char Char Char Char,Body Text Char2 Char Char Char Char Char,Body Text Char1 Char Char Char Char Char Char,Bod,Body,bt,b,body"/>
    <w:basedOn w:val="Normal"/>
    <w:link w:val="BodyTextChar"/>
    <w:pPr>
      <w:spacing w:after="270" w:line="270" w:lineRule="atLeast"/>
    </w:pPr>
    <w:rPr>
      <w:rFonts w:ascii="Times New Roman" w:hAnsi="Times New Roman" w:cs="Times New Roman"/>
      <w:sz w:val="23"/>
      <w:szCs w:val="20"/>
      <w:lang w:eastAsia="da-DK"/>
    </w:rPr>
  </w:style>
  <w:style w:type="character" w:customStyle="1" w:styleId="BodyTextChar">
    <w:name w:val="Body Text Char"/>
    <w:aliases w:val="Body Text Char1 Char,Body Text Char Char Char,Body Text Char2 Char Char Char,Body Text Char1 Char Char Char Char,Body Text Char Char Char Char Char Char,Body Text Char2 Char Char Char Char Char Char,Bod Char,Body Char,bt Char,b Char"/>
    <w:basedOn w:val="DefaultParagraphFont"/>
    <w:link w:val="BodyText"/>
    <w:rPr>
      <w:rFonts w:ascii="Times New Roman" w:hAnsi="Times New Roman" w:cs="Times New Roman"/>
      <w:sz w:val="23"/>
      <w:szCs w:val="20"/>
      <w:lang w:eastAsia="da-DK"/>
    </w:rPr>
  </w:style>
  <w:style w:type="paragraph" w:customStyle="1" w:styleId="Standard">
    <w:name w:val="Standard"/>
    <w:pPr>
      <w:suppressAutoHyphens/>
      <w:autoSpaceDN w:val="0"/>
      <w:spacing w:after="240" w:line="240" w:lineRule="auto"/>
      <w:jc w:val="both"/>
      <w:textAlignment w:val="baseline"/>
    </w:pPr>
    <w:rPr>
      <w:rFonts w:ascii="Times New Roman" w:eastAsia="Times New Roman" w:hAnsi="Times New Roman" w:cs="Times New Roman"/>
      <w:kern w:val="3"/>
      <w:sz w:val="28"/>
      <w:szCs w:val="20"/>
    </w:rPr>
  </w:style>
  <w:style w:type="paragraph" w:styleId="DocumentMap">
    <w:name w:val="Document Map"/>
    <w:basedOn w:val="Normal"/>
    <w:link w:val="DocumentMapChar"/>
    <w:uiPriority w:val="99"/>
    <w:semiHidden/>
    <w:unhideWhenUsed/>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Pr>
      <w:rFonts w:ascii="Lucida Grande" w:hAnsi="Lucida Grande" w:cs="Lucida Grande"/>
      <w:sz w:val="24"/>
      <w:szCs w:val="24"/>
    </w:rPr>
  </w:style>
  <w:style w:type="character" w:customStyle="1" w:styleId="Corpsdutexte0">
    <w:name w:val="Corps du texte_"/>
    <w:basedOn w:val="DefaultParagraphFont"/>
    <w:link w:val="Corpsdutexte"/>
    <w:rPr>
      <w:sz w:val="24"/>
      <w:szCs w:val="24"/>
    </w:rPr>
  </w:style>
  <w:style w:type="paragraph" w:customStyle="1" w:styleId="Corpsdutexte">
    <w:name w:val="Corps du texte"/>
    <w:basedOn w:val="Normal"/>
    <w:link w:val="Corpsdutexte0"/>
    <w:pPr>
      <w:widowControl w:val="0"/>
      <w:numPr>
        <w:ilvl w:val="4"/>
        <w:numId w:val="30"/>
      </w:numPr>
      <w:tabs>
        <w:tab w:val="left" w:pos="1422"/>
      </w:tabs>
      <w:spacing w:after="0" w:line="240" w:lineRule="auto"/>
      <w:ind w:left="709" w:right="40" w:hanging="709"/>
      <w:jc w:val="both"/>
    </w:pPr>
    <w:rPr>
      <w:sz w:val="24"/>
      <w:szCs w:val="24"/>
    </w:rPr>
  </w:style>
  <w:style w:type="table" w:styleId="LightShading-Accent4">
    <w:name w:val="Light Shading Accent 4"/>
    <w:basedOn w:val="TableNormal"/>
    <w:uiPriority w:val="60"/>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2">
    <w:name w:val="Light Shading Accent 2"/>
    <w:basedOn w:val="TableNormal"/>
    <w:uiPriority w:val="6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IntenseEmphasis">
    <w:name w:val="Intense Emphasis"/>
    <w:basedOn w:val="DefaultParagraphFont"/>
    <w:uiPriority w:val="21"/>
    <w:qFormat/>
    <w:rPr>
      <w:b/>
      <w:bCs/>
      <w:i/>
      <w:iCs/>
      <w:color w:val="4F81BD" w:themeColor="accent1"/>
    </w:r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SubtleEmphasis">
    <w:name w:val="Subtle Emphasis"/>
    <w:basedOn w:val="DefaultParagraphFont"/>
    <w:uiPriority w:val="19"/>
    <w:qFormat/>
    <w:rPr>
      <w:i/>
      <w:iCs/>
      <w:color w:val="808080" w:themeColor="text1" w:themeTint="7F"/>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CM1">
    <w:name w:val="CM1"/>
    <w:basedOn w:val="Normal"/>
    <w:next w:val="Normal"/>
    <w:uiPriority w:val="99"/>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uiPriority w:val="99"/>
    <w:pPr>
      <w:autoSpaceDE w:val="0"/>
      <w:autoSpaceDN w:val="0"/>
      <w:adjustRightInd w:val="0"/>
      <w:spacing w:after="0" w:line="240" w:lineRule="auto"/>
    </w:pPr>
    <w:rPr>
      <w:rFonts w:ascii="EUAlbertina" w:hAnsi="EUAlbertina"/>
      <w:sz w:val="24"/>
      <w:szCs w:val="24"/>
    </w:rPr>
  </w:style>
  <w:style w:type="paragraph" w:customStyle="1" w:styleId="CM4">
    <w:name w:val="CM4"/>
    <w:basedOn w:val="Normal"/>
    <w:next w:val="Normal"/>
    <w:uiPriority w:val="99"/>
    <w:pPr>
      <w:autoSpaceDE w:val="0"/>
      <w:autoSpaceDN w:val="0"/>
      <w:adjustRightInd w:val="0"/>
      <w:spacing w:after="0" w:line="240" w:lineRule="auto"/>
    </w:pPr>
    <w:rPr>
      <w:rFonts w:ascii="EUAlbertina" w:hAnsi="EUAlbertina"/>
      <w:sz w:val="24"/>
      <w:szCs w:val="24"/>
    </w:r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Shading1">
    <w:name w:val="Light Shading1"/>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1">
    <w:name w:val="Medium Shading 1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ListParagraphChar">
    <w:name w:val="List Paragraph Char"/>
    <w:aliases w:val="Normal bullet 2 Char,List Paragraph1 Char,Bullet list Char,Lettre d'introduction Char,1st level - Bullet List Paragraph Char,Bullet List Paragraph Char,Medium Grid 1 - Accent 21 Char,Listenabsatz Char,List Paragraph11 Char"/>
    <w:basedOn w:val="DefaultParagraphFont"/>
    <w:link w:val="ListParagraph"/>
    <w:uiPriority w:val="34"/>
    <w:locked/>
  </w:style>
  <w:style w:type="paragraph" w:styleId="PlainText">
    <w:name w:val="Plain Text"/>
    <w:basedOn w:val="Normal"/>
    <w:link w:val="PlainTextChar"/>
    <w:uiPriority w:val="99"/>
    <w:unhideWhenUsed/>
    <w:pPr>
      <w:spacing w:after="0" w:line="240" w:lineRule="auto"/>
    </w:pPr>
    <w:rPr>
      <w:rFonts w:ascii="Calibri" w:eastAsiaTheme="minorEastAsia" w:hAnsi="Calibri" w:cs="Consolas"/>
      <w:szCs w:val="21"/>
      <w:lang w:val="it-IT" w:eastAsia="zh-TW"/>
    </w:rPr>
  </w:style>
  <w:style w:type="character" w:customStyle="1" w:styleId="PlainTextChar">
    <w:name w:val="Plain Text Char"/>
    <w:basedOn w:val="DefaultParagraphFont"/>
    <w:link w:val="PlainText"/>
    <w:uiPriority w:val="99"/>
    <w:rPr>
      <w:rFonts w:ascii="Calibri" w:eastAsiaTheme="minorEastAsia" w:hAnsi="Calibri" w:cs="Consolas"/>
      <w:szCs w:val="21"/>
      <w:lang w:val="it-IT" w:eastAsia="zh-TW"/>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after="0" w:line="240" w:lineRule="auto"/>
      <w:ind w:left="284" w:hanging="284"/>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230158">
      <w:bodyDiv w:val="1"/>
      <w:marLeft w:val="0"/>
      <w:marRight w:val="0"/>
      <w:marTop w:val="0"/>
      <w:marBottom w:val="0"/>
      <w:divBdr>
        <w:top w:val="none" w:sz="0" w:space="0" w:color="auto"/>
        <w:left w:val="none" w:sz="0" w:space="0" w:color="auto"/>
        <w:bottom w:val="none" w:sz="0" w:space="0" w:color="auto"/>
        <w:right w:val="none" w:sz="0" w:space="0" w:color="auto"/>
      </w:divBdr>
    </w:div>
    <w:div w:id="396906489">
      <w:bodyDiv w:val="1"/>
      <w:marLeft w:val="0"/>
      <w:marRight w:val="0"/>
      <w:marTop w:val="0"/>
      <w:marBottom w:val="0"/>
      <w:divBdr>
        <w:top w:val="none" w:sz="0" w:space="0" w:color="auto"/>
        <w:left w:val="none" w:sz="0" w:space="0" w:color="auto"/>
        <w:bottom w:val="none" w:sz="0" w:space="0" w:color="auto"/>
        <w:right w:val="none" w:sz="0" w:space="0" w:color="auto"/>
      </w:divBdr>
    </w:div>
    <w:div w:id="400103723">
      <w:bodyDiv w:val="1"/>
      <w:marLeft w:val="0"/>
      <w:marRight w:val="0"/>
      <w:marTop w:val="0"/>
      <w:marBottom w:val="0"/>
      <w:divBdr>
        <w:top w:val="none" w:sz="0" w:space="0" w:color="auto"/>
        <w:left w:val="none" w:sz="0" w:space="0" w:color="auto"/>
        <w:bottom w:val="none" w:sz="0" w:space="0" w:color="auto"/>
        <w:right w:val="none" w:sz="0" w:space="0" w:color="auto"/>
      </w:divBdr>
    </w:div>
    <w:div w:id="480658830">
      <w:bodyDiv w:val="1"/>
      <w:marLeft w:val="0"/>
      <w:marRight w:val="0"/>
      <w:marTop w:val="0"/>
      <w:marBottom w:val="0"/>
      <w:divBdr>
        <w:top w:val="none" w:sz="0" w:space="0" w:color="auto"/>
        <w:left w:val="none" w:sz="0" w:space="0" w:color="auto"/>
        <w:bottom w:val="none" w:sz="0" w:space="0" w:color="auto"/>
        <w:right w:val="none" w:sz="0" w:space="0" w:color="auto"/>
      </w:divBdr>
    </w:div>
    <w:div w:id="843318739">
      <w:bodyDiv w:val="1"/>
      <w:marLeft w:val="0"/>
      <w:marRight w:val="0"/>
      <w:marTop w:val="0"/>
      <w:marBottom w:val="0"/>
      <w:divBdr>
        <w:top w:val="none" w:sz="0" w:space="0" w:color="auto"/>
        <w:left w:val="none" w:sz="0" w:space="0" w:color="auto"/>
        <w:bottom w:val="none" w:sz="0" w:space="0" w:color="auto"/>
        <w:right w:val="none" w:sz="0" w:space="0" w:color="auto"/>
      </w:divBdr>
    </w:div>
    <w:div w:id="1158112870">
      <w:bodyDiv w:val="1"/>
      <w:marLeft w:val="0"/>
      <w:marRight w:val="0"/>
      <w:marTop w:val="0"/>
      <w:marBottom w:val="0"/>
      <w:divBdr>
        <w:top w:val="none" w:sz="0" w:space="0" w:color="auto"/>
        <w:left w:val="none" w:sz="0" w:space="0" w:color="auto"/>
        <w:bottom w:val="none" w:sz="0" w:space="0" w:color="auto"/>
        <w:right w:val="none" w:sz="0" w:space="0" w:color="auto"/>
      </w:divBdr>
    </w:div>
    <w:div w:id="1545407005">
      <w:bodyDiv w:val="1"/>
      <w:marLeft w:val="0"/>
      <w:marRight w:val="0"/>
      <w:marTop w:val="0"/>
      <w:marBottom w:val="0"/>
      <w:divBdr>
        <w:top w:val="none" w:sz="0" w:space="0" w:color="auto"/>
        <w:left w:val="none" w:sz="0" w:space="0" w:color="auto"/>
        <w:bottom w:val="none" w:sz="0" w:space="0" w:color="auto"/>
        <w:right w:val="none" w:sz="0" w:space="0" w:color="auto"/>
      </w:divBdr>
    </w:div>
    <w:div w:id="1687751299">
      <w:bodyDiv w:val="1"/>
      <w:marLeft w:val="0"/>
      <w:marRight w:val="0"/>
      <w:marTop w:val="0"/>
      <w:marBottom w:val="0"/>
      <w:divBdr>
        <w:top w:val="none" w:sz="0" w:space="0" w:color="auto"/>
        <w:left w:val="none" w:sz="0" w:space="0" w:color="auto"/>
        <w:bottom w:val="none" w:sz="0" w:space="0" w:color="auto"/>
        <w:right w:val="none" w:sz="0" w:space="0" w:color="auto"/>
      </w:divBdr>
    </w:div>
    <w:div w:id="1838764667">
      <w:bodyDiv w:val="1"/>
      <w:marLeft w:val="0"/>
      <w:marRight w:val="0"/>
      <w:marTop w:val="0"/>
      <w:marBottom w:val="0"/>
      <w:divBdr>
        <w:top w:val="none" w:sz="0" w:space="0" w:color="auto"/>
        <w:left w:val="none" w:sz="0" w:space="0" w:color="auto"/>
        <w:bottom w:val="none" w:sz="0" w:space="0" w:color="auto"/>
        <w:right w:val="none" w:sz="0" w:space="0" w:color="auto"/>
      </w:divBdr>
    </w:div>
    <w:div w:id="1902598365">
      <w:bodyDiv w:val="1"/>
      <w:marLeft w:val="0"/>
      <w:marRight w:val="0"/>
      <w:marTop w:val="0"/>
      <w:marBottom w:val="0"/>
      <w:divBdr>
        <w:top w:val="none" w:sz="0" w:space="0" w:color="auto"/>
        <w:left w:val="none" w:sz="0" w:space="0" w:color="auto"/>
        <w:bottom w:val="none" w:sz="0" w:space="0" w:color="auto"/>
        <w:right w:val="none" w:sz="0" w:space="0" w:color="auto"/>
      </w:divBdr>
    </w:div>
    <w:div w:id="2013292340">
      <w:bodyDiv w:val="1"/>
      <w:marLeft w:val="0"/>
      <w:marRight w:val="0"/>
      <w:marTop w:val="0"/>
      <w:marBottom w:val="0"/>
      <w:divBdr>
        <w:top w:val="none" w:sz="0" w:space="0" w:color="auto"/>
        <w:left w:val="none" w:sz="0" w:space="0" w:color="auto"/>
        <w:bottom w:val="none" w:sz="0" w:space="0" w:color="auto"/>
        <w:right w:val="none" w:sz="0" w:space="0" w:color="auto"/>
      </w:divBdr>
    </w:div>
    <w:div w:id="2051108051">
      <w:bodyDiv w:val="1"/>
      <w:marLeft w:val="0"/>
      <w:marRight w:val="0"/>
      <w:marTop w:val="0"/>
      <w:marBottom w:val="0"/>
      <w:divBdr>
        <w:top w:val="none" w:sz="0" w:space="0" w:color="auto"/>
        <w:left w:val="none" w:sz="0" w:space="0" w:color="auto"/>
        <w:bottom w:val="none" w:sz="0" w:space="0" w:color="auto"/>
        <w:right w:val="none" w:sz="0" w:space="0" w:color="auto"/>
      </w:divBdr>
    </w:div>
    <w:div w:id="206991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footer" Target="footer17.xml"/><Relationship Id="rId21" Type="http://schemas.openxmlformats.org/officeDocument/2006/relationships/hyperlink" Target="http://email-links.reorg-research.com/wf/click?upn=HSdZaWkdpHoHK0qWl8MaN6jw9qdbP1Su87F7JA6C-2Fzu4TAru7pH50ECZlIvAkOoQBVZyVmNBxMIqKzyCz9K4Ieq1fjqIFT7iXnrdirOzJC4-3D_5Xni2sLbUjWxqssxuSWGnwHWLaT4GMnza5v8WMYq7sxRFEwg-2Bzhq-2Fm72cnY7nOJ8KEJOkPPHPsHxWHblRpTE7izLSV-2FlPEArOaeY9lV0GpBxCKtSS3hPNuLdxk4IRqEv-2FmNgK-2BnbDtoXAVZ-2Fvpq3rjauhU4Szr2euDLcg-2Bj9IOEOjBMefdSy6gZR1Cxc-2Fh-2F5-2Bf7JKFwAiRGP8PGxDC2T2b8fU9l4QvpGf3VB5Ohni9tjZ1Ma3A4jlZZ4FDKQmUVdeRmO8-2FSs0g49OarHoITh714htbRCZjRq0HP5Qu1U3Js-3D" TargetMode="External"/><Relationship Id="rId42" Type="http://schemas.openxmlformats.org/officeDocument/2006/relationships/footer" Target="footer5.xml"/><Relationship Id="rId47" Type="http://schemas.openxmlformats.org/officeDocument/2006/relationships/footer" Target="footer7.xml"/><Relationship Id="rId63" Type="http://schemas.openxmlformats.org/officeDocument/2006/relationships/hyperlink" Target="http://en.wikipedia.org/wiki/Croatia" TargetMode="External"/><Relationship Id="rId68" Type="http://schemas.openxmlformats.org/officeDocument/2006/relationships/hyperlink" Target="http://en.wikipedia.org/wiki/Finland" TargetMode="External"/><Relationship Id="rId84" Type="http://schemas.openxmlformats.org/officeDocument/2006/relationships/hyperlink" Target="http://en.wikipedia.org/wiki/Slovakia" TargetMode="External"/><Relationship Id="rId89" Type="http://schemas.openxmlformats.org/officeDocument/2006/relationships/hyperlink" Target="http://en.wikipedia.org/wiki/United_Kingdom" TargetMode="External"/><Relationship Id="rId112" Type="http://schemas.openxmlformats.org/officeDocument/2006/relationships/header" Target="header15.xml"/><Relationship Id="rId16" Type="http://schemas.openxmlformats.org/officeDocument/2006/relationships/image" Target="media/image2.png"/><Relationship Id="rId107" Type="http://schemas.openxmlformats.org/officeDocument/2006/relationships/image" Target="media/image29.png"/><Relationship Id="rId11" Type="http://schemas.openxmlformats.org/officeDocument/2006/relationships/header" Target="header2.xml"/><Relationship Id="rId32" Type="http://schemas.openxmlformats.org/officeDocument/2006/relationships/hyperlink" Target="http://ec.europa.eu/transparency/regexpert/index.cfm?do=groupDetail.groupDetail&amp;groupID=3362" TargetMode="External"/><Relationship Id="rId37" Type="http://schemas.openxmlformats.org/officeDocument/2006/relationships/chart" Target="charts/chart6.xml"/><Relationship Id="rId53" Type="http://schemas.openxmlformats.org/officeDocument/2006/relationships/image" Target="media/image12.emf"/><Relationship Id="rId58" Type="http://schemas.openxmlformats.org/officeDocument/2006/relationships/image" Target="media/image17.png"/><Relationship Id="rId74" Type="http://schemas.openxmlformats.org/officeDocument/2006/relationships/hyperlink" Target="http://en.wikipedia.org/wiki/Italy" TargetMode="External"/><Relationship Id="rId79" Type="http://schemas.openxmlformats.org/officeDocument/2006/relationships/hyperlink" Target="http://en.wikipedia.org/wiki/Netherlands" TargetMode="External"/><Relationship Id="rId102" Type="http://schemas.openxmlformats.org/officeDocument/2006/relationships/header" Target="header11.xml"/><Relationship Id="rId123" Type="http://schemas.openxmlformats.org/officeDocument/2006/relationships/chart" Target="charts/chart11.xml"/><Relationship Id="rId128" Type="http://schemas.openxmlformats.org/officeDocument/2006/relationships/footer" Target="footer20.xml"/><Relationship Id="rId5" Type="http://schemas.openxmlformats.org/officeDocument/2006/relationships/settings" Target="settings.xml"/><Relationship Id="rId90" Type="http://schemas.openxmlformats.org/officeDocument/2006/relationships/image" Target="media/image19.png"/><Relationship Id="rId95" Type="http://schemas.openxmlformats.org/officeDocument/2006/relationships/image" Target="media/image24.png"/><Relationship Id="rId19" Type="http://schemas.openxmlformats.org/officeDocument/2006/relationships/hyperlink" Target="http://email-links.reorg-research.com/wf/click?upn=HSdZaWkdpHoHK0qWl8MaN6jw9qdbP1Su87F7JA6C-2Fzu4TAru7pH50ECZlIvAkOoQBVZyVmNBxMIqKzyCz9K4IbDVRkjYBqpcN4ywd-2FET4Mg-3D_5Xni2sLbUjWxqssxuSWGnwHWLaT4GMnza5v8WMYq7sxRFEwg-2Bzhq-2Fm72cnY7nOJ8KEJOkPPHPsHxWHblRpTE7izLSV-2FlPEArOaeY9lV0GpBxCKtSS3hPNuLdxk4IRqEvdlq1ob-2BTxd69Nnxj0bovMW8A5-2F8-2ByFRxCba4G3WZ5liGgV0wjGHetzNriXm5O1DjDc1C5tu5iEGdMfD5AfePQyulRDBWSQbaZsC7-2F87VzNHIwB4q7h7ij-2FMylC3eKxaOuc6zLSopeu-2Fw1NEDv6TVmCknKukJBfP7nkAbUNQGFjg-3D" TargetMode="External"/><Relationship Id="rId14" Type="http://schemas.openxmlformats.org/officeDocument/2006/relationships/header" Target="header3.xml"/><Relationship Id="rId22" Type="http://schemas.openxmlformats.org/officeDocument/2006/relationships/hyperlink" Target="http://email-links.reorg-research.com/wf/click?upn=HSdZaWkdpHoHK0qWl8MaN6jw9qdbP1Su87F7JA6C-2Fzu4TAru7pH50ECZlIvAkOoQBVZyVmNBxMIqKzyCz9K4IbDVRkjYBqpcN4ywd-2FET4Mg-3D_5Xni2sLbUjWxqssxuSWGnwHWLaT4GMnza5v8WMYq7sxRFEwg-2Bzhq-2Fm72cnY7nOJ8KEJOkPPHPsHxWHblRpTE7izLSV-2FlPEArOaeY9lV0GpBxCKtSS3hPNuLdxk4IRqEvdlq1ob-2BTxd69Nnxj0bovMW8A5-2F8-2ByFRxCba4G3WZ5liGgV0wjGHetzNriXm5O1DjDc1C5tu5iEGdMfD5AfePQyulRDBWSQbaZsC7-2F87VzNHIwB4q7h7ij-2FMylC3eKxaOuc6zLSopeu-2Fw1NEDv6TVmCknKukJBfP7nkAbUNQGFjg-3D" TargetMode="External"/><Relationship Id="rId27" Type="http://schemas.openxmlformats.org/officeDocument/2006/relationships/image" Target="cid:image002.png@01CED62C.2BDD6DC0" TargetMode="External"/><Relationship Id="rId30" Type="http://schemas.openxmlformats.org/officeDocument/2006/relationships/image" Target="media/image8.emf"/><Relationship Id="rId35" Type="http://schemas.openxmlformats.org/officeDocument/2006/relationships/chart" Target="charts/chart4.xml"/><Relationship Id="rId43" Type="http://schemas.openxmlformats.org/officeDocument/2006/relationships/header" Target="header6.xml"/><Relationship Id="rId48" Type="http://schemas.openxmlformats.org/officeDocument/2006/relationships/footer" Target="footer8.xml"/><Relationship Id="rId56" Type="http://schemas.openxmlformats.org/officeDocument/2006/relationships/image" Target="media/image15.emf"/><Relationship Id="rId64" Type="http://schemas.openxmlformats.org/officeDocument/2006/relationships/hyperlink" Target="http://en.wikipedia.org/wiki/Cyprus" TargetMode="External"/><Relationship Id="rId69" Type="http://schemas.openxmlformats.org/officeDocument/2006/relationships/hyperlink" Target="http://en.wikipedia.org/wiki/France" TargetMode="External"/><Relationship Id="rId77" Type="http://schemas.openxmlformats.org/officeDocument/2006/relationships/hyperlink" Target="http://en.wikipedia.org/wiki/Luxembourg" TargetMode="External"/><Relationship Id="rId100" Type="http://schemas.openxmlformats.org/officeDocument/2006/relationships/image" Target="media/image28.emf"/><Relationship Id="rId105" Type="http://schemas.openxmlformats.org/officeDocument/2006/relationships/header" Target="header12.xml"/><Relationship Id="rId113" Type="http://schemas.openxmlformats.org/officeDocument/2006/relationships/footer" Target="footer15.xml"/><Relationship Id="rId118" Type="http://schemas.openxmlformats.org/officeDocument/2006/relationships/header" Target="header18.xml"/><Relationship Id="rId126" Type="http://schemas.openxmlformats.org/officeDocument/2006/relationships/header" Target="header20.xml"/><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hyperlink" Target="http://en.wikipedia.org/wiki/Hungary" TargetMode="External"/><Relationship Id="rId80" Type="http://schemas.openxmlformats.org/officeDocument/2006/relationships/hyperlink" Target="http://en.wikipedia.org/wiki/Netherlands" TargetMode="External"/><Relationship Id="rId85" Type="http://schemas.openxmlformats.org/officeDocument/2006/relationships/hyperlink" Target="http://en.wikipedia.org/wiki/Slovenia" TargetMode="External"/><Relationship Id="rId93" Type="http://schemas.openxmlformats.org/officeDocument/2006/relationships/image" Target="media/image22.emf"/><Relationship Id="rId98" Type="http://schemas.openxmlformats.org/officeDocument/2006/relationships/hyperlink" Target="http://www.globalopportunityindex.org/pdf/2015-Global-Opportunity-Index.pdf" TargetMode="External"/><Relationship Id="rId121" Type="http://schemas.openxmlformats.org/officeDocument/2006/relationships/chart" Target="charts/chart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4.png"/><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header" Target="header8.xml"/><Relationship Id="rId59" Type="http://schemas.openxmlformats.org/officeDocument/2006/relationships/image" Target="media/image18.png"/><Relationship Id="rId67" Type="http://schemas.openxmlformats.org/officeDocument/2006/relationships/hyperlink" Target="http://en.wikipedia.org/wiki/Estonia" TargetMode="External"/><Relationship Id="rId103" Type="http://schemas.openxmlformats.org/officeDocument/2006/relationships/footer" Target="footer10.xml"/><Relationship Id="rId108" Type="http://schemas.openxmlformats.org/officeDocument/2006/relationships/header" Target="header13.xml"/><Relationship Id="rId116" Type="http://schemas.openxmlformats.org/officeDocument/2006/relationships/footer" Target="footer16.xml"/><Relationship Id="rId124" Type="http://schemas.openxmlformats.org/officeDocument/2006/relationships/chart" Target="charts/chart12.xml"/><Relationship Id="rId129" Type="http://schemas.openxmlformats.org/officeDocument/2006/relationships/header" Target="header21.xml"/><Relationship Id="rId20" Type="http://schemas.openxmlformats.org/officeDocument/2006/relationships/hyperlink" Target="http://email-links.reorg-research.com/wf/click?upn=HSdZaWkdpHoHK0qWl8MaN6jw9qdbP1Su87F7JA6C-2Fzu4TAru7pH50ECZlIvAkOoQBVZyVmNBxMIqKzyCz9K4IbDVRkjYBqpcN4ywd-2FET4Mg-3D_5Xni2sLbUjWxqssxuSWGnwHWLaT4GMnza5v8WMYq7sxRFEwg-2Bzhq-2Fm72cnY7nOJ8KEJOkPPHPsHxWHblRpTE7izLSV-2FlPEArOaeY9lV0GpBxCKtSS3hPNuLdxk4IRqEv5BwZkCkmjI4Z96WZeDy5j5zmhbRBG44glm19UZtqDXdn88la82rA6wPbm8-2FeoJEHg-2BRQA4DSbNOYyZxY2NtpEbAd5QNYXqG9myUIRmI-2FVsCrHnIrHeOdwx1n1IIB0xC0MCq4-2F06Z8Y2TZmcjneoSZ6TK1UwguvbmgUowFALLdps-3D" TargetMode="External"/><Relationship Id="rId41" Type="http://schemas.openxmlformats.org/officeDocument/2006/relationships/footer" Target="footer4.xml"/><Relationship Id="rId54" Type="http://schemas.openxmlformats.org/officeDocument/2006/relationships/image" Target="media/image13.emf"/><Relationship Id="rId62" Type="http://schemas.openxmlformats.org/officeDocument/2006/relationships/hyperlink" Target="http://en.wikipedia.org/wiki/Bulgaria" TargetMode="External"/><Relationship Id="rId70" Type="http://schemas.openxmlformats.org/officeDocument/2006/relationships/hyperlink" Target="http://en.wikipedia.org/wiki/Germany" TargetMode="External"/><Relationship Id="rId75" Type="http://schemas.openxmlformats.org/officeDocument/2006/relationships/hyperlink" Target="http://en.wikipedia.org/wiki/Latvia" TargetMode="External"/><Relationship Id="rId83" Type="http://schemas.openxmlformats.org/officeDocument/2006/relationships/hyperlink" Target="http://en.wikipedia.org/wiki/Romania" TargetMode="External"/><Relationship Id="rId88" Type="http://schemas.openxmlformats.org/officeDocument/2006/relationships/hyperlink" Target="http://en.wikipedia.org/wiki/United_Kingdom" TargetMode="External"/><Relationship Id="rId91" Type="http://schemas.openxmlformats.org/officeDocument/2006/relationships/image" Target="media/image20.emf"/><Relationship Id="rId96" Type="http://schemas.openxmlformats.org/officeDocument/2006/relationships/image" Target="media/image25.png"/><Relationship Id="rId111" Type="http://schemas.openxmlformats.org/officeDocument/2006/relationships/footer" Target="footer14.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email-links.reorg-research.com/wf/click?upn=HSdZaWkdpHoHK0qWl8MaN6jw9qdbP1Su87F7JA6C-2Fzu4TAru7pH50ECZlIvAkOoQBVZyVmNBxMIqKzyCz9K4IbDVRkjYBqpcN4ywd-2FET4Mg-3D_5Xni2sLbUjWxqssxuSWGnwHWLaT4GMnza5v8WMYq7sxRFEwg-2Bzhq-2Fm72cnY7nOJ8KEJOkPPHPsHxWHblRpTE7izLSV-2FlPEArOaeY9lV0GpBxCKtSS3hPNuLdxk4IRqEv5BwZkCkmjI4Z96WZeDy5j5zmhbRBG44glm19UZtqDXdn88la82rA6wPbm8-2FeoJEHg-2BRQA4DSbNOYyZxY2NtpEbAd5QNYXqG9myUIRmI-2FVsCrHnIrHeOdwx1n1IIB0xC0MCq4-2F06Z8Y2TZmcjneoSZ6TK1UwguvbmgUowFALLdps-3D" TargetMode="External"/><Relationship Id="rId28" Type="http://schemas.openxmlformats.org/officeDocument/2006/relationships/image" Target="media/image6.png"/><Relationship Id="rId36" Type="http://schemas.openxmlformats.org/officeDocument/2006/relationships/chart" Target="charts/chart5.xml"/><Relationship Id="rId49" Type="http://schemas.openxmlformats.org/officeDocument/2006/relationships/header" Target="header9.xml"/><Relationship Id="rId57" Type="http://schemas.openxmlformats.org/officeDocument/2006/relationships/image" Target="media/image16.emf"/><Relationship Id="rId106" Type="http://schemas.openxmlformats.org/officeDocument/2006/relationships/footer" Target="footer12.xml"/><Relationship Id="rId114" Type="http://schemas.openxmlformats.org/officeDocument/2006/relationships/header" Target="header16.xml"/><Relationship Id="rId119" Type="http://schemas.openxmlformats.org/officeDocument/2006/relationships/footer" Target="footer18.xml"/><Relationship Id="rId127" Type="http://schemas.openxmlformats.org/officeDocument/2006/relationships/footer" Target="footer19.xml"/><Relationship Id="rId10"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footer" Target="footer6.xml"/><Relationship Id="rId52" Type="http://schemas.openxmlformats.org/officeDocument/2006/relationships/image" Target="media/image11.emf"/><Relationship Id="rId60" Type="http://schemas.openxmlformats.org/officeDocument/2006/relationships/hyperlink" Target="http://en.wikipedia.org/wiki/Austria" TargetMode="External"/><Relationship Id="rId65" Type="http://schemas.openxmlformats.org/officeDocument/2006/relationships/hyperlink" Target="http://en.wikipedia.org/wiki/Czech_Republic" TargetMode="External"/><Relationship Id="rId73" Type="http://schemas.openxmlformats.org/officeDocument/2006/relationships/hyperlink" Target="http://en.wikipedia.org/wiki/Republic_of_Ireland" TargetMode="External"/><Relationship Id="rId78" Type="http://schemas.openxmlformats.org/officeDocument/2006/relationships/hyperlink" Target="http://en.wikipedia.org/wiki/Malta" TargetMode="External"/><Relationship Id="rId81" Type="http://schemas.openxmlformats.org/officeDocument/2006/relationships/hyperlink" Target="http://en.wikipedia.org/wiki/Poland" TargetMode="External"/><Relationship Id="rId86" Type="http://schemas.openxmlformats.org/officeDocument/2006/relationships/hyperlink" Target="http://en.wikipedia.org/wiki/Spain" TargetMode="External"/><Relationship Id="rId94" Type="http://schemas.openxmlformats.org/officeDocument/2006/relationships/image" Target="media/image23.emf"/><Relationship Id="rId99" Type="http://schemas.openxmlformats.org/officeDocument/2006/relationships/image" Target="media/image27.emf"/><Relationship Id="rId101" Type="http://schemas.openxmlformats.org/officeDocument/2006/relationships/header" Target="header10.xml"/><Relationship Id="rId122" Type="http://schemas.openxmlformats.org/officeDocument/2006/relationships/chart" Target="charts/chart10.xml"/><Relationship Id="rId130" Type="http://schemas.openxmlformats.org/officeDocument/2006/relationships/footer" Target="footer2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chart" Target="charts/chart1.xml"/><Relationship Id="rId39" Type="http://schemas.openxmlformats.org/officeDocument/2006/relationships/header" Target="header4.xml"/><Relationship Id="rId109" Type="http://schemas.openxmlformats.org/officeDocument/2006/relationships/header" Target="header14.xml"/><Relationship Id="rId34" Type="http://schemas.openxmlformats.org/officeDocument/2006/relationships/chart" Target="charts/chart3.xml"/><Relationship Id="rId50" Type="http://schemas.openxmlformats.org/officeDocument/2006/relationships/footer" Target="footer9.xml"/><Relationship Id="rId55" Type="http://schemas.openxmlformats.org/officeDocument/2006/relationships/image" Target="media/image14.png"/><Relationship Id="rId76" Type="http://schemas.openxmlformats.org/officeDocument/2006/relationships/hyperlink" Target="http://en.wikipedia.org/wiki/Lithuania" TargetMode="External"/><Relationship Id="rId97" Type="http://schemas.openxmlformats.org/officeDocument/2006/relationships/image" Target="media/image26.png"/><Relationship Id="rId104" Type="http://schemas.openxmlformats.org/officeDocument/2006/relationships/footer" Target="footer11.xml"/><Relationship Id="rId120" Type="http://schemas.openxmlformats.org/officeDocument/2006/relationships/chart" Target="charts/chart8.xml"/><Relationship Id="rId125" Type="http://schemas.openxmlformats.org/officeDocument/2006/relationships/header" Target="header19.xml"/><Relationship Id="rId7" Type="http://schemas.openxmlformats.org/officeDocument/2006/relationships/footnotes" Target="footnotes.xml"/><Relationship Id="rId71" Type="http://schemas.openxmlformats.org/officeDocument/2006/relationships/hyperlink" Target="http://en.wikipedia.org/wiki/Greece" TargetMode="External"/><Relationship Id="rId92" Type="http://schemas.openxmlformats.org/officeDocument/2006/relationships/image" Target="media/image21.emf"/><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email-links.reorg-research.com/wf/click?upn=HSdZaWkdpHoHK0qWl8MaN6jw9qdbP1Su87F7JA6C-2Fzu4TAru7pH50ECZlIvAkOoQBVZyVmNBxMIqKzyCz9K4Ieq1fjqIFT7iXnrdirOzJC4-3D_5Xni2sLbUjWxqssxuSWGnwHWLaT4GMnza5v8WMYq7sxRFEwg-2Bzhq-2Fm72cnY7nOJ8KEJOkPPHPsHxWHblRpTE7izLSV-2FlPEArOaeY9lV0GpBxCKtSS3hPNuLdxk4IRqEv-2FmNgK-2BnbDtoXAVZ-2Fvpq3rjauhU4Szr2euDLcg-2Bj9IOEOjBMefdSy6gZR1Cxc-2Fh-2F5-2Bf7JKFwAiRGP8PGxDC2T2b8fU9l4QvpGf3VB5Ohni9tjZ1Ma3A4jlZZ4FDKQmUVdeRmO8-2FSs0g49OarHoITh714htbRCZjRq0HP5Qu1U3Js-3D" TargetMode="External"/><Relationship Id="rId40" Type="http://schemas.openxmlformats.org/officeDocument/2006/relationships/header" Target="header5.xml"/><Relationship Id="rId45" Type="http://schemas.openxmlformats.org/officeDocument/2006/relationships/header" Target="header7.xml"/><Relationship Id="rId66" Type="http://schemas.openxmlformats.org/officeDocument/2006/relationships/hyperlink" Target="http://en.wikipedia.org/wiki/Denmark" TargetMode="External"/><Relationship Id="rId87" Type="http://schemas.openxmlformats.org/officeDocument/2006/relationships/hyperlink" Target="http://en.wikipedia.org/wiki/Sweden" TargetMode="External"/><Relationship Id="rId110" Type="http://schemas.openxmlformats.org/officeDocument/2006/relationships/footer" Target="footer13.xml"/><Relationship Id="rId115" Type="http://schemas.openxmlformats.org/officeDocument/2006/relationships/header" Target="header17.xml"/><Relationship Id="rId131" Type="http://schemas.openxmlformats.org/officeDocument/2006/relationships/fontTable" Target="fontTable.xml"/><Relationship Id="rId61" Type="http://schemas.openxmlformats.org/officeDocument/2006/relationships/hyperlink" Target="http://en.wikipedia.org/wiki/Belgium" TargetMode="External"/><Relationship Id="rId82" Type="http://schemas.openxmlformats.org/officeDocument/2006/relationships/hyperlink" Target="http://en.wikipedia.org/wiki/Portuga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justice/effective-justice/files/justice_scoreboard_2016_en.pdf" TargetMode="External"/><Relationship Id="rId13" Type="http://schemas.openxmlformats.org/officeDocument/2006/relationships/hyperlink" Target="http://www.insolvencydirect.bis.gov.uk/insolvencyprofessionandlegislation/research/corpdocs/CVA-Report.pdf" TargetMode="External"/><Relationship Id="rId18" Type="http://schemas.openxmlformats.org/officeDocument/2006/relationships/hyperlink" Target="http://ec.europa.eu/consumers/archive/rights/docs/final_rep_financial_services_2009.pdf" TargetMode="External"/><Relationship Id="rId26" Type="http://schemas.openxmlformats.org/officeDocument/2006/relationships/hyperlink" Target="http://ec.europa.eu/consumers/financial_services/reference_studies_documents/docs/part_1_synthesis_of_findings_en.pdf" TargetMode="External"/><Relationship Id="rId3" Type="http://schemas.openxmlformats.org/officeDocument/2006/relationships/hyperlink" Target="http://www.consilium.europa.eu/press-releases-pdf/2016/6/47244642837_en.pdf" TargetMode="External"/><Relationship Id="rId21" Type="http://schemas.openxmlformats.org/officeDocument/2006/relationships/hyperlink" Target="http://www-wds.worldbank.org/external/default/WDSContentServer/WDSP/IB/2013/02/26/000333037_20130226123527/Rendered/PDF/752400BRI0SMAR0urable0Results0FIXED.pdf" TargetMode="External"/><Relationship Id="rId7" Type="http://schemas.openxmlformats.org/officeDocument/2006/relationships/hyperlink" Target="http://www-wds.worldbank.org/external/default/WDSContentServer/WDSP/IB/2013/02/26/000333037_20130226123527/Rendered/PDF/752400BRI0SMAR0urable0Results0FIXED.pdf" TargetMode="External"/><Relationship Id="rId12" Type="http://schemas.openxmlformats.org/officeDocument/2006/relationships/hyperlink" Target="http://www.iiiglobal.org/images/pdfs/georg_schlaefer.pdf" TargetMode="External"/><Relationship Id="rId17" Type="http://schemas.openxmlformats.org/officeDocument/2006/relationships/hyperlink" Target="http://ec.europa.eu/finance/consultations/2015/retail-financial-services/index_en.htm" TargetMode="External"/><Relationship Id="rId25" Type="http://schemas.openxmlformats.org/officeDocument/2006/relationships/hyperlink" Target="http://siteresources.worldbank.org/INTGILD/Resources/WBInsolvencyOfNaturalPersonsReport_01_11_13.pdf" TargetMode="External"/><Relationship Id="rId33" Type="http://schemas.openxmlformats.org/officeDocument/2006/relationships/hyperlink" Target="http://ec.europa.eu/consumers/financial_services/reference_studies_documents/docs/part_1_synthesis_of_findings_en.pdf" TargetMode="External"/><Relationship Id="rId2" Type="http://schemas.openxmlformats.org/officeDocument/2006/relationships/hyperlink" Target="http://www-wds.worldbank.org/external/default/WDSContentServer/WDSP/IB/2013/02/26/000333037_20130226123527/Rendered/PDF/752400BRI0SMAR0urable0Results0FIXED.pdf" TargetMode="External"/><Relationship Id="rId16" Type="http://schemas.openxmlformats.org/officeDocument/2006/relationships/hyperlink" Target="http://ec.europa.eu/consumers/financial_services/reference_studies_documents/docs/part_1_synthesis_of_findings_en.pdf" TargetMode="External"/><Relationship Id="rId20" Type="http://schemas.openxmlformats.org/officeDocument/2006/relationships/hyperlink" Target="https://www.gov.uk/government/uploads/system/uploads/attachment_data/file/525529/Consultation_stage_corporate_insolvency_consultation_Impact_Assessment_-_Mar_2016.pdf" TargetMode="External"/><Relationship Id="rId29" Type="http://schemas.openxmlformats.org/officeDocument/2006/relationships/hyperlink" Target="http://www.doingbusiness.org/data/exploretopics/resolving-insolvency" TargetMode="External"/><Relationship Id="rId1" Type="http://schemas.openxmlformats.org/officeDocument/2006/relationships/hyperlink" Target="http://ec.europa.eu/justice/civil/commercial/insolvency/index_en.htm" TargetMode="External"/><Relationship Id="rId6" Type="http://schemas.openxmlformats.org/officeDocument/2006/relationships/hyperlink" Target="https://www.bankingsupervision.europa.eu/banking/statistics/html/index.en.html" TargetMode="External"/><Relationship Id="rId11" Type="http://schemas.openxmlformats.org/officeDocument/2006/relationships/hyperlink" Target="http://www.thisismoney.co.uk/money/markets/article-2052296/Bankruptcy-tourism-crackdown-shuts-61-companies.html" TargetMode="External"/><Relationship Id="rId24" Type="http://schemas.openxmlformats.org/officeDocument/2006/relationships/hyperlink" Target="http://elibrary.worldbank.org/doi/pdf/10.1596/978-1-4648-0037-5_ch5" TargetMode="External"/><Relationship Id="rId32" Type="http://schemas.openxmlformats.org/officeDocument/2006/relationships/hyperlink" Target="http://ec.europa.eu/eurostat/documents/3859598/5826305/CA-15-96-001-EN.pdf/aeec2852-bed2-46d2-9534-5859d3c911d5" TargetMode="External"/><Relationship Id="rId5" Type="http://schemas.openxmlformats.org/officeDocument/2006/relationships/hyperlink" Target="http://www.insolcentrum.cz/kompletni-databaze-insolvencnich-rizeni" TargetMode="External"/><Relationship Id="rId15" Type="http://schemas.openxmlformats.org/officeDocument/2006/relationships/hyperlink" Target="http://www.detini.gov.uk/encouraging_company_rescue_-_impact_assessment.pdf" TargetMode="External"/><Relationship Id="rId23" Type="http://schemas.openxmlformats.org/officeDocument/2006/relationships/hyperlink" Target="http://elibrary.worldbank.org/doi/pdf/10.1596/978-1-4648-0037-5_ch5" TargetMode="External"/><Relationship Id="rId28" Type="http://schemas.openxmlformats.org/officeDocument/2006/relationships/hyperlink" Target="http://www.insolcentrum.cz/kompletni-databaze-insolvencnich-rizeni" TargetMode="External"/><Relationship Id="rId10" Type="http://schemas.openxmlformats.org/officeDocument/2006/relationships/hyperlink" Target="http://www.doingbusiness.org/reports/globalreports/~/media/GIAWB/Doing%20Business/Documents/Annual-Reports/English/DB14-Chapters/DB14-Resolving-insolvency.pdf" TargetMode="External"/><Relationship Id="rId19" Type="http://schemas.openxmlformats.org/officeDocument/2006/relationships/hyperlink" Target="http://ec.europa.eu/consumers/archive/rights/docs/consumer_credit_market_study_en.pdf" TargetMode="External"/><Relationship Id="rId31" Type="http://schemas.openxmlformats.org/officeDocument/2006/relationships/hyperlink" Target="http://ec.europa.eu/justice/civil/files/evaluation_recommendation_final.pdf" TargetMode="External"/><Relationship Id="rId4" Type="http://schemas.openxmlformats.org/officeDocument/2006/relationships/hyperlink" Target="http://ec.europa.eu/finance/capital-markets-union/docs/20160913-cmu-accelerating-reform_en.pdf" TargetMode="External"/><Relationship Id="rId9" Type="http://schemas.openxmlformats.org/officeDocument/2006/relationships/hyperlink" Target="http://www.afme.eu/unlocking-funding-for-European-investment-and-growth" TargetMode="External"/><Relationship Id="rId14" Type="http://schemas.openxmlformats.org/officeDocument/2006/relationships/hyperlink" Target="http://www.thelawyer.com/the-rise-and-rise-of-schemes-of-arrangement/124768.article" TargetMode="External"/><Relationship Id="rId22" Type="http://schemas.openxmlformats.org/officeDocument/2006/relationships/hyperlink" Target="https://www.gov.uk/government/uploads/system/uploads/attachment_data/file/525529/Consultation_stage_corporate_insolvency_consultation_Impact_Assessment_-_Mar_2016.pdf" TargetMode="External"/><Relationship Id="rId27" Type="http://schemas.openxmlformats.org/officeDocument/2006/relationships/hyperlink" Target="http://www.cepr.org/pubs/dps/DP6307.asp" TargetMode="External"/><Relationship Id="rId30" Type="http://schemas.openxmlformats.org/officeDocument/2006/relationships/hyperlink" Target="http://ec.europa.eu/priorities/economic-monetary-union/docs/5-presidents-report_en.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Sheet1!$A$3</c:f>
              <c:strCache>
                <c:ptCount val="1"/>
                <c:pt idx="0">
                  <c:v>Ordinary</c:v>
                </c:pt>
              </c:strCache>
            </c:strRef>
          </c:tx>
          <c:spPr>
            <a:solidFill>
              <a:schemeClr val="accent1"/>
            </a:solidFill>
            <a:ln>
              <a:noFill/>
            </a:ln>
            <a:effectLst/>
          </c:spPr>
          <c:invertIfNegative val="0"/>
          <c:dLbls>
            <c:dLbl>
              <c:idx val="0"/>
              <c:layout>
                <c:manualLayout>
                  <c:x val="-8.8154269972452008E-3"/>
                  <c:y val="-3.8289727542917499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48A-450C-8CAA-E96912FE2D1D}"/>
                </c:ext>
              </c:extLst>
            </c:dLbl>
            <c:dLbl>
              <c:idx val="1"/>
              <c:layout>
                <c:manualLayout>
                  <c:x val="-1.9834710743801699E-2"/>
                  <c:y val="4.1771094402673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48A-450C-8CAA-E96912FE2D1D}"/>
                </c:ext>
              </c:extLst>
            </c:dLbl>
            <c:dLbl>
              <c:idx val="2"/>
              <c:layout>
                <c:manualLayout>
                  <c:x val="-1.7630853994490402E-2"/>
                  <c:y val="4.1771094402673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48A-450C-8CAA-E96912FE2D1D}"/>
                </c:ext>
              </c:extLst>
            </c:dLbl>
            <c:dLbl>
              <c:idx val="3"/>
              <c:layout>
                <c:manualLayout>
                  <c:x val="0"/>
                  <c:y val="-4.177109440267340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48A-450C-8CAA-E96912FE2D1D}"/>
                </c:ext>
              </c:extLst>
            </c:dLbl>
            <c:dLbl>
              <c:idx val="4"/>
              <c:layout>
                <c:manualLayout>
                  <c:x val="-1.10192837465565E-2"/>
                  <c:y val="-7.6579455085834898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48A-450C-8CAA-E96912FE2D1D}"/>
                </c:ext>
              </c:extLst>
            </c:dLbl>
            <c:dLbl>
              <c:idx val="5"/>
              <c:layout>
                <c:manualLayout>
                  <c:x val="-1.5426997245179101E-2"/>
                  <c:y val="4.177109440267300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48A-450C-8CAA-E96912FE2D1D}"/>
                </c:ext>
              </c:extLst>
            </c:dLbl>
            <c:dLbl>
              <c:idx val="6"/>
              <c:layout>
                <c:manualLayout>
                  <c:x val="-1.3888888888888999E-2"/>
                  <c:y val="4.629629629629590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48A-450C-8CAA-E96912FE2D1D}"/>
                </c:ext>
              </c:extLst>
            </c:dLbl>
            <c:dLbl>
              <c:idx val="7"/>
              <c:layout>
                <c:manualLayout>
                  <c:x val="-1.6666666666666701E-2"/>
                  <c:y val="-4.24377813600669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48A-450C-8CAA-E96912FE2D1D}"/>
                </c:ext>
              </c:extLst>
            </c:dLbl>
            <c:dLbl>
              <c:idx val="8"/>
              <c:layout>
                <c:manualLayout>
                  <c:x val="-8.8154269972452008E-3"/>
                  <c:y val="4.1771094402673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48A-450C-8CAA-E96912FE2D1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Sheet1!$B$1:$J$1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Sheet1!$B$3:$J$3</c:f>
              <c:numCache>
                <c:formatCode>0.0%</c:formatCode>
                <c:ptCount val="9"/>
                <c:pt idx="0">
                  <c:v>0.4476</c:v>
                </c:pt>
                <c:pt idx="1">
                  <c:v>0.43590000000000001</c:v>
                </c:pt>
                <c:pt idx="2">
                  <c:v>0.45619999999999999</c:v>
                </c:pt>
                <c:pt idx="3">
                  <c:v>0.54</c:v>
                </c:pt>
                <c:pt idx="4">
                  <c:v>0.44819999999999999</c:v>
                </c:pt>
                <c:pt idx="5">
                  <c:v>0.438</c:v>
                </c:pt>
                <c:pt idx="6">
                  <c:v>0.43840000000000001</c:v>
                </c:pt>
                <c:pt idx="7">
                  <c:v>0.4713</c:v>
                </c:pt>
                <c:pt idx="8">
                  <c:v>0.44259999999999999</c:v>
                </c:pt>
              </c:numCache>
            </c:numRef>
          </c:val>
          <c:extLst xmlns:c16r2="http://schemas.microsoft.com/office/drawing/2015/06/chart">
            <c:ext xmlns:c16="http://schemas.microsoft.com/office/drawing/2014/chart" uri="{C3380CC4-5D6E-409C-BE32-E72D297353CC}">
              <c16:uniqueId val="{00000009-248A-450C-8CAA-E96912FE2D1D}"/>
            </c:ext>
          </c:extLst>
        </c:ser>
        <c:ser>
          <c:idx val="1"/>
          <c:order val="1"/>
          <c:tx>
            <c:strRef>
              <c:f>Sheet1!$A$4</c:f>
              <c:strCache>
                <c:ptCount val="1"/>
                <c:pt idx="0">
                  <c:v>Early Composition Agreement</c:v>
                </c:pt>
              </c:strCache>
            </c:strRef>
          </c:tx>
          <c:spPr>
            <a:solidFill>
              <a:schemeClr val="accent2"/>
            </a:solidFill>
            <a:ln>
              <a:noFill/>
            </a:ln>
            <a:effectLst/>
          </c:spPr>
          <c:invertIfNegative val="0"/>
          <c:dLbls>
            <c:dLbl>
              <c:idx val="7"/>
              <c:layout>
                <c:manualLayout>
                  <c:x val="1.10192837465565E-2"/>
                  <c:y val="8.354218880534629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48A-450C-8CAA-E96912FE2D1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Sheet1!$B$1:$J$1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Sheet1!$B$4:$J$4</c:f>
              <c:numCache>
                <c:formatCode>0.0%</c:formatCode>
                <c:ptCount val="9"/>
                <c:pt idx="0">
                  <c:v>0.56810000000000005</c:v>
                </c:pt>
                <c:pt idx="1">
                  <c:v>0.63480000000000103</c:v>
                </c:pt>
                <c:pt idx="2">
                  <c:v>0.52769999999999995</c:v>
                </c:pt>
                <c:pt idx="3">
                  <c:v>0.53</c:v>
                </c:pt>
                <c:pt idx="4">
                  <c:v>0.52649999999999997</c:v>
                </c:pt>
                <c:pt idx="5">
                  <c:v>0.503</c:v>
                </c:pt>
                <c:pt idx="6">
                  <c:v>0.51900000000000002</c:v>
                </c:pt>
                <c:pt idx="7">
                  <c:v>0.4642</c:v>
                </c:pt>
                <c:pt idx="8">
                  <c:v>0.68700000000000105</c:v>
                </c:pt>
              </c:numCache>
            </c:numRef>
          </c:val>
          <c:extLst xmlns:c16r2="http://schemas.microsoft.com/office/drawing/2015/06/chart">
            <c:ext xmlns:c16="http://schemas.microsoft.com/office/drawing/2014/chart" uri="{C3380CC4-5D6E-409C-BE32-E72D297353CC}">
              <c16:uniqueId val="{0000000B-248A-450C-8CAA-E96912FE2D1D}"/>
            </c:ext>
          </c:extLst>
        </c:ser>
        <c:dLbls>
          <c:showLegendKey val="0"/>
          <c:showVal val="1"/>
          <c:showCatName val="0"/>
          <c:showSerName val="0"/>
          <c:showPercent val="0"/>
          <c:showBubbleSize val="0"/>
        </c:dLbls>
        <c:gapWidth val="219"/>
        <c:overlap val="-27"/>
        <c:axId val="337489280"/>
        <c:axId val="341370368"/>
      </c:barChart>
      <c:catAx>
        <c:axId val="33748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370368"/>
        <c:crosses val="autoZero"/>
        <c:auto val="1"/>
        <c:lblAlgn val="ctr"/>
        <c:lblOffset val="100"/>
        <c:noMultiLvlLbl val="0"/>
      </c:catAx>
      <c:valAx>
        <c:axId val="341370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48928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Sheet1!$B$2</c:f>
              <c:strCache>
                <c:ptCount val="1"/>
                <c:pt idx="0">
                  <c:v>Undertakings</c:v>
                </c:pt>
              </c:strCache>
            </c:strRef>
          </c:tx>
          <c:cat>
            <c:numRef>
              <c:f>Sheet1!$A$3:$A$6</c:f>
              <c:numCache>
                <c:formatCode>General</c:formatCode>
                <c:ptCount val="4"/>
                <c:pt idx="0">
                  <c:v>2012</c:v>
                </c:pt>
                <c:pt idx="1">
                  <c:v>2013</c:v>
                </c:pt>
                <c:pt idx="2">
                  <c:v>2014</c:v>
                </c:pt>
                <c:pt idx="3">
                  <c:v>2015</c:v>
                </c:pt>
              </c:numCache>
            </c:numRef>
          </c:cat>
          <c:val>
            <c:numRef>
              <c:f>Sheet1!$B$3:$B$6</c:f>
              <c:numCache>
                <c:formatCode>General</c:formatCode>
                <c:ptCount val="4"/>
                <c:pt idx="0">
                  <c:v>50</c:v>
                </c:pt>
                <c:pt idx="1">
                  <c:v>790</c:v>
                </c:pt>
                <c:pt idx="2">
                  <c:v>1007</c:v>
                </c:pt>
                <c:pt idx="3">
                  <c:v>1158</c:v>
                </c:pt>
              </c:numCache>
            </c:numRef>
          </c:val>
          <c:smooth val="0"/>
        </c:ser>
        <c:ser>
          <c:idx val="1"/>
          <c:order val="1"/>
          <c:tx>
            <c:strRef>
              <c:f>Sheet1!$C$2</c:f>
              <c:strCache>
                <c:ptCount val="1"/>
                <c:pt idx="0">
                  <c:v>Individuals</c:v>
                </c:pt>
              </c:strCache>
            </c:strRef>
          </c:tx>
          <c:cat>
            <c:numRef>
              <c:f>Sheet1!$A$3:$A$6</c:f>
              <c:numCache>
                <c:formatCode>General</c:formatCode>
                <c:ptCount val="4"/>
                <c:pt idx="0">
                  <c:v>2012</c:v>
                </c:pt>
                <c:pt idx="1">
                  <c:v>2013</c:v>
                </c:pt>
                <c:pt idx="2">
                  <c:v>2014</c:v>
                </c:pt>
                <c:pt idx="3">
                  <c:v>2015</c:v>
                </c:pt>
              </c:numCache>
            </c:numRef>
          </c:cat>
          <c:val>
            <c:numRef>
              <c:f>Sheet1!$C$3:$C$6</c:f>
              <c:numCache>
                <c:formatCode>General</c:formatCode>
                <c:ptCount val="4"/>
                <c:pt idx="0">
                  <c:v>12</c:v>
                </c:pt>
                <c:pt idx="1">
                  <c:v>196</c:v>
                </c:pt>
                <c:pt idx="2">
                  <c:v>519</c:v>
                </c:pt>
                <c:pt idx="3">
                  <c:v>1385</c:v>
                </c:pt>
              </c:numCache>
            </c:numRef>
          </c:val>
          <c:smooth val="0"/>
        </c:ser>
        <c:ser>
          <c:idx val="2"/>
          <c:order val="2"/>
          <c:tx>
            <c:strRef>
              <c:f>Sheet1!$D$2</c:f>
              <c:strCache>
                <c:ptCount val="1"/>
                <c:pt idx="0">
                  <c:v>Other</c:v>
                </c:pt>
              </c:strCache>
            </c:strRef>
          </c:tx>
          <c:cat>
            <c:numRef>
              <c:f>Sheet1!$A$3:$A$6</c:f>
              <c:numCache>
                <c:formatCode>General</c:formatCode>
                <c:ptCount val="4"/>
                <c:pt idx="0">
                  <c:v>2012</c:v>
                </c:pt>
                <c:pt idx="1">
                  <c:v>2013</c:v>
                </c:pt>
                <c:pt idx="2">
                  <c:v>2014</c:v>
                </c:pt>
                <c:pt idx="3">
                  <c:v>2015</c:v>
                </c:pt>
              </c:numCache>
            </c:numRef>
          </c:cat>
          <c:val>
            <c:numRef>
              <c:f>Sheet1!$D$3:$D$6</c:f>
              <c:numCache>
                <c:formatCode>General</c:formatCode>
                <c:ptCount val="4"/>
                <c:pt idx="0">
                  <c:v>3</c:v>
                </c:pt>
                <c:pt idx="1">
                  <c:v>69</c:v>
                </c:pt>
                <c:pt idx="2">
                  <c:v>95</c:v>
                </c:pt>
                <c:pt idx="3">
                  <c:v>218</c:v>
                </c:pt>
              </c:numCache>
            </c:numRef>
          </c:val>
          <c:smooth val="0"/>
        </c:ser>
        <c:dLbls>
          <c:showLegendKey val="0"/>
          <c:showVal val="0"/>
          <c:showCatName val="0"/>
          <c:showSerName val="0"/>
          <c:showPercent val="0"/>
          <c:showBubbleSize val="0"/>
        </c:dLbls>
        <c:marker val="1"/>
        <c:smooth val="0"/>
        <c:axId val="229243904"/>
        <c:axId val="229327616"/>
      </c:lineChart>
      <c:catAx>
        <c:axId val="229243904"/>
        <c:scaling>
          <c:orientation val="minMax"/>
        </c:scaling>
        <c:delete val="0"/>
        <c:axPos val="b"/>
        <c:numFmt formatCode="General" sourceLinked="1"/>
        <c:majorTickMark val="out"/>
        <c:minorTickMark val="none"/>
        <c:tickLblPos val="nextTo"/>
        <c:crossAx val="229327616"/>
        <c:crosses val="autoZero"/>
        <c:auto val="1"/>
        <c:lblAlgn val="ctr"/>
        <c:lblOffset val="100"/>
        <c:noMultiLvlLbl val="0"/>
      </c:catAx>
      <c:valAx>
        <c:axId val="229327616"/>
        <c:scaling>
          <c:orientation val="minMax"/>
        </c:scaling>
        <c:delete val="0"/>
        <c:axPos val="l"/>
        <c:majorGridlines/>
        <c:numFmt formatCode="General" sourceLinked="1"/>
        <c:majorTickMark val="out"/>
        <c:minorTickMark val="none"/>
        <c:tickLblPos val="nextTo"/>
        <c:crossAx val="22924390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tx>
            <c:strRef>
              <c:f>Sheet1!$B$1</c:f>
              <c:strCache>
                <c:ptCount val="1"/>
                <c:pt idx="0">
                  <c:v>1-19 employees</c:v>
                </c:pt>
              </c:strCache>
            </c:strRef>
          </c:tx>
          <c:invertIfNegative val="0"/>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762</c:v>
                </c:pt>
                <c:pt idx="1">
                  <c:v>874</c:v>
                </c:pt>
                <c:pt idx="2">
                  <c:v>906</c:v>
                </c:pt>
                <c:pt idx="3">
                  <c:v>934</c:v>
                </c:pt>
                <c:pt idx="4">
                  <c:v>919</c:v>
                </c:pt>
              </c:numCache>
            </c:numRef>
          </c:val>
        </c:ser>
        <c:ser>
          <c:idx val="1"/>
          <c:order val="1"/>
          <c:tx>
            <c:strRef>
              <c:f>Sheet1!$C$1</c:f>
              <c:strCache>
                <c:ptCount val="1"/>
                <c:pt idx="0">
                  <c:v>20-49 employees</c:v>
                </c:pt>
              </c:strCache>
            </c:strRef>
          </c:tx>
          <c:invertIfNegative val="0"/>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132</c:v>
                </c:pt>
                <c:pt idx="1">
                  <c:v>158</c:v>
                </c:pt>
                <c:pt idx="2">
                  <c:v>165</c:v>
                </c:pt>
                <c:pt idx="3">
                  <c:v>177</c:v>
                </c:pt>
                <c:pt idx="4">
                  <c:v>141</c:v>
                </c:pt>
              </c:numCache>
            </c:numRef>
          </c:val>
        </c:ser>
        <c:ser>
          <c:idx val="2"/>
          <c:order val="2"/>
          <c:tx>
            <c:strRef>
              <c:f>Sheet1!$D$1</c:f>
              <c:strCache>
                <c:ptCount val="1"/>
                <c:pt idx="0">
                  <c:v>50-99 employees</c:v>
                </c:pt>
              </c:strCache>
            </c:strRef>
          </c:tx>
          <c:invertIfNegative val="0"/>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61</c:v>
                </c:pt>
                <c:pt idx="1">
                  <c:v>45</c:v>
                </c:pt>
                <c:pt idx="2">
                  <c:v>50</c:v>
                </c:pt>
                <c:pt idx="3">
                  <c:v>34</c:v>
                </c:pt>
                <c:pt idx="4">
                  <c:v>40</c:v>
                </c:pt>
              </c:numCache>
            </c:numRef>
          </c:val>
        </c:ser>
        <c:ser>
          <c:idx val="3"/>
          <c:order val="3"/>
          <c:tx>
            <c:strRef>
              <c:f>Sheet1!$E$1</c:f>
              <c:strCache>
                <c:ptCount val="1"/>
                <c:pt idx="0">
                  <c:v>100+ employees</c:v>
                </c:pt>
              </c:strCache>
            </c:strRef>
          </c:tx>
          <c:invertIfNegative val="0"/>
          <c:cat>
            <c:numRef>
              <c:f>Sheet1!$A$2:$A$6</c:f>
              <c:numCache>
                <c:formatCode>General</c:formatCode>
                <c:ptCount val="5"/>
                <c:pt idx="0">
                  <c:v>2011</c:v>
                </c:pt>
                <c:pt idx="1">
                  <c:v>2012</c:v>
                </c:pt>
                <c:pt idx="2">
                  <c:v>2013</c:v>
                </c:pt>
                <c:pt idx="3">
                  <c:v>2014</c:v>
                </c:pt>
                <c:pt idx="4">
                  <c:v>2015</c:v>
                </c:pt>
              </c:numCache>
            </c:numRef>
          </c:cat>
          <c:val>
            <c:numRef>
              <c:f>Sheet1!$E$2:$E$6</c:f>
              <c:numCache>
                <c:formatCode>General</c:formatCode>
                <c:ptCount val="5"/>
                <c:pt idx="0">
                  <c:v>37</c:v>
                </c:pt>
                <c:pt idx="1">
                  <c:v>35</c:v>
                </c:pt>
                <c:pt idx="2">
                  <c:v>44</c:v>
                </c:pt>
                <c:pt idx="3">
                  <c:v>30</c:v>
                </c:pt>
                <c:pt idx="4">
                  <c:v>25</c:v>
                </c:pt>
              </c:numCache>
            </c:numRef>
          </c:val>
        </c:ser>
        <c:dLbls>
          <c:showLegendKey val="0"/>
          <c:showVal val="0"/>
          <c:showCatName val="0"/>
          <c:showSerName val="0"/>
          <c:showPercent val="0"/>
          <c:showBubbleSize val="0"/>
        </c:dLbls>
        <c:gapWidth val="150"/>
        <c:axId val="231509376"/>
        <c:axId val="231515264"/>
      </c:barChart>
      <c:catAx>
        <c:axId val="231509376"/>
        <c:scaling>
          <c:orientation val="minMax"/>
        </c:scaling>
        <c:delete val="0"/>
        <c:axPos val="b"/>
        <c:numFmt formatCode="General" sourceLinked="1"/>
        <c:majorTickMark val="out"/>
        <c:minorTickMark val="none"/>
        <c:tickLblPos val="nextTo"/>
        <c:crossAx val="231515264"/>
        <c:crosses val="autoZero"/>
        <c:auto val="1"/>
        <c:lblAlgn val="ctr"/>
        <c:lblOffset val="100"/>
        <c:noMultiLvlLbl val="0"/>
      </c:catAx>
      <c:valAx>
        <c:axId val="231515264"/>
        <c:scaling>
          <c:orientation val="minMax"/>
        </c:scaling>
        <c:delete val="0"/>
        <c:axPos val="l"/>
        <c:majorGridlines/>
        <c:numFmt formatCode="General" sourceLinked="1"/>
        <c:majorTickMark val="out"/>
        <c:minorTickMark val="none"/>
        <c:tickLblPos val="nextTo"/>
        <c:crossAx val="231509376"/>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a:pPr>
            <a:r>
              <a:rPr lang="en-US" sz="1100">
                <a:latin typeface="Times New Roman" panose="02020603050405020304" pitchFamily="18" charset="0"/>
                <a:cs typeface="Times New Roman" panose="02020603050405020304" pitchFamily="18" charset="0"/>
              </a:rPr>
              <a:t>Average</a:t>
            </a:r>
            <a:r>
              <a:rPr lang="en-US" sz="1100" baseline="0">
                <a:latin typeface="Times New Roman" panose="02020603050405020304" pitchFamily="18" charset="0"/>
                <a:cs typeface="Times New Roman" panose="02020603050405020304" pitchFamily="18" charset="0"/>
              </a:rPr>
              <a:t> length of restructruing proceedings</a:t>
            </a:r>
            <a:endParaRPr lang="en-US" sz="1100">
              <a:latin typeface="Times New Roman" panose="02020603050405020304" pitchFamily="18" charset="0"/>
              <a:cs typeface="Times New Roman" panose="02020603050405020304" pitchFamily="18" charset="0"/>
            </a:endParaRPr>
          </a:p>
        </c:rich>
      </c:tx>
      <c:layout/>
      <c:overlay val="0"/>
    </c:title>
    <c:autoTitleDeleted val="0"/>
    <c:plotArea>
      <c:layout/>
      <c:barChart>
        <c:barDir val="col"/>
        <c:grouping val="clustered"/>
        <c:varyColors val="0"/>
        <c:ser>
          <c:idx val="0"/>
          <c:order val="0"/>
          <c:tx>
            <c:strRef>
              <c:f>Sheet1!$B$1</c:f>
              <c:strCache>
                <c:ptCount val="1"/>
                <c:pt idx="0">
                  <c:v>duration in months</c:v>
                </c:pt>
              </c:strCache>
            </c:strRef>
          </c:tx>
          <c:invertIfNegative val="0"/>
          <c:cat>
            <c:strRef>
              <c:f>Sheet1!$A$2:$A$11</c:f>
              <c:strCache>
                <c:ptCount val="10"/>
                <c:pt idx="0">
                  <c:v>Belgium</c:v>
                </c:pt>
                <c:pt idx="1">
                  <c:v>Croatia</c:v>
                </c:pt>
                <c:pt idx="2">
                  <c:v>Czech Republic</c:v>
                </c:pt>
                <c:pt idx="3">
                  <c:v>Denmark</c:v>
                </c:pt>
                <c:pt idx="4">
                  <c:v>France</c:v>
                </c:pt>
                <c:pt idx="5">
                  <c:v>Italy</c:v>
                </c:pt>
                <c:pt idx="6">
                  <c:v>Lithuania</c:v>
                </c:pt>
                <c:pt idx="7">
                  <c:v>Poland</c:v>
                </c:pt>
                <c:pt idx="8">
                  <c:v>Portugal</c:v>
                </c:pt>
                <c:pt idx="9">
                  <c:v>Slovenia</c:v>
                </c:pt>
              </c:strCache>
            </c:strRef>
          </c:cat>
          <c:val>
            <c:numRef>
              <c:f>Sheet1!$B$2:$B$11</c:f>
              <c:numCache>
                <c:formatCode>General</c:formatCode>
                <c:ptCount val="10"/>
                <c:pt idx="0">
                  <c:v>8.3800000000000008</c:v>
                </c:pt>
                <c:pt idx="1">
                  <c:v>11.7</c:v>
                </c:pt>
                <c:pt idx="2">
                  <c:v>35</c:v>
                </c:pt>
                <c:pt idx="3">
                  <c:v>4.3</c:v>
                </c:pt>
                <c:pt idx="4">
                  <c:v>3.56</c:v>
                </c:pt>
                <c:pt idx="5">
                  <c:v>16.3</c:v>
                </c:pt>
                <c:pt idx="6">
                  <c:v>57</c:v>
                </c:pt>
                <c:pt idx="7">
                  <c:v>3</c:v>
                </c:pt>
                <c:pt idx="8">
                  <c:v>6</c:v>
                </c:pt>
                <c:pt idx="9">
                  <c:v>4.2300000000000004</c:v>
                </c:pt>
              </c:numCache>
            </c:numRef>
          </c:val>
        </c:ser>
        <c:dLbls>
          <c:showLegendKey val="0"/>
          <c:showVal val="0"/>
          <c:showCatName val="0"/>
          <c:showSerName val="0"/>
          <c:showPercent val="0"/>
          <c:showBubbleSize val="0"/>
        </c:dLbls>
        <c:gapWidth val="150"/>
        <c:axId val="232116608"/>
        <c:axId val="232118144"/>
      </c:barChart>
      <c:catAx>
        <c:axId val="232116608"/>
        <c:scaling>
          <c:orientation val="minMax"/>
        </c:scaling>
        <c:delete val="0"/>
        <c:axPos val="b"/>
        <c:majorTickMark val="out"/>
        <c:minorTickMark val="none"/>
        <c:tickLblPos val="nextTo"/>
        <c:crossAx val="232118144"/>
        <c:crosses val="autoZero"/>
        <c:auto val="1"/>
        <c:lblAlgn val="ctr"/>
        <c:lblOffset val="100"/>
        <c:noMultiLvlLbl val="0"/>
      </c:catAx>
      <c:valAx>
        <c:axId val="232118144"/>
        <c:scaling>
          <c:orientation val="minMax"/>
        </c:scaling>
        <c:delete val="0"/>
        <c:axPos val="l"/>
        <c:majorGridlines/>
        <c:numFmt formatCode="General" sourceLinked="1"/>
        <c:majorTickMark val="out"/>
        <c:minorTickMark val="none"/>
        <c:tickLblPos val="nextTo"/>
        <c:crossAx val="2321166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0"/>
      <c:rotY val="20"/>
      <c:rAngAx val="1"/>
    </c:view3D>
    <c:floor>
      <c:thickness val="0"/>
    </c:floor>
    <c:sideWall>
      <c:thickness val="0"/>
    </c:sideWall>
    <c:backWall>
      <c:thickness val="0"/>
    </c:backWall>
    <c:plotArea>
      <c:layout/>
      <c:bar3DChart>
        <c:barDir val="col"/>
        <c:grouping val="percentStacked"/>
        <c:varyColors val="0"/>
        <c:ser>
          <c:idx val="0"/>
          <c:order val="0"/>
          <c:tx>
            <c:strRef>
              <c:f>Sheet1!$B$1</c:f>
              <c:strCache>
                <c:ptCount val="1"/>
                <c:pt idx="0">
                  <c:v>To a large extent</c:v>
                </c:pt>
              </c:strCache>
            </c:strRef>
          </c:tx>
          <c:spPr>
            <a:pattFill prst="pct90">
              <a:fgClr>
                <a:schemeClr val="tx1"/>
              </a:fgClr>
              <a:bgClr>
                <a:schemeClr val="bg1"/>
              </a:bgClr>
            </a:pattFill>
          </c:spPr>
          <c:invertIfNegative val="0"/>
          <c:cat>
            <c:strRef>
              <c:f>Sheet1!$A$2:$A$8</c:f>
              <c:strCache>
                <c:ptCount val="7"/>
                <c:pt idx="0">
                  <c:v>Preventive measures to enable restructuring of viable businessess</c:v>
                </c:pt>
                <c:pt idx="1">
                  <c:v>Measures to increase the recovery rates of debts in insolvency </c:v>
                </c:pt>
                <c:pt idx="2">
                  <c:v>Measures to ensure the discharge of debts for enterpreneurs</c:v>
                </c:pt>
                <c:pt idx="3">
                  <c:v>Measures to ensure the discharge of debts for consumers</c:v>
                </c:pt>
                <c:pt idx="4">
                  <c:v>Measures gverning employees' rights in insolvency </c:v>
                </c:pt>
                <c:pt idx="5">
                  <c:v>Measures ensuring the enforcement of debts</c:v>
                </c:pt>
                <c:pt idx="6">
                  <c:v>Other measures</c:v>
                </c:pt>
              </c:strCache>
            </c:strRef>
          </c:cat>
          <c:val>
            <c:numRef>
              <c:f>Sheet1!$B$2:$B$8</c:f>
              <c:numCache>
                <c:formatCode>General</c:formatCode>
                <c:ptCount val="7"/>
                <c:pt idx="0">
                  <c:v>0.22</c:v>
                </c:pt>
                <c:pt idx="1">
                  <c:v>0.19</c:v>
                </c:pt>
                <c:pt idx="2">
                  <c:v>0.11</c:v>
                </c:pt>
                <c:pt idx="3">
                  <c:v>0.1</c:v>
                </c:pt>
                <c:pt idx="4">
                  <c:v>0.09</c:v>
                </c:pt>
                <c:pt idx="5">
                  <c:v>0.21</c:v>
                </c:pt>
                <c:pt idx="6">
                  <c:v>7.0000000000000007E-2</c:v>
                </c:pt>
              </c:numCache>
            </c:numRef>
          </c:val>
        </c:ser>
        <c:ser>
          <c:idx val="1"/>
          <c:order val="1"/>
          <c:tx>
            <c:strRef>
              <c:f>Sheet1!$C$1</c:f>
              <c:strCache>
                <c:ptCount val="1"/>
                <c:pt idx="0">
                  <c:v>To a considerable extent</c:v>
                </c:pt>
              </c:strCache>
            </c:strRef>
          </c:tx>
          <c:spPr>
            <a:pattFill prst="wdUpDiag">
              <a:fgClr>
                <a:schemeClr val="tx1"/>
              </a:fgClr>
              <a:bgClr>
                <a:schemeClr val="bg1"/>
              </a:bgClr>
            </a:pattFill>
          </c:spPr>
          <c:invertIfNegative val="0"/>
          <c:cat>
            <c:strRef>
              <c:f>Sheet1!$A$2:$A$8</c:f>
              <c:strCache>
                <c:ptCount val="7"/>
                <c:pt idx="0">
                  <c:v>Preventive measures to enable restructuring of viable businessess</c:v>
                </c:pt>
                <c:pt idx="1">
                  <c:v>Measures to increase the recovery rates of debts in insolvency </c:v>
                </c:pt>
                <c:pt idx="2">
                  <c:v>Measures to ensure the discharge of debts for enterpreneurs</c:v>
                </c:pt>
                <c:pt idx="3">
                  <c:v>Measures to ensure the discharge of debts for consumers</c:v>
                </c:pt>
                <c:pt idx="4">
                  <c:v>Measures gverning employees' rights in insolvency </c:v>
                </c:pt>
                <c:pt idx="5">
                  <c:v>Measures ensuring the enforcement of debts</c:v>
                </c:pt>
                <c:pt idx="6">
                  <c:v>Other measures</c:v>
                </c:pt>
              </c:strCache>
            </c:strRef>
          </c:cat>
          <c:val>
            <c:numRef>
              <c:f>Sheet1!$C$2:$C$8</c:f>
              <c:numCache>
                <c:formatCode>General</c:formatCode>
                <c:ptCount val="7"/>
                <c:pt idx="0">
                  <c:v>0.26</c:v>
                </c:pt>
                <c:pt idx="1">
                  <c:v>0.31</c:v>
                </c:pt>
                <c:pt idx="2">
                  <c:v>0.15</c:v>
                </c:pt>
                <c:pt idx="3">
                  <c:v>0.15</c:v>
                </c:pt>
                <c:pt idx="4">
                  <c:v>0.17</c:v>
                </c:pt>
                <c:pt idx="5">
                  <c:v>0.19</c:v>
                </c:pt>
                <c:pt idx="6">
                  <c:v>0.06</c:v>
                </c:pt>
              </c:numCache>
            </c:numRef>
          </c:val>
        </c:ser>
        <c:ser>
          <c:idx val="2"/>
          <c:order val="2"/>
          <c:tx>
            <c:strRef>
              <c:f>Sheet1!$D$1</c:f>
              <c:strCache>
                <c:ptCount val="1"/>
                <c:pt idx="0">
                  <c:v>To some extent</c:v>
                </c:pt>
              </c:strCache>
            </c:strRef>
          </c:tx>
          <c:spPr>
            <a:pattFill prst="dkHorz">
              <a:fgClr>
                <a:schemeClr val="tx1"/>
              </a:fgClr>
              <a:bgClr>
                <a:schemeClr val="bg1"/>
              </a:bgClr>
            </a:pattFill>
          </c:spPr>
          <c:invertIfNegative val="0"/>
          <c:cat>
            <c:strRef>
              <c:f>Sheet1!$A$2:$A$8</c:f>
              <c:strCache>
                <c:ptCount val="7"/>
                <c:pt idx="0">
                  <c:v>Preventive measures to enable restructuring of viable businessess</c:v>
                </c:pt>
                <c:pt idx="1">
                  <c:v>Measures to increase the recovery rates of debts in insolvency </c:v>
                </c:pt>
                <c:pt idx="2">
                  <c:v>Measures to ensure the discharge of debts for enterpreneurs</c:v>
                </c:pt>
                <c:pt idx="3">
                  <c:v>Measures to ensure the discharge of debts for consumers</c:v>
                </c:pt>
                <c:pt idx="4">
                  <c:v>Measures gverning employees' rights in insolvency </c:v>
                </c:pt>
                <c:pt idx="5">
                  <c:v>Measures ensuring the enforcement of debts</c:v>
                </c:pt>
                <c:pt idx="6">
                  <c:v>Other measures</c:v>
                </c:pt>
              </c:strCache>
            </c:strRef>
          </c:cat>
          <c:val>
            <c:numRef>
              <c:f>Sheet1!$D$2:$D$8</c:f>
              <c:numCache>
                <c:formatCode>General</c:formatCode>
                <c:ptCount val="7"/>
                <c:pt idx="0">
                  <c:v>0.28999999999999998</c:v>
                </c:pt>
                <c:pt idx="1">
                  <c:v>0.25</c:v>
                </c:pt>
                <c:pt idx="2">
                  <c:v>0.41</c:v>
                </c:pt>
                <c:pt idx="3">
                  <c:v>0.34</c:v>
                </c:pt>
                <c:pt idx="4">
                  <c:v>0.34</c:v>
                </c:pt>
                <c:pt idx="5">
                  <c:v>0.28999999999999998</c:v>
                </c:pt>
                <c:pt idx="6">
                  <c:v>0.13</c:v>
                </c:pt>
              </c:numCache>
            </c:numRef>
          </c:val>
        </c:ser>
        <c:ser>
          <c:idx val="3"/>
          <c:order val="3"/>
          <c:tx>
            <c:strRef>
              <c:f>Sheet1!$E$1</c:f>
              <c:strCache>
                <c:ptCount val="1"/>
                <c:pt idx="0">
                  <c:v>Not at all</c:v>
                </c:pt>
              </c:strCache>
            </c:strRef>
          </c:tx>
          <c:spPr>
            <a:pattFill prst="lgConfetti">
              <a:fgClr>
                <a:schemeClr val="tx1"/>
              </a:fgClr>
              <a:bgClr>
                <a:schemeClr val="bg1"/>
              </a:bgClr>
            </a:pattFill>
          </c:spPr>
          <c:invertIfNegative val="0"/>
          <c:cat>
            <c:strRef>
              <c:f>Sheet1!$A$2:$A$8</c:f>
              <c:strCache>
                <c:ptCount val="7"/>
                <c:pt idx="0">
                  <c:v>Preventive measures to enable restructuring of viable businessess</c:v>
                </c:pt>
                <c:pt idx="1">
                  <c:v>Measures to increase the recovery rates of debts in insolvency </c:v>
                </c:pt>
                <c:pt idx="2">
                  <c:v>Measures to ensure the discharge of debts for enterpreneurs</c:v>
                </c:pt>
                <c:pt idx="3">
                  <c:v>Measures to ensure the discharge of debts for consumers</c:v>
                </c:pt>
                <c:pt idx="4">
                  <c:v>Measures gverning employees' rights in insolvency </c:v>
                </c:pt>
                <c:pt idx="5">
                  <c:v>Measures ensuring the enforcement of debts</c:v>
                </c:pt>
                <c:pt idx="6">
                  <c:v>Other measures</c:v>
                </c:pt>
              </c:strCache>
            </c:strRef>
          </c:cat>
          <c:val>
            <c:numRef>
              <c:f>Sheet1!$E$2:$E$8</c:f>
              <c:numCache>
                <c:formatCode>General</c:formatCode>
                <c:ptCount val="7"/>
                <c:pt idx="0">
                  <c:v>0.04</c:v>
                </c:pt>
                <c:pt idx="1">
                  <c:v>7.0000000000000007E-2</c:v>
                </c:pt>
                <c:pt idx="2">
                  <c:v>0.11</c:v>
                </c:pt>
                <c:pt idx="3">
                  <c:v>0.14000000000000001</c:v>
                </c:pt>
                <c:pt idx="4">
                  <c:v>0.12</c:v>
                </c:pt>
                <c:pt idx="5">
                  <c:v>0.09</c:v>
                </c:pt>
                <c:pt idx="6">
                  <c:v>0.04</c:v>
                </c:pt>
              </c:numCache>
            </c:numRef>
          </c:val>
        </c:ser>
        <c:ser>
          <c:idx val="4"/>
          <c:order val="4"/>
          <c:tx>
            <c:strRef>
              <c:f>Sheet1!$F$1</c:f>
              <c:strCache>
                <c:ptCount val="1"/>
                <c:pt idx="0">
                  <c:v>No opinion/no answer</c:v>
                </c:pt>
              </c:strCache>
            </c:strRef>
          </c:tx>
          <c:spPr>
            <a:pattFill prst="solidDmnd">
              <a:fgClr>
                <a:schemeClr val="tx1"/>
              </a:fgClr>
              <a:bgClr>
                <a:schemeClr val="bg1"/>
              </a:bgClr>
            </a:pattFill>
          </c:spPr>
          <c:invertIfNegative val="0"/>
          <c:cat>
            <c:strRef>
              <c:f>Sheet1!$A$2:$A$8</c:f>
              <c:strCache>
                <c:ptCount val="7"/>
                <c:pt idx="0">
                  <c:v>Preventive measures to enable restructuring of viable businessess</c:v>
                </c:pt>
                <c:pt idx="1">
                  <c:v>Measures to increase the recovery rates of debts in insolvency </c:v>
                </c:pt>
                <c:pt idx="2">
                  <c:v>Measures to ensure the discharge of debts for enterpreneurs</c:v>
                </c:pt>
                <c:pt idx="3">
                  <c:v>Measures to ensure the discharge of debts for consumers</c:v>
                </c:pt>
                <c:pt idx="4">
                  <c:v>Measures gverning employees' rights in insolvency </c:v>
                </c:pt>
                <c:pt idx="5">
                  <c:v>Measures ensuring the enforcement of debts</c:v>
                </c:pt>
                <c:pt idx="6">
                  <c:v>Other measures</c:v>
                </c:pt>
              </c:strCache>
            </c:strRef>
          </c:cat>
          <c:val>
            <c:numRef>
              <c:f>Sheet1!$F$2:$F$8</c:f>
              <c:numCache>
                <c:formatCode>General</c:formatCode>
                <c:ptCount val="7"/>
                <c:pt idx="0">
                  <c:v>0.18</c:v>
                </c:pt>
                <c:pt idx="1">
                  <c:v>0.19</c:v>
                </c:pt>
                <c:pt idx="2">
                  <c:v>0.23</c:v>
                </c:pt>
                <c:pt idx="3">
                  <c:v>0.27</c:v>
                </c:pt>
                <c:pt idx="4">
                  <c:v>0.27</c:v>
                </c:pt>
                <c:pt idx="5">
                  <c:v>0.22</c:v>
                </c:pt>
                <c:pt idx="6">
                  <c:v>0.7</c:v>
                </c:pt>
              </c:numCache>
            </c:numRef>
          </c:val>
        </c:ser>
        <c:dLbls>
          <c:showLegendKey val="0"/>
          <c:showVal val="0"/>
          <c:showCatName val="0"/>
          <c:showSerName val="0"/>
          <c:showPercent val="0"/>
          <c:showBubbleSize val="0"/>
        </c:dLbls>
        <c:gapWidth val="150"/>
        <c:shape val="box"/>
        <c:axId val="352026624"/>
        <c:axId val="352028928"/>
        <c:axId val="0"/>
      </c:bar3DChart>
      <c:catAx>
        <c:axId val="352026624"/>
        <c:scaling>
          <c:orientation val="minMax"/>
        </c:scaling>
        <c:delete val="0"/>
        <c:axPos val="b"/>
        <c:majorTickMark val="out"/>
        <c:minorTickMark val="none"/>
        <c:tickLblPos val="nextTo"/>
        <c:txPr>
          <a:bodyPr rot="-5400000" vert="horz"/>
          <a:lstStyle/>
          <a:p>
            <a:pPr>
              <a:defRPr/>
            </a:pPr>
            <a:endParaRPr lang="en-US"/>
          </a:p>
        </c:txPr>
        <c:crossAx val="352028928"/>
        <c:crosses val="autoZero"/>
        <c:auto val="1"/>
        <c:lblAlgn val="ctr"/>
        <c:lblOffset val="100"/>
        <c:noMultiLvlLbl val="0"/>
      </c:catAx>
      <c:valAx>
        <c:axId val="352028928"/>
        <c:scaling>
          <c:orientation val="minMax"/>
        </c:scaling>
        <c:delete val="0"/>
        <c:axPos val="l"/>
        <c:majorGridlines/>
        <c:numFmt formatCode="0%" sourceLinked="1"/>
        <c:majorTickMark val="out"/>
        <c:minorTickMark val="none"/>
        <c:tickLblPos val="nextTo"/>
        <c:crossAx val="352026624"/>
        <c:crosses val="autoZero"/>
        <c:crossBetween val="between"/>
      </c:valAx>
    </c:plotArea>
    <c:legend>
      <c:legendPos val="r"/>
      <c:layout>
        <c:manualLayout>
          <c:xMode val="edge"/>
          <c:yMode val="edge"/>
          <c:x val="0.72660469747335099"/>
          <c:y val="0.30282106358972699"/>
          <c:w val="0.26005189918480898"/>
          <c:h val="0.39380590937472698"/>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view3D>
      <c:rotX val="0"/>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Sheet1!$B$1</c:f>
              <c:strCache>
                <c:ptCount val="1"/>
                <c:pt idx="0">
                  <c:v>To a large extent</c:v>
                </c:pt>
              </c:strCache>
            </c:strRef>
          </c:tx>
          <c:spPr>
            <a:pattFill prst="pct90">
              <a:fgClr>
                <a:schemeClr val="tx1"/>
              </a:fgClr>
              <a:bgClr>
                <a:schemeClr val="bg1"/>
              </a:bgClr>
            </a:pattFill>
          </c:spPr>
          <c:invertIfNegative val="0"/>
          <c:cat>
            <c:strRef>
              <c:f>Sheet1!$A$2:$A$7</c:f>
              <c:strCache>
                <c:ptCount val="6"/>
                <c:pt idx="0">
                  <c:v>Preventive measures to enable the restructuring of viable businesses</c:v>
                </c:pt>
                <c:pt idx="1">
                  <c:v>Measures to increase the recovery of debts in insolvency</c:v>
                </c:pt>
                <c:pt idx="2">
                  <c:v>Measures to ensure the discharge for entrepreneurs</c:v>
                </c:pt>
                <c:pt idx="3">
                  <c:v>Measures governing employees' rights in insolvency</c:v>
                </c:pt>
                <c:pt idx="4">
                  <c:v>Measures ensuring the enforcement of debts</c:v>
                </c:pt>
                <c:pt idx="5">
                  <c:v>Other measures</c:v>
                </c:pt>
              </c:strCache>
            </c:strRef>
          </c:cat>
          <c:val>
            <c:numRef>
              <c:f>Sheet1!$B$2:$B$7</c:f>
              <c:numCache>
                <c:formatCode>General</c:formatCode>
                <c:ptCount val="6"/>
                <c:pt idx="0">
                  <c:v>0.15</c:v>
                </c:pt>
                <c:pt idx="1">
                  <c:v>0.13</c:v>
                </c:pt>
                <c:pt idx="2">
                  <c:v>0.13</c:v>
                </c:pt>
                <c:pt idx="3">
                  <c:v>0.06</c:v>
                </c:pt>
                <c:pt idx="4">
                  <c:v>0.13</c:v>
                </c:pt>
                <c:pt idx="5">
                  <c:v>0.04</c:v>
                </c:pt>
              </c:numCache>
            </c:numRef>
          </c:val>
        </c:ser>
        <c:ser>
          <c:idx val="1"/>
          <c:order val="1"/>
          <c:tx>
            <c:strRef>
              <c:f>Sheet1!$C$1</c:f>
              <c:strCache>
                <c:ptCount val="1"/>
                <c:pt idx="0">
                  <c:v>To a considerable extent</c:v>
                </c:pt>
              </c:strCache>
            </c:strRef>
          </c:tx>
          <c:spPr>
            <a:pattFill prst="wdUpDiag">
              <a:fgClr>
                <a:schemeClr val="tx1"/>
              </a:fgClr>
              <a:bgClr>
                <a:schemeClr val="bg1"/>
              </a:bgClr>
            </a:pattFill>
          </c:spPr>
          <c:invertIfNegative val="0"/>
          <c:cat>
            <c:strRef>
              <c:f>Sheet1!$A$2:$A$7</c:f>
              <c:strCache>
                <c:ptCount val="6"/>
                <c:pt idx="0">
                  <c:v>Preventive measures to enable the restructuring of viable businesses</c:v>
                </c:pt>
                <c:pt idx="1">
                  <c:v>Measures to increase the recovery of debts in insolvency</c:v>
                </c:pt>
                <c:pt idx="2">
                  <c:v>Measures to ensure the discharge for entrepreneurs</c:v>
                </c:pt>
                <c:pt idx="3">
                  <c:v>Measures governing employees' rights in insolvency</c:v>
                </c:pt>
                <c:pt idx="4">
                  <c:v>Measures ensuring the enforcement of debts</c:v>
                </c:pt>
                <c:pt idx="5">
                  <c:v>Other measures</c:v>
                </c:pt>
              </c:strCache>
            </c:strRef>
          </c:cat>
          <c:val>
            <c:numRef>
              <c:f>Sheet1!$C$2:$C$7</c:f>
              <c:numCache>
                <c:formatCode>General</c:formatCode>
                <c:ptCount val="6"/>
                <c:pt idx="0">
                  <c:v>0.17</c:v>
                </c:pt>
                <c:pt idx="1">
                  <c:v>0.21</c:v>
                </c:pt>
                <c:pt idx="2">
                  <c:v>0.26</c:v>
                </c:pt>
                <c:pt idx="3">
                  <c:v>0.12</c:v>
                </c:pt>
                <c:pt idx="4">
                  <c:v>0.2</c:v>
                </c:pt>
                <c:pt idx="5">
                  <c:v>0.04</c:v>
                </c:pt>
              </c:numCache>
            </c:numRef>
          </c:val>
        </c:ser>
        <c:ser>
          <c:idx val="2"/>
          <c:order val="2"/>
          <c:tx>
            <c:strRef>
              <c:f>Sheet1!$D$1</c:f>
              <c:strCache>
                <c:ptCount val="1"/>
                <c:pt idx="0">
                  <c:v>To some extent</c:v>
                </c:pt>
              </c:strCache>
            </c:strRef>
          </c:tx>
          <c:spPr>
            <a:pattFill prst="dkHorz">
              <a:fgClr>
                <a:schemeClr val="tx1"/>
              </a:fgClr>
              <a:bgClr>
                <a:schemeClr val="bg1"/>
              </a:bgClr>
            </a:pattFill>
          </c:spPr>
          <c:invertIfNegative val="0"/>
          <c:cat>
            <c:strRef>
              <c:f>Sheet1!$A$2:$A$7</c:f>
              <c:strCache>
                <c:ptCount val="6"/>
                <c:pt idx="0">
                  <c:v>Preventive measures to enable the restructuring of viable businesses</c:v>
                </c:pt>
                <c:pt idx="1">
                  <c:v>Measures to increase the recovery of debts in insolvency</c:v>
                </c:pt>
                <c:pt idx="2">
                  <c:v>Measures to ensure the discharge for entrepreneurs</c:v>
                </c:pt>
                <c:pt idx="3">
                  <c:v>Measures governing employees' rights in insolvency</c:v>
                </c:pt>
                <c:pt idx="4">
                  <c:v>Measures ensuring the enforcement of debts</c:v>
                </c:pt>
                <c:pt idx="5">
                  <c:v>Other measures</c:v>
                </c:pt>
              </c:strCache>
            </c:strRef>
          </c:cat>
          <c:val>
            <c:numRef>
              <c:f>Sheet1!$D$2:$D$7</c:f>
              <c:numCache>
                <c:formatCode>General</c:formatCode>
                <c:ptCount val="6"/>
                <c:pt idx="0">
                  <c:v>0.31</c:v>
                </c:pt>
                <c:pt idx="1">
                  <c:v>0.25</c:v>
                </c:pt>
                <c:pt idx="2">
                  <c:v>0.23</c:v>
                </c:pt>
                <c:pt idx="3">
                  <c:v>0.36</c:v>
                </c:pt>
                <c:pt idx="4">
                  <c:v>0.28000000000000003</c:v>
                </c:pt>
                <c:pt idx="5">
                  <c:v>0.12</c:v>
                </c:pt>
              </c:numCache>
            </c:numRef>
          </c:val>
        </c:ser>
        <c:ser>
          <c:idx val="3"/>
          <c:order val="3"/>
          <c:tx>
            <c:strRef>
              <c:f>Sheet1!$E$1</c:f>
              <c:strCache>
                <c:ptCount val="1"/>
                <c:pt idx="0">
                  <c:v>Not at all</c:v>
                </c:pt>
              </c:strCache>
            </c:strRef>
          </c:tx>
          <c:spPr>
            <a:pattFill prst="lgConfetti">
              <a:fgClr>
                <a:schemeClr val="tx1"/>
              </a:fgClr>
              <a:bgClr>
                <a:schemeClr val="bg1"/>
              </a:bgClr>
            </a:pattFill>
          </c:spPr>
          <c:invertIfNegative val="0"/>
          <c:cat>
            <c:strRef>
              <c:f>Sheet1!$A$2:$A$7</c:f>
              <c:strCache>
                <c:ptCount val="6"/>
                <c:pt idx="0">
                  <c:v>Preventive measures to enable the restructuring of viable businesses</c:v>
                </c:pt>
                <c:pt idx="1">
                  <c:v>Measures to increase the recovery of debts in insolvency</c:v>
                </c:pt>
                <c:pt idx="2">
                  <c:v>Measures to ensure the discharge for entrepreneurs</c:v>
                </c:pt>
                <c:pt idx="3">
                  <c:v>Measures governing employees' rights in insolvency</c:v>
                </c:pt>
                <c:pt idx="4">
                  <c:v>Measures ensuring the enforcement of debts</c:v>
                </c:pt>
                <c:pt idx="5">
                  <c:v>Other measures</c:v>
                </c:pt>
              </c:strCache>
            </c:strRef>
          </c:cat>
          <c:val>
            <c:numRef>
              <c:f>Sheet1!$E$2:$E$7</c:f>
              <c:numCache>
                <c:formatCode>General</c:formatCode>
                <c:ptCount val="6"/>
                <c:pt idx="0">
                  <c:v>0.17</c:v>
                </c:pt>
                <c:pt idx="1">
                  <c:v>0.16</c:v>
                </c:pt>
                <c:pt idx="2">
                  <c:v>0.14000000000000001</c:v>
                </c:pt>
                <c:pt idx="3">
                  <c:v>0.21</c:v>
                </c:pt>
                <c:pt idx="4">
                  <c:v>0.15</c:v>
                </c:pt>
                <c:pt idx="5">
                  <c:v>0.08</c:v>
                </c:pt>
              </c:numCache>
            </c:numRef>
          </c:val>
        </c:ser>
        <c:ser>
          <c:idx val="4"/>
          <c:order val="4"/>
          <c:tx>
            <c:strRef>
              <c:f>Sheet1!$F$1</c:f>
              <c:strCache>
                <c:ptCount val="1"/>
                <c:pt idx="0">
                  <c:v>No opinion/no answer</c:v>
                </c:pt>
              </c:strCache>
            </c:strRef>
          </c:tx>
          <c:spPr>
            <a:pattFill prst="solidDmnd">
              <a:fgClr>
                <a:schemeClr val="tx1"/>
              </a:fgClr>
              <a:bgClr>
                <a:schemeClr val="bg1"/>
              </a:bgClr>
            </a:pattFill>
          </c:spPr>
          <c:invertIfNegative val="0"/>
          <c:cat>
            <c:strRef>
              <c:f>Sheet1!$A$2:$A$7</c:f>
              <c:strCache>
                <c:ptCount val="6"/>
                <c:pt idx="0">
                  <c:v>Preventive measures to enable the restructuring of viable businesses</c:v>
                </c:pt>
                <c:pt idx="1">
                  <c:v>Measures to increase the recovery of debts in insolvency</c:v>
                </c:pt>
                <c:pt idx="2">
                  <c:v>Measures to ensure the discharge for entrepreneurs</c:v>
                </c:pt>
                <c:pt idx="3">
                  <c:v>Measures governing employees' rights in insolvency</c:v>
                </c:pt>
                <c:pt idx="4">
                  <c:v>Measures ensuring the enforcement of debts</c:v>
                </c:pt>
                <c:pt idx="5">
                  <c:v>Other measures</c:v>
                </c:pt>
              </c:strCache>
            </c:strRef>
          </c:cat>
          <c:val>
            <c:numRef>
              <c:f>Sheet1!$F$2:$F$7</c:f>
              <c:numCache>
                <c:formatCode>General</c:formatCode>
                <c:ptCount val="6"/>
                <c:pt idx="0">
                  <c:v>0.2</c:v>
                </c:pt>
                <c:pt idx="1">
                  <c:v>0.26</c:v>
                </c:pt>
                <c:pt idx="2">
                  <c:v>0.24</c:v>
                </c:pt>
                <c:pt idx="3">
                  <c:v>0.26</c:v>
                </c:pt>
                <c:pt idx="4">
                  <c:v>0.25</c:v>
                </c:pt>
                <c:pt idx="5">
                  <c:v>0.72</c:v>
                </c:pt>
              </c:numCache>
            </c:numRef>
          </c:val>
        </c:ser>
        <c:dLbls>
          <c:showLegendKey val="0"/>
          <c:showVal val="0"/>
          <c:showCatName val="0"/>
          <c:showSerName val="0"/>
          <c:showPercent val="0"/>
          <c:showBubbleSize val="0"/>
        </c:dLbls>
        <c:gapWidth val="150"/>
        <c:shape val="cylinder"/>
        <c:axId val="390598016"/>
        <c:axId val="390657152"/>
        <c:axId val="0"/>
      </c:bar3DChart>
      <c:catAx>
        <c:axId val="390598016"/>
        <c:scaling>
          <c:orientation val="minMax"/>
        </c:scaling>
        <c:delete val="0"/>
        <c:axPos val="b"/>
        <c:majorTickMark val="out"/>
        <c:minorTickMark val="none"/>
        <c:tickLblPos val="nextTo"/>
        <c:txPr>
          <a:bodyPr rot="-5400000" vert="horz"/>
          <a:lstStyle/>
          <a:p>
            <a:pPr>
              <a:defRPr/>
            </a:pPr>
            <a:endParaRPr lang="en-US"/>
          </a:p>
        </c:txPr>
        <c:crossAx val="390657152"/>
        <c:crosses val="autoZero"/>
        <c:auto val="1"/>
        <c:lblAlgn val="ctr"/>
        <c:lblOffset val="100"/>
        <c:noMultiLvlLbl val="0"/>
      </c:catAx>
      <c:valAx>
        <c:axId val="390657152"/>
        <c:scaling>
          <c:orientation val="minMax"/>
        </c:scaling>
        <c:delete val="0"/>
        <c:axPos val="l"/>
        <c:majorGridlines/>
        <c:numFmt formatCode="0%" sourceLinked="1"/>
        <c:majorTickMark val="out"/>
        <c:minorTickMark val="none"/>
        <c:tickLblPos val="nextTo"/>
        <c:crossAx val="390598016"/>
        <c:crosses val="autoZero"/>
        <c:crossBetween val="between"/>
      </c:valAx>
    </c:plotArea>
    <c:legend>
      <c:legendPos val="r"/>
      <c:layout>
        <c:manualLayout>
          <c:xMode val="edge"/>
          <c:yMode val="edge"/>
          <c:x val="0.73163185331000302"/>
          <c:y val="0.20155824271966"/>
          <c:w val="0.26012705820613902"/>
          <c:h val="0.37607342874922201"/>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2.7267960146827499E-2"/>
          <c:y val="5.4268419954080598E-2"/>
          <c:w val="0.97273203985317203"/>
          <c:h val="0.44751987404204402"/>
        </c:manualLayout>
      </c:layout>
      <c:bar3DChart>
        <c:barDir val="col"/>
        <c:grouping val="clustered"/>
        <c:varyColors val="0"/>
        <c:ser>
          <c:idx val="0"/>
          <c:order val="0"/>
          <c:tx>
            <c:strRef>
              <c:f>Sheet1!$B$1</c:f>
              <c:strCache>
                <c:ptCount val="1"/>
                <c:pt idx="0">
                  <c:v>Series 1</c:v>
                </c:pt>
              </c:strCache>
            </c:strRef>
          </c:tx>
          <c:invertIfNegative val="0"/>
          <c:dLbls>
            <c:numFmt formatCode="0%" sourceLinked="0"/>
            <c:showLegendKey val="0"/>
            <c:showVal val="1"/>
            <c:showCatName val="0"/>
            <c:showSerName val="0"/>
            <c:showPercent val="0"/>
            <c:showBubbleSize val="0"/>
            <c:showLeaderLines val="0"/>
          </c:dLbls>
          <c:cat>
            <c:strRef>
              <c:f>Sheet1!$A$2:$A$9</c:f>
              <c:strCache>
                <c:ptCount val="8"/>
                <c:pt idx="0">
                  <c:v>Minimum standards on the ranking of claims in formal insolvency</c:v>
                </c:pt>
                <c:pt idx="1">
                  <c:v>Minimum standards on avoidance actions</c:v>
                </c:pt>
                <c:pt idx="2">
                  <c:v>Minimum standards on insolvency practitioners</c:v>
                </c:pt>
                <c:pt idx="3">
                  <c:v>Specialisation of courts or judges</c:v>
                </c:pt>
                <c:pt idx="4">
                  <c:v>Shortening the length of insolvency proceedings</c:v>
                </c:pt>
                <c:pt idx="5">
                  <c:v>Preventing disqualified directors from starting new companies in another Member State</c:v>
                </c:pt>
                <c:pt idx="6">
                  <c:v>Other measures</c:v>
                </c:pt>
                <c:pt idx="7">
                  <c:v>No opinion/No answer</c:v>
                </c:pt>
              </c:strCache>
            </c:strRef>
          </c:cat>
          <c:val>
            <c:numRef>
              <c:f>Sheet1!$B$2:$B$9</c:f>
              <c:numCache>
                <c:formatCode>General</c:formatCode>
                <c:ptCount val="8"/>
                <c:pt idx="0">
                  <c:v>0.41099999999999998</c:v>
                </c:pt>
                <c:pt idx="1">
                  <c:v>0.49099999999999999</c:v>
                </c:pt>
                <c:pt idx="2">
                  <c:v>0.51200000000000001</c:v>
                </c:pt>
                <c:pt idx="3">
                  <c:v>0.47</c:v>
                </c:pt>
                <c:pt idx="4">
                  <c:v>0.436</c:v>
                </c:pt>
                <c:pt idx="5">
                  <c:v>0.40600000000000003</c:v>
                </c:pt>
                <c:pt idx="6">
                  <c:v>0.216</c:v>
                </c:pt>
                <c:pt idx="7">
                  <c:v>0.14699999999999999</c:v>
                </c:pt>
              </c:numCache>
            </c:numRef>
          </c:val>
        </c:ser>
        <c:dLbls>
          <c:showLegendKey val="0"/>
          <c:showVal val="1"/>
          <c:showCatName val="0"/>
          <c:showSerName val="0"/>
          <c:showPercent val="0"/>
          <c:showBubbleSize val="0"/>
        </c:dLbls>
        <c:gapWidth val="150"/>
        <c:shape val="box"/>
        <c:axId val="146318080"/>
        <c:axId val="146320768"/>
        <c:axId val="0"/>
      </c:bar3DChart>
      <c:catAx>
        <c:axId val="146318080"/>
        <c:scaling>
          <c:orientation val="minMax"/>
        </c:scaling>
        <c:delete val="0"/>
        <c:axPos val="b"/>
        <c:majorTickMark val="none"/>
        <c:minorTickMark val="none"/>
        <c:tickLblPos val="nextTo"/>
        <c:txPr>
          <a:bodyPr rot="-5400000" vert="horz"/>
          <a:lstStyle/>
          <a:p>
            <a:pPr>
              <a:defRPr/>
            </a:pPr>
            <a:endParaRPr lang="en-US"/>
          </a:p>
        </c:txPr>
        <c:crossAx val="146320768"/>
        <c:crosses val="autoZero"/>
        <c:auto val="1"/>
        <c:lblAlgn val="ctr"/>
        <c:lblOffset val="100"/>
        <c:noMultiLvlLbl val="0"/>
      </c:catAx>
      <c:valAx>
        <c:axId val="146320768"/>
        <c:scaling>
          <c:orientation val="minMax"/>
        </c:scaling>
        <c:delete val="1"/>
        <c:axPos val="l"/>
        <c:numFmt formatCode="General" sourceLinked="1"/>
        <c:majorTickMark val="none"/>
        <c:minorTickMark val="none"/>
        <c:tickLblPos val="nextTo"/>
        <c:crossAx val="14631808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
          <c:y val="0"/>
          <c:w val="1"/>
          <c:h val="0.51654353393198504"/>
        </c:manualLayout>
      </c:layout>
      <c:bar3DChart>
        <c:barDir val="col"/>
        <c:grouping val="clustered"/>
        <c:varyColors val="0"/>
        <c:ser>
          <c:idx val="0"/>
          <c:order val="0"/>
          <c:tx>
            <c:strRef>
              <c:f>Sheet1!$B$1</c:f>
              <c:strCache>
                <c:ptCount val="1"/>
                <c:pt idx="0">
                  <c:v>Sales</c:v>
                </c:pt>
              </c:strCache>
            </c:strRef>
          </c:tx>
          <c:invertIfNegative val="0"/>
          <c:dLbls>
            <c:numFmt formatCode="0%" sourceLinked="0"/>
            <c:spPr>
              <a:effectLst/>
            </c:spPr>
            <c:showLegendKey val="0"/>
            <c:showVal val="1"/>
            <c:showCatName val="0"/>
            <c:showSerName val="0"/>
            <c:showPercent val="0"/>
            <c:showBubbleSize val="0"/>
            <c:separator>, </c:separator>
            <c:showLeaderLines val="0"/>
          </c:dLbls>
          <c:cat>
            <c:strRef>
              <c:f>Sheet1!$A$2:$A$9</c:f>
              <c:strCache>
                <c:ptCount val="8"/>
                <c:pt idx="0">
                  <c:v>Improving the effectiveness of insolvency proceedings</c:v>
                </c:pt>
                <c:pt idx="1">
                  <c:v>Enabling the rescue of viable businesses</c:v>
                </c:pt>
                <c:pt idx="2">
                  <c:v>Providing user-friendly information about national insolvency frameworks</c:v>
                </c:pt>
                <c:pt idx="3">
                  <c:v>Ensuring a discharge of debts of entrepreneurs</c:v>
                </c:pt>
                <c:pt idx="4">
                  <c:v>Ensuring a discharge of debts of consumers</c:v>
                </c:pt>
                <c:pt idx="5">
                  <c:v>Other measures related to insolvency </c:v>
                </c:pt>
                <c:pt idx="6">
                  <c:v>Measures unrelated to insolvency</c:v>
                </c:pt>
                <c:pt idx="7">
                  <c:v>No opinion/No answer</c:v>
                </c:pt>
              </c:strCache>
            </c:strRef>
          </c:cat>
          <c:val>
            <c:numRef>
              <c:f>Sheet1!$B$2:$B$9</c:f>
              <c:numCache>
                <c:formatCode>General</c:formatCode>
                <c:ptCount val="8"/>
                <c:pt idx="0">
                  <c:v>0.46</c:v>
                </c:pt>
                <c:pt idx="1">
                  <c:v>0.62</c:v>
                </c:pt>
                <c:pt idx="2">
                  <c:v>0.28000000000000003</c:v>
                </c:pt>
                <c:pt idx="3">
                  <c:v>0.24</c:v>
                </c:pt>
                <c:pt idx="4">
                  <c:v>0.21</c:v>
                </c:pt>
                <c:pt idx="5">
                  <c:v>0.15</c:v>
                </c:pt>
                <c:pt idx="6">
                  <c:v>0.24</c:v>
                </c:pt>
                <c:pt idx="7">
                  <c:v>0.22</c:v>
                </c:pt>
              </c:numCache>
            </c:numRef>
          </c:val>
        </c:ser>
        <c:dLbls>
          <c:showLegendKey val="0"/>
          <c:showVal val="1"/>
          <c:showCatName val="0"/>
          <c:showSerName val="0"/>
          <c:showPercent val="0"/>
          <c:showBubbleSize val="0"/>
        </c:dLbls>
        <c:gapWidth val="150"/>
        <c:shape val="cylinder"/>
        <c:axId val="146336384"/>
        <c:axId val="146339328"/>
        <c:axId val="0"/>
      </c:bar3DChart>
      <c:catAx>
        <c:axId val="146336384"/>
        <c:scaling>
          <c:orientation val="minMax"/>
        </c:scaling>
        <c:delete val="0"/>
        <c:axPos val="b"/>
        <c:majorTickMark val="none"/>
        <c:minorTickMark val="none"/>
        <c:tickLblPos val="nextTo"/>
        <c:txPr>
          <a:bodyPr rot="-5400000" vert="horz"/>
          <a:lstStyle/>
          <a:p>
            <a:pPr>
              <a:defRPr/>
            </a:pPr>
            <a:endParaRPr lang="en-US"/>
          </a:p>
        </c:txPr>
        <c:crossAx val="146339328"/>
        <c:crosses val="autoZero"/>
        <c:auto val="1"/>
        <c:lblAlgn val="ctr"/>
        <c:lblOffset val="100"/>
        <c:noMultiLvlLbl val="0"/>
      </c:catAx>
      <c:valAx>
        <c:axId val="146339328"/>
        <c:scaling>
          <c:orientation val="minMax"/>
        </c:scaling>
        <c:delete val="1"/>
        <c:axPos val="l"/>
        <c:numFmt formatCode="General" sourceLinked="1"/>
        <c:majorTickMark val="none"/>
        <c:minorTickMark val="none"/>
        <c:tickLblPos val="nextTo"/>
        <c:crossAx val="146336384"/>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7.0011934041437296E-2"/>
          <c:y val="3.0753459764223501E-2"/>
          <c:w val="0.90107669044427396"/>
          <c:h val="0.495179536438007"/>
        </c:manualLayout>
      </c:layout>
      <c:bar3DChart>
        <c:barDir val="col"/>
        <c:grouping val="clustered"/>
        <c:varyColors val="0"/>
        <c:ser>
          <c:idx val="0"/>
          <c:order val="0"/>
          <c:tx>
            <c:strRef>
              <c:f>Sheet1!$B$1</c:f>
              <c:strCache>
                <c:ptCount val="1"/>
                <c:pt idx="0">
                  <c:v>Series 1</c:v>
                </c:pt>
              </c:strCache>
            </c:strRef>
          </c:tx>
          <c:invertIfNegative val="0"/>
          <c:dLbls>
            <c:numFmt formatCode="0%" sourceLinked="0"/>
            <c:showLegendKey val="0"/>
            <c:showVal val="1"/>
            <c:showCatName val="0"/>
            <c:showSerName val="0"/>
            <c:showPercent val="0"/>
            <c:showBubbleSize val="0"/>
            <c:showLeaderLines val="0"/>
          </c:dLbls>
          <c:cat>
            <c:strRef>
              <c:f>Sheet1!$A$2:$A$9</c:f>
              <c:strCache>
                <c:ptCount val="8"/>
                <c:pt idx="0">
                  <c:v>Licensing and registration requirements</c:v>
                </c:pt>
                <c:pt idx="1">
                  <c:v>Personal liability</c:v>
                </c:pt>
                <c:pt idx="2">
                  <c:v>Professional liability insurance scheme</c:v>
                </c:pt>
                <c:pt idx="3">
                  <c:v>Qualifications and training</c:v>
                </c:pt>
                <c:pt idx="4">
                  <c:v>Code of ethics</c:v>
                </c:pt>
                <c:pt idx="5">
                  <c:v>Other</c:v>
                </c:pt>
                <c:pt idx="6">
                  <c:v>No harmonisation</c:v>
                </c:pt>
                <c:pt idx="7">
                  <c:v>No opinion/No answer</c:v>
                </c:pt>
              </c:strCache>
            </c:strRef>
          </c:cat>
          <c:val>
            <c:numRef>
              <c:f>Sheet1!$B$2:$B$9</c:f>
              <c:numCache>
                <c:formatCode>General</c:formatCode>
                <c:ptCount val="8"/>
                <c:pt idx="0">
                  <c:v>0.56999999999999995</c:v>
                </c:pt>
                <c:pt idx="1">
                  <c:v>0.5</c:v>
                </c:pt>
                <c:pt idx="2">
                  <c:v>0.56000000000000005</c:v>
                </c:pt>
                <c:pt idx="3">
                  <c:v>0.7</c:v>
                </c:pt>
                <c:pt idx="4">
                  <c:v>0.52</c:v>
                </c:pt>
                <c:pt idx="5">
                  <c:v>0.16</c:v>
                </c:pt>
                <c:pt idx="6">
                  <c:v>0.03</c:v>
                </c:pt>
                <c:pt idx="7">
                  <c:v>0.16</c:v>
                </c:pt>
              </c:numCache>
            </c:numRef>
          </c:val>
        </c:ser>
        <c:dLbls>
          <c:showLegendKey val="0"/>
          <c:showVal val="0"/>
          <c:showCatName val="0"/>
          <c:showSerName val="0"/>
          <c:showPercent val="0"/>
          <c:showBubbleSize val="0"/>
        </c:dLbls>
        <c:gapWidth val="150"/>
        <c:shape val="cylinder"/>
        <c:axId val="205080064"/>
        <c:axId val="205081600"/>
        <c:axId val="0"/>
      </c:bar3DChart>
      <c:catAx>
        <c:axId val="205080064"/>
        <c:scaling>
          <c:orientation val="minMax"/>
        </c:scaling>
        <c:delete val="0"/>
        <c:axPos val="b"/>
        <c:majorTickMark val="out"/>
        <c:minorTickMark val="none"/>
        <c:tickLblPos val="nextTo"/>
        <c:txPr>
          <a:bodyPr rot="-5400000" vert="horz"/>
          <a:lstStyle/>
          <a:p>
            <a:pPr>
              <a:defRPr/>
            </a:pPr>
            <a:endParaRPr lang="en-US"/>
          </a:p>
        </c:txPr>
        <c:crossAx val="205081600"/>
        <c:crosses val="autoZero"/>
        <c:auto val="1"/>
        <c:lblAlgn val="ctr"/>
        <c:lblOffset val="100"/>
        <c:noMultiLvlLbl val="0"/>
      </c:catAx>
      <c:valAx>
        <c:axId val="205081600"/>
        <c:scaling>
          <c:orientation val="minMax"/>
        </c:scaling>
        <c:delete val="1"/>
        <c:axPos val="l"/>
        <c:numFmt formatCode="General" sourceLinked="1"/>
        <c:majorTickMark val="out"/>
        <c:minorTickMark val="none"/>
        <c:tickLblPos val="nextTo"/>
        <c:crossAx val="205080064"/>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2.44699762849672E-2"/>
          <c:y val="7.2005929536244698E-2"/>
          <c:w val="0.95538943806371801"/>
          <c:h val="0.60421788777796004"/>
        </c:manualLayout>
      </c:layout>
      <c:bar3DChart>
        <c:barDir val="col"/>
        <c:grouping val="clustered"/>
        <c:varyColors val="0"/>
        <c:ser>
          <c:idx val="0"/>
          <c:order val="0"/>
          <c:tx>
            <c:strRef>
              <c:f>Sheet1!$B$1</c:f>
              <c:strCache>
                <c:ptCount val="1"/>
                <c:pt idx="0">
                  <c:v>Series 1</c:v>
                </c:pt>
              </c:strCache>
            </c:strRef>
          </c:tx>
          <c:invertIfNegative val="0"/>
          <c:dLbls>
            <c:numFmt formatCode="0%" sourceLinked="0"/>
            <c:showLegendKey val="0"/>
            <c:showVal val="1"/>
            <c:showCatName val="0"/>
            <c:showSerName val="0"/>
            <c:showPercent val="0"/>
            <c:showBubbleSize val="0"/>
            <c:showLeaderLines val="0"/>
          </c:dLbls>
          <c:cat>
            <c:strRef>
              <c:f>Sheet1!$A$2:$A$7</c:f>
              <c:strCache>
                <c:ptCount val="6"/>
                <c:pt idx="0">
                  <c:v>Tort claims</c:v>
                </c:pt>
                <c:pt idx="1">
                  <c:v>Fines</c:v>
                </c:pt>
                <c:pt idx="2">
                  <c:v>Child support</c:v>
                </c:pt>
                <c:pt idx="3">
                  <c:v>Tax and other pubic liabilities</c:v>
                </c:pt>
                <c:pt idx="4">
                  <c:v>Other types of debt</c:v>
                </c:pt>
                <c:pt idx="5">
                  <c:v>No opinion/Νo answer</c:v>
                </c:pt>
              </c:strCache>
            </c:strRef>
          </c:cat>
          <c:val>
            <c:numRef>
              <c:f>Sheet1!$B$2:$B$7</c:f>
              <c:numCache>
                <c:formatCode>General</c:formatCode>
                <c:ptCount val="6"/>
                <c:pt idx="0">
                  <c:v>0.47</c:v>
                </c:pt>
                <c:pt idx="1">
                  <c:v>0.41499999999999998</c:v>
                </c:pt>
                <c:pt idx="2">
                  <c:v>0.57199999999999995</c:v>
                </c:pt>
                <c:pt idx="3">
                  <c:v>0.14799999999999999</c:v>
                </c:pt>
                <c:pt idx="4">
                  <c:v>0.11799999999999999</c:v>
                </c:pt>
                <c:pt idx="5">
                  <c:v>0.26600000000000001</c:v>
                </c:pt>
              </c:numCache>
            </c:numRef>
          </c:val>
        </c:ser>
        <c:dLbls>
          <c:showLegendKey val="0"/>
          <c:showVal val="1"/>
          <c:showCatName val="0"/>
          <c:showSerName val="0"/>
          <c:showPercent val="0"/>
          <c:showBubbleSize val="0"/>
        </c:dLbls>
        <c:gapWidth val="150"/>
        <c:shape val="cylinder"/>
        <c:axId val="205215616"/>
        <c:axId val="205239040"/>
        <c:axId val="0"/>
      </c:bar3DChart>
      <c:catAx>
        <c:axId val="205215616"/>
        <c:scaling>
          <c:orientation val="minMax"/>
        </c:scaling>
        <c:delete val="0"/>
        <c:axPos val="b"/>
        <c:majorTickMark val="out"/>
        <c:minorTickMark val="none"/>
        <c:tickLblPos val="nextTo"/>
        <c:crossAx val="205239040"/>
        <c:crosses val="autoZero"/>
        <c:auto val="1"/>
        <c:lblAlgn val="ctr"/>
        <c:lblOffset val="100"/>
        <c:noMultiLvlLbl val="0"/>
      </c:catAx>
      <c:valAx>
        <c:axId val="205239040"/>
        <c:scaling>
          <c:orientation val="minMax"/>
        </c:scaling>
        <c:delete val="1"/>
        <c:axPos val="l"/>
        <c:numFmt formatCode="General" sourceLinked="1"/>
        <c:majorTickMark val="out"/>
        <c:minorTickMark val="none"/>
        <c:tickLblPos val="nextTo"/>
        <c:crossAx val="205215616"/>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barChart>
        <c:barDir val="col"/>
        <c:grouping val="clustered"/>
        <c:varyColors val="0"/>
        <c:ser>
          <c:idx val="0"/>
          <c:order val="0"/>
          <c:tx>
            <c:strRef>
              <c:f>Sheet1!$B$1</c:f>
              <c:strCache>
                <c:ptCount val="1"/>
                <c:pt idx="0">
                  <c:v>2013</c:v>
                </c:pt>
              </c:strCache>
            </c:strRef>
          </c:tx>
          <c:invertIfNegative val="0"/>
          <c:cat>
            <c:strRef>
              <c:f>Sheet1!$A$2:$A$7</c:f>
              <c:strCache>
                <c:ptCount val="6"/>
                <c:pt idx="0">
                  <c:v>Italy</c:v>
                </c:pt>
                <c:pt idx="1">
                  <c:v>the Netherlands</c:v>
                </c:pt>
                <c:pt idx="2">
                  <c:v>UK</c:v>
                </c:pt>
                <c:pt idx="3">
                  <c:v>Portugal</c:v>
                </c:pt>
                <c:pt idx="4">
                  <c:v>Lithuania</c:v>
                </c:pt>
                <c:pt idx="5">
                  <c:v>France</c:v>
                </c:pt>
              </c:strCache>
            </c:strRef>
          </c:cat>
          <c:val>
            <c:numRef>
              <c:f>Sheet1!$B$2:$B$7</c:f>
              <c:numCache>
                <c:formatCode>General</c:formatCode>
                <c:ptCount val="6"/>
                <c:pt idx="0">
                  <c:v>4710</c:v>
                </c:pt>
                <c:pt idx="1">
                  <c:v>555</c:v>
                </c:pt>
                <c:pt idx="2">
                  <c:v>2580</c:v>
                </c:pt>
                <c:pt idx="3">
                  <c:v>1778</c:v>
                </c:pt>
                <c:pt idx="4">
                  <c:v>62</c:v>
                </c:pt>
                <c:pt idx="5">
                  <c:v>4481</c:v>
                </c:pt>
              </c:numCache>
            </c:numRef>
          </c:val>
        </c:ser>
        <c:ser>
          <c:idx val="1"/>
          <c:order val="1"/>
          <c:tx>
            <c:strRef>
              <c:f>Sheet1!$C$1</c:f>
              <c:strCache>
                <c:ptCount val="1"/>
                <c:pt idx="0">
                  <c:v>2014</c:v>
                </c:pt>
              </c:strCache>
            </c:strRef>
          </c:tx>
          <c:invertIfNegative val="0"/>
          <c:cat>
            <c:strRef>
              <c:f>Sheet1!$A$2:$A$7</c:f>
              <c:strCache>
                <c:ptCount val="6"/>
                <c:pt idx="0">
                  <c:v>Italy</c:v>
                </c:pt>
                <c:pt idx="1">
                  <c:v>the Netherlands</c:v>
                </c:pt>
                <c:pt idx="2">
                  <c:v>UK</c:v>
                </c:pt>
                <c:pt idx="3">
                  <c:v>Portugal</c:v>
                </c:pt>
                <c:pt idx="4">
                  <c:v>Lithuania</c:v>
                </c:pt>
                <c:pt idx="5">
                  <c:v>France</c:v>
                </c:pt>
              </c:strCache>
            </c:strRef>
          </c:cat>
          <c:val>
            <c:numRef>
              <c:f>Sheet1!$C$2:$C$7</c:f>
              <c:numCache>
                <c:formatCode>General</c:formatCode>
                <c:ptCount val="6"/>
                <c:pt idx="0">
                  <c:v>3608</c:v>
                </c:pt>
                <c:pt idx="1">
                  <c:v>388</c:v>
                </c:pt>
                <c:pt idx="2">
                  <c:v>2139</c:v>
                </c:pt>
                <c:pt idx="3">
                  <c:v>3487</c:v>
                </c:pt>
                <c:pt idx="4">
                  <c:v>42</c:v>
                </c:pt>
                <c:pt idx="5">
                  <c:v>4352</c:v>
                </c:pt>
              </c:numCache>
            </c:numRef>
          </c:val>
        </c:ser>
        <c:ser>
          <c:idx val="2"/>
          <c:order val="2"/>
          <c:tx>
            <c:strRef>
              <c:f>Sheet1!$D$1</c:f>
              <c:strCache>
                <c:ptCount val="1"/>
                <c:pt idx="0">
                  <c:v>2015</c:v>
                </c:pt>
              </c:strCache>
            </c:strRef>
          </c:tx>
          <c:invertIfNegative val="0"/>
          <c:cat>
            <c:strRef>
              <c:f>Sheet1!$A$2:$A$7</c:f>
              <c:strCache>
                <c:ptCount val="6"/>
                <c:pt idx="0">
                  <c:v>Italy</c:v>
                </c:pt>
                <c:pt idx="1">
                  <c:v>the Netherlands</c:v>
                </c:pt>
                <c:pt idx="2">
                  <c:v>UK</c:v>
                </c:pt>
                <c:pt idx="3">
                  <c:v>Portugal</c:v>
                </c:pt>
                <c:pt idx="4">
                  <c:v>Lithuania</c:v>
                </c:pt>
                <c:pt idx="5">
                  <c:v>France</c:v>
                </c:pt>
              </c:strCache>
            </c:strRef>
          </c:cat>
          <c:val>
            <c:numRef>
              <c:f>Sheet1!$D$2:$D$7</c:f>
              <c:numCache>
                <c:formatCode>General</c:formatCode>
                <c:ptCount val="6"/>
                <c:pt idx="0">
                  <c:v>3029</c:v>
                </c:pt>
                <c:pt idx="1">
                  <c:v>369</c:v>
                </c:pt>
                <c:pt idx="2">
                  <c:v>1764</c:v>
                </c:pt>
                <c:pt idx="3">
                  <c:v>3121</c:v>
                </c:pt>
                <c:pt idx="4">
                  <c:v>50</c:v>
                </c:pt>
                <c:pt idx="5">
                  <c:v>4551</c:v>
                </c:pt>
              </c:numCache>
            </c:numRef>
          </c:val>
        </c:ser>
        <c:dLbls>
          <c:showLegendKey val="0"/>
          <c:showVal val="0"/>
          <c:showCatName val="0"/>
          <c:showSerName val="0"/>
          <c:showPercent val="0"/>
          <c:showBubbleSize val="0"/>
        </c:dLbls>
        <c:gapWidth val="150"/>
        <c:axId val="205400704"/>
        <c:axId val="205443456"/>
      </c:barChart>
      <c:catAx>
        <c:axId val="205400704"/>
        <c:scaling>
          <c:orientation val="minMax"/>
        </c:scaling>
        <c:delete val="0"/>
        <c:axPos val="b"/>
        <c:majorTickMark val="out"/>
        <c:minorTickMark val="none"/>
        <c:tickLblPos val="nextTo"/>
        <c:crossAx val="205443456"/>
        <c:crosses val="autoZero"/>
        <c:auto val="1"/>
        <c:lblAlgn val="ctr"/>
        <c:lblOffset val="100"/>
        <c:noMultiLvlLbl val="0"/>
      </c:catAx>
      <c:valAx>
        <c:axId val="205443456"/>
        <c:scaling>
          <c:orientation val="minMax"/>
        </c:scaling>
        <c:delete val="0"/>
        <c:axPos val="l"/>
        <c:majorGridlines/>
        <c:numFmt formatCode="General" sourceLinked="1"/>
        <c:majorTickMark val="out"/>
        <c:minorTickMark val="none"/>
        <c:tickLblPos val="nextTo"/>
        <c:crossAx val="20540070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GB" sz="1100">
                <a:latin typeface="Times New Roman" panose="02020603050405020304" pitchFamily="18" charset="0"/>
                <a:cs typeface="Times New Roman" panose="02020603050405020304" pitchFamily="18" charset="0"/>
              </a:rPr>
              <a:t>SIREVE (2012-mid 2015)</a:t>
            </a:r>
          </a:p>
        </c:rich>
      </c:tx>
      <c:overlay val="0"/>
    </c:title>
    <c:autoTitleDeleted val="0"/>
    <c:plotArea>
      <c:layout/>
      <c:pieChart>
        <c:varyColors val="1"/>
        <c:ser>
          <c:idx val="0"/>
          <c:order val="0"/>
          <c:tx>
            <c:strRef>
              <c:f>Sheet1!$B$1</c:f>
              <c:strCache>
                <c:ptCount val="1"/>
                <c:pt idx="0">
                  <c:v>PER (2012-mid 2015)</c:v>
                </c:pt>
              </c:strCache>
            </c:strRef>
          </c:tx>
          <c:cat>
            <c:strRef>
              <c:f>Sheet1!$A$2:$A$4</c:f>
              <c:strCache>
                <c:ptCount val="3"/>
                <c:pt idx="0">
                  <c:v>Large companies</c:v>
                </c:pt>
                <c:pt idx="1">
                  <c:v>SMEs</c:v>
                </c:pt>
                <c:pt idx="2">
                  <c:v>Micro-companies</c:v>
                </c:pt>
              </c:strCache>
            </c:strRef>
          </c:cat>
          <c:val>
            <c:numRef>
              <c:f>Sheet1!$B$2:$B$4</c:f>
              <c:numCache>
                <c:formatCode>General</c:formatCode>
                <c:ptCount val="3"/>
                <c:pt idx="0">
                  <c:v>9</c:v>
                </c:pt>
                <c:pt idx="1">
                  <c:v>258</c:v>
                </c:pt>
                <c:pt idx="2">
                  <c:v>237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C2E58-2D40-4996-B408-25C5F7437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215</Pages>
  <Words>79854</Words>
  <Characters>459163</Characters>
  <Application>Microsoft Office Word</Application>
  <DocSecurity>0</DocSecurity>
  <Lines>8055</Lines>
  <Paragraphs>3368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535649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Stefanie Heilemann</cp:lastModifiedBy>
  <cp:revision>32</cp:revision>
  <cp:lastPrinted>2016-11-15T13:11:00Z</cp:lastPrinted>
  <dcterms:created xsi:type="dcterms:W3CDTF">2016-11-15T10:42:00Z</dcterms:created>
  <dcterms:modified xsi:type="dcterms:W3CDTF">2016-11-22T10:29:00Z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