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3B2" w:rsidRDefault="00B8473D" w:rsidP="00B8473D">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113559D012E4980BC252FC7ED6CB4B2" style="width:451.35pt;height:307.35pt">
            <v:imagedata r:id="rId9" o:title=""/>
          </v:shape>
        </w:pict>
      </w:r>
    </w:p>
    <w:bookmarkEnd w:id="0"/>
    <w:p w:rsidR="00C0349F" w:rsidRDefault="00C0349F" w:rsidP="00C0349F">
      <w:pPr>
        <w:sectPr w:rsidR="00C0349F" w:rsidSect="00B8473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26"/>
        </w:sectPr>
      </w:pPr>
    </w:p>
    <w:p w:rsidR="00F323B2" w:rsidRDefault="00F323B2" w:rsidP="00F323B2">
      <w:pPr>
        <w:pStyle w:val="Pagedecouverture"/>
        <w:rPr>
          <w:b/>
          <w:u w:val="single"/>
        </w:rPr>
      </w:pPr>
      <w:bookmarkStart w:id="1" w:name="_GoBack"/>
      <w:bookmarkEnd w:id="1"/>
    </w:p>
    <w:p w:rsidR="00F323B2" w:rsidRPr="00525CA4" w:rsidRDefault="00F323B2" w:rsidP="00F323B2">
      <w:pPr>
        <w:pStyle w:val="Pagedecouverture"/>
        <w:jc w:val="center"/>
        <w:rPr>
          <w:b/>
        </w:rPr>
      </w:pPr>
      <w:r>
        <w:rPr>
          <w:b/>
        </w:rPr>
        <w:t>Third</w:t>
      </w:r>
      <w:r w:rsidRPr="00525CA4">
        <w:rPr>
          <w:b/>
        </w:rPr>
        <w:t xml:space="preserve"> progress report towards an effective and genuine Security Union</w:t>
      </w:r>
    </w:p>
    <w:p w:rsidR="00713E10" w:rsidRPr="00D55C0C" w:rsidRDefault="00713E10" w:rsidP="00713E10">
      <w:pPr>
        <w:rPr>
          <w:color w:val="1F497D"/>
        </w:rPr>
      </w:pPr>
    </w:p>
    <w:p w:rsidR="00713E10" w:rsidRPr="008A48CE" w:rsidRDefault="00713E10" w:rsidP="00713E10">
      <w:pPr>
        <w:spacing w:after="120"/>
        <w:rPr>
          <w:rFonts w:eastAsia="Calibri"/>
          <w:szCs w:val="24"/>
        </w:rPr>
      </w:pPr>
      <w:r>
        <w:rPr>
          <w:rFonts w:eastAsia="Calibri"/>
          <w:b/>
          <w:bCs/>
          <w:szCs w:val="24"/>
        </w:rPr>
        <w:t>I</w:t>
      </w:r>
      <w:r w:rsidRPr="008A48CE">
        <w:rPr>
          <w:rFonts w:eastAsia="Calibri"/>
          <w:b/>
          <w:bCs/>
          <w:szCs w:val="24"/>
        </w:rPr>
        <w:t xml:space="preserve">. </w:t>
      </w:r>
      <w:r w:rsidR="00AF658F">
        <w:rPr>
          <w:rFonts w:eastAsia="Calibri"/>
          <w:b/>
          <w:bCs/>
          <w:szCs w:val="24"/>
        </w:rPr>
        <w:tab/>
      </w:r>
      <w:r w:rsidRPr="008A48CE">
        <w:rPr>
          <w:rFonts w:eastAsia="Calibri"/>
          <w:b/>
          <w:bCs/>
          <w:szCs w:val="24"/>
        </w:rPr>
        <w:t xml:space="preserve">INTRODUCTION </w:t>
      </w:r>
    </w:p>
    <w:p w:rsidR="00FB5F89" w:rsidRDefault="00915EAA" w:rsidP="00915EAA">
      <w:pPr>
        <w:autoSpaceDE w:val="0"/>
        <w:autoSpaceDN w:val="0"/>
        <w:adjustRightInd w:val="0"/>
        <w:spacing w:after="120"/>
        <w:rPr>
          <w:szCs w:val="24"/>
          <w:lang w:eastAsia="en-GB"/>
        </w:rPr>
      </w:pPr>
      <w:r>
        <w:rPr>
          <w:szCs w:val="24"/>
          <w:lang w:eastAsia="en-GB"/>
        </w:rPr>
        <w:t>This is the third</w:t>
      </w:r>
      <w:r w:rsidRPr="00CD4EB2">
        <w:rPr>
          <w:szCs w:val="24"/>
          <w:lang w:eastAsia="en-GB"/>
        </w:rPr>
        <w:t xml:space="preserve"> monthly report on the progress made towards </w:t>
      </w:r>
      <w:r w:rsidR="00FD129E">
        <w:rPr>
          <w:szCs w:val="24"/>
          <w:lang w:eastAsia="en-GB"/>
        </w:rPr>
        <w:t xml:space="preserve">building </w:t>
      </w:r>
      <w:r w:rsidRPr="00CD4EB2">
        <w:rPr>
          <w:szCs w:val="24"/>
          <w:lang w:eastAsia="en-GB"/>
        </w:rPr>
        <w:t xml:space="preserve">an effective and genuine Security Union and covers developments under two main pillars: </w:t>
      </w:r>
      <w:r w:rsidRPr="005A0269">
        <w:rPr>
          <w:i/>
          <w:szCs w:val="24"/>
          <w:lang w:eastAsia="en-GB"/>
        </w:rPr>
        <w:t>tackling terrorism and organised crime and the means that support them; and strengthening our defences and building resilience against those threats</w:t>
      </w:r>
      <w:r>
        <w:rPr>
          <w:szCs w:val="24"/>
          <w:lang w:eastAsia="en-GB"/>
        </w:rPr>
        <w:t xml:space="preserve">. </w:t>
      </w:r>
      <w:r w:rsidR="00280ADE">
        <w:rPr>
          <w:szCs w:val="24"/>
          <w:lang w:eastAsia="en-GB"/>
        </w:rPr>
        <w:t>The</w:t>
      </w:r>
      <w:r w:rsidR="00280ADE">
        <w:rPr>
          <w:color w:val="1F497D"/>
        </w:rPr>
        <w:t xml:space="preserve"> </w:t>
      </w:r>
      <w:r w:rsidR="00280ADE" w:rsidRPr="00B8473D">
        <w:t xml:space="preserve">cowardly and despicable 19 December Berlin attack and the other terrible attacks of 2016 remind us </w:t>
      </w:r>
      <w:r w:rsidR="001135BD" w:rsidRPr="00B8473D">
        <w:t xml:space="preserve">again </w:t>
      </w:r>
      <w:r w:rsidR="00280ADE" w:rsidRPr="00B8473D">
        <w:t xml:space="preserve">of our vulnerability and the need for us to continue working together to strengthen our collective security </w:t>
      </w:r>
      <w:r w:rsidR="001135BD" w:rsidRPr="00B8473D">
        <w:t xml:space="preserve">to protect our freedoms and way of life. </w:t>
      </w:r>
      <w:r w:rsidR="00FC2280" w:rsidRPr="00B8473D">
        <w:rPr>
          <w:szCs w:val="24"/>
          <w:lang w:eastAsia="en-GB"/>
        </w:rPr>
        <w:t>Over the course of this reporting period</w:t>
      </w:r>
      <w:r w:rsidR="007E2881" w:rsidRPr="00B8473D">
        <w:rPr>
          <w:szCs w:val="24"/>
          <w:lang w:eastAsia="en-GB"/>
        </w:rPr>
        <w:t xml:space="preserve"> concrete progress </w:t>
      </w:r>
      <w:r w:rsidR="00FC2280" w:rsidRPr="00B8473D">
        <w:rPr>
          <w:szCs w:val="24"/>
          <w:lang w:eastAsia="en-GB"/>
        </w:rPr>
        <w:t xml:space="preserve">has been achieved </w:t>
      </w:r>
      <w:r w:rsidR="007E2881" w:rsidRPr="00B8473D">
        <w:rPr>
          <w:szCs w:val="24"/>
          <w:lang w:eastAsia="en-GB"/>
        </w:rPr>
        <w:t xml:space="preserve">on squeezing </w:t>
      </w:r>
      <w:r w:rsidR="007E2881">
        <w:rPr>
          <w:szCs w:val="24"/>
          <w:lang w:eastAsia="en-GB"/>
        </w:rPr>
        <w:t xml:space="preserve">the space in which terrorists, and those who support them, can act. </w:t>
      </w:r>
      <w:r w:rsidR="006571D7">
        <w:rPr>
          <w:szCs w:val="24"/>
          <w:lang w:eastAsia="en-GB"/>
        </w:rPr>
        <w:t xml:space="preserve">This report </w:t>
      </w:r>
      <w:r w:rsidR="00DF5BF6">
        <w:rPr>
          <w:szCs w:val="24"/>
          <w:lang w:eastAsia="en-GB"/>
        </w:rPr>
        <w:t xml:space="preserve">outlines </w:t>
      </w:r>
      <w:r w:rsidR="007708C9">
        <w:rPr>
          <w:szCs w:val="24"/>
          <w:lang w:eastAsia="en-GB"/>
        </w:rPr>
        <w:t xml:space="preserve">the </w:t>
      </w:r>
      <w:r w:rsidR="006571D7">
        <w:rPr>
          <w:szCs w:val="24"/>
          <w:lang w:eastAsia="en-GB"/>
        </w:rPr>
        <w:t xml:space="preserve">new </w:t>
      </w:r>
      <w:r w:rsidR="006571D7" w:rsidRPr="005A0269">
        <w:rPr>
          <w:b/>
          <w:szCs w:val="24"/>
          <w:lang w:eastAsia="en-GB"/>
        </w:rPr>
        <w:t>terrorist financing package</w:t>
      </w:r>
      <w:r w:rsidR="007708C9">
        <w:rPr>
          <w:b/>
          <w:szCs w:val="24"/>
          <w:lang w:eastAsia="en-GB"/>
        </w:rPr>
        <w:t xml:space="preserve"> adopted today</w:t>
      </w:r>
      <w:r w:rsidR="00FC2280">
        <w:rPr>
          <w:b/>
          <w:szCs w:val="24"/>
          <w:lang w:eastAsia="en-GB"/>
        </w:rPr>
        <w:t>,</w:t>
      </w:r>
      <w:r w:rsidR="00DF5BF6">
        <w:rPr>
          <w:b/>
          <w:szCs w:val="24"/>
          <w:lang w:eastAsia="en-GB"/>
        </w:rPr>
        <w:t xml:space="preserve"> </w:t>
      </w:r>
      <w:r w:rsidR="006571D7" w:rsidRPr="005A0269">
        <w:rPr>
          <w:szCs w:val="24"/>
          <w:lang w:eastAsia="en-GB"/>
        </w:rPr>
        <w:t>which</w:t>
      </w:r>
      <w:r w:rsidR="006571D7">
        <w:rPr>
          <w:b/>
          <w:szCs w:val="24"/>
          <w:lang w:eastAsia="en-GB"/>
        </w:rPr>
        <w:t xml:space="preserve"> </w:t>
      </w:r>
      <w:r w:rsidR="006571D7">
        <w:rPr>
          <w:szCs w:val="24"/>
          <w:lang w:eastAsia="en-GB"/>
        </w:rPr>
        <w:t xml:space="preserve">is an important step in stemming the financial </w:t>
      </w:r>
      <w:r w:rsidR="00FC2280">
        <w:rPr>
          <w:szCs w:val="24"/>
          <w:lang w:eastAsia="en-GB"/>
        </w:rPr>
        <w:t xml:space="preserve">resources </w:t>
      </w:r>
      <w:r w:rsidR="006571D7">
        <w:rPr>
          <w:szCs w:val="24"/>
          <w:lang w:eastAsia="en-GB"/>
        </w:rPr>
        <w:t xml:space="preserve">that </w:t>
      </w:r>
      <w:r w:rsidR="00FC2280">
        <w:rPr>
          <w:szCs w:val="24"/>
          <w:lang w:eastAsia="en-GB"/>
        </w:rPr>
        <w:t>sustain</w:t>
      </w:r>
      <w:r w:rsidR="006571D7">
        <w:rPr>
          <w:szCs w:val="24"/>
          <w:lang w:eastAsia="en-GB"/>
        </w:rPr>
        <w:t xml:space="preserve"> terrorism. </w:t>
      </w:r>
      <w:r w:rsidR="00DF5BF6">
        <w:rPr>
          <w:szCs w:val="24"/>
          <w:lang w:eastAsia="en-GB"/>
        </w:rPr>
        <w:t>To further close down the space for terrorists, t</w:t>
      </w:r>
      <w:r w:rsidR="006571D7">
        <w:rPr>
          <w:szCs w:val="24"/>
          <w:lang w:eastAsia="en-GB"/>
        </w:rPr>
        <w:t xml:space="preserve">he Commission is also improving information exchange, </w:t>
      </w:r>
      <w:r w:rsidR="00DF5BF6">
        <w:rPr>
          <w:szCs w:val="24"/>
          <w:lang w:eastAsia="en-GB"/>
        </w:rPr>
        <w:t>by adopting</w:t>
      </w:r>
      <w:r w:rsidR="006571D7">
        <w:rPr>
          <w:szCs w:val="24"/>
          <w:lang w:eastAsia="en-GB"/>
        </w:rPr>
        <w:t xml:space="preserve"> a set of proposals to </w:t>
      </w:r>
      <w:r w:rsidR="006571D7" w:rsidRPr="00F55C52">
        <w:rPr>
          <w:szCs w:val="24"/>
          <w:lang w:eastAsia="en-GB"/>
        </w:rPr>
        <w:t xml:space="preserve">strengthen the effectiveness and efficiency of the </w:t>
      </w:r>
      <w:r w:rsidR="006571D7" w:rsidRPr="005A0269">
        <w:rPr>
          <w:b/>
          <w:szCs w:val="24"/>
          <w:lang w:eastAsia="en-GB"/>
        </w:rPr>
        <w:t>Schengen Information System</w:t>
      </w:r>
      <w:r w:rsidR="006571D7">
        <w:rPr>
          <w:szCs w:val="24"/>
          <w:lang w:eastAsia="en-GB"/>
        </w:rPr>
        <w:t>. During this reporting period, t</w:t>
      </w:r>
      <w:r w:rsidR="00EE501C">
        <w:rPr>
          <w:szCs w:val="24"/>
          <w:lang w:eastAsia="en-GB"/>
        </w:rPr>
        <w:t xml:space="preserve">here has </w:t>
      </w:r>
      <w:r w:rsidR="00FC2280">
        <w:rPr>
          <w:szCs w:val="24"/>
          <w:lang w:eastAsia="en-GB"/>
        </w:rPr>
        <w:t xml:space="preserve">also </w:t>
      </w:r>
      <w:r w:rsidR="00EE501C">
        <w:rPr>
          <w:szCs w:val="24"/>
          <w:lang w:eastAsia="en-GB"/>
        </w:rPr>
        <w:t xml:space="preserve">been significant progress </w:t>
      </w:r>
      <w:r w:rsidR="00DF5BF6">
        <w:rPr>
          <w:szCs w:val="24"/>
          <w:lang w:eastAsia="en-GB"/>
        </w:rPr>
        <w:t>o</w:t>
      </w:r>
      <w:r w:rsidR="00EE501C">
        <w:rPr>
          <w:szCs w:val="24"/>
          <w:lang w:eastAsia="en-GB"/>
        </w:rPr>
        <w:t xml:space="preserve">n </w:t>
      </w:r>
      <w:r w:rsidR="00DF5BF6">
        <w:rPr>
          <w:szCs w:val="24"/>
          <w:lang w:eastAsia="en-GB"/>
        </w:rPr>
        <w:t xml:space="preserve">key </w:t>
      </w:r>
      <w:r w:rsidR="00EE501C">
        <w:rPr>
          <w:szCs w:val="24"/>
          <w:lang w:eastAsia="en-GB"/>
        </w:rPr>
        <w:t xml:space="preserve">EU legislative files to counter terrorism and organised crime, and </w:t>
      </w:r>
      <w:r w:rsidR="00DF5BF6">
        <w:rPr>
          <w:szCs w:val="24"/>
          <w:lang w:eastAsia="en-GB"/>
        </w:rPr>
        <w:t xml:space="preserve">to reinforce </w:t>
      </w:r>
      <w:r w:rsidR="00EE501C">
        <w:rPr>
          <w:szCs w:val="24"/>
          <w:lang w:eastAsia="en-GB"/>
        </w:rPr>
        <w:t xml:space="preserve">security at our borders. The European Parliament and the Council have now reached </w:t>
      </w:r>
      <w:r w:rsidR="00403E21">
        <w:rPr>
          <w:szCs w:val="24"/>
          <w:lang w:eastAsia="en-GB"/>
        </w:rPr>
        <w:t xml:space="preserve">political </w:t>
      </w:r>
      <w:r w:rsidR="00EE501C">
        <w:rPr>
          <w:szCs w:val="24"/>
          <w:lang w:eastAsia="en-GB"/>
        </w:rPr>
        <w:t xml:space="preserve">agreement on the </w:t>
      </w:r>
      <w:r w:rsidR="00EE501C" w:rsidRPr="00D61D32">
        <w:rPr>
          <w:b/>
          <w:szCs w:val="24"/>
          <w:lang w:eastAsia="en-GB"/>
        </w:rPr>
        <w:t>Directive on Combating Terrorism</w:t>
      </w:r>
      <w:r w:rsidR="00EE501C">
        <w:rPr>
          <w:b/>
          <w:szCs w:val="24"/>
          <w:lang w:eastAsia="en-GB"/>
        </w:rPr>
        <w:t xml:space="preserve">, </w:t>
      </w:r>
      <w:r w:rsidR="00EE501C" w:rsidRPr="00D975F1">
        <w:rPr>
          <w:szCs w:val="24"/>
          <w:lang w:eastAsia="en-GB"/>
        </w:rPr>
        <w:t xml:space="preserve">the </w:t>
      </w:r>
      <w:r w:rsidR="00EE501C" w:rsidRPr="00E40409">
        <w:rPr>
          <w:szCs w:val="24"/>
          <w:lang w:eastAsia="en-GB"/>
        </w:rPr>
        <w:t xml:space="preserve">revision of the </w:t>
      </w:r>
      <w:r w:rsidR="00EE501C" w:rsidRPr="00E40409">
        <w:rPr>
          <w:b/>
          <w:szCs w:val="24"/>
          <w:lang w:eastAsia="en-GB"/>
        </w:rPr>
        <w:t>Firearms Directive</w:t>
      </w:r>
      <w:r w:rsidR="00403E21" w:rsidRPr="00E40409">
        <w:rPr>
          <w:b/>
          <w:szCs w:val="24"/>
          <w:lang w:eastAsia="en-GB"/>
        </w:rPr>
        <w:t xml:space="preserve"> </w:t>
      </w:r>
      <w:r w:rsidR="00EE501C">
        <w:rPr>
          <w:szCs w:val="24"/>
          <w:lang w:eastAsia="en-GB"/>
        </w:rPr>
        <w:t xml:space="preserve">and </w:t>
      </w:r>
      <w:r w:rsidR="00EE501C" w:rsidRPr="00B366A9">
        <w:rPr>
          <w:szCs w:val="24"/>
          <w:lang w:eastAsia="en-GB"/>
        </w:rPr>
        <w:t xml:space="preserve">the revision of the </w:t>
      </w:r>
      <w:r w:rsidR="00EE501C" w:rsidRPr="004B7876">
        <w:rPr>
          <w:b/>
          <w:szCs w:val="24"/>
          <w:lang w:eastAsia="en-GB"/>
        </w:rPr>
        <w:t>Schengen Borders Code</w:t>
      </w:r>
      <w:r w:rsidR="00FC2280">
        <w:rPr>
          <w:b/>
          <w:szCs w:val="24"/>
          <w:lang w:eastAsia="en-GB"/>
        </w:rPr>
        <w:t xml:space="preserve"> </w:t>
      </w:r>
      <w:r w:rsidR="00FC2280" w:rsidRPr="00D40222">
        <w:rPr>
          <w:szCs w:val="24"/>
          <w:lang w:eastAsia="en-GB"/>
        </w:rPr>
        <w:t>to allow systematic checks on EU citizens</w:t>
      </w:r>
      <w:r w:rsidR="00EE501C">
        <w:rPr>
          <w:szCs w:val="24"/>
          <w:lang w:eastAsia="en-GB"/>
        </w:rPr>
        <w:t xml:space="preserve">. </w:t>
      </w:r>
    </w:p>
    <w:p w:rsidR="002533B2" w:rsidRPr="005A0269" w:rsidRDefault="00DF5BF6" w:rsidP="005A0269">
      <w:pPr>
        <w:autoSpaceDE w:val="0"/>
        <w:autoSpaceDN w:val="0"/>
        <w:adjustRightInd w:val="0"/>
        <w:spacing w:after="120"/>
        <w:rPr>
          <w:rFonts w:eastAsia="Calibri"/>
          <w:szCs w:val="24"/>
        </w:rPr>
      </w:pPr>
      <w:r>
        <w:rPr>
          <w:szCs w:val="24"/>
          <w:lang w:eastAsia="en-GB"/>
        </w:rPr>
        <w:t>Important p</w:t>
      </w:r>
      <w:r w:rsidR="000D100A">
        <w:rPr>
          <w:szCs w:val="24"/>
          <w:lang w:eastAsia="en-GB"/>
        </w:rPr>
        <w:t xml:space="preserve">rogress has also been made </w:t>
      </w:r>
      <w:r>
        <w:rPr>
          <w:szCs w:val="24"/>
          <w:lang w:eastAsia="en-GB"/>
        </w:rPr>
        <w:t>in the fight against</w:t>
      </w:r>
      <w:r w:rsidR="000D100A">
        <w:rPr>
          <w:szCs w:val="24"/>
          <w:lang w:eastAsia="en-GB"/>
        </w:rPr>
        <w:t xml:space="preserve"> online radicalisation. </w:t>
      </w:r>
      <w:r w:rsidR="005D6B46" w:rsidRPr="00BF53FD">
        <w:rPr>
          <w:szCs w:val="24"/>
          <w:lang w:eastAsia="en-GB"/>
        </w:rPr>
        <w:t xml:space="preserve">The </w:t>
      </w:r>
      <w:r w:rsidR="00FC2280">
        <w:rPr>
          <w:szCs w:val="24"/>
          <w:lang w:eastAsia="en-GB"/>
        </w:rPr>
        <w:t xml:space="preserve">second high-level meeting of the </w:t>
      </w:r>
      <w:r w:rsidR="005D6B46" w:rsidRPr="005A0269">
        <w:rPr>
          <w:b/>
          <w:szCs w:val="24"/>
          <w:lang w:eastAsia="en-GB"/>
        </w:rPr>
        <w:t xml:space="preserve">EU Internet </w:t>
      </w:r>
      <w:r>
        <w:rPr>
          <w:b/>
          <w:szCs w:val="24"/>
          <w:lang w:eastAsia="en-GB"/>
        </w:rPr>
        <w:t xml:space="preserve">Forum </w:t>
      </w:r>
      <w:r w:rsidR="00FC2280" w:rsidRPr="00D40222">
        <w:rPr>
          <w:szCs w:val="24"/>
          <w:lang w:eastAsia="en-GB"/>
        </w:rPr>
        <w:t>delivered the announcement</w:t>
      </w:r>
      <w:r w:rsidR="00FC2280">
        <w:rPr>
          <w:b/>
          <w:szCs w:val="24"/>
          <w:lang w:eastAsia="en-GB"/>
        </w:rPr>
        <w:t xml:space="preserve"> </w:t>
      </w:r>
      <w:r>
        <w:rPr>
          <w:szCs w:val="24"/>
          <w:lang w:eastAsia="en-GB"/>
        </w:rPr>
        <w:t xml:space="preserve">of a </w:t>
      </w:r>
      <w:r w:rsidRPr="005A0269">
        <w:rPr>
          <w:szCs w:val="24"/>
          <w:lang w:eastAsia="en-GB"/>
        </w:rPr>
        <w:t>hash-sharing initiative</w:t>
      </w:r>
      <w:r>
        <w:rPr>
          <w:szCs w:val="24"/>
          <w:lang w:eastAsia="en-GB"/>
        </w:rPr>
        <w:t xml:space="preserve"> </w:t>
      </w:r>
      <w:r w:rsidR="00FC2280">
        <w:rPr>
          <w:szCs w:val="24"/>
          <w:lang w:eastAsia="en-GB"/>
        </w:rPr>
        <w:t xml:space="preserve">from major internet platforms, </w:t>
      </w:r>
      <w:r>
        <w:rPr>
          <w:szCs w:val="24"/>
          <w:lang w:eastAsia="en-GB"/>
        </w:rPr>
        <w:t xml:space="preserve">enabling </w:t>
      </w:r>
      <w:r w:rsidRPr="00B861FA">
        <w:rPr>
          <w:szCs w:val="24"/>
          <w:lang w:eastAsia="en-GB"/>
        </w:rPr>
        <w:t xml:space="preserve">participating companies </w:t>
      </w:r>
      <w:r>
        <w:rPr>
          <w:szCs w:val="24"/>
          <w:lang w:eastAsia="en-GB"/>
        </w:rPr>
        <w:t xml:space="preserve">to </w:t>
      </w:r>
      <w:r w:rsidRPr="00B861FA">
        <w:rPr>
          <w:szCs w:val="24"/>
          <w:lang w:eastAsia="en-GB"/>
        </w:rPr>
        <w:t xml:space="preserve">use </w:t>
      </w:r>
      <w:r>
        <w:rPr>
          <w:szCs w:val="24"/>
          <w:lang w:eastAsia="en-GB"/>
        </w:rPr>
        <w:t>"</w:t>
      </w:r>
      <w:r w:rsidRPr="00B861FA">
        <w:rPr>
          <w:szCs w:val="24"/>
          <w:lang w:eastAsia="en-GB"/>
        </w:rPr>
        <w:t>hashes</w:t>
      </w:r>
      <w:r>
        <w:rPr>
          <w:szCs w:val="24"/>
          <w:lang w:eastAsia="en-GB"/>
        </w:rPr>
        <w:t>"</w:t>
      </w:r>
      <w:r w:rsidRPr="00B861FA">
        <w:rPr>
          <w:szCs w:val="24"/>
          <w:lang w:eastAsia="en-GB"/>
        </w:rPr>
        <w:t xml:space="preserve"> to detect terrorist </w:t>
      </w:r>
      <w:r w:rsidR="00FC2280">
        <w:rPr>
          <w:szCs w:val="24"/>
          <w:lang w:eastAsia="en-GB"/>
        </w:rPr>
        <w:t>content</w:t>
      </w:r>
      <w:r w:rsidRPr="00B861FA">
        <w:rPr>
          <w:szCs w:val="24"/>
          <w:lang w:eastAsia="en-GB"/>
        </w:rPr>
        <w:t xml:space="preserve">, </w:t>
      </w:r>
      <w:r w:rsidR="00FC2280">
        <w:rPr>
          <w:szCs w:val="24"/>
          <w:lang w:eastAsia="en-GB"/>
        </w:rPr>
        <w:t xml:space="preserve">in order to ensure its permanent removal. This new tool is expected to further restrict the </w:t>
      </w:r>
      <w:r w:rsidR="005D6B46" w:rsidRPr="00BF53FD">
        <w:rPr>
          <w:szCs w:val="24"/>
          <w:lang w:eastAsia="en-GB"/>
        </w:rPr>
        <w:t xml:space="preserve">access </w:t>
      </w:r>
      <w:r w:rsidR="00FC2280">
        <w:rPr>
          <w:szCs w:val="24"/>
          <w:lang w:eastAsia="en-GB"/>
        </w:rPr>
        <w:t xml:space="preserve">of terrorist organisations </w:t>
      </w:r>
      <w:r w:rsidR="005D6B46" w:rsidRPr="00BF53FD">
        <w:rPr>
          <w:szCs w:val="24"/>
          <w:lang w:eastAsia="en-GB"/>
        </w:rPr>
        <w:t xml:space="preserve">to a key </w:t>
      </w:r>
      <w:r w:rsidR="00FC2280">
        <w:rPr>
          <w:szCs w:val="24"/>
          <w:lang w:eastAsia="en-GB"/>
        </w:rPr>
        <w:t xml:space="preserve">medium used for propaganda, </w:t>
      </w:r>
      <w:r w:rsidR="005D6B46" w:rsidRPr="00BF53FD">
        <w:rPr>
          <w:szCs w:val="24"/>
          <w:lang w:eastAsia="en-GB"/>
        </w:rPr>
        <w:t>recruitment and radicalisation.</w:t>
      </w:r>
      <w:r w:rsidR="00B861FA">
        <w:rPr>
          <w:szCs w:val="24"/>
          <w:lang w:eastAsia="en-GB"/>
        </w:rPr>
        <w:t xml:space="preserve"> </w:t>
      </w:r>
      <w:r>
        <w:rPr>
          <w:szCs w:val="24"/>
          <w:lang w:eastAsia="en-GB"/>
        </w:rPr>
        <w:t>At the Forum, t</w:t>
      </w:r>
      <w:r w:rsidR="005D6B46" w:rsidRPr="005A0269">
        <w:rPr>
          <w:szCs w:val="24"/>
          <w:lang w:eastAsia="en-GB"/>
        </w:rPr>
        <w:t xml:space="preserve">he Commission also launched </w:t>
      </w:r>
      <w:r>
        <w:rPr>
          <w:szCs w:val="24"/>
          <w:lang w:eastAsia="en-GB"/>
        </w:rPr>
        <w:t>a</w:t>
      </w:r>
      <w:r w:rsidR="002533B2" w:rsidRPr="005A0269">
        <w:rPr>
          <w:szCs w:val="24"/>
          <w:lang w:eastAsia="en-GB"/>
        </w:rPr>
        <w:t xml:space="preserve"> </w:t>
      </w:r>
      <w:r w:rsidR="002533B2" w:rsidRPr="005A0269">
        <w:rPr>
          <w:b/>
          <w:szCs w:val="24"/>
          <w:lang w:eastAsia="en-GB"/>
        </w:rPr>
        <w:t>Civil Society Empowerment Programme</w:t>
      </w:r>
      <w:r w:rsidR="002533B2" w:rsidRPr="005A0269">
        <w:rPr>
          <w:szCs w:val="24"/>
          <w:lang w:eastAsia="en-GB"/>
        </w:rPr>
        <w:t xml:space="preserve">, with €10 million funding, to support civil society partners in ramping up the volume of effective, alternative </w:t>
      </w:r>
      <w:r>
        <w:rPr>
          <w:szCs w:val="24"/>
          <w:lang w:eastAsia="en-GB"/>
        </w:rPr>
        <w:t xml:space="preserve">on-line </w:t>
      </w:r>
      <w:r w:rsidR="002533B2" w:rsidRPr="005A0269">
        <w:rPr>
          <w:szCs w:val="24"/>
          <w:lang w:eastAsia="en-GB"/>
        </w:rPr>
        <w:t>narratives.</w:t>
      </w:r>
    </w:p>
    <w:p w:rsidR="002533B2" w:rsidRPr="00BF53FD" w:rsidRDefault="000D100A" w:rsidP="002533B2">
      <w:pPr>
        <w:spacing w:after="120"/>
        <w:rPr>
          <w:szCs w:val="24"/>
        </w:rPr>
      </w:pPr>
      <w:r w:rsidRPr="00BF53FD">
        <w:rPr>
          <w:szCs w:val="24"/>
          <w:lang w:eastAsia="en-GB"/>
        </w:rPr>
        <w:t xml:space="preserve">There have also been key developments in </w:t>
      </w:r>
      <w:r w:rsidR="00DF5BF6">
        <w:rPr>
          <w:szCs w:val="24"/>
          <w:lang w:eastAsia="en-GB"/>
        </w:rPr>
        <w:t xml:space="preserve">a number of </w:t>
      </w:r>
      <w:r w:rsidRPr="00BF53FD">
        <w:rPr>
          <w:szCs w:val="24"/>
          <w:lang w:eastAsia="en-GB"/>
        </w:rPr>
        <w:t xml:space="preserve">other fields. </w:t>
      </w:r>
      <w:r w:rsidR="002533B2" w:rsidRPr="005A0269">
        <w:rPr>
          <w:rFonts w:eastAsia="Calibri"/>
          <w:bCs/>
          <w:szCs w:val="24"/>
        </w:rPr>
        <w:t xml:space="preserve">Given the vital importance of full and timely implementation of the EU Passenger name Record (PNR) Directive, the Commission </w:t>
      </w:r>
      <w:r w:rsidR="006A2831" w:rsidRPr="005A0269">
        <w:rPr>
          <w:rFonts w:eastAsia="Calibri"/>
          <w:bCs/>
          <w:szCs w:val="24"/>
        </w:rPr>
        <w:t>presented a</w:t>
      </w:r>
      <w:r w:rsidR="00F95CCC">
        <w:rPr>
          <w:rFonts w:eastAsia="Calibri"/>
          <w:bCs/>
          <w:szCs w:val="24"/>
        </w:rPr>
        <w:t xml:space="preserve"> </w:t>
      </w:r>
      <w:r w:rsidR="00F95CCC" w:rsidRPr="005A0269">
        <w:rPr>
          <w:rFonts w:eastAsia="Calibri"/>
          <w:b/>
          <w:bCs/>
          <w:szCs w:val="24"/>
        </w:rPr>
        <w:t xml:space="preserve">PNR </w:t>
      </w:r>
      <w:r w:rsidR="006A2831" w:rsidRPr="005A0269">
        <w:rPr>
          <w:rFonts w:eastAsia="Calibri"/>
          <w:b/>
          <w:bCs/>
          <w:szCs w:val="24"/>
        </w:rPr>
        <w:t>implementation plan</w:t>
      </w:r>
      <w:r w:rsidR="006A2831" w:rsidRPr="005A0269">
        <w:rPr>
          <w:rFonts w:eastAsia="Calibri"/>
          <w:bCs/>
          <w:szCs w:val="24"/>
        </w:rPr>
        <w:t xml:space="preserve"> </w:t>
      </w:r>
      <w:r w:rsidR="00F95CCC" w:rsidRPr="00BF53FD">
        <w:rPr>
          <w:rFonts w:eastAsia="Calibri"/>
          <w:bCs/>
          <w:szCs w:val="24"/>
        </w:rPr>
        <w:t>to provide</w:t>
      </w:r>
      <w:r w:rsidR="002533B2" w:rsidRPr="005A0269">
        <w:rPr>
          <w:rFonts w:eastAsia="Calibri"/>
          <w:bCs/>
          <w:szCs w:val="24"/>
        </w:rPr>
        <w:t xml:space="preserve"> guidance to Member States</w:t>
      </w:r>
      <w:r w:rsidR="006A2831" w:rsidRPr="005A0269">
        <w:rPr>
          <w:rFonts w:eastAsia="Calibri"/>
          <w:bCs/>
          <w:szCs w:val="24"/>
        </w:rPr>
        <w:t xml:space="preserve">. </w:t>
      </w:r>
      <w:r>
        <w:rPr>
          <w:rFonts w:eastAsia="Calibri"/>
          <w:bCs/>
          <w:szCs w:val="24"/>
        </w:rPr>
        <w:t>T</w:t>
      </w:r>
      <w:r w:rsidR="006A2831" w:rsidRPr="005A0269">
        <w:rPr>
          <w:rFonts w:eastAsia="Calibri"/>
          <w:bCs/>
          <w:szCs w:val="24"/>
        </w:rPr>
        <w:t xml:space="preserve">he Commission </w:t>
      </w:r>
      <w:r>
        <w:rPr>
          <w:rFonts w:eastAsia="Calibri"/>
          <w:bCs/>
          <w:szCs w:val="24"/>
        </w:rPr>
        <w:t xml:space="preserve">has </w:t>
      </w:r>
      <w:r w:rsidR="006A2831" w:rsidRPr="005A0269">
        <w:rPr>
          <w:rFonts w:eastAsia="Calibri"/>
          <w:bCs/>
          <w:szCs w:val="24"/>
        </w:rPr>
        <w:t xml:space="preserve">also </w:t>
      </w:r>
      <w:r w:rsidR="00FC2280">
        <w:rPr>
          <w:rFonts w:eastAsia="Calibri"/>
          <w:bCs/>
          <w:szCs w:val="24"/>
        </w:rPr>
        <w:t>presented</w:t>
      </w:r>
      <w:r w:rsidR="00FC2280" w:rsidRPr="005A0269">
        <w:rPr>
          <w:rFonts w:eastAsia="Calibri"/>
          <w:bCs/>
          <w:szCs w:val="24"/>
        </w:rPr>
        <w:t xml:space="preserve"> </w:t>
      </w:r>
      <w:r w:rsidR="006A2831" w:rsidRPr="005A0269">
        <w:rPr>
          <w:rFonts w:eastAsia="Calibri"/>
          <w:bCs/>
          <w:szCs w:val="24"/>
        </w:rPr>
        <w:t xml:space="preserve">an </w:t>
      </w:r>
      <w:r w:rsidR="006A2831" w:rsidRPr="005A0269">
        <w:rPr>
          <w:rFonts w:eastAsia="Calibri"/>
          <w:b/>
          <w:bCs/>
          <w:szCs w:val="24"/>
        </w:rPr>
        <w:t>Action plan to strengthen the European response to travel document fraud</w:t>
      </w:r>
      <w:r w:rsidR="002533B2" w:rsidRPr="005A0269">
        <w:rPr>
          <w:rFonts w:eastAsia="Calibri"/>
          <w:bCs/>
          <w:szCs w:val="24"/>
        </w:rPr>
        <w:t xml:space="preserve">. </w:t>
      </w:r>
      <w:r w:rsidR="002533B2" w:rsidRPr="005A0269">
        <w:t xml:space="preserve">The Action Plan provides </w:t>
      </w:r>
      <w:r w:rsidR="006571D7">
        <w:t>operational</w:t>
      </w:r>
      <w:r w:rsidR="006571D7" w:rsidRPr="005A0269">
        <w:t xml:space="preserve"> </w:t>
      </w:r>
      <w:r w:rsidR="002533B2" w:rsidRPr="005A0269">
        <w:t xml:space="preserve">recommendations </w:t>
      </w:r>
      <w:r w:rsidR="00B861FA">
        <w:t>to</w:t>
      </w:r>
      <w:r w:rsidR="002533B2" w:rsidRPr="005A0269">
        <w:t xml:space="preserve"> Member States to tackle the </w:t>
      </w:r>
      <w:r w:rsidR="00013649">
        <w:t xml:space="preserve">growing </w:t>
      </w:r>
      <w:r w:rsidR="006F1A89">
        <w:t xml:space="preserve">problem </w:t>
      </w:r>
      <w:r w:rsidR="002533B2" w:rsidRPr="005A0269">
        <w:t>of travel document fraud</w:t>
      </w:r>
      <w:r w:rsidR="006A2831" w:rsidRPr="005A0269">
        <w:t xml:space="preserve">, including </w:t>
      </w:r>
      <w:r w:rsidR="002533B2" w:rsidRPr="005A0269">
        <w:t xml:space="preserve">registration of identity, the issuance of documents, document production and document control. </w:t>
      </w:r>
      <w:r w:rsidR="002533B2" w:rsidRPr="005A0269">
        <w:rPr>
          <w:sz w:val="23"/>
          <w:szCs w:val="23"/>
        </w:rPr>
        <w:t xml:space="preserve"> </w:t>
      </w:r>
      <w:r w:rsidR="006A2831" w:rsidRPr="005A0269">
        <w:rPr>
          <w:szCs w:val="24"/>
        </w:rPr>
        <w:t>Finally, to help p</w:t>
      </w:r>
      <w:r w:rsidR="002533B2" w:rsidRPr="005A0269">
        <w:rPr>
          <w:szCs w:val="24"/>
        </w:rPr>
        <w:t>rotect citizens and critical infrastructures</w:t>
      </w:r>
      <w:r w:rsidR="006A2831" w:rsidRPr="005A0269">
        <w:rPr>
          <w:szCs w:val="24"/>
        </w:rPr>
        <w:t>,</w:t>
      </w:r>
      <w:r w:rsidR="006A2831" w:rsidRPr="005A0269">
        <w:rPr>
          <w:i/>
          <w:szCs w:val="24"/>
        </w:rPr>
        <w:t xml:space="preserve"> </w:t>
      </w:r>
      <w:r w:rsidR="006A2831" w:rsidRPr="005A0269">
        <w:rPr>
          <w:szCs w:val="24"/>
        </w:rPr>
        <w:t>t</w:t>
      </w:r>
      <w:r w:rsidR="002533B2" w:rsidRPr="005A0269">
        <w:rPr>
          <w:szCs w:val="24"/>
        </w:rPr>
        <w:t xml:space="preserve">he </w:t>
      </w:r>
      <w:r w:rsidR="006A2831" w:rsidRPr="005A0269">
        <w:rPr>
          <w:szCs w:val="24"/>
        </w:rPr>
        <w:t xml:space="preserve">Commission has addressed the security of our energy grids in the </w:t>
      </w:r>
      <w:r w:rsidR="002533B2" w:rsidRPr="005A0269">
        <w:rPr>
          <w:b/>
          <w:szCs w:val="24"/>
        </w:rPr>
        <w:t>Energy Union package</w:t>
      </w:r>
      <w:r w:rsidR="002533B2" w:rsidRPr="005A0269">
        <w:rPr>
          <w:szCs w:val="24"/>
        </w:rPr>
        <w:t xml:space="preserve"> adopted on 30 November</w:t>
      </w:r>
      <w:r w:rsidR="006A2831" w:rsidRPr="005A0269">
        <w:rPr>
          <w:szCs w:val="24"/>
        </w:rPr>
        <w:t>. The package</w:t>
      </w:r>
      <w:r w:rsidR="002533B2" w:rsidRPr="005A0269">
        <w:rPr>
          <w:szCs w:val="24"/>
        </w:rPr>
        <w:t xml:space="preserve"> </w:t>
      </w:r>
      <w:r w:rsidR="00013649">
        <w:rPr>
          <w:szCs w:val="24"/>
        </w:rPr>
        <w:t xml:space="preserve">is designed </w:t>
      </w:r>
      <w:r>
        <w:rPr>
          <w:szCs w:val="24"/>
        </w:rPr>
        <w:t xml:space="preserve">to support Member States </w:t>
      </w:r>
      <w:r w:rsidR="009C5A85">
        <w:rPr>
          <w:szCs w:val="24"/>
        </w:rPr>
        <w:t>o</w:t>
      </w:r>
      <w:r>
        <w:rPr>
          <w:szCs w:val="24"/>
        </w:rPr>
        <w:t xml:space="preserve">n </w:t>
      </w:r>
      <w:r w:rsidR="009C5A85">
        <w:rPr>
          <w:szCs w:val="24"/>
        </w:rPr>
        <w:t xml:space="preserve">risk assessments, risk preparedness and the management of crisis situations in relation to the Union's electricity systems. </w:t>
      </w:r>
    </w:p>
    <w:p w:rsidR="002533B2" w:rsidRDefault="002533B2" w:rsidP="00B73357">
      <w:pPr>
        <w:autoSpaceDE w:val="0"/>
        <w:autoSpaceDN w:val="0"/>
        <w:adjustRightInd w:val="0"/>
        <w:spacing w:after="120"/>
        <w:rPr>
          <w:rFonts w:eastAsia="Calibri"/>
          <w:szCs w:val="24"/>
        </w:rPr>
      </w:pPr>
    </w:p>
    <w:p w:rsidR="009C5A85" w:rsidRDefault="009C5A85">
      <w:pPr>
        <w:spacing w:after="0"/>
        <w:jc w:val="left"/>
        <w:rPr>
          <w:rFonts w:eastAsia="Calibri"/>
          <w:b/>
          <w:bCs/>
          <w:szCs w:val="24"/>
        </w:rPr>
      </w:pPr>
      <w:r>
        <w:rPr>
          <w:rFonts w:eastAsia="Calibri"/>
          <w:b/>
          <w:bCs/>
          <w:szCs w:val="24"/>
        </w:rPr>
        <w:br w:type="page"/>
      </w:r>
    </w:p>
    <w:p w:rsidR="002533B2" w:rsidRDefault="002533B2" w:rsidP="005A0269">
      <w:pPr>
        <w:spacing w:before="240" w:after="120"/>
        <w:ind w:left="709" w:hanging="709"/>
        <w:rPr>
          <w:rFonts w:eastAsia="Calibri"/>
          <w:b/>
          <w:bCs/>
          <w:szCs w:val="24"/>
        </w:rPr>
      </w:pPr>
      <w:r w:rsidRPr="008A48CE">
        <w:rPr>
          <w:rFonts w:eastAsia="Calibri"/>
          <w:b/>
          <w:bCs/>
          <w:szCs w:val="24"/>
        </w:rPr>
        <w:lastRenderedPageBreak/>
        <w:t xml:space="preserve">II. </w:t>
      </w:r>
      <w:r w:rsidR="00AF658F">
        <w:rPr>
          <w:rFonts w:eastAsia="Calibri"/>
          <w:b/>
          <w:bCs/>
          <w:szCs w:val="24"/>
        </w:rPr>
        <w:tab/>
      </w:r>
      <w:r w:rsidR="00184982">
        <w:rPr>
          <w:rFonts w:eastAsia="Calibri"/>
          <w:b/>
          <w:bCs/>
          <w:szCs w:val="24"/>
        </w:rPr>
        <w:t xml:space="preserve">NEW </w:t>
      </w:r>
      <w:r w:rsidR="009C5A85">
        <w:rPr>
          <w:rFonts w:eastAsia="Calibri"/>
          <w:b/>
          <w:bCs/>
          <w:szCs w:val="24"/>
        </w:rPr>
        <w:t xml:space="preserve">EU LAWS </w:t>
      </w:r>
      <w:r w:rsidR="00AF658F">
        <w:rPr>
          <w:rFonts w:eastAsia="Calibri"/>
          <w:b/>
          <w:bCs/>
          <w:szCs w:val="24"/>
        </w:rPr>
        <w:t xml:space="preserve">TO </w:t>
      </w:r>
      <w:r w:rsidR="009C5A85">
        <w:rPr>
          <w:rFonts w:eastAsia="Calibri"/>
          <w:b/>
          <w:bCs/>
          <w:szCs w:val="24"/>
        </w:rPr>
        <w:t>FIGHT TERRORISM AND ORGANISED CRIME</w:t>
      </w:r>
    </w:p>
    <w:p w:rsidR="00F95CCC" w:rsidRPr="005A0269" w:rsidRDefault="00F95CCC" w:rsidP="00556087">
      <w:pPr>
        <w:spacing w:after="120"/>
        <w:rPr>
          <w:rFonts w:eastAsia="Calibri"/>
          <w:i/>
          <w:szCs w:val="24"/>
        </w:rPr>
      </w:pPr>
      <w:r w:rsidRPr="005A0269">
        <w:rPr>
          <w:rFonts w:eastAsia="Calibri"/>
          <w:i/>
          <w:szCs w:val="24"/>
        </w:rPr>
        <w:t>Terrorist offences</w:t>
      </w:r>
    </w:p>
    <w:p w:rsidR="00AA2E25" w:rsidRDefault="00552BF4" w:rsidP="00556087">
      <w:pPr>
        <w:spacing w:after="120"/>
        <w:rPr>
          <w:rFonts w:eastAsia="Calibri"/>
          <w:szCs w:val="24"/>
        </w:rPr>
      </w:pPr>
      <w:r>
        <w:rPr>
          <w:rFonts w:eastAsia="Calibri"/>
          <w:szCs w:val="24"/>
        </w:rPr>
        <w:t>Following intensive negotiations, t</w:t>
      </w:r>
      <w:r w:rsidR="00915EAA">
        <w:rPr>
          <w:rFonts w:eastAsia="Calibri"/>
          <w:szCs w:val="24"/>
        </w:rPr>
        <w:t xml:space="preserve">he </w:t>
      </w:r>
      <w:r w:rsidR="004A4036" w:rsidRPr="00FA655B">
        <w:rPr>
          <w:szCs w:val="24"/>
          <w:lang w:eastAsia="en-GB"/>
        </w:rPr>
        <w:t xml:space="preserve">European Parliament and the Council </w:t>
      </w:r>
      <w:r w:rsidR="00AA2E25">
        <w:rPr>
          <w:rFonts w:eastAsia="Calibri"/>
          <w:szCs w:val="24"/>
        </w:rPr>
        <w:t xml:space="preserve">reached political agreement on </w:t>
      </w:r>
      <w:r w:rsidR="00FB5F89">
        <w:rPr>
          <w:rFonts w:eastAsia="Calibri"/>
          <w:szCs w:val="24"/>
        </w:rPr>
        <w:t xml:space="preserve">17 </w:t>
      </w:r>
      <w:r>
        <w:rPr>
          <w:rFonts w:eastAsia="Calibri"/>
          <w:szCs w:val="24"/>
        </w:rPr>
        <w:t xml:space="preserve">November on </w:t>
      </w:r>
      <w:r w:rsidR="00AA2E25">
        <w:rPr>
          <w:rFonts w:eastAsia="Calibri"/>
          <w:szCs w:val="24"/>
        </w:rPr>
        <w:t>the</w:t>
      </w:r>
      <w:r>
        <w:rPr>
          <w:rFonts w:eastAsia="Calibri"/>
          <w:szCs w:val="24"/>
        </w:rPr>
        <w:t xml:space="preserve"> Commission's December 2015 proposal for a </w:t>
      </w:r>
      <w:r w:rsidR="00AA2E25" w:rsidRPr="00AA2E25">
        <w:rPr>
          <w:rFonts w:eastAsia="Calibri"/>
          <w:b/>
          <w:szCs w:val="24"/>
        </w:rPr>
        <w:t>Directive on combatting terrorism</w:t>
      </w:r>
      <w:r w:rsidR="000C0775" w:rsidRPr="00E53A70">
        <w:rPr>
          <w:rStyle w:val="FootnoteReference"/>
          <w:rFonts w:eastAsia="Calibri"/>
          <w:szCs w:val="24"/>
        </w:rPr>
        <w:footnoteReference w:id="2"/>
      </w:r>
      <w:r w:rsidR="00915EAA" w:rsidRPr="00E53A70">
        <w:rPr>
          <w:rFonts w:eastAsia="Calibri"/>
          <w:szCs w:val="24"/>
        </w:rPr>
        <w:t>.</w:t>
      </w:r>
      <w:r w:rsidR="00915EAA">
        <w:rPr>
          <w:rFonts w:eastAsia="Calibri"/>
          <w:szCs w:val="24"/>
        </w:rPr>
        <w:t xml:space="preserve"> This is a </w:t>
      </w:r>
      <w:r w:rsidR="00AA2E25">
        <w:rPr>
          <w:rFonts w:eastAsia="Calibri"/>
          <w:szCs w:val="24"/>
        </w:rPr>
        <w:t xml:space="preserve">crucial </w:t>
      </w:r>
      <w:r w:rsidR="00915EAA">
        <w:rPr>
          <w:rFonts w:eastAsia="Calibri"/>
          <w:szCs w:val="24"/>
        </w:rPr>
        <w:t xml:space="preserve">step </w:t>
      </w:r>
      <w:r w:rsidR="00556087">
        <w:rPr>
          <w:rFonts w:eastAsia="Calibri"/>
          <w:szCs w:val="24"/>
        </w:rPr>
        <w:t xml:space="preserve">in our fight against terrorists and </w:t>
      </w:r>
      <w:r w:rsidR="00B01E7A">
        <w:rPr>
          <w:rFonts w:eastAsia="Calibri"/>
          <w:szCs w:val="24"/>
        </w:rPr>
        <w:t>that</w:t>
      </w:r>
      <w:r>
        <w:rPr>
          <w:rFonts w:eastAsia="Calibri"/>
          <w:szCs w:val="24"/>
        </w:rPr>
        <w:t xml:space="preserve"> support them</w:t>
      </w:r>
      <w:r w:rsidR="00556087">
        <w:rPr>
          <w:rFonts w:eastAsia="Calibri"/>
          <w:szCs w:val="24"/>
        </w:rPr>
        <w:t xml:space="preserve">. </w:t>
      </w:r>
      <w:r w:rsidR="00556087" w:rsidRPr="00556087">
        <w:rPr>
          <w:rFonts w:eastAsia="Calibri"/>
          <w:szCs w:val="24"/>
        </w:rPr>
        <w:t xml:space="preserve">The </w:t>
      </w:r>
      <w:r w:rsidR="00AA2E25">
        <w:rPr>
          <w:rFonts w:eastAsia="Calibri"/>
          <w:szCs w:val="24"/>
        </w:rPr>
        <w:t xml:space="preserve">Directive </w:t>
      </w:r>
      <w:r w:rsidR="00556087" w:rsidRPr="00556087">
        <w:rPr>
          <w:rFonts w:eastAsia="Calibri"/>
          <w:szCs w:val="24"/>
        </w:rPr>
        <w:t xml:space="preserve">consolidates existing EU legislation </w:t>
      </w:r>
      <w:r w:rsidR="00AA2E25">
        <w:rPr>
          <w:rFonts w:eastAsia="Calibri"/>
          <w:szCs w:val="24"/>
        </w:rPr>
        <w:t>and international standards</w:t>
      </w:r>
      <w:r w:rsidR="00AA2E25">
        <w:rPr>
          <w:rStyle w:val="FootnoteReference"/>
          <w:rFonts w:eastAsia="Calibri"/>
          <w:szCs w:val="24"/>
        </w:rPr>
        <w:footnoteReference w:id="3"/>
      </w:r>
      <w:r w:rsidR="00AA2E25">
        <w:rPr>
          <w:rFonts w:eastAsia="Calibri"/>
          <w:szCs w:val="24"/>
        </w:rPr>
        <w:t xml:space="preserve"> </w:t>
      </w:r>
      <w:r w:rsidR="00556087" w:rsidRPr="00556087">
        <w:rPr>
          <w:rFonts w:eastAsia="Calibri"/>
          <w:szCs w:val="24"/>
        </w:rPr>
        <w:t xml:space="preserve">on the criminalisation of terrorist offences and incorporates </w:t>
      </w:r>
      <w:r w:rsidR="00AA2E25">
        <w:rPr>
          <w:rFonts w:eastAsia="Calibri"/>
          <w:szCs w:val="24"/>
        </w:rPr>
        <w:t>"</w:t>
      </w:r>
      <w:r w:rsidR="00556087" w:rsidRPr="00556087">
        <w:rPr>
          <w:rFonts w:eastAsia="Calibri"/>
          <w:szCs w:val="24"/>
        </w:rPr>
        <w:t>new</w:t>
      </w:r>
      <w:r w:rsidR="00AA2E25">
        <w:rPr>
          <w:rFonts w:eastAsia="Calibri"/>
          <w:szCs w:val="24"/>
        </w:rPr>
        <w:t>"</w:t>
      </w:r>
      <w:r w:rsidR="00556087" w:rsidRPr="00556087">
        <w:rPr>
          <w:rFonts w:eastAsia="Calibri"/>
          <w:szCs w:val="24"/>
        </w:rPr>
        <w:t xml:space="preserve"> terrorism-related offences </w:t>
      </w:r>
      <w:r w:rsidR="00AA2E25">
        <w:rPr>
          <w:rFonts w:eastAsia="Calibri"/>
          <w:szCs w:val="24"/>
        </w:rPr>
        <w:t xml:space="preserve">including terrorist </w:t>
      </w:r>
      <w:r w:rsidR="00AA2E25" w:rsidRPr="00556087">
        <w:rPr>
          <w:rFonts w:eastAsia="Calibri"/>
          <w:szCs w:val="24"/>
        </w:rPr>
        <w:t>financing</w:t>
      </w:r>
      <w:r w:rsidR="004A4036">
        <w:rPr>
          <w:rFonts w:eastAsia="Calibri"/>
          <w:szCs w:val="24"/>
        </w:rPr>
        <w:t xml:space="preserve"> and</w:t>
      </w:r>
      <w:r w:rsidR="00AA2E25">
        <w:rPr>
          <w:rFonts w:eastAsia="Calibri"/>
          <w:szCs w:val="24"/>
        </w:rPr>
        <w:t xml:space="preserve"> </w:t>
      </w:r>
      <w:r w:rsidR="00AA2E25" w:rsidRPr="00556087">
        <w:rPr>
          <w:rFonts w:eastAsia="Calibri"/>
          <w:szCs w:val="24"/>
        </w:rPr>
        <w:t>trave</w:t>
      </w:r>
      <w:r w:rsidR="004A4036">
        <w:rPr>
          <w:rFonts w:eastAsia="Calibri"/>
          <w:szCs w:val="24"/>
        </w:rPr>
        <w:t>l</w:t>
      </w:r>
      <w:r w:rsidR="00AA2E25" w:rsidRPr="00556087">
        <w:rPr>
          <w:rFonts w:eastAsia="Calibri"/>
          <w:szCs w:val="24"/>
        </w:rPr>
        <w:t xml:space="preserve">ling abroad </w:t>
      </w:r>
      <w:r w:rsidR="00AA2E25">
        <w:rPr>
          <w:rFonts w:eastAsia="Calibri"/>
          <w:szCs w:val="24"/>
        </w:rPr>
        <w:t xml:space="preserve">to </w:t>
      </w:r>
      <w:r w:rsidR="00AA2E25" w:rsidRPr="00556087">
        <w:rPr>
          <w:rFonts w:eastAsia="Calibri"/>
          <w:szCs w:val="24"/>
        </w:rPr>
        <w:t xml:space="preserve">commit a terrorist offence or to participate in a training camp </w:t>
      </w:r>
      <w:r w:rsidR="00AA2E25">
        <w:rPr>
          <w:rFonts w:eastAsia="Calibri"/>
          <w:szCs w:val="24"/>
        </w:rPr>
        <w:t xml:space="preserve">– </w:t>
      </w:r>
      <w:r w:rsidR="004A4036">
        <w:rPr>
          <w:rFonts w:eastAsia="Calibri"/>
          <w:szCs w:val="24"/>
        </w:rPr>
        <w:t>as well as</w:t>
      </w:r>
      <w:r w:rsidR="00AA2E25">
        <w:rPr>
          <w:rFonts w:eastAsia="Calibri"/>
          <w:szCs w:val="24"/>
        </w:rPr>
        <w:t xml:space="preserve"> returning from such activities, providing or receiving training.</w:t>
      </w:r>
      <w:r w:rsidR="008F2528">
        <w:rPr>
          <w:rFonts w:eastAsia="Calibri"/>
          <w:szCs w:val="24"/>
        </w:rPr>
        <w:t xml:space="preserve"> It </w:t>
      </w:r>
      <w:r w:rsidR="00FA39E8">
        <w:rPr>
          <w:rFonts w:eastAsia="Calibri"/>
          <w:szCs w:val="24"/>
        </w:rPr>
        <w:t xml:space="preserve">is a key element in the fight against </w:t>
      </w:r>
      <w:r w:rsidR="00AA2E25">
        <w:rPr>
          <w:rFonts w:eastAsia="Calibri"/>
          <w:szCs w:val="24"/>
        </w:rPr>
        <w:t xml:space="preserve">foreign terrorist fighters. The Directive also includes </w:t>
      </w:r>
      <w:r w:rsidR="00AA2E25" w:rsidRPr="00556087">
        <w:rPr>
          <w:rFonts w:eastAsia="Calibri"/>
          <w:szCs w:val="24"/>
        </w:rPr>
        <w:t xml:space="preserve">provisions </w:t>
      </w:r>
      <w:r w:rsidR="00AA2E25">
        <w:rPr>
          <w:rFonts w:eastAsia="Calibri"/>
          <w:szCs w:val="24"/>
        </w:rPr>
        <w:t xml:space="preserve">to meet the </w:t>
      </w:r>
      <w:r w:rsidR="00AA2E25" w:rsidRPr="00556087">
        <w:rPr>
          <w:rFonts w:eastAsia="Calibri"/>
          <w:szCs w:val="24"/>
        </w:rPr>
        <w:t>specific needs</w:t>
      </w:r>
      <w:r w:rsidR="00AA2E25">
        <w:rPr>
          <w:rFonts w:eastAsia="Calibri"/>
          <w:szCs w:val="24"/>
        </w:rPr>
        <w:t xml:space="preserve"> of </w:t>
      </w:r>
      <w:r w:rsidR="00AA2E25" w:rsidRPr="00556087">
        <w:rPr>
          <w:rFonts w:eastAsia="Calibri"/>
          <w:szCs w:val="24"/>
        </w:rPr>
        <w:t>victims of terrorism</w:t>
      </w:r>
      <w:r w:rsidR="000E5E2A">
        <w:rPr>
          <w:rFonts w:eastAsia="Calibri"/>
          <w:szCs w:val="24"/>
        </w:rPr>
        <w:t xml:space="preserve"> </w:t>
      </w:r>
      <w:r w:rsidR="00B861FA">
        <w:rPr>
          <w:rFonts w:eastAsia="Calibri"/>
          <w:szCs w:val="24"/>
        </w:rPr>
        <w:t>with</w:t>
      </w:r>
      <w:r w:rsidR="00FA39E8">
        <w:rPr>
          <w:rFonts w:eastAsia="Calibri"/>
          <w:szCs w:val="24"/>
        </w:rPr>
        <w:t xml:space="preserve"> </w:t>
      </w:r>
      <w:r w:rsidR="00AA2E25">
        <w:rPr>
          <w:rFonts w:eastAsia="Calibri"/>
          <w:szCs w:val="24"/>
        </w:rPr>
        <w:t xml:space="preserve">information, support and protection. The </w:t>
      </w:r>
      <w:r w:rsidR="004A4036" w:rsidRPr="00350DE6">
        <w:rPr>
          <w:szCs w:val="24"/>
          <w:lang w:eastAsia="en-GB"/>
        </w:rPr>
        <w:t xml:space="preserve">European Parliament and the </w:t>
      </w:r>
      <w:r w:rsidR="00AA2E25">
        <w:rPr>
          <w:rFonts w:eastAsia="Calibri"/>
          <w:szCs w:val="24"/>
        </w:rPr>
        <w:t xml:space="preserve">Council now need formally </w:t>
      </w:r>
      <w:r w:rsidR="00013649">
        <w:rPr>
          <w:rFonts w:eastAsia="Calibri"/>
          <w:szCs w:val="24"/>
        </w:rPr>
        <w:t xml:space="preserve">to </w:t>
      </w:r>
      <w:r w:rsidR="00AA2E25">
        <w:rPr>
          <w:rFonts w:eastAsia="Calibri"/>
          <w:szCs w:val="24"/>
        </w:rPr>
        <w:t xml:space="preserve">adopt </w:t>
      </w:r>
      <w:r w:rsidR="006A5B2A">
        <w:rPr>
          <w:rFonts w:eastAsia="Calibri"/>
          <w:szCs w:val="24"/>
        </w:rPr>
        <w:t xml:space="preserve">swiftly </w:t>
      </w:r>
      <w:r w:rsidR="00AA2E25">
        <w:rPr>
          <w:rFonts w:eastAsia="Calibri"/>
          <w:szCs w:val="24"/>
        </w:rPr>
        <w:t>the text and Member States' implementation period will be 18 months.</w:t>
      </w:r>
    </w:p>
    <w:p w:rsidR="00F95CCC" w:rsidRPr="005A0269" w:rsidRDefault="00717900" w:rsidP="002533B2">
      <w:pPr>
        <w:spacing w:after="120"/>
        <w:rPr>
          <w:rFonts w:eastAsia="Calibri"/>
          <w:i/>
          <w:szCs w:val="24"/>
        </w:rPr>
      </w:pPr>
      <w:r>
        <w:rPr>
          <w:rFonts w:eastAsia="Calibri"/>
          <w:i/>
          <w:szCs w:val="24"/>
        </w:rPr>
        <w:t>F</w:t>
      </w:r>
      <w:r w:rsidR="00F95CCC" w:rsidRPr="005A0269">
        <w:rPr>
          <w:rFonts w:eastAsia="Calibri"/>
          <w:i/>
          <w:szCs w:val="24"/>
        </w:rPr>
        <w:t>irearms</w:t>
      </w:r>
      <w:r>
        <w:rPr>
          <w:rFonts w:eastAsia="Calibri"/>
          <w:i/>
          <w:szCs w:val="24"/>
        </w:rPr>
        <w:t xml:space="preserve"> control</w:t>
      </w:r>
    </w:p>
    <w:p w:rsidR="002533B2" w:rsidRDefault="002533B2" w:rsidP="002533B2">
      <w:pPr>
        <w:spacing w:after="120"/>
        <w:rPr>
          <w:rFonts w:eastAsia="Calibri"/>
          <w:szCs w:val="24"/>
        </w:rPr>
      </w:pPr>
      <w:r>
        <w:rPr>
          <w:rFonts w:eastAsia="Calibri"/>
          <w:szCs w:val="24"/>
        </w:rPr>
        <w:t xml:space="preserve">Following </w:t>
      </w:r>
      <w:r w:rsidR="00717900">
        <w:rPr>
          <w:rFonts w:eastAsia="Calibri"/>
          <w:szCs w:val="24"/>
        </w:rPr>
        <w:t xml:space="preserve">a </w:t>
      </w:r>
      <w:r>
        <w:rPr>
          <w:rFonts w:eastAsia="Calibri"/>
          <w:szCs w:val="24"/>
        </w:rPr>
        <w:t xml:space="preserve">Commission </w:t>
      </w:r>
      <w:r w:rsidR="00717900">
        <w:rPr>
          <w:rFonts w:eastAsia="Calibri"/>
          <w:szCs w:val="24"/>
        </w:rPr>
        <w:t xml:space="preserve">proposal in November 2015 </w:t>
      </w:r>
      <w:r>
        <w:rPr>
          <w:rFonts w:eastAsia="Calibri"/>
          <w:szCs w:val="24"/>
        </w:rPr>
        <w:t>and repeated calls</w:t>
      </w:r>
      <w:r w:rsidR="00717900">
        <w:rPr>
          <w:rFonts w:eastAsia="Calibri"/>
          <w:szCs w:val="24"/>
        </w:rPr>
        <w:t xml:space="preserve"> to the European Parliament and Council</w:t>
      </w:r>
      <w:r>
        <w:rPr>
          <w:rFonts w:eastAsia="Calibri"/>
          <w:szCs w:val="24"/>
        </w:rPr>
        <w:t xml:space="preserve">, </w:t>
      </w:r>
      <w:r w:rsidR="007708C9">
        <w:rPr>
          <w:rFonts w:eastAsia="Calibri"/>
          <w:szCs w:val="24"/>
        </w:rPr>
        <w:t xml:space="preserve">a </w:t>
      </w:r>
      <w:r>
        <w:rPr>
          <w:rFonts w:eastAsia="Calibri"/>
          <w:szCs w:val="24"/>
        </w:rPr>
        <w:t xml:space="preserve">political agreement </w:t>
      </w:r>
      <w:r w:rsidR="007708C9">
        <w:rPr>
          <w:rFonts w:eastAsia="Calibri"/>
          <w:szCs w:val="24"/>
        </w:rPr>
        <w:t xml:space="preserve">was </w:t>
      </w:r>
      <w:r>
        <w:rPr>
          <w:rFonts w:eastAsia="Calibri"/>
          <w:szCs w:val="24"/>
        </w:rPr>
        <w:t xml:space="preserve">reached on </w:t>
      </w:r>
      <w:r w:rsidR="007708C9">
        <w:rPr>
          <w:rFonts w:eastAsia="Calibri"/>
          <w:szCs w:val="24"/>
        </w:rPr>
        <w:t>13</w:t>
      </w:r>
      <w:r w:rsidR="007708C9" w:rsidRPr="00E40409">
        <w:rPr>
          <w:rFonts w:eastAsia="Calibri"/>
          <w:szCs w:val="24"/>
          <w:vertAlign w:val="superscript"/>
        </w:rPr>
        <w:t>th</w:t>
      </w:r>
      <w:r w:rsidR="007708C9">
        <w:rPr>
          <w:rFonts w:eastAsia="Calibri"/>
          <w:szCs w:val="24"/>
        </w:rPr>
        <w:t xml:space="preserve"> </w:t>
      </w:r>
      <w:r>
        <w:rPr>
          <w:rFonts w:eastAsia="Calibri"/>
          <w:szCs w:val="24"/>
        </w:rPr>
        <w:t>December</w:t>
      </w:r>
      <w:r w:rsidR="00717900">
        <w:rPr>
          <w:rFonts w:eastAsia="Calibri"/>
          <w:szCs w:val="24"/>
        </w:rPr>
        <w:t xml:space="preserve"> 2016</w:t>
      </w:r>
      <w:r>
        <w:rPr>
          <w:rFonts w:eastAsia="Calibri"/>
          <w:szCs w:val="24"/>
        </w:rPr>
        <w:t xml:space="preserve"> between the co-legislators on </w:t>
      </w:r>
      <w:r w:rsidR="007708C9">
        <w:rPr>
          <w:rFonts w:eastAsia="Calibri"/>
          <w:szCs w:val="24"/>
        </w:rPr>
        <w:t xml:space="preserve">the </w:t>
      </w:r>
      <w:r>
        <w:rPr>
          <w:rFonts w:eastAsia="Calibri"/>
          <w:szCs w:val="24"/>
        </w:rPr>
        <w:t xml:space="preserve">revision of the </w:t>
      </w:r>
      <w:r w:rsidRPr="0008344A">
        <w:rPr>
          <w:rFonts w:eastAsia="Calibri"/>
          <w:b/>
          <w:szCs w:val="24"/>
        </w:rPr>
        <w:t>EU Firearms Directive</w:t>
      </w:r>
      <w:r w:rsidR="00E53A70" w:rsidRPr="00E53A70">
        <w:rPr>
          <w:rStyle w:val="FootnoteReference"/>
          <w:rFonts w:eastAsia="Calibri"/>
          <w:szCs w:val="24"/>
        </w:rPr>
        <w:footnoteReference w:id="4"/>
      </w:r>
      <w:r w:rsidR="007708C9" w:rsidRPr="00D40222">
        <w:rPr>
          <w:rFonts w:eastAsia="Calibri"/>
          <w:szCs w:val="24"/>
        </w:rPr>
        <w:t xml:space="preserve">. </w:t>
      </w:r>
      <w:r w:rsidR="003C0E3A" w:rsidRPr="00D40222">
        <w:rPr>
          <w:rFonts w:eastAsia="Calibri"/>
          <w:szCs w:val="24"/>
        </w:rPr>
        <w:t>This</w:t>
      </w:r>
      <w:r w:rsidRPr="006A5B2A">
        <w:rPr>
          <w:rFonts w:eastAsia="Calibri"/>
          <w:szCs w:val="24"/>
        </w:rPr>
        <w:t xml:space="preserve"> </w:t>
      </w:r>
      <w:r>
        <w:rPr>
          <w:rFonts w:eastAsia="Calibri"/>
          <w:szCs w:val="24"/>
        </w:rPr>
        <w:t xml:space="preserve">is a vital step in stopping legal access to military grade assault weapons. The </w:t>
      </w:r>
      <w:r w:rsidR="006571D7">
        <w:rPr>
          <w:rFonts w:eastAsia="Calibri"/>
          <w:szCs w:val="24"/>
        </w:rPr>
        <w:t>revised</w:t>
      </w:r>
      <w:r>
        <w:rPr>
          <w:rFonts w:eastAsia="Calibri"/>
          <w:szCs w:val="24"/>
        </w:rPr>
        <w:t xml:space="preserve"> Directive broadens the range of weapons being prohibited and thus falling under the strictest Category A control, including automatic weapons converted to semi-automatic and </w:t>
      </w:r>
      <w:r w:rsidR="00F95CCC">
        <w:rPr>
          <w:rFonts w:eastAsia="Calibri"/>
          <w:szCs w:val="24"/>
        </w:rPr>
        <w:t>semi-automatic</w:t>
      </w:r>
      <w:r>
        <w:rPr>
          <w:rFonts w:eastAsia="Calibri"/>
          <w:szCs w:val="24"/>
        </w:rPr>
        <w:t xml:space="preserve"> weapons fitted with high capacity magazines and loading devices. In </w:t>
      </w:r>
      <w:r w:rsidR="00F95CCC">
        <w:rPr>
          <w:rFonts w:eastAsia="Calibri"/>
          <w:szCs w:val="24"/>
        </w:rPr>
        <w:t>future,</w:t>
      </w:r>
      <w:r>
        <w:rPr>
          <w:rFonts w:eastAsia="Calibri"/>
          <w:szCs w:val="24"/>
        </w:rPr>
        <w:t xml:space="preserve"> it will no longer be possible to buy or trade these weapons other than for a very narrowly defined group of licence holders </w:t>
      </w:r>
      <w:r>
        <w:rPr>
          <w:szCs w:val="24"/>
          <w:lang w:eastAsia="en-GB"/>
        </w:rPr>
        <w:t>–</w:t>
      </w:r>
      <w:r>
        <w:rPr>
          <w:rFonts w:eastAsia="Calibri"/>
          <w:szCs w:val="24"/>
        </w:rPr>
        <w:t xml:space="preserve"> such as </w:t>
      </w:r>
      <w:r w:rsidR="006A5B2A">
        <w:rPr>
          <w:rFonts w:eastAsia="Calibri"/>
          <w:szCs w:val="24"/>
        </w:rPr>
        <w:t xml:space="preserve">museums or </w:t>
      </w:r>
      <w:r>
        <w:rPr>
          <w:rFonts w:eastAsia="Calibri"/>
          <w:szCs w:val="24"/>
        </w:rPr>
        <w:t xml:space="preserve">sport shooters </w:t>
      </w:r>
      <w:r>
        <w:rPr>
          <w:szCs w:val="24"/>
          <w:lang w:eastAsia="en-GB"/>
        </w:rPr>
        <w:t>–</w:t>
      </w:r>
      <w:r>
        <w:rPr>
          <w:rFonts w:eastAsia="Calibri"/>
          <w:szCs w:val="24"/>
        </w:rPr>
        <w:t xml:space="preserve"> who will be subject to stringent security and monitoring requirements. For the first time, limits will be placed on magazine size for both long and short semi-automatic barrelled weapons and all essential components of firearms will need to be marked and registered.</w:t>
      </w:r>
      <w:r w:rsidR="005B4911">
        <w:rPr>
          <w:rStyle w:val="FootnoteReference"/>
          <w:rFonts w:eastAsia="Calibri"/>
          <w:szCs w:val="24"/>
        </w:rPr>
        <w:footnoteReference w:id="5"/>
      </w:r>
      <w:r>
        <w:rPr>
          <w:rFonts w:eastAsia="Calibri"/>
          <w:szCs w:val="24"/>
        </w:rPr>
        <w:t xml:space="preserve"> </w:t>
      </w:r>
    </w:p>
    <w:p w:rsidR="002533B2" w:rsidRPr="005A0269" w:rsidRDefault="002533B2" w:rsidP="002533B2">
      <w:pPr>
        <w:spacing w:after="120"/>
        <w:rPr>
          <w:rFonts w:eastAsia="Calibri"/>
          <w:szCs w:val="24"/>
        </w:rPr>
      </w:pPr>
      <w:r w:rsidRPr="005A0269">
        <w:rPr>
          <w:rFonts w:eastAsia="Calibri"/>
          <w:szCs w:val="24"/>
        </w:rPr>
        <w:t xml:space="preserve">At the same time as strengthening controls on legally-held firearms, the Commission is working to reinforce the </w:t>
      </w:r>
      <w:r w:rsidRPr="005A0269">
        <w:rPr>
          <w:rFonts w:eastAsia="Calibri"/>
          <w:b/>
          <w:szCs w:val="24"/>
        </w:rPr>
        <w:t>fight against illegal firearms trafficking</w:t>
      </w:r>
      <w:r w:rsidRPr="005A0269">
        <w:rPr>
          <w:rFonts w:eastAsia="Calibri"/>
          <w:szCs w:val="24"/>
        </w:rPr>
        <w:t>, especially in the Western Balkans, as foreseen in the 2015-2019 Action Plan. The Ministerial meeting with the Western Balkans on 16 December was an important milestone on th</w:t>
      </w:r>
      <w:r w:rsidR="003C0E3A">
        <w:rPr>
          <w:rFonts w:eastAsia="Calibri"/>
          <w:szCs w:val="24"/>
        </w:rPr>
        <w:t xml:space="preserve">is </w:t>
      </w:r>
      <w:r w:rsidRPr="005A0269">
        <w:rPr>
          <w:rFonts w:eastAsia="Calibri"/>
          <w:szCs w:val="24"/>
        </w:rPr>
        <w:t xml:space="preserve">issue </w:t>
      </w:r>
      <w:r w:rsidR="003C0E3A">
        <w:rPr>
          <w:rFonts w:eastAsia="Calibri"/>
          <w:szCs w:val="24"/>
        </w:rPr>
        <w:t xml:space="preserve">and a </w:t>
      </w:r>
      <w:r w:rsidRPr="005A0269">
        <w:rPr>
          <w:rFonts w:eastAsia="Calibri"/>
          <w:szCs w:val="24"/>
        </w:rPr>
        <w:t>joint statement was adopted by the EU and the Western Balkans</w:t>
      </w:r>
      <w:r w:rsidR="00717900">
        <w:rPr>
          <w:rFonts w:eastAsia="Calibri"/>
          <w:szCs w:val="24"/>
        </w:rPr>
        <w:t xml:space="preserve"> countries,</w:t>
      </w:r>
      <w:r w:rsidRPr="005A0269">
        <w:rPr>
          <w:rFonts w:eastAsia="Calibri"/>
          <w:szCs w:val="24"/>
        </w:rPr>
        <w:t xml:space="preserve"> in order to highlight the steps </w:t>
      </w:r>
      <w:r w:rsidR="00B861FA">
        <w:rPr>
          <w:rFonts w:eastAsia="Calibri"/>
          <w:szCs w:val="24"/>
        </w:rPr>
        <w:t xml:space="preserve">needed </w:t>
      </w:r>
      <w:r w:rsidRPr="005A0269">
        <w:rPr>
          <w:rFonts w:eastAsia="Calibri"/>
          <w:szCs w:val="24"/>
        </w:rPr>
        <w:t>to fight</w:t>
      </w:r>
      <w:r w:rsidR="003C0E3A">
        <w:rPr>
          <w:rFonts w:eastAsia="Calibri"/>
          <w:szCs w:val="24"/>
        </w:rPr>
        <w:t xml:space="preserve"> more effectively</w:t>
      </w:r>
      <w:r w:rsidRPr="005A0269">
        <w:rPr>
          <w:rFonts w:eastAsia="Calibri"/>
          <w:szCs w:val="24"/>
        </w:rPr>
        <w:t xml:space="preserve"> illegal firearms trafficking both in Europe and in the Western Balkans.</w:t>
      </w:r>
    </w:p>
    <w:p w:rsidR="002533B2" w:rsidRPr="00777B89" w:rsidRDefault="002533B2" w:rsidP="002533B2">
      <w:pPr>
        <w:rPr>
          <w:rFonts w:eastAsia="Calibri"/>
          <w:szCs w:val="24"/>
        </w:rPr>
      </w:pPr>
      <w:r w:rsidRPr="005A0269">
        <w:rPr>
          <w:rFonts w:eastAsiaTheme="minorHAnsi"/>
          <w:szCs w:val="22"/>
        </w:rPr>
        <w:t xml:space="preserve">The Commission has also further tightened measures on explosive precursors to make it even harder for terrorists to gain access to the raw materials used in the </w:t>
      </w:r>
      <w:r w:rsidRPr="005A0269">
        <w:rPr>
          <w:rFonts w:eastAsiaTheme="minorHAnsi"/>
          <w:b/>
          <w:szCs w:val="22"/>
        </w:rPr>
        <w:t>illicit manufacture of explosives</w:t>
      </w:r>
      <w:r w:rsidRPr="005A0269">
        <w:rPr>
          <w:rFonts w:eastAsiaTheme="minorHAnsi"/>
          <w:szCs w:val="22"/>
        </w:rPr>
        <w:t xml:space="preserve">. Harmonised rules on the </w:t>
      </w:r>
      <w:r w:rsidR="00717900">
        <w:rPr>
          <w:rFonts w:eastAsiaTheme="minorHAnsi"/>
          <w:szCs w:val="22"/>
        </w:rPr>
        <w:t>availability</w:t>
      </w:r>
      <w:r w:rsidRPr="005A0269">
        <w:rPr>
          <w:rFonts w:eastAsiaTheme="minorHAnsi"/>
          <w:szCs w:val="22"/>
        </w:rPr>
        <w:t>, introduction, possession and use of substances or mixtures that could be misused for the illicit manufacture of explosives are outlined in Regulation (EU) No 98/2013 to limit their availability to the general public</w:t>
      </w:r>
      <w:r w:rsidR="00717900">
        <w:rPr>
          <w:rFonts w:eastAsiaTheme="minorHAnsi"/>
          <w:szCs w:val="22"/>
        </w:rPr>
        <w:t>,</w:t>
      </w:r>
      <w:r w:rsidRPr="005A0269">
        <w:rPr>
          <w:rFonts w:eastAsiaTheme="minorHAnsi"/>
          <w:szCs w:val="22"/>
        </w:rPr>
        <w:t xml:space="preserve"> and ensure the appropriate reporting of suspicious </w:t>
      </w:r>
      <w:r w:rsidRPr="005A0269">
        <w:rPr>
          <w:rFonts w:eastAsiaTheme="minorHAnsi"/>
          <w:szCs w:val="22"/>
        </w:rPr>
        <w:lastRenderedPageBreak/>
        <w:t xml:space="preserve">transactions throughout the supply chain. </w:t>
      </w:r>
      <w:r w:rsidRPr="005A0269">
        <w:rPr>
          <w:rFonts w:eastAsia="Calibri"/>
          <w:szCs w:val="24"/>
        </w:rPr>
        <w:t>Three Delegated Regulations</w:t>
      </w:r>
      <w:r w:rsidR="00E53A70">
        <w:rPr>
          <w:rStyle w:val="FootnoteReference"/>
          <w:rFonts w:eastAsia="Calibri"/>
          <w:szCs w:val="24"/>
        </w:rPr>
        <w:footnoteReference w:id="6"/>
      </w:r>
      <w:r w:rsidRPr="005A0269">
        <w:rPr>
          <w:rFonts w:eastAsia="Calibri"/>
          <w:szCs w:val="24"/>
        </w:rPr>
        <w:t xml:space="preserve"> </w:t>
      </w:r>
      <w:r w:rsidR="009C5A85">
        <w:rPr>
          <w:rFonts w:eastAsia="Calibri"/>
          <w:szCs w:val="24"/>
        </w:rPr>
        <w:t xml:space="preserve">have been </w:t>
      </w:r>
      <w:r w:rsidRPr="005A0269">
        <w:rPr>
          <w:rFonts w:eastAsia="Calibri"/>
          <w:szCs w:val="24"/>
        </w:rPr>
        <w:t xml:space="preserve">adopted to control the use of explosives precursors on aluminium powder, magnesium powder and magnesium nitrate. The </w:t>
      </w:r>
      <w:r w:rsidRPr="005A0269">
        <w:rPr>
          <w:rFonts w:eastAsiaTheme="minorHAnsi"/>
          <w:szCs w:val="22"/>
        </w:rPr>
        <w:t xml:space="preserve">Regulations place a strict reporting obligation on sales of precursor substances </w:t>
      </w:r>
      <w:r w:rsidR="005E52E3" w:rsidRPr="005A0269">
        <w:t>to</w:t>
      </w:r>
      <w:r w:rsidRPr="005A0269">
        <w:t xml:space="preserve"> prevent their diversion towards the illicit manufacturing of homemade explosives.</w:t>
      </w:r>
    </w:p>
    <w:p w:rsidR="00F95CCC" w:rsidRPr="005A0269" w:rsidRDefault="00F95CCC" w:rsidP="00777B89">
      <w:pPr>
        <w:spacing w:after="120"/>
        <w:rPr>
          <w:rFonts w:eastAsia="Calibri"/>
          <w:i/>
          <w:szCs w:val="24"/>
        </w:rPr>
      </w:pPr>
      <w:r w:rsidRPr="005A0269">
        <w:rPr>
          <w:rFonts w:eastAsia="Calibri"/>
          <w:i/>
          <w:szCs w:val="24"/>
        </w:rPr>
        <w:t>Systematic border checks</w:t>
      </w:r>
    </w:p>
    <w:p w:rsidR="00777B89" w:rsidRPr="0008344A" w:rsidRDefault="00777B89" w:rsidP="00777B89">
      <w:pPr>
        <w:spacing w:after="120"/>
        <w:rPr>
          <w:rFonts w:eastAsia="Calibri"/>
          <w:iCs/>
          <w:szCs w:val="24"/>
        </w:rPr>
      </w:pPr>
      <w:r w:rsidRPr="0008344A">
        <w:rPr>
          <w:rFonts w:eastAsia="Calibri"/>
          <w:szCs w:val="24"/>
        </w:rPr>
        <w:t xml:space="preserve">While third-country nationals are already subject to systematic document and security checks against relevant databases upon entry, the targeted reform of the </w:t>
      </w:r>
      <w:r w:rsidRPr="0008344A">
        <w:rPr>
          <w:rFonts w:eastAsia="Calibri"/>
          <w:b/>
          <w:szCs w:val="24"/>
        </w:rPr>
        <w:t>Schengen Borders Code</w:t>
      </w:r>
      <w:r w:rsidR="005E52E3">
        <w:rPr>
          <w:rStyle w:val="FootnoteReference"/>
          <w:rFonts w:eastAsia="Calibri"/>
          <w:b/>
          <w:szCs w:val="24"/>
        </w:rPr>
        <w:footnoteReference w:id="7"/>
      </w:r>
      <w:r w:rsidRPr="0008344A">
        <w:rPr>
          <w:rFonts w:eastAsia="Calibri"/>
          <w:szCs w:val="24"/>
        </w:rPr>
        <w:t xml:space="preserve">, agreed by the co-legislators on 5 December, introduces mandatory systematic checks of EU citizens against relevant databases. In addition, third-country nationals will now also have to be checked systematically upon exit against </w:t>
      </w:r>
      <w:r w:rsidR="00B861FA">
        <w:rPr>
          <w:rFonts w:eastAsia="Calibri"/>
          <w:szCs w:val="24"/>
        </w:rPr>
        <w:t xml:space="preserve">the </w:t>
      </w:r>
      <w:r w:rsidR="00F95CCC">
        <w:rPr>
          <w:rFonts w:eastAsia="Calibri"/>
          <w:szCs w:val="24"/>
        </w:rPr>
        <w:t>Schengen Information System (</w:t>
      </w:r>
      <w:r w:rsidRPr="0008344A">
        <w:rPr>
          <w:rFonts w:eastAsia="Calibri"/>
          <w:szCs w:val="24"/>
        </w:rPr>
        <w:t>SIS</w:t>
      </w:r>
      <w:r w:rsidR="00F95CCC">
        <w:rPr>
          <w:rFonts w:eastAsia="Calibri"/>
          <w:szCs w:val="24"/>
        </w:rPr>
        <w:t>)</w:t>
      </w:r>
      <w:r w:rsidRPr="0008344A">
        <w:rPr>
          <w:rFonts w:eastAsia="Calibri"/>
          <w:szCs w:val="24"/>
        </w:rPr>
        <w:t xml:space="preserve"> and Interpol's Stolen Lost Travel Document database. This amendment will </w:t>
      </w:r>
      <w:r w:rsidRPr="0008344A">
        <w:rPr>
          <w:rFonts w:eastAsia="Calibri"/>
          <w:iCs/>
          <w:szCs w:val="24"/>
        </w:rPr>
        <w:t>help detect all the wanted individuals who have an alert placed on them</w:t>
      </w:r>
      <w:r w:rsidR="00F95CCC">
        <w:rPr>
          <w:rFonts w:eastAsia="Calibri"/>
          <w:iCs/>
          <w:szCs w:val="24"/>
        </w:rPr>
        <w:t xml:space="preserve"> </w:t>
      </w:r>
      <w:r w:rsidRPr="0008344A">
        <w:rPr>
          <w:rFonts w:eastAsia="Calibri"/>
          <w:iCs/>
          <w:szCs w:val="24"/>
        </w:rPr>
        <w:t xml:space="preserve">– including foreign terrorist fighters. </w:t>
      </w:r>
    </w:p>
    <w:p w:rsidR="005E52E3" w:rsidRDefault="005E52E3" w:rsidP="005A0269">
      <w:pPr>
        <w:ind w:left="709" w:hanging="709"/>
        <w:rPr>
          <w:b/>
          <w:szCs w:val="24"/>
        </w:rPr>
      </w:pPr>
    </w:p>
    <w:p w:rsidR="002533B2" w:rsidRPr="0008344A" w:rsidRDefault="002533B2" w:rsidP="005A0269">
      <w:pPr>
        <w:ind w:left="709" w:hanging="709"/>
        <w:rPr>
          <w:b/>
          <w:szCs w:val="24"/>
        </w:rPr>
      </w:pPr>
      <w:r w:rsidRPr="002533B2">
        <w:rPr>
          <w:b/>
          <w:szCs w:val="24"/>
        </w:rPr>
        <w:t>III.</w:t>
      </w:r>
      <w:r w:rsidRPr="002533B2">
        <w:rPr>
          <w:b/>
          <w:szCs w:val="24"/>
        </w:rPr>
        <w:tab/>
      </w:r>
      <w:r w:rsidR="002A42C1">
        <w:rPr>
          <w:b/>
          <w:szCs w:val="24"/>
        </w:rPr>
        <w:t>DELIVERING ON THE ACTION PLAN</w:t>
      </w:r>
      <w:r w:rsidR="00184982">
        <w:rPr>
          <w:b/>
          <w:szCs w:val="24"/>
        </w:rPr>
        <w:t xml:space="preserve"> TO STRENGTHEN THE FIGHT AGAINST TERRORIST FINANCING</w:t>
      </w:r>
    </w:p>
    <w:p w:rsidR="002533B2" w:rsidRPr="00576CCF" w:rsidRDefault="002533B2" w:rsidP="002533B2">
      <w:pPr>
        <w:rPr>
          <w:szCs w:val="24"/>
        </w:rPr>
      </w:pPr>
      <w:r>
        <w:rPr>
          <w:szCs w:val="24"/>
        </w:rPr>
        <w:t>To address the whole range of means used by terrorist</w:t>
      </w:r>
      <w:r w:rsidR="00F47FDA">
        <w:rPr>
          <w:szCs w:val="24"/>
        </w:rPr>
        <w:t>s</w:t>
      </w:r>
      <w:r>
        <w:rPr>
          <w:szCs w:val="24"/>
        </w:rPr>
        <w:t xml:space="preserve"> to raise and </w:t>
      </w:r>
      <w:r w:rsidRPr="00665A77">
        <w:rPr>
          <w:szCs w:val="24"/>
        </w:rPr>
        <w:t>move funds</w:t>
      </w:r>
      <w:r>
        <w:rPr>
          <w:szCs w:val="24"/>
        </w:rPr>
        <w:t>,</w:t>
      </w:r>
      <w:r w:rsidRPr="00576CCF">
        <w:rPr>
          <w:szCs w:val="24"/>
        </w:rPr>
        <w:t xml:space="preserve"> the Commission brought forward a comprehensive </w:t>
      </w:r>
      <w:r w:rsidRPr="00576CCF">
        <w:rPr>
          <w:b/>
          <w:szCs w:val="24"/>
        </w:rPr>
        <w:t>Action Plan to strengthen the</w:t>
      </w:r>
      <w:r w:rsidRPr="00576CCF">
        <w:rPr>
          <w:szCs w:val="24"/>
        </w:rPr>
        <w:t xml:space="preserve"> </w:t>
      </w:r>
      <w:r w:rsidRPr="00576CCF">
        <w:rPr>
          <w:b/>
          <w:szCs w:val="24"/>
        </w:rPr>
        <w:t>fight against the financing of terrorism</w:t>
      </w:r>
      <w:r w:rsidRPr="00576CCF">
        <w:rPr>
          <w:szCs w:val="24"/>
        </w:rPr>
        <w:t xml:space="preserve"> </w:t>
      </w:r>
      <w:r w:rsidRPr="005A0269">
        <w:rPr>
          <w:b/>
          <w:szCs w:val="24"/>
        </w:rPr>
        <w:t>in</w:t>
      </w:r>
      <w:r w:rsidRPr="00576CCF">
        <w:rPr>
          <w:szCs w:val="24"/>
        </w:rPr>
        <w:t xml:space="preserve"> </w:t>
      </w:r>
      <w:r w:rsidRPr="005A0269">
        <w:rPr>
          <w:b/>
          <w:szCs w:val="24"/>
        </w:rPr>
        <w:t>February 2016</w:t>
      </w:r>
      <w:r w:rsidRPr="005A0269">
        <w:rPr>
          <w:szCs w:val="24"/>
        </w:rPr>
        <w:t>.</w:t>
      </w:r>
      <w:r w:rsidR="00F47FDA" w:rsidRPr="00174A06">
        <w:rPr>
          <w:rStyle w:val="FootnoteReference"/>
          <w:szCs w:val="24"/>
        </w:rPr>
        <w:footnoteReference w:id="8"/>
      </w:r>
      <w:r w:rsidRPr="00576CCF">
        <w:rPr>
          <w:szCs w:val="24"/>
        </w:rPr>
        <w:t xml:space="preserve"> Today, the Commission has adopted a </w:t>
      </w:r>
      <w:r>
        <w:rPr>
          <w:szCs w:val="24"/>
        </w:rPr>
        <w:t>new</w:t>
      </w:r>
      <w:r w:rsidRPr="00576CCF">
        <w:rPr>
          <w:szCs w:val="24"/>
        </w:rPr>
        <w:t xml:space="preserve"> package of proposals to deliver</w:t>
      </w:r>
      <w:r w:rsidR="006571D7">
        <w:rPr>
          <w:szCs w:val="24"/>
        </w:rPr>
        <w:t xml:space="preserve"> </w:t>
      </w:r>
      <w:r w:rsidRPr="00576CCF">
        <w:rPr>
          <w:szCs w:val="24"/>
        </w:rPr>
        <w:t xml:space="preserve">the </w:t>
      </w:r>
      <w:r>
        <w:rPr>
          <w:szCs w:val="24"/>
        </w:rPr>
        <w:t>action</w:t>
      </w:r>
      <w:r w:rsidR="00F47FDA">
        <w:rPr>
          <w:szCs w:val="24"/>
        </w:rPr>
        <w:t>s</w:t>
      </w:r>
      <w:r>
        <w:rPr>
          <w:szCs w:val="24"/>
        </w:rPr>
        <w:t xml:space="preserve"> it had </w:t>
      </w:r>
      <w:r w:rsidRPr="00576CCF">
        <w:rPr>
          <w:szCs w:val="24"/>
        </w:rPr>
        <w:t>commit</w:t>
      </w:r>
      <w:r>
        <w:rPr>
          <w:szCs w:val="24"/>
        </w:rPr>
        <w:t>ted</w:t>
      </w:r>
      <w:r w:rsidRPr="00576CCF">
        <w:rPr>
          <w:szCs w:val="24"/>
        </w:rPr>
        <w:t xml:space="preserve"> to </w:t>
      </w:r>
      <w:r>
        <w:rPr>
          <w:szCs w:val="24"/>
        </w:rPr>
        <w:t>finalise</w:t>
      </w:r>
      <w:r w:rsidRPr="00576CCF">
        <w:rPr>
          <w:szCs w:val="24"/>
        </w:rPr>
        <w:t xml:space="preserve"> by end 2016. The proposed instruments will both make it harder for criminals to finance their activities and make it easier to trace their financial </w:t>
      </w:r>
      <w:r w:rsidR="006571D7">
        <w:rPr>
          <w:szCs w:val="24"/>
        </w:rPr>
        <w:t>transactions</w:t>
      </w:r>
      <w:r>
        <w:rPr>
          <w:szCs w:val="24"/>
        </w:rPr>
        <w:t xml:space="preserve">, </w:t>
      </w:r>
      <w:r w:rsidRPr="00576CCF">
        <w:rPr>
          <w:szCs w:val="24"/>
        </w:rPr>
        <w:t>stop them and bring them to justice.</w:t>
      </w:r>
      <w:r>
        <w:rPr>
          <w:szCs w:val="24"/>
        </w:rPr>
        <w:t xml:space="preserve"> The</w:t>
      </w:r>
      <w:r w:rsidR="00665A77">
        <w:rPr>
          <w:szCs w:val="24"/>
        </w:rPr>
        <w:t xml:space="preserve"> measures focus on </w:t>
      </w:r>
      <w:r>
        <w:rPr>
          <w:szCs w:val="24"/>
        </w:rPr>
        <w:t>tackling money laundering and illicit cash movements linked to terrorism and crime</w:t>
      </w:r>
      <w:r w:rsidR="002A42C1">
        <w:rPr>
          <w:szCs w:val="24"/>
        </w:rPr>
        <w:t>, b</w:t>
      </w:r>
      <w:r>
        <w:rPr>
          <w:szCs w:val="24"/>
        </w:rPr>
        <w:t xml:space="preserve">y improving </w:t>
      </w:r>
      <w:r w:rsidR="002A42C1">
        <w:rPr>
          <w:szCs w:val="24"/>
        </w:rPr>
        <w:t xml:space="preserve">the </w:t>
      </w:r>
      <w:r>
        <w:rPr>
          <w:szCs w:val="24"/>
        </w:rPr>
        <w:t>freezing and confiscati</w:t>
      </w:r>
      <w:r w:rsidR="002A42C1">
        <w:rPr>
          <w:szCs w:val="24"/>
        </w:rPr>
        <w:t>on of</w:t>
      </w:r>
      <w:r>
        <w:rPr>
          <w:szCs w:val="24"/>
        </w:rPr>
        <w:t xml:space="preserve"> assets</w:t>
      </w:r>
      <w:r w:rsidR="002A42C1">
        <w:rPr>
          <w:szCs w:val="24"/>
        </w:rPr>
        <w:t xml:space="preserve">, and </w:t>
      </w:r>
      <w:r w:rsidR="002A42C1" w:rsidRPr="005A0269">
        <w:rPr>
          <w:szCs w:val="24"/>
        </w:rPr>
        <w:t xml:space="preserve">by </w:t>
      </w:r>
      <w:r w:rsidRPr="005A0269">
        <w:rPr>
          <w:szCs w:val="24"/>
        </w:rPr>
        <w:t>explor</w:t>
      </w:r>
      <w:r w:rsidR="002A42C1" w:rsidRPr="005A0269">
        <w:rPr>
          <w:szCs w:val="24"/>
        </w:rPr>
        <w:t>ing</w:t>
      </w:r>
      <w:r w:rsidRPr="005A0269">
        <w:rPr>
          <w:szCs w:val="24"/>
        </w:rPr>
        <w:t xml:space="preserve"> how to improve the detection and tracing of financing movements </w:t>
      </w:r>
      <w:r w:rsidR="007708C9">
        <w:rPr>
          <w:szCs w:val="24"/>
        </w:rPr>
        <w:t>of terrorists</w:t>
      </w:r>
      <w:r w:rsidRPr="005A0269">
        <w:rPr>
          <w:szCs w:val="24"/>
        </w:rPr>
        <w:t>.</w:t>
      </w:r>
    </w:p>
    <w:p w:rsidR="002A42C1" w:rsidRPr="005A0269" w:rsidRDefault="002A42C1" w:rsidP="005A0269">
      <w:pPr>
        <w:pStyle w:val="ListParagraph"/>
        <w:numPr>
          <w:ilvl w:val="0"/>
          <w:numId w:val="33"/>
        </w:numPr>
        <w:spacing w:after="240"/>
        <w:rPr>
          <w:b/>
          <w:i/>
        </w:rPr>
      </w:pPr>
      <w:r w:rsidRPr="005A0269">
        <w:rPr>
          <w:b/>
          <w:i/>
        </w:rPr>
        <w:t xml:space="preserve">Criminalising money laundering and </w:t>
      </w:r>
      <w:r w:rsidR="005322A7" w:rsidRPr="005A0269">
        <w:rPr>
          <w:b/>
          <w:i/>
        </w:rPr>
        <w:t xml:space="preserve">detecting </w:t>
      </w:r>
      <w:r w:rsidRPr="005A0269">
        <w:rPr>
          <w:b/>
          <w:i/>
        </w:rPr>
        <w:t xml:space="preserve">illicit cash movements </w:t>
      </w:r>
    </w:p>
    <w:p w:rsidR="002A42C1" w:rsidRPr="00576CCF" w:rsidRDefault="002A42C1" w:rsidP="002A42C1">
      <w:pPr>
        <w:rPr>
          <w:szCs w:val="24"/>
        </w:rPr>
      </w:pPr>
      <w:r w:rsidRPr="00576CCF">
        <w:rPr>
          <w:szCs w:val="24"/>
        </w:rPr>
        <w:t xml:space="preserve">For competent authorities to be able to prosecute criminals and terrorists and get them behind bars, they need adequate criminal law provisions. The </w:t>
      </w:r>
      <w:r>
        <w:rPr>
          <w:szCs w:val="24"/>
        </w:rPr>
        <w:t xml:space="preserve">proposed </w:t>
      </w:r>
      <w:r w:rsidRPr="00576CCF">
        <w:rPr>
          <w:b/>
          <w:szCs w:val="24"/>
        </w:rPr>
        <w:t>Directive to criminalise money laundering</w:t>
      </w:r>
      <w:r w:rsidR="00F47FDA" w:rsidRPr="005E52E3">
        <w:rPr>
          <w:rStyle w:val="FootnoteReference"/>
          <w:szCs w:val="24"/>
        </w:rPr>
        <w:footnoteReference w:id="9"/>
      </w:r>
      <w:r w:rsidRPr="00576CCF">
        <w:rPr>
          <w:b/>
          <w:szCs w:val="24"/>
        </w:rPr>
        <w:t xml:space="preserve"> </w:t>
      </w:r>
      <w:r w:rsidRPr="00576CCF">
        <w:rPr>
          <w:szCs w:val="24"/>
        </w:rPr>
        <w:t>will provid</w:t>
      </w:r>
      <w:r w:rsidR="0051766C">
        <w:rPr>
          <w:szCs w:val="24"/>
        </w:rPr>
        <w:t xml:space="preserve">e </w:t>
      </w:r>
      <w:r w:rsidRPr="00576CCF">
        <w:rPr>
          <w:szCs w:val="24"/>
        </w:rPr>
        <w:t xml:space="preserve">a comprehensive definition of money laundering offences and sanctions across the EU. </w:t>
      </w:r>
      <w:r w:rsidR="0051766C">
        <w:rPr>
          <w:szCs w:val="24"/>
        </w:rPr>
        <w:t xml:space="preserve">This directive will reinforce </w:t>
      </w:r>
      <w:r w:rsidR="000E536E">
        <w:rPr>
          <w:szCs w:val="24"/>
        </w:rPr>
        <w:t xml:space="preserve">the </w:t>
      </w:r>
      <w:r w:rsidR="0051766C">
        <w:rPr>
          <w:szCs w:val="24"/>
        </w:rPr>
        <w:t xml:space="preserve">existing framework fighting money laundering. </w:t>
      </w:r>
      <w:r w:rsidR="006A5B2A">
        <w:rPr>
          <w:szCs w:val="24"/>
        </w:rPr>
        <w:t xml:space="preserve">It </w:t>
      </w:r>
      <w:r>
        <w:rPr>
          <w:szCs w:val="24"/>
        </w:rPr>
        <w:t xml:space="preserve">will </w:t>
      </w:r>
      <w:r w:rsidR="006A5B2A">
        <w:rPr>
          <w:szCs w:val="24"/>
        </w:rPr>
        <w:t xml:space="preserve">also </w:t>
      </w:r>
      <w:r w:rsidRPr="00576CCF">
        <w:rPr>
          <w:szCs w:val="24"/>
        </w:rPr>
        <w:t xml:space="preserve">ensure </w:t>
      </w:r>
      <w:r>
        <w:rPr>
          <w:szCs w:val="24"/>
        </w:rPr>
        <w:t xml:space="preserve">that </w:t>
      </w:r>
      <w:r w:rsidRPr="00576CCF">
        <w:rPr>
          <w:szCs w:val="24"/>
        </w:rPr>
        <w:t>the EU meets its international obligations in this area</w:t>
      </w:r>
      <w:r>
        <w:rPr>
          <w:szCs w:val="24"/>
        </w:rPr>
        <w:t>,</w:t>
      </w:r>
      <w:r w:rsidRPr="00576CCF">
        <w:rPr>
          <w:szCs w:val="24"/>
        </w:rPr>
        <w:t xml:space="preserve"> including the Warsaw Convention</w:t>
      </w:r>
      <w:r>
        <w:rPr>
          <w:rStyle w:val="FootnoteReference"/>
          <w:szCs w:val="24"/>
        </w:rPr>
        <w:footnoteReference w:id="10"/>
      </w:r>
      <w:r>
        <w:rPr>
          <w:szCs w:val="24"/>
        </w:rPr>
        <w:t>,</w:t>
      </w:r>
      <w:r w:rsidRPr="00576CCF">
        <w:rPr>
          <w:szCs w:val="24"/>
        </w:rPr>
        <w:t xml:space="preserve"> as well as the relevant recommendations from the Financial Action Task Force (FATF)</w:t>
      </w:r>
      <w:r w:rsidR="0051766C">
        <w:rPr>
          <w:szCs w:val="24"/>
        </w:rPr>
        <w:t xml:space="preserve"> and therefore </w:t>
      </w:r>
      <w:r>
        <w:rPr>
          <w:szCs w:val="24"/>
        </w:rPr>
        <w:t xml:space="preserve">also </w:t>
      </w:r>
      <w:r w:rsidRPr="00576CCF">
        <w:rPr>
          <w:szCs w:val="24"/>
        </w:rPr>
        <w:t xml:space="preserve">help </w:t>
      </w:r>
      <w:r>
        <w:rPr>
          <w:szCs w:val="24"/>
        </w:rPr>
        <w:t xml:space="preserve">address </w:t>
      </w:r>
      <w:r w:rsidRPr="00576CCF">
        <w:rPr>
          <w:szCs w:val="24"/>
        </w:rPr>
        <w:t>the existing obstacles to cross-border judicial and police cooperation in the fight against money laundering</w:t>
      </w:r>
      <w:r>
        <w:rPr>
          <w:szCs w:val="24"/>
        </w:rPr>
        <w:t>, and</w:t>
      </w:r>
      <w:r w:rsidRPr="00576CCF">
        <w:rPr>
          <w:szCs w:val="24"/>
        </w:rPr>
        <w:t xml:space="preserve"> improve enforcement.  Finally, the proposal should prevent criminals from exploiting the differences between national legislation to their advantage and act as an effective deterrent. </w:t>
      </w:r>
    </w:p>
    <w:p w:rsidR="000F6123" w:rsidRDefault="002A42C1" w:rsidP="000F6123">
      <w:pPr>
        <w:pBdr>
          <w:top w:val="nil"/>
          <w:left w:val="nil"/>
          <w:bottom w:val="nil"/>
          <w:right w:val="nil"/>
          <w:between w:val="nil"/>
          <w:bar w:val="nil"/>
        </w:pBdr>
      </w:pPr>
      <w:r w:rsidRPr="00576CCF">
        <w:rPr>
          <w:szCs w:val="24"/>
        </w:rPr>
        <w:t xml:space="preserve">In order to pursue these crimes effectively, competent authorities need adequate tools to detect terrorists and their supporters. </w:t>
      </w:r>
      <w:r w:rsidR="000F6123">
        <w:t xml:space="preserve">The existing </w:t>
      </w:r>
      <w:r w:rsidR="000E536E">
        <w:t>C</w:t>
      </w:r>
      <w:r w:rsidR="000F6123">
        <w:t xml:space="preserve">ash </w:t>
      </w:r>
      <w:r w:rsidR="000E536E">
        <w:t>C</w:t>
      </w:r>
      <w:r w:rsidR="000F6123">
        <w:t xml:space="preserve">ontrol </w:t>
      </w:r>
      <w:r w:rsidR="000E536E">
        <w:t>R</w:t>
      </w:r>
      <w:r w:rsidR="000F6123">
        <w:t>egulation</w:t>
      </w:r>
      <w:r w:rsidR="000E536E">
        <w:rPr>
          <w:rStyle w:val="FootnoteReference"/>
        </w:rPr>
        <w:footnoteReference w:id="11"/>
      </w:r>
      <w:r w:rsidR="000F6123">
        <w:t xml:space="preserve"> requires</w:t>
      </w:r>
      <w:r w:rsidR="000F6123" w:rsidRPr="00425C61">
        <w:t xml:space="preserve"> </w:t>
      </w:r>
      <w:r w:rsidR="000F6123">
        <w:t xml:space="preserve">those </w:t>
      </w:r>
      <w:r w:rsidR="000F6123" w:rsidRPr="00425C61">
        <w:t>entering or leaving the EU with EUR</w:t>
      </w:r>
      <w:r w:rsidR="000F6123">
        <w:t> </w:t>
      </w:r>
      <w:r w:rsidR="000F6123" w:rsidRPr="00425C61">
        <w:t xml:space="preserve">10 000 or more to </w:t>
      </w:r>
      <w:r w:rsidR="000F6123">
        <w:t xml:space="preserve">make a </w:t>
      </w:r>
      <w:r w:rsidR="000F6123" w:rsidRPr="00425C61">
        <w:t>declar</w:t>
      </w:r>
      <w:r w:rsidR="000F6123">
        <w:t>ation to that effect</w:t>
      </w:r>
      <w:r w:rsidR="000F6123" w:rsidRPr="00425C61">
        <w:t xml:space="preserve">. However, there is no provision for cash </w:t>
      </w:r>
      <w:r w:rsidR="000F6123">
        <w:t>that</w:t>
      </w:r>
      <w:r w:rsidR="000F6123" w:rsidRPr="00425C61">
        <w:t xml:space="preserve"> is sent in post, freight or courier shipments</w:t>
      </w:r>
      <w:r w:rsidR="0051766C">
        <w:t xml:space="preserve"> and competent </w:t>
      </w:r>
      <w:r w:rsidR="000F6123" w:rsidRPr="00425C61">
        <w:t xml:space="preserve">authorities have signalled that criminals </w:t>
      </w:r>
      <w:r w:rsidR="000F6123">
        <w:t xml:space="preserve">have </w:t>
      </w:r>
      <w:r w:rsidR="000F6123" w:rsidRPr="00425C61">
        <w:t xml:space="preserve">resorted to sending or receiving cash via such shipments in order to escape the obligation </w:t>
      </w:r>
      <w:r w:rsidR="000F6123">
        <w:t>to make a declaration under the</w:t>
      </w:r>
      <w:r w:rsidR="000E536E">
        <w:t xml:space="preserve"> Regulation</w:t>
      </w:r>
      <w:r w:rsidR="000F6123">
        <w:t xml:space="preserve">. </w:t>
      </w:r>
    </w:p>
    <w:p w:rsidR="000F6123" w:rsidRDefault="000F6123" w:rsidP="000F6123">
      <w:pPr>
        <w:pBdr>
          <w:top w:val="nil"/>
          <w:left w:val="nil"/>
          <w:bottom w:val="nil"/>
          <w:right w:val="nil"/>
          <w:between w:val="nil"/>
          <w:bar w:val="nil"/>
        </w:pBdr>
      </w:pPr>
      <w:r>
        <w:t xml:space="preserve">Furthermore, the </w:t>
      </w:r>
      <w:r w:rsidR="009C6DC2">
        <w:t xml:space="preserve">Cash Control Regulation </w:t>
      </w:r>
      <w:r>
        <w:t>requires</w:t>
      </w:r>
      <w:r w:rsidRPr="00425C61">
        <w:t xml:space="preserve"> only </w:t>
      </w:r>
      <w:r>
        <w:t xml:space="preserve">that </w:t>
      </w:r>
      <w:r w:rsidRPr="00425C61">
        <w:t xml:space="preserve">declaration data </w:t>
      </w:r>
      <w:r>
        <w:t xml:space="preserve">be ‘made </w:t>
      </w:r>
      <w:r w:rsidRPr="00425C61">
        <w:t>available</w:t>
      </w:r>
      <w:r>
        <w:t>’ by the competent authorities</w:t>
      </w:r>
      <w:r w:rsidRPr="00425C61">
        <w:t xml:space="preserve"> to the </w:t>
      </w:r>
      <w:r>
        <w:t>f</w:t>
      </w:r>
      <w:r w:rsidRPr="00425C61">
        <w:t xml:space="preserve">inancial </w:t>
      </w:r>
      <w:r>
        <w:t>i</w:t>
      </w:r>
      <w:r w:rsidRPr="00425C61">
        <w:t xml:space="preserve">ntelligence </w:t>
      </w:r>
      <w:r>
        <w:t>u</w:t>
      </w:r>
      <w:r w:rsidRPr="00425C61">
        <w:t>nit (FIU) of the Member State in which it was collected. Th</w:t>
      </w:r>
      <w:r>
        <w:t>is somewhat</w:t>
      </w:r>
      <w:r w:rsidRPr="00425C61">
        <w:t xml:space="preserve"> passive </w:t>
      </w:r>
      <w:r>
        <w:t xml:space="preserve">requirement </w:t>
      </w:r>
      <w:r w:rsidRPr="00425C61">
        <w:t xml:space="preserve">can be met by simply making </w:t>
      </w:r>
      <w:r>
        <w:t xml:space="preserve">completed </w:t>
      </w:r>
      <w:r w:rsidRPr="00425C61">
        <w:t xml:space="preserve">declaration forms available for inspection by the FIU. </w:t>
      </w:r>
      <w:r>
        <w:t>However, this is not sufficient as the information should be actively transmitted to the FIU in order to enable them to analyse it.</w:t>
      </w:r>
      <w:r w:rsidRPr="00425C61">
        <w:t xml:space="preserve"> Also, declaration data</w:t>
      </w:r>
      <w:r w:rsidRPr="00E31BE5">
        <w:t xml:space="preserve"> </w:t>
      </w:r>
      <w:r>
        <w:t>can be</w:t>
      </w:r>
      <w:r w:rsidRPr="00425C61">
        <w:t xml:space="preserve"> exchange</w:t>
      </w:r>
      <w:r>
        <w:t>d</w:t>
      </w:r>
      <w:r w:rsidRPr="00425C61">
        <w:t xml:space="preserve"> with competent authorities of other Member States only </w:t>
      </w:r>
      <w:r>
        <w:t xml:space="preserve">where there are </w:t>
      </w:r>
      <w:r w:rsidRPr="00425C61">
        <w:t xml:space="preserve">indications of illegal activity and </w:t>
      </w:r>
      <w:r>
        <w:t xml:space="preserve">even then it </w:t>
      </w:r>
      <w:r w:rsidRPr="00425C61">
        <w:t xml:space="preserve">is </w:t>
      </w:r>
      <w:r>
        <w:t>optional</w:t>
      </w:r>
      <w:r w:rsidRPr="00425C61">
        <w:t xml:space="preserve">. This </w:t>
      </w:r>
      <w:r>
        <w:t>has given</w:t>
      </w:r>
      <w:r w:rsidRPr="00425C61">
        <w:t xml:space="preserve"> rise to </w:t>
      </w:r>
      <w:r>
        <w:t>inconsistent</w:t>
      </w:r>
      <w:r w:rsidRPr="00425C61">
        <w:t xml:space="preserve"> implementation and little systematic sharing of data.</w:t>
      </w:r>
    </w:p>
    <w:p w:rsidR="000F6123" w:rsidRDefault="000F6123" w:rsidP="00E40409">
      <w:pPr>
        <w:pBdr>
          <w:top w:val="nil"/>
          <w:left w:val="nil"/>
          <w:bottom w:val="nil"/>
          <w:right w:val="nil"/>
          <w:between w:val="nil"/>
          <w:bar w:val="nil"/>
        </w:pBdr>
      </w:pPr>
      <w:r>
        <w:t>T</w:t>
      </w:r>
      <w:r w:rsidRPr="00425C61">
        <w:t xml:space="preserve">he </w:t>
      </w:r>
      <w:r>
        <w:t xml:space="preserve">current </w:t>
      </w:r>
      <w:r w:rsidR="009C6DC2">
        <w:t xml:space="preserve">Regulation </w:t>
      </w:r>
      <w:r>
        <w:t xml:space="preserve">also does not </w:t>
      </w:r>
      <w:r w:rsidRPr="00425C61">
        <w:t>allow authorities</w:t>
      </w:r>
      <w:r w:rsidRPr="00E31BE5">
        <w:t xml:space="preserve"> </w:t>
      </w:r>
      <w:r w:rsidRPr="00425C61">
        <w:t>to detain cash temporarily when</w:t>
      </w:r>
      <w:r>
        <w:t xml:space="preserve"> they</w:t>
      </w:r>
      <w:r w:rsidRPr="00425C61">
        <w:t xml:space="preserve"> detect movements of sub-threshold amounts </w:t>
      </w:r>
      <w:r>
        <w:t>in relation to which</w:t>
      </w:r>
      <w:r w:rsidRPr="00425C61">
        <w:t xml:space="preserve"> </w:t>
      </w:r>
      <w:r>
        <w:t>there are</w:t>
      </w:r>
      <w:r w:rsidRPr="00425C61">
        <w:t xml:space="preserve"> indications of illegal activit</w:t>
      </w:r>
      <w:r>
        <w:t>y</w:t>
      </w:r>
      <w:r w:rsidRPr="00425C61">
        <w:t>.</w:t>
      </w:r>
      <w:r w:rsidR="003425DC">
        <w:t xml:space="preserve"> Issues have also been raised around the imperfect definition of 'cash'</w:t>
      </w:r>
      <w:r w:rsidR="00D8185E">
        <w:t xml:space="preserve">. </w:t>
      </w:r>
      <w:r w:rsidR="003425DC">
        <w:t xml:space="preserve">And the levels of implementation of the existing rules differ widely </w:t>
      </w:r>
      <w:r>
        <w:rPr>
          <w:u w:val="single"/>
        </w:rPr>
        <w:t>among Member States</w:t>
      </w:r>
      <w:r w:rsidR="003425DC">
        <w:rPr>
          <w:u w:val="single"/>
        </w:rPr>
        <w:t>.</w:t>
      </w:r>
    </w:p>
    <w:p w:rsidR="00D8185E" w:rsidRPr="00C37742" w:rsidRDefault="003425DC" w:rsidP="00D8185E">
      <w:r>
        <w:t xml:space="preserve">For all these reasons, </w:t>
      </w:r>
      <w:r>
        <w:rPr>
          <w:szCs w:val="24"/>
        </w:rPr>
        <w:t>t</w:t>
      </w:r>
      <w:r w:rsidR="002A42C1" w:rsidRPr="00576CCF">
        <w:rPr>
          <w:szCs w:val="24"/>
        </w:rPr>
        <w:t>he</w:t>
      </w:r>
      <w:r w:rsidR="002A42C1" w:rsidRPr="00576CCF">
        <w:rPr>
          <w:b/>
          <w:szCs w:val="24"/>
        </w:rPr>
        <w:t xml:space="preserve"> </w:t>
      </w:r>
      <w:r w:rsidR="002A42C1">
        <w:rPr>
          <w:b/>
          <w:szCs w:val="24"/>
        </w:rPr>
        <w:t xml:space="preserve">proposed </w:t>
      </w:r>
      <w:r w:rsidR="002A42C1" w:rsidRPr="00576CCF">
        <w:rPr>
          <w:b/>
          <w:szCs w:val="24"/>
        </w:rPr>
        <w:t>Regulation to tackle illicit cash movements</w:t>
      </w:r>
      <w:r w:rsidR="00F47FDA">
        <w:rPr>
          <w:rStyle w:val="FootnoteReference"/>
          <w:b/>
          <w:szCs w:val="24"/>
        </w:rPr>
        <w:footnoteReference w:id="12"/>
      </w:r>
      <w:r w:rsidR="002A42C1" w:rsidRPr="00576CCF">
        <w:rPr>
          <w:szCs w:val="24"/>
        </w:rPr>
        <w:t xml:space="preserve"> extends the scope of the existing </w:t>
      </w:r>
      <w:r w:rsidR="000E536E">
        <w:rPr>
          <w:szCs w:val="24"/>
        </w:rPr>
        <w:t>Cash Control R</w:t>
      </w:r>
      <w:r w:rsidR="002A42C1" w:rsidRPr="00576CCF">
        <w:rPr>
          <w:szCs w:val="24"/>
        </w:rPr>
        <w:t>egulation to include cash shipped by freight or post and will allow authorities to act upon lower amounts of cash where there are suspicions of illicit activity</w:t>
      </w:r>
      <w:r w:rsidR="002A42C1" w:rsidRPr="00C37742">
        <w:rPr>
          <w:szCs w:val="24"/>
        </w:rPr>
        <w:t xml:space="preserve">.  </w:t>
      </w:r>
      <w:r w:rsidR="00D8185E" w:rsidRPr="00C37742">
        <w:t>The proposal also extends the obligation to declare to gold (in forms usable as highly liquid stores of value) and foresees a system of declaration on demand (a so-called 'disclosure' system) for cash moved by post and freight.</w:t>
      </w:r>
    </w:p>
    <w:p w:rsidR="002A42C1" w:rsidRDefault="002A42C1" w:rsidP="002533B2">
      <w:pPr>
        <w:rPr>
          <w:szCs w:val="24"/>
        </w:rPr>
      </w:pPr>
    </w:p>
    <w:p w:rsidR="00BF53FD" w:rsidRPr="009942DE" w:rsidRDefault="009942DE" w:rsidP="005A0269">
      <w:pPr>
        <w:pStyle w:val="ListParagraph"/>
        <w:numPr>
          <w:ilvl w:val="0"/>
          <w:numId w:val="33"/>
        </w:numPr>
        <w:spacing w:after="240"/>
        <w:rPr>
          <w:b/>
          <w:i/>
        </w:rPr>
      </w:pPr>
      <w:r w:rsidRPr="005A0269">
        <w:rPr>
          <w:b/>
          <w:i/>
        </w:rPr>
        <w:t>Asset f</w:t>
      </w:r>
      <w:r w:rsidR="002533B2" w:rsidRPr="005A0269">
        <w:rPr>
          <w:b/>
          <w:i/>
        </w:rPr>
        <w:t xml:space="preserve">reezing </w:t>
      </w:r>
    </w:p>
    <w:p w:rsidR="009942DE" w:rsidRDefault="00403E91" w:rsidP="009942DE">
      <w:pPr>
        <w:rPr>
          <w:szCs w:val="24"/>
        </w:rPr>
      </w:pPr>
      <w:r>
        <w:rPr>
          <w:rFonts w:eastAsia="Calibri"/>
          <w:szCs w:val="24"/>
        </w:rPr>
        <w:t>Asset</w:t>
      </w:r>
      <w:r w:rsidR="009942DE">
        <w:rPr>
          <w:rFonts w:eastAsia="Calibri"/>
          <w:szCs w:val="24"/>
        </w:rPr>
        <w:t xml:space="preserve"> freezing is an effective tool to prevent terrorists using and receiving funds and hindering their capacity to operate. </w:t>
      </w:r>
      <w:r w:rsidR="009942DE">
        <w:rPr>
          <w:szCs w:val="24"/>
        </w:rPr>
        <w:t xml:space="preserve">Effective confiscation </w:t>
      </w:r>
      <w:r w:rsidR="009942DE" w:rsidRPr="00576CCF">
        <w:rPr>
          <w:szCs w:val="24"/>
        </w:rPr>
        <w:t xml:space="preserve">disrupts the sources of revenue of terrorist organisations in the long term and deprives criminals from profiting from their illegally obtained assets. </w:t>
      </w:r>
    </w:p>
    <w:p w:rsidR="00C37742" w:rsidRDefault="00C37742" w:rsidP="009942DE">
      <w:pPr>
        <w:rPr>
          <w:szCs w:val="24"/>
        </w:rPr>
      </w:pPr>
    </w:p>
    <w:p w:rsidR="00C37742" w:rsidRDefault="00C37742" w:rsidP="009942DE">
      <w:pPr>
        <w:rPr>
          <w:szCs w:val="24"/>
        </w:rPr>
      </w:pPr>
    </w:p>
    <w:p w:rsidR="007708C9" w:rsidRDefault="007708C9" w:rsidP="000D100A">
      <w:pPr>
        <w:rPr>
          <w:rFonts w:eastAsiaTheme="minorEastAsia"/>
          <w:i/>
          <w:lang w:eastAsia="zh-CN"/>
        </w:rPr>
      </w:pPr>
      <w:r w:rsidRPr="005A0269">
        <w:rPr>
          <w:rFonts w:eastAsiaTheme="minorEastAsia"/>
          <w:i/>
          <w:lang w:eastAsia="zh-CN"/>
        </w:rPr>
        <w:t xml:space="preserve">Freezing </w:t>
      </w:r>
      <w:r>
        <w:rPr>
          <w:rFonts w:eastAsiaTheme="minorEastAsia"/>
          <w:i/>
          <w:lang w:eastAsia="zh-CN"/>
        </w:rPr>
        <w:t xml:space="preserve">and confiscation </w:t>
      </w:r>
      <w:r w:rsidRPr="005A0269">
        <w:rPr>
          <w:rFonts w:eastAsiaTheme="minorEastAsia"/>
          <w:i/>
          <w:lang w:eastAsia="zh-CN"/>
        </w:rPr>
        <w:t xml:space="preserve">measures in </w:t>
      </w:r>
      <w:r>
        <w:rPr>
          <w:rFonts w:eastAsiaTheme="minorEastAsia"/>
          <w:i/>
          <w:lang w:eastAsia="zh-CN"/>
        </w:rPr>
        <w:t>judicial</w:t>
      </w:r>
      <w:r w:rsidRPr="005A0269">
        <w:rPr>
          <w:rFonts w:eastAsiaTheme="minorEastAsia"/>
          <w:i/>
          <w:lang w:eastAsia="zh-CN"/>
        </w:rPr>
        <w:t xml:space="preserve"> proceeding</w:t>
      </w:r>
      <w:r>
        <w:rPr>
          <w:rFonts w:eastAsiaTheme="minorEastAsia"/>
          <w:i/>
          <w:lang w:eastAsia="zh-CN"/>
        </w:rPr>
        <w:t xml:space="preserve">s </w:t>
      </w:r>
    </w:p>
    <w:p w:rsidR="007708C9" w:rsidRDefault="007708C9" w:rsidP="007708C9">
      <w:pPr>
        <w:rPr>
          <w:szCs w:val="24"/>
        </w:rPr>
      </w:pPr>
      <w:r>
        <w:rPr>
          <w:rFonts w:eastAsia="Calibri"/>
          <w:szCs w:val="24"/>
        </w:rPr>
        <w:t xml:space="preserve">One of the ways of doing this is to freeze and confiscate criminal assets in the course of judicial proceedings. This disrupts the sources of revenue of terrorist organisations in the long term and </w:t>
      </w:r>
      <w:r w:rsidRPr="000F23AF">
        <w:rPr>
          <w:rFonts w:eastAsia="Calibri"/>
          <w:szCs w:val="24"/>
        </w:rPr>
        <w:t>deprive</w:t>
      </w:r>
      <w:r>
        <w:rPr>
          <w:rFonts w:eastAsia="Calibri"/>
          <w:szCs w:val="24"/>
        </w:rPr>
        <w:t>s</w:t>
      </w:r>
      <w:r w:rsidRPr="000F23AF">
        <w:rPr>
          <w:rFonts w:eastAsia="Calibri"/>
          <w:szCs w:val="24"/>
        </w:rPr>
        <w:t xml:space="preserve"> criminals </w:t>
      </w:r>
      <w:r>
        <w:rPr>
          <w:rFonts w:eastAsia="Calibri"/>
          <w:szCs w:val="24"/>
        </w:rPr>
        <w:t xml:space="preserve">from using </w:t>
      </w:r>
      <w:r w:rsidRPr="000F23AF">
        <w:rPr>
          <w:rFonts w:eastAsia="Calibri"/>
          <w:szCs w:val="24"/>
        </w:rPr>
        <w:t>their illegally obtained assets</w:t>
      </w:r>
      <w:r>
        <w:rPr>
          <w:rFonts w:eastAsia="Calibri"/>
          <w:szCs w:val="24"/>
        </w:rPr>
        <w:t xml:space="preserve">. </w:t>
      </w:r>
    </w:p>
    <w:p w:rsidR="007708C9" w:rsidRPr="00576CCF" w:rsidRDefault="007708C9" w:rsidP="007708C9">
      <w:pPr>
        <w:rPr>
          <w:color w:val="000000"/>
          <w:szCs w:val="24"/>
          <w:u w:color="000000"/>
          <w:bdr w:val="nil"/>
          <w:lang w:eastAsia="en-GB"/>
        </w:rPr>
      </w:pPr>
      <w:r>
        <w:rPr>
          <w:color w:val="000000"/>
          <w:szCs w:val="24"/>
          <w:u w:color="000000"/>
          <w:bdr w:val="nil"/>
          <w:lang w:eastAsia="en-GB"/>
        </w:rPr>
        <w:t xml:space="preserve">To complement </w:t>
      </w:r>
      <w:r w:rsidRPr="00576CCF">
        <w:rPr>
          <w:szCs w:val="24"/>
        </w:rPr>
        <w:t>the 2014 Directive on confiscation and freezing</w:t>
      </w:r>
      <w:r>
        <w:rPr>
          <w:rStyle w:val="FootnoteReference"/>
          <w:szCs w:val="24"/>
        </w:rPr>
        <w:footnoteReference w:id="13"/>
      </w:r>
      <w:r>
        <w:rPr>
          <w:szCs w:val="24"/>
        </w:rPr>
        <w:t xml:space="preserve"> (which </w:t>
      </w:r>
      <w:r w:rsidRPr="002035BC">
        <w:rPr>
          <w:szCs w:val="24"/>
        </w:rPr>
        <w:t xml:space="preserve">establishes minimum rules on the freezing </w:t>
      </w:r>
      <w:r>
        <w:rPr>
          <w:szCs w:val="24"/>
        </w:rPr>
        <w:t xml:space="preserve">and confiscation of criminal assets) and also </w:t>
      </w:r>
      <w:r w:rsidRPr="00576CCF">
        <w:rPr>
          <w:color w:val="000000"/>
          <w:szCs w:val="24"/>
          <w:u w:color="000000"/>
          <w:bdr w:val="nil"/>
          <w:lang w:eastAsia="en-GB"/>
        </w:rPr>
        <w:t xml:space="preserve">the </w:t>
      </w:r>
      <w:r>
        <w:rPr>
          <w:color w:val="000000"/>
          <w:szCs w:val="24"/>
          <w:u w:color="000000"/>
          <w:bdr w:val="nil"/>
          <w:lang w:eastAsia="en-GB"/>
        </w:rPr>
        <w:t xml:space="preserve">recently agreed </w:t>
      </w:r>
      <w:r w:rsidRPr="00576CCF">
        <w:rPr>
          <w:color w:val="000000"/>
          <w:szCs w:val="24"/>
          <w:u w:color="000000"/>
          <w:bdr w:val="nil"/>
          <w:lang w:eastAsia="en-GB"/>
        </w:rPr>
        <w:t xml:space="preserve">Directive on </w:t>
      </w:r>
      <w:r>
        <w:rPr>
          <w:color w:val="000000"/>
          <w:szCs w:val="24"/>
          <w:u w:color="000000"/>
          <w:bdr w:val="nil"/>
          <w:lang w:eastAsia="en-GB"/>
        </w:rPr>
        <w:t>C</w:t>
      </w:r>
      <w:r w:rsidRPr="00576CCF">
        <w:rPr>
          <w:color w:val="000000"/>
          <w:szCs w:val="24"/>
          <w:u w:color="000000"/>
          <w:bdr w:val="nil"/>
          <w:lang w:eastAsia="en-GB"/>
        </w:rPr>
        <w:t xml:space="preserve">ombatting </w:t>
      </w:r>
      <w:r>
        <w:rPr>
          <w:color w:val="000000"/>
          <w:szCs w:val="24"/>
          <w:u w:color="000000"/>
          <w:bdr w:val="nil"/>
          <w:lang w:eastAsia="en-GB"/>
        </w:rPr>
        <w:t>T</w:t>
      </w:r>
      <w:r w:rsidRPr="00576CCF">
        <w:rPr>
          <w:color w:val="000000"/>
          <w:szCs w:val="24"/>
          <w:u w:color="000000"/>
          <w:bdr w:val="nil"/>
          <w:lang w:eastAsia="en-GB"/>
        </w:rPr>
        <w:t>errorism</w:t>
      </w:r>
      <w:r>
        <w:rPr>
          <w:color w:val="000000"/>
          <w:szCs w:val="24"/>
          <w:u w:color="000000"/>
          <w:bdr w:val="nil"/>
          <w:lang w:eastAsia="en-GB"/>
        </w:rPr>
        <w:t xml:space="preserve"> (</w:t>
      </w:r>
      <w:r w:rsidRPr="00576CCF">
        <w:rPr>
          <w:color w:val="000000"/>
          <w:szCs w:val="24"/>
          <w:u w:color="000000"/>
          <w:bdr w:val="nil"/>
          <w:lang w:eastAsia="en-GB"/>
        </w:rPr>
        <w:t>which includes a self-standing criminal offence of terrorist financing</w:t>
      </w:r>
      <w:r>
        <w:rPr>
          <w:color w:val="000000"/>
          <w:szCs w:val="24"/>
          <w:u w:color="000000"/>
          <w:bdr w:val="nil"/>
          <w:lang w:eastAsia="en-GB"/>
        </w:rPr>
        <w:t xml:space="preserve">), the Commission has proposed </w:t>
      </w:r>
      <w:r w:rsidRPr="00205E37">
        <w:rPr>
          <w:b/>
          <w:szCs w:val="24"/>
        </w:rPr>
        <w:t xml:space="preserve">a </w:t>
      </w:r>
      <w:r>
        <w:rPr>
          <w:b/>
          <w:szCs w:val="24"/>
        </w:rPr>
        <w:t xml:space="preserve">Regulation on the </w:t>
      </w:r>
      <w:r w:rsidRPr="00205E37">
        <w:rPr>
          <w:b/>
          <w:szCs w:val="24"/>
        </w:rPr>
        <w:t>mutual recognition of criminal asset freezing and confiscation orders</w:t>
      </w:r>
      <w:r w:rsidRPr="00576CCF">
        <w:rPr>
          <w:rStyle w:val="FootnoteReference"/>
          <w:rFonts w:eastAsia="Calibri"/>
          <w:color w:val="000000"/>
          <w:szCs w:val="24"/>
          <w:u w:color="000000"/>
          <w:bdr w:val="nil"/>
          <w:lang w:eastAsia="en-GB"/>
        </w:rPr>
        <w:footnoteReference w:id="14"/>
      </w:r>
      <w:r w:rsidRPr="00205E37">
        <w:rPr>
          <w:b/>
          <w:szCs w:val="24"/>
        </w:rPr>
        <w:t>.</w:t>
      </w:r>
      <w:r w:rsidRPr="00576CCF">
        <w:rPr>
          <w:b/>
          <w:szCs w:val="24"/>
        </w:rPr>
        <w:t xml:space="preserve"> </w:t>
      </w:r>
      <w:r w:rsidRPr="006E2522">
        <w:rPr>
          <w:szCs w:val="24"/>
        </w:rPr>
        <w:t>This proposal will allow for more efficient cross-border freezing and confiscation of criminal assets issued in the framework of criminal proceedings, without any intermediate formalities.</w:t>
      </w:r>
      <w:r>
        <w:rPr>
          <w:b/>
          <w:szCs w:val="24"/>
        </w:rPr>
        <w:t xml:space="preserve"> </w:t>
      </w:r>
      <w:r>
        <w:rPr>
          <w:szCs w:val="24"/>
        </w:rPr>
        <w:t xml:space="preserve">Taken together, these instruments </w:t>
      </w:r>
      <w:r w:rsidRPr="00576CCF">
        <w:rPr>
          <w:color w:val="000000"/>
          <w:szCs w:val="24"/>
          <w:u w:color="000000"/>
          <w:bdr w:val="nil"/>
          <w:lang w:eastAsia="en-GB"/>
        </w:rPr>
        <w:t xml:space="preserve">will increase the possibilities to freeze and confiscate assets related to terrorism </w:t>
      </w:r>
      <w:r w:rsidR="007B5A4F">
        <w:rPr>
          <w:color w:val="000000"/>
          <w:szCs w:val="24"/>
          <w:u w:color="000000"/>
          <w:bdr w:val="nil"/>
          <w:lang w:eastAsia="en-GB"/>
        </w:rPr>
        <w:t xml:space="preserve">and crime </w:t>
      </w:r>
      <w:r w:rsidRPr="00576CCF">
        <w:rPr>
          <w:color w:val="000000"/>
          <w:szCs w:val="24"/>
          <w:u w:color="000000"/>
          <w:bdr w:val="nil"/>
          <w:lang w:eastAsia="en-GB"/>
        </w:rPr>
        <w:t xml:space="preserve">by means of a judicial decision. This is particularly important, since judicial asset freezing in the context of criminal proceedings provides more safeguards than administrative asset freezing. </w:t>
      </w:r>
    </w:p>
    <w:p w:rsidR="009942DE" w:rsidRPr="005A0269" w:rsidRDefault="007708C9" w:rsidP="00184982">
      <w:pPr>
        <w:rPr>
          <w:rFonts w:eastAsia="Calibri"/>
          <w:i/>
        </w:rPr>
      </w:pPr>
      <w:r w:rsidRPr="00E40409">
        <w:rPr>
          <w:rFonts w:eastAsia="Calibri"/>
          <w:i/>
          <w:szCs w:val="24"/>
        </w:rPr>
        <w:t>Administrative</w:t>
      </w:r>
      <w:r w:rsidR="009942DE" w:rsidRPr="005A0269">
        <w:rPr>
          <w:rFonts w:eastAsia="Calibri"/>
          <w:i/>
        </w:rPr>
        <w:t xml:space="preserve"> asset freezing</w:t>
      </w:r>
    </w:p>
    <w:p w:rsidR="009942DE" w:rsidRPr="00576CCF" w:rsidRDefault="009942DE" w:rsidP="009942DE">
      <w:pPr>
        <w:rPr>
          <w:color w:val="000000"/>
          <w:szCs w:val="24"/>
          <w:u w:color="000000"/>
          <w:bdr w:val="nil"/>
          <w:lang w:eastAsia="en-GB"/>
        </w:rPr>
      </w:pPr>
      <w:r w:rsidRPr="00576CCF">
        <w:rPr>
          <w:szCs w:val="24"/>
          <w:u w:color="000000"/>
          <w:bdr w:val="nil"/>
          <w:lang w:eastAsia="en-GB"/>
        </w:rPr>
        <w:t xml:space="preserve">When </w:t>
      </w:r>
      <w:r w:rsidRPr="00576CCF">
        <w:rPr>
          <w:color w:val="000000"/>
          <w:szCs w:val="24"/>
          <w:u w:color="000000"/>
          <w:bdr w:val="nil"/>
          <w:lang w:eastAsia="en-GB"/>
        </w:rPr>
        <w:t xml:space="preserve">financial </w:t>
      </w:r>
      <w:r w:rsidR="006571D7">
        <w:rPr>
          <w:color w:val="000000"/>
          <w:szCs w:val="24"/>
          <w:u w:color="000000"/>
          <w:bdr w:val="nil"/>
          <w:lang w:eastAsia="en-GB"/>
        </w:rPr>
        <w:t>transactions</w:t>
      </w:r>
      <w:r w:rsidR="006571D7" w:rsidRPr="00576CCF">
        <w:rPr>
          <w:color w:val="000000"/>
          <w:szCs w:val="24"/>
          <w:u w:color="000000"/>
          <w:bdr w:val="nil"/>
          <w:lang w:eastAsia="en-GB"/>
        </w:rPr>
        <w:t xml:space="preserve"> </w:t>
      </w:r>
      <w:r w:rsidRPr="00576CCF">
        <w:rPr>
          <w:color w:val="000000"/>
          <w:szCs w:val="24"/>
          <w:u w:color="000000"/>
          <w:bdr w:val="nil"/>
          <w:lang w:eastAsia="en-GB"/>
        </w:rPr>
        <w:t>linked to terrorism</w:t>
      </w:r>
      <w:r w:rsidR="007B5A4F">
        <w:rPr>
          <w:color w:val="000000"/>
          <w:szCs w:val="24"/>
          <w:u w:color="000000"/>
          <w:bdr w:val="nil"/>
          <w:lang w:eastAsia="en-GB"/>
        </w:rPr>
        <w:t xml:space="preserve"> and crime </w:t>
      </w:r>
      <w:r w:rsidRPr="00576CCF">
        <w:rPr>
          <w:color w:val="000000"/>
          <w:szCs w:val="24"/>
          <w:u w:color="000000"/>
          <w:bdr w:val="nil"/>
          <w:lang w:eastAsia="en-GB"/>
        </w:rPr>
        <w:t>are detected, public authorities can trace them and if necessary, block these and freeze the corresponding assets. Administrative asset freezing is a temporary tool of a preventive nature that can be</w:t>
      </w:r>
      <w:r>
        <w:rPr>
          <w:color w:val="000000"/>
          <w:szCs w:val="24"/>
          <w:u w:color="000000"/>
          <w:bdr w:val="nil"/>
          <w:lang w:eastAsia="en-GB"/>
        </w:rPr>
        <w:t xml:space="preserve"> </w:t>
      </w:r>
      <w:r w:rsidRPr="00576CCF">
        <w:rPr>
          <w:color w:val="000000"/>
          <w:szCs w:val="24"/>
          <w:u w:color="000000"/>
          <w:bdr w:val="nil"/>
          <w:lang w:eastAsia="en-GB"/>
        </w:rPr>
        <w:t>applied in the absence of criminal proceedings</w:t>
      </w:r>
      <w:r w:rsidRPr="00576CCF">
        <w:rPr>
          <w:szCs w:val="24"/>
        </w:rPr>
        <w:t xml:space="preserve"> </w:t>
      </w:r>
      <w:r w:rsidRPr="00576CCF">
        <w:rPr>
          <w:color w:val="000000"/>
          <w:szCs w:val="24"/>
          <w:u w:color="000000"/>
          <w:bdr w:val="nil"/>
          <w:lang w:eastAsia="en-GB"/>
        </w:rPr>
        <w:t xml:space="preserve">to prevent suspected terrorists from using and receiving funds. </w:t>
      </w:r>
    </w:p>
    <w:p w:rsidR="009942DE" w:rsidRPr="00C71DD5" w:rsidRDefault="009942DE" w:rsidP="009942DE">
      <w:r>
        <w:rPr>
          <w:szCs w:val="24"/>
        </w:rPr>
        <w:t xml:space="preserve">The </w:t>
      </w:r>
      <w:r w:rsidRPr="00576CCF">
        <w:rPr>
          <w:color w:val="000000"/>
          <w:szCs w:val="24"/>
          <w:u w:color="000000"/>
          <w:bdr w:val="nil"/>
          <w:lang w:eastAsia="en-GB"/>
        </w:rPr>
        <w:t>F</w:t>
      </w:r>
      <w:r w:rsidR="006A5B2A">
        <w:rPr>
          <w:color w:val="000000"/>
          <w:szCs w:val="24"/>
          <w:u w:color="000000"/>
          <w:bdr w:val="nil"/>
          <w:lang w:eastAsia="en-GB"/>
        </w:rPr>
        <w:t xml:space="preserve">inancial </w:t>
      </w:r>
      <w:r w:rsidRPr="00576CCF">
        <w:rPr>
          <w:color w:val="000000"/>
          <w:szCs w:val="24"/>
          <w:u w:color="000000"/>
          <w:bdr w:val="nil"/>
          <w:lang w:eastAsia="en-GB"/>
        </w:rPr>
        <w:t>A</w:t>
      </w:r>
      <w:r w:rsidR="006A5B2A">
        <w:rPr>
          <w:color w:val="000000"/>
          <w:szCs w:val="24"/>
          <w:u w:color="000000"/>
          <w:bdr w:val="nil"/>
          <w:lang w:eastAsia="en-GB"/>
        </w:rPr>
        <w:t xml:space="preserve">ction </w:t>
      </w:r>
      <w:r w:rsidRPr="00576CCF">
        <w:rPr>
          <w:color w:val="000000"/>
          <w:szCs w:val="24"/>
          <w:u w:color="000000"/>
          <w:bdr w:val="nil"/>
          <w:lang w:eastAsia="en-GB"/>
        </w:rPr>
        <w:t>T</w:t>
      </w:r>
      <w:r w:rsidR="006A5B2A">
        <w:rPr>
          <w:color w:val="000000"/>
          <w:szCs w:val="24"/>
          <w:u w:color="000000"/>
          <w:bdr w:val="nil"/>
          <w:lang w:eastAsia="en-GB"/>
        </w:rPr>
        <w:t xml:space="preserve">ask </w:t>
      </w:r>
      <w:r w:rsidRPr="00576CCF">
        <w:rPr>
          <w:color w:val="000000"/>
          <w:szCs w:val="24"/>
          <w:u w:color="000000"/>
          <w:bdr w:val="nil"/>
          <w:lang w:eastAsia="en-GB"/>
        </w:rPr>
        <w:t>F</w:t>
      </w:r>
      <w:r w:rsidR="006A5B2A">
        <w:rPr>
          <w:color w:val="000000"/>
          <w:szCs w:val="24"/>
          <w:u w:color="000000"/>
          <w:bdr w:val="nil"/>
          <w:lang w:eastAsia="en-GB"/>
        </w:rPr>
        <w:t>orce (FATF)</w:t>
      </w:r>
      <w:r w:rsidRPr="00576CCF">
        <w:rPr>
          <w:color w:val="000000"/>
          <w:szCs w:val="24"/>
          <w:u w:color="000000"/>
          <w:bdr w:val="nil"/>
          <w:lang w:eastAsia="en-GB"/>
        </w:rPr>
        <w:t xml:space="preserve"> </w:t>
      </w:r>
      <w:r>
        <w:rPr>
          <w:color w:val="000000"/>
          <w:szCs w:val="24"/>
          <w:u w:color="000000"/>
          <w:bdr w:val="nil"/>
          <w:lang w:eastAsia="en-GB"/>
        </w:rPr>
        <w:t xml:space="preserve">requires Member States to have provisions in place </w:t>
      </w:r>
      <w:r w:rsidR="007708C9" w:rsidRPr="00576CCF">
        <w:rPr>
          <w:color w:val="000000"/>
          <w:szCs w:val="24"/>
          <w:u w:color="000000"/>
          <w:bdr w:val="nil"/>
          <w:lang w:eastAsia="en-GB"/>
        </w:rPr>
        <w:t xml:space="preserve">to </w:t>
      </w:r>
      <w:r w:rsidR="007708C9">
        <w:rPr>
          <w:color w:val="000000"/>
          <w:szCs w:val="24"/>
          <w:u w:color="000000"/>
          <w:bdr w:val="nil"/>
          <w:lang w:eastAsia="en-GB"/>
        </w:rPr>
        <w:t xml:space="preserve">freeze </w:t>
      </w:r>
      <w:r w:rsidR="007708C9" w:rsidRPr="00F71A53">
        <w:rPr>
          <w:color w:val="000000"/>
          <w:szCs w:val="24"/>
          <w:u w:color="000000"/>
          <w:bdr w:val="nil"/>
          <w:lang w:eastAsia="en-GB"/>
        </w:rPr>
        <w:t>without delay</w:t>
      </w:r>
      <w:r w:rsidR="007708C9">
        <w:rPr>
          <w:color w:val="000000"/>
          <w:szCs w:val="24"/>
          <w:u w:color="000000"/>
          <w:bdr w:val="nil"/>
          <w:lang w:eastAsia="en-GB"/>
        </w:rPr>
        <w:t xml:space="preserve"> the assets of </w:t>
      </w:r>
      <w:r w:rsidR="007708C9" w:rsidRPr="00F71A53">
        <w:rPr>
          <w:color w:val="000000"/>
          <w:szCs w:val="24"/>
          <w:u w:color="000000"/>
          <w:bdr w:val="nil"/>
          <w:lang w:eastAsia="en-GB"/>
        </w:rPr>
        <w:t xml:space="preserve">persons or entities </w:t>
      </w:r>
      <w:r w:rsidR="007708C9">
        <w:rPr>
          <w:color w:val="000000"/>
          <w:szCs w:val="24"/>
          <w:u w:color="000000"/>
          <w:bdr w:val="nil"/>
          <w:lang w:eastAsia="en-GB"/>
        </w:rPr>
        <w:t>with links to terrorism.</w:t>
      </w:r>
      <w:r w:rsidRPr="00576CCF">
        <w:rPr>
          <w:color w:val="000000"/>
          <w:szCs w:val="24"/>
          <w:u w:color="000000"/>
          <w:bdr w:val="nil"/>
          <w:lang w:eastAsia="en-GB"/>
        </w:rPr>
        <w:t xml:space="preserve">  The absence of asset freezing regimes in a small number of Member States as well as the fact that some of the existing </w:t>
      </w:r>
      <w:r>
        <w:rPr>
          <w:color w:val="000000"/>
          <w:szCs w:val="24"/>
          <w:u w:color="000000"/>
          <w:bdr w:val="nil"/>
          <w:lang w:eastAsia="en-GB"/>
        </w:rPr>
        <w:t xml:space="preserve">national </w:t>
      </w:r>
      <w:r w:rsidRPr="00576CCF">
        <w:rPr>
          <w:color w:val="000000"/>
          <w:szCs w:val="24"/>
          <w:u w:color="000000"/>
          <w:bdr w:val="nil"/>
          <w:lang w:eastAsia="en-GB"/>
        </w:rPr>
        <w:t>regimes are not complete or effective have raised questions as regards the full compliance with international requirements. In a recent analysis</w:t>
      </w:r>
      <w:r w:rsidRPr="00576CCF">
        <w:rPr>
          <w:rStyle w:val="FootnoteReference"/>
          <w:rFonts w:eastAsia="Calibri"/>
          <w:color w:val="000000"/>
          <w:szCs w:val="24"/>
          <w:u w:color="000000"/>
          <w:bdr w:val="nil"/>
          <w:lang w:eastAsia="en-GB"/>
        </w:rPr>
        <w:footnoteReference w:id="15"/>
      </w:r>
      <w:r w:rsidRPr="00576CCF">
        <w:rPr>
          <w:color w:val="000000"/>
          <w:szCs w:val="24"/>
          <w:u w:color="000000"/>
          <w:bdr w:val="nil"/>
          <w:lang w:eastAsia="en-GB"/>
        </w:rPr>
        <w:t xml:space="preserve">, </w:t>
      </w:r>
      <w:r w:rsidR="006A5B2A">
        <w:rPr>
          <w:color w:val="000000"/>
          <w:szCs w:val="24"/>
          <w:u w:color="000000"/>
          <w:bdr w:val="nil"/>
          <w:lang w:eastAsia="en-GB"/>
        </w:rPr>
        <w:t xml:space="preserve">the </w:t>
      </w:r>
      <w:r w:rsidRPr="006A5B2A">
        <w:rPr>
          <w:color w:val="000000"/>
          <w:szCs w:val="24"/>
          <w:u w:color="000000"/>
          <w:bdr w:val="nil"/>
          <w:lang w:eastAsia="en-GB"/>
        </w:rPr>
        <w:t>FATF</w:t>
      </w:r>
      <w:r w:rsidRPr="00576CCF">
        <w:rPr>
          <w:color w:val="000000"/>
          <w:szCs w:val="24"/>
          <w:u w:color="000000"/>
          <w:bdr w:val="nil"/>
          <w:lang w:eastAsia="en-GB"/>
        </w:rPr>
        <w:t xml:space="preserve"> consider</w:t>
      </w:r>
      <w:r w:rsidR="00D26DE1">
        <w:rPr>
          <w:color w:val="000000"/>
          <w:szCs w:val="24"/>
          <w:u w:color="000000"/>
          <w:bdr w:val="nil"/>
          <w:lang w:eastAsia="en-GB"/>
        </w:rPr>
        <w:t>s</w:t>
      </w:r>
      <w:r w:rsidRPr="00576CCF">
        <w:rPr>
          <w:color w:val="000000"/>
          <w:szCs w:val="24"/>
          <w:u w:color="000000"/>
          <w:bdr w:val="nil"/>
          <w:lang w:eastAsia="en-GB"/>
        </w:rPr>
        <w:t xml:space="preserve"> that 14 </w:t>
      </w:r>
      <w:r w:rsidR="001819A8">
        <w:rPr>
          <w:color w:val="000000"/>
          <w:szCs w:val="24"/>
          <w:u w:color="000000"/>
          <w:bdr w:val="nil"/>
          <w:lang w:eastAsia="en-GB"/>
        </w:rPr>
        <w:t xml:space="preserve">EU </w:t>
      </w:r>
      <w:r w:rsidRPr="00576CCF">
        <w:rPr>
          <w:color w:val="000000"/>
          <w:szCs w:val="24"/>
          <w:u w:color="000000"/>
          <w:bdr w:val="nil"/>
          <w:lang w:eastAsia="en-GB"/>
        </w:rPr>
        <w:t xml:space="preserve">Member States </w:t>
      </w:r>
      <w:r w:rsidR="00D26DE1">
        <w:rPr>
          <w:color w:val="000000"/>
          <w:szCs w:val="24"/>
          <w:u w:color="000000"/>
          <w:bdr w:val="nil"/>
          <w:lang w:eastAsia="en-GB"/>
        </w:rPr>
        <w:t>are</w:t>
      </w:r>
      <w:r w:rsidRPr="00576CCF">
        <w:rPr>
          <w:color w:val="000000"/>
          <w:szCs w:val="24"/>
          <w:u w:color="000000"/>
          <w:bdr w:val="nil"/>
          <w:lang w:eastAsia="en-GB"/>
        </w:rPr>
        <w:t xml:space="preserve"> not able to apply asset freezing measures </w:t>
      </w:r>
      <w:r w:rsidR="00D26DE1">
        <w:rPr>
          <w:color w:val="000000"/>
          <w:szCs w:val="24"/>
          <w:u w:color="000000"/>
          <w:bdr w:val="nil"/>
          <w:lang w:eastAsia="en-GB"/>
        </w:rPr>
        <w:t xml:space="preserve">to </w:t>
      </w:r>
      <w:r w:rsidR="007708C9">
        <w:rPr>
          <w:color w:val="000000"/>
          <w:szCs w:val="24"/>
          <w:u w:color="000000"/>
          <w:bdr w:val="nil"/>
          <w:lang w:eastAsia="en-GB"/>
        </w:rPr>
        <w:t xml:space="preserve">what the </w:t>
      </w:r>
      <w:r w:rsidR="007708C9" w:rsidRPr="006A5B2A">
        <w:rPr>
          <w:color w:val="000000"/>
          <w:szCs w:val="24"/>
          <w:u w:color="000000"/>
          <w:bdr w:val="nil"/>
          <w:lang w:eastAsia="en-GB"/>
        </w:rPr>
        <w:t>FATF</w:t>
      </w:r>
      <w:r w:rsidR="007708C9">
        <w:rPr>
          <w:color w:val="000000"/>
          <w:szCs w:val="24"/>
          <w:u w:color="000000"/>
          <w:bdr w:val="nil"/>
          <w:lang w:eastAsia="en-GB"/>
        </w:rPr>
        <w:t xml:space="preserve"> calls </w:t>
      </w:r>
      <w:r w:rsidRPr="00576CCF">
        <w:rPr>
          <w:color w:val="000000"/>
          <w:szCs w:val="24"/>
          <w:u w:color="000000"/>
          <w:bdr w:val="nil"/>
          <w:lang w:eastAsia="en-GB"/>
        </w:rPr>
        <w:t>"EU internal terrorists"</w:t>
      </w:r>
      <w:r w:rsidR="007708C9" w:rsidRPr="00576CCF">
        <w:rPr>
          <w:rStyle w:val="FootnoteReference"/>
          <w:rFonts w:eastAsia="Calibri"/>
          <w:color w:val="000000"/>
          <w:szCs w:val="24"/>
          <w:u w:color="000000"/>
          <w:bdr w:val="nil"/>
          <w:lang w:eastAsia="en-GB"/>
        </w:rPr>
        <w:footnoteReference w:id="16"/>
      </w:r>
      <w:r w:rsidRPr="00576CCF">
        <w:rPr>
          <w:color w:val="000000"/>
          <w:szCs w:val="24"/>
          <w:u w:color="000000"/>
          <w:bdr w:val="nil"/>
          <w:lang w:eastAsia="en-GB"/>
        </w:rPr>
        <w:t xml:space="preserve">.  </w:t>
      </w:r>
      <w:r>
        <w:t xml:space="preserve">Following the entry into force of the Lisbon Treaty, the EU acquired explicit competence via Article 75 TFEU to adopt administrative measures against individuals and legal persons, groups and non-state entities where necessary to achieve the objectives of the area of freedom, security and justice. The </w:t>
      </w:r>
      <w:r>
        <w:rPr>
          <w:szCs w:val="24"/>
        </w:rPr>
        <w:t xml:space="preserve">Commission committed in the </w:t>
      </w:r>
      <w:r w:rsidRPr="00576CCF">
        <w:rPr>
          <w:szCs w:val="24"/>
        </w:rPr>
        <w:t xml:space="preserve">February Action </w:t>
      </w:r>
      <w:r w:rsidRPr="00A15168">
        <w:rPr>
          <w:szCs w:val="24"/>
        </w:rPr>
        <w:t xml:space="preserve">Plan to assess the need for </w:t>
      </w:r>
      <w:r w:rsidRPr="005A0269">
        <w:rPr>
          <w:color w:val="000000"/>
          <w:szCs w:val="24"/>
          <w:u w:color="000000"/>
          <w:bdr w:val="nil"/>
          <w:lang w:eastAsia="en-GB"/>
        </w:rPr>
        <w:t xml:space="preserve">a supplementary administrative system for freezing the assets of terrorists within the EU. </w:t>
      </w:r>
      <w:r w:rsidRPr="00A15168">
        <w:t xml:space="preserve"> </w:t>
      </w:r>
    </w:p>
    <w:p w:rsidR="009942DE" w:rsidRDefault="009942DE" w:rsidP="009942DE">
      <w:pPr>
        <w:rPr>
          <w:rFonts w:eastAsia="SimSun"/>
          <w:szCs w:val="24"/>
          <w:lang w:eastAsia="zh-CN"/>
        </w:rPr>
      </w:pPr>
      <w:r>
        <w:t xml:space="preserve">In terms of the current security threat in Europe, </w:t>
      </w:r>
      <w:r w:rsidR="00012FF6">
        <w:t>t</w:t>
      </w:r>
      <w:r w:rsidRPr="00576CCF">
        <w:rPr>
          <w:szCs w:val="24"/>
        </w:rPr>
        <w:t xml:space="preserve">oday, </w:t>
      </w:r>
      <w:r w:rsidRPr="00576CCF">
        <w:rPr>
          <w:rFonts w:eastAsia="SimSun"/>
          <w:szCs w:val="24"/>
          <w:lang w:eastAsia="zh-CN"/>
        </w:rPr>
        <w:t xml:space="preserve">the biggest threat to European security </w:t>
      </w:r>
      <w:r w:rsidR="00012FF6">
        <w:rPr>
          <w:rFonts w:eastAsia="SimSun"/>
          <w:szCs w:val="24"/>
          <w:lang w:eastAsia="zh-CN"/>
        </w:rPr>
        <w:t>remains</w:t>
      </w:r>
      <w:r w:rsidRPr="00576CCF">
        <w:rPr>
          <w:rFonts w:eastAsia="SimSun"/>
          <w:szCs w:val="24"/>
          <w:lang w:eastAsia="zh-CN"/>
        </w:rPr>
        <w:t xml:space="preserve"> jihadi-inspired terrorism</w:t>
      </w:r>
      <w:r w:rsidRPr="00576CCF">
        <w:rPr>
          <w:rStyle w:val="FootnoteReference"/>
          <w:rFonts w:eastAsia="SimSun"/>
          <w:szCs w:val="24"/>
          <w:lang w:eastAsia="zh-CN"/>
        </w:rPr>
        <w:footnoteReference w:id="17"/>
      </w:r>
      <w:r w:rsidRPr="00576CCF">
        <w:rPr>
          <w:rFonts w:eastAsia="SimSun"/>
          <w:szCs w:val="24"/>
          <w:lang w:eastAsia="zh-CN"/>
        </w:rPr>
        <w:t xml:space="preserve">, while the </w:t>
      </w:r>
      <w:r>
        <w:rPr>
          <w:rFonts w:eastAsia="SimSun"/>
          <w:szCs w:val="24"/>
          <w:lang w:eastAsia="zh-CN"/>
        </w:rPr>
        <w:t xml:space="preserve">assessment of the </w:t>
      </w:r>
      <w:r w:rsidRPr="00576CCF">
        <w:rPr>
          <w:rFonts w:eastAsia="SimSun"/>
          <w:szCs w:val="24"/>
          <w:lang w:eastAsia="zh-CN"/>
        </w:rPr>
        <w:t>overall threat from other terrorist groups - with very few exceptions -</w:t>
      </w:r>
      <w:r w:rsidRPr="00576CCF">
        <w:rPr>
          <w:szCs w:val="24"/>
        </w:rPr>
        <w:t xml:space="preserve"> </w:t>
      </w:r>
      <w:r w:rsidRPr="00576CCF">
        <w:rPr>
          <w:rFonts w:eastAsia="SimSun"/>
          <w:szCs w:val="24"/>
          <w:lang w:eastAsia="zh-CN"/>
        </w:rPr>
        <w:t>remains low</w:t>
      </w:r>
      <w:r w:rsidRPr="00576CCF">
        <w:rPr>
          <w:rStyle w:val="FootnoteReference"/>
          <w:rFonts w:eastAsia="SimSun"/>
          <w:szCs w:val="24"/>
          <w:lang w:eastAsia="zh-CN"/>
        </w:rPr>
        <w:footnoteReference w:id="18"/>
      </w:r>
      <w:r w:rsidRPr="00576CCF">
        <w:rPr>
          <w:rFonts w:eastAsia="SimSun"/>
          <w:szCs w:val="24"/>
          <w:lang w:eastAsia="zh-CN"/>
        </w:rPr>
        <w:t xml:space="preserve">. </w:t>
      </w:r>
      <w:r>
        <w:rPr>
          <w:rFonts w:eastAsia="SimSun"/>
          <w:szCs w:val="24"/>
          <w:lang w:eastAsia="zh-CN"/>
        </w:rPr>
        <w:t xml:space="preserve"> Therefore, the added value </w:t>
      </w:r>
      <w:r w:rsidR="003425DC">
        <w:rPr>
          <w:rFonts w:eastAsia="SimSun"/>
          <w:szCs w:val="24"/>
          <w:lang w:eastAsia="zh-CN"/>
        </w:rPr>
        <w:t xml:space="preserve">in terms of law enforcement </w:t>
      </w:r>
      <w:r w:rsidR="007B5A4F">
        <w:rPr>
          <w:rFonts w:eastAsia="SimSun"/>
          <w:szCs w:val="24"/>
          <w:lang w:eastAsia="zh-CN"/>
        </w:rPr>
        <w:t xml:space="preserve">and the fight against terrorism </w:t>
      </w:r>
      <w:r>
        <w:rPr>
          <w:rFonts w:eastAsia="SimSun"/>
          <w:szCs w:val="24"/>
          <w:lang w:eastAsia="zh-CN"/>
        </w:rPr>
        <w:t xml:space="preserve">of a system under </w:t>
      </w:r>
      <w:r w:rsidR="00D26DE1">
        <w:rPr>
          <w:rFonts w:eastAsia="SimSun"/>
          <w:szCs w:val="24"/>
          <w:lang w:eastAsia="zh-CN"/>
        </w:rPr>
        <w:t>A</w:t>
      </w:r>
      <w:r>
        <w:rPr>
          <w:rFonts w:eastAsia="SimSun"/>
          <w:szCs w:val="24"/>
          <w:lang w:eastAsia="zh-CN"/>
        </w:rPr>
        <w:t xml:space="preserve">rticle 75 </w:t>
      </w:r>
      <w:r w:rsidR="007708C9">
        <w:rPr>
          <w:rFonts w:eastAsia="SimSun"/>
          <w:szCs w:val="24"/>
          <w:lang w:eastAsia="zh-CN"/>
        </w:rPr>
        <w:t xml:space="preserve">TFEU </w:t>
      </w:r>
      <w:r>
        <w:rPr>
          <w:rFonts w:eastAsia="SimSun"/>
          <w:szCs w:val="24"/>
          <w:lang w:eastAsia="zh-CN"/>
        </w:rPr>
        <w:t xml:space="preserve">is </w:t>
      </w:r>
      <w:r w:rsidR="001F78D2">
        <w:rPr>
          <w:rFonts w:eastAsia="SimSun"/>
          <w:szCs w:val="24"/>
          <w:lang w:eastAsia="zh-CN"/>
        </w:rPr>
        <w:t xml:space="preserve">for the time being </w:t>
      </w:r>
      <w:r>
        <w:rPr>
          <w:rFonts w:eastAsia="SimSun"/>
          <w:szCs w:val="24"/>
          <w:lang w:eastAsia="zh-CN"/>
        </w:rPr>
        <w:t xml:space="preserve">considered </w:t>
      </w:r>
      <w:r w:rsidR="001F78D2">
        <w:rPr>
          <w:rFonts w:eastAsia="SimSun"/>
          <w:szCs w:val="24"/>
          <w:lang w:eastAsia="zh-CN"/>
        </w:rPr>
        <w:t xml:space="preserve">to be </w:t>
      </w:r>
      <w:r>
        <w:rPr>
          <w:rFonts w:eastAsia="SimSun"/>
          <w:szCs w:val="24"/>
          <w:lang w:eastAsia="zh-CN"/>
        </w:rPr>
        <w:t>low.</w:t>
      </w:r>
    </w:p>
    <w:p w:rsidR="009942DE" w:rsidRDefault="006571D7" w:rsidP="009942DE">
      <w:pPr>
        <w:rPr>
          <w:rFonts w:eastAsia="SimSun"/>
          <w:szCs w:val="24"/>
          <w:lang w:eastAsia="zh-CN"/>
        </w:rPr>
      </w:pPr>
      <w:r>
        <w:rPr>
          <w:rFonts w:eastAsia="SimSun"/>
          <w:szCs w:val="24"/>
          <w:lang w:eastAsia="zh-CN"/>
        </w:rPr>
        <w:t>More</w:t>
      </w:r>
      <w:r w:rsidR="009C6DC2">
        <w:rPr>
          <w:rFonts w:eastAsia="SimSun"/>
          <w:szCs w:val="24"/>
          <w:lang w:eastAsia="zh-CN"/>
        </w:rPr>
        <w:t>over</w:t>
      </w:r>
      <w:r>
        <w:rPr>
          <w:rFonts w:eastAsia="SimSun"/>
          <w:szCs w:val="24"/>
          <w:lang w:eastAsia="zh-CN"/>
        </w:rPr>
        <w:t>, t</w:t>
      </w:r>
      <w:r w:rsidR="009942DE">
        <w:rPr>
          <w:rFonts w:eastAsia="SimSun"/>
          <w:szCs w:val="24"/>
          <w:lang w:eastAsia="zh-CN"/>
        </w:rPr>
        <w:t xml:space="preserve">he current threat </w:t>
      </w:r>
      <w:r w:rsidR="00D26DE1">
        <w:rPr>
          <w:rFonts w:eastAsia="SimSun"/>
          <w:szCs w:val="24"/>
          <w:lang w:eastAsia="zh-CN"/>
        </w:rPr>
        <w:t xml:space="preserve">emanating </w:t>
      </w:r>
      <w:r w:rsidR="009942DE">
        <w:rPr>
          <w:rFonts w:eastAsia="SimSun"/>
          <w:szCs w:val="24"/>
          <w:lang w:eastAsia="zh-CN"/>
        </w:rPr>
        <w:t xml:space="preserve">from international terrorism is </w:t>
      </w:r>
      <w:r w:rsidR="00012FF6">
        <w:rPr>
          <w:rFonts w:eastAsia="SimSun"/>
          <w:szCs w:val="24"/>
          <w:lang w:eastAsia="zh-CN"/>
        </w:rPr>
        <w:t xml:space="preserve">covered by </w:t>
      </w:r>
      <w:r w:rsidR="009942DE">
        <w:rPr>
          <w:rFonts w:eastAsia="SimSun"/>
          <w:szCs w:val="24"/>
          <w:lang w:eastAsia="zh-CN"/>
        </w:rPr>
        <w:t xml:space="preserve">existing provisions under EU law. The EU asset freezing regimes adopted under </w:t>
      </w:r>
      <w:r w:rsidR="00D26DE1">
        <w:rPr>
          <w:rFonts w:eastAsia="SimSun"/>
          <w:szCs w:val="24"/>
          <w:lang w:eastAsia="zh-CN"/>
        </w:rPr>
        <w:t>C</w:t>
      </w:r>
      <w:r w:rsidR="00012FF6">
        <w:rPr>
          <w:rFonts w:eastAsia="SimSun"/>
          <w:szCs w:val="24"/>
          <w:lang w:eastAsia="zh-CN"/>
        </w:rPr>
        <w:t xml:space="preserve">ommon </w:t>
      </w:r>
      <w:r w:rsidR="00D26DE1">
        <w:rPr>
          <w:rFonts w:eastAsia="SimSun"/>
          <w:szCs w:val="24"/>
          <w:lang w:eastAsia="zh-CN"/>
        </w:rPr>
        <w:t>F</w:t>
      </w:r>
      <w:r w:rsidR="00012FF6">
        <w:rPr>
          <w:rFonts w:eastAsia="SimSun"/>
          <w:szCs w:val="24"/>
          <w:lang w:eastAsia="zh-CN"/>
        </w:rPr>
        <w:t xml:space="preserve">oreign and </w:t>
      </w:r>
      <w:r w:rsidR="00D26DE1">
        <w:rPr>
          <w:rFonts w:eastAsia="SimSun"/>
          <w:szCs w:val="24"/>
          <w:lang w:eastAsia="zh-CN"/>
        </w:rPr>
        <w:t>S</w:t>
      </w:r>
      <w:r w:rsidR="00012FF6">
        <w:rPr>
          <w:rFonts w:eastAsia="SimSun"/>
          <w:szCs w:val="24"/>
          <w:lang w:eastAsia="zh-CN"/>
        </w:rPr>
        <w:t xml:space="preserve">ecurity </w:t>
      </w:r>
      <w:r w:rsidR="00D26DE1">
        <w:rPr>
          <w:rFonts w:eastAsia="SimSun"/>
          <w:szCs w:val="24"/>
          <w:lang w:eastAsia="zh-CN"/>
        </w:rPr>
        <w:t>P</w:t>
      </w:r>
      <w:r w:rsidR="00012FF6">
        <w:rPr>
          <w:rFonts w:eastAsia="SimSun"/>
          <w:szCs w:val="24"/>
          <w:lang w:eastAsia="zh-CN"/>
        </w:rPr>
        <w:t>olicy (CFSP)</w:t>
      </w:r>
      <w:r w:rsidR="009942DE">
        <w:rPr>
          <w:rFonts w:eastAsia="SimSun"/>
          <w:szCs w:val="24"/>
          <w:lang w:eastAsia="zh-CN"/>
        </w:rPr>
        <w:t xml:space="preserve"> enable the freezing of funds and other assets linked to terrorism. These </w:t>
      </w:r>
      <w:r w:rsidR="007708C9">
        <w:rPr>
          <w:rFonts w:eastAsia="SimSun"/>
          <w:szCs w:val="24"/>
          <w:lang w:eastAsia="zh-CN"/>
        </w:rPr>
        <w:t xml:space="preserve">regimes </w:t>
      </w:r>
      <w:r w:rsidR="009942DE">
        <w:rPr>
          <w:rFonts w:eastAsia="SimSun"/>
          <w:szCs w:val="24"/>
          <w:lang w:eastAsia="zh-CN"/>
        </w:rPr>
        <w:t xml:space="preserve">have recently been upgraded and allow for the first time the autonomous establishment of a number of measures including the freezing of </w:t>
      </w:r>
      <w:r w:rsidR="00D26DE1">
        <w:rPr>
          <w:rFonts w:eastAsia="SimSun"/>
          <w:szCs w:val="24"/>
          <w:lang w:eastAsia="zh-CN"/>
        </w:rPr>
        <w:t xml:space="preserve">assets of </w:t>
      </w:r>
      <w:r w:rsidR="009942DE">
        <w:rPr>
          <w:rFonts w:eastAsia="SimSun"/>
          <w:szCs w:val="24"/>
          <w:lang w:eastAsia="zh-CN"/>
        </w:rPr>
        <w:t xml:space="preserve">persons linked to </w:t>
      </w:r>
      <w:r w:rsidR="004B72AD">
        <w:rPr>
          <w:rFonts w:eastAsia="SimSun"/>
          <w:szCs w:val="24"/>
          <w:lang w:eastAsia="zh-CN"/>
        </w:rPr>
        <w:t>ISIL (</w:t>
      </w:r>
      <w:r w:rsidR="009942DE">
        <w:rPr>
          <w:rFonts w:eastAsia="SimSun"/>
          <w:szCs w:val="24"/>
          <w:lang w:eastAsia="zh-CN"/>
        </w:rPr>
        <w:t>Da</w:t>
      </w:r>
      <w:r w:rsidR="00D26DE1">
        <w:rPr>
          <w:rFonts w:eastAsia="SimSun"/>
          <w:szCs w:val="24"/>
          <w:lang w:eastAsia="zh-CN"/>
        </w:rPr>
        <w:t>'</w:t>
      </w:r>
      <w:r w:rsidR="009942DE">
        <w:rPr>
          <w:rFonts w:eastAsia="SimSun"/>
          <w:szCs w:val="24"/>
          <w:lang w:eastAsia="zh-CN"/>
        </w:rPr>
        <w:t>esh</w:t>
      </w:r>
      <w:r w:rsidR="004B72AD">
        <w:rPr>
          <w:rFonts w:eastAsia="SimSun"/>
          <w:szCs w:val="24"/>
          <w:lang w:eastAsia="zh-CN"/>
        </w:rPr>
        <w:t>)</w:t>
      </w:r>
      <w:r w:rsidR="009942DE">
        <w:rPr>
          <w:rFonts w:eastAsia="SimSun"/>
          <w:szCs w:val="24"/>
          <w:lang w:eastAsia="zh-CN"/>
        </w:rPr>
        <w:t xml:space="preserve"> and Al Qaeda</w:t>
      </w:r>
      <w:r w:rsidR="004B72AD">
        <w:rPr>
          <w:rStyle w:val="FootnoteReference"/>
          <w:rFonts w:eastAsia="SimSun"/>
          <w:szCs w:val="24"/>
          <w:lang w:eastAsia="zh-CN"/>
        </w:rPr>
        <w:footnoteReference w:id="19"/>
      </w:r>
      <w:r w:rsidR="009942DE">
        <w:rPr>
          <w:rFonts w:eastAsia="SimSun"/>
          <w:szCs w:val="24"/>
          <w:lang w:eastAsia="zh-CN"/>
        </w:rPr>
        <w:t xml:space="preserve">. The new system allows for the blocking of the funds of persons and entities associated with these organisations or participating in activities such as financing, training, recruiting, inciting to commit terrorist acts, as well as travelling outside or into the EU to participate in activities of </w:t>
      </w:r>
      <w:r w:rsidR="004B72AD">
        <w:rPr>
          <w:rFonts w:eastAsia="SimSun"/>
          <w:szCs w:val="24"/>
          <w:lang w:eastAsia="zh-CN"/>
        </w:rPr>
        <w:t>ISIL (</w:t>
      </w:r>
      <w:r w:rsidR="009942DE">
        <w:rPr>
          <w:rFonts w:eastAsia="SimSun"/>
          <w:szCs w:val="24"/>
          <w:lang w:eastAsia="zh-CN"/>
        </w:rPr>
        <w:t>Da</w:t>
      </w:r>
      <w:r w:rsidR="00D26DE1">
        <w:rPr>
          <w:rFonts w:eastAsia="SimSun"/>
          <w:szCs w:val="24"/>
          <w:lang w:eastAsia="zh-CN"/>
        </w:rPr>
        <w:t>'</w:t>
      </w:r>
      <w:r w:rsidR="009942DE">
        <w:rPr>
          <w:rFonts w:eastAsia="SimSun"/>
          <w:szCs w:val="24"/>
          <w:lang w:eastAsia="zh-CN"/>
        </w:rPr>
        <w:t>esh</w:t>
      </w:r>
      <w:r w:rsidR="004B72AD">
        <w:rPr>
          <w:rFonts w:eastAsia="SimSun"/>
          <w:szCs w:val="24"/>
          <w:lang w:eastAsia="zh-CN"/>
        </w:rPr>
        <w:t>)</w:t>
      </w:r>
      <w:r w:rsidR="009942DE">
        <w:rPr>
          <w:rFonts w:eastAsia="SimSun"/>
          <w:szCs w:val="24"/>
          <w:lang w:eastAsia="zh-CN"/>
        </w:rPr>
        <w:t xml:space="preserve"> or Al Q</w:t>
      </w:r>
      <w:r w:rsidR="001819A8">
        <w:rPr>
          <w:rFonts w:eastAsia="SimSun"/>
          <w:szCs w:val="24"/>
          <w:lang w:eastAsia="zh-CN"/>
        </w:rPr>
        <w:t>a</w:t>
      </w:r>
      <w:r w:rsidR="009942DE">
        <w:rPr>
          <w:rFonts w:eastAsia="SimSun"/>
          <w:szCs w:val="24"/>
          <w:lang w:eastAsia="zh-CN"/>
        </w:rPr>
        <w:t xml:space="preserve">eda. These regimes apply to third country nationals as well as to EU citizens, as far as they have a link to international terrorism. This means the EU can block the assets of any terrorist operating in Europe insofar as they have links to these groups. </w:t>
      </w:r>
    </w:p>
    <w:p w:rsidR="004B72AD" w:rsidRDefault="004B72AD" w:rsidP="009942DE">
      <w:pPr>
        <w:rPr>
          <w:rFonts w:eastAsia="SimSun"/>
          <w:szCs w:val="24"/>
          <w:lang w:eastAsia="zh-CN"/>
        </w:rPr>
      </w:pPr>
      <w:r>
        <w:rPr>
          <w:color w:val="000000"/>
          <w:szCs w:val="24"/>
          <w:u w:color="000000"/>
          <w:bdr w:val="nil"/>
          <w:lang w:eastAsia="en-GB"/>
        </w:rPr>
        <w:t>For other groups operating in the EU, t</w:t>
      </w:r>
      <w:r w:rsidRPr="00576CCF">
        <w:rPr>
          <w:color w:val="000000"/>
          <w:szCs w:val="24"/>
          <w:u w:color="000000"/>
          <w:bdr w:val="nil"/>
          <w:lang w:eastAsia="en-GB"/>
        </w:rPr>
        <w:t xml:space="preserve">he </w:t>
      </w:r>
      <w:r>
        <w:rPr>
          <w:color w:val="000000"/>
          <w:szCs w:val="24"/>
          <w:u w:color="000000"/>
          <w:bdr w:val="nil"/>
          <w:lang w:eastAsia="en-GB"/>
        </w:rPr>
        <w:t>reinforced</w:t>
      </w:r>
      <w:r w:rsidRPr="00576CCF">
        <w:rPr>
          <w:color w:val="000000"/>
          <w:szCs w:val="24"/>
          <w:u w:color="000000"/>
          <w:bdr w:val="nil"/>
          <w:lang w:eastAsia="en-GB"/>
        </w:rPr>
        <w:t xml:space="preserve"> criminal law </w:t>
      </w:r>
      <w:r>
        <w:rPr>
          <w:color w:val="000000"/>
          <w:szCs w:val="24"/>
          <w:u w:color="000000"/>
          <w:bdr w:val="nil"/>
          <w:lang w:eastAsia="en-GB"/>
        </w:rPr>
        <w:t>framework</w:t>
      </w:r>
      <w:r w:rsidRPr="00576CCF">
        <w:rPr>
          <w:color w:val="000000"/>
          <w:szCs w:val="24"/>
          <w:u w:color="000000"/>
          <w:bdr w:val="nil"/>
          <w:lang w:eastAsia="en-GB"/>
        </w:rPr>
        <w:t xml:space="preserve"> provid</w:t>
      </w:r>
      <w:r>
        <w:rPr>
          <w:color w:val="000000"/>
          <w:szCs w:val="24"/>
          <w:u w:color="000000"/>
          <w:bdr w:val="nil"/>
          <w:lang w:eastAsia="en-GB"/>
        </w:rPr>
        <w:t>es</w:t>
      </w:r>
      <w:r w:rsidRPr="00576CCF">
        <w:rPr>
          <w:color w:val="000000"/>
          <w:szCs w:val="24"/>
          <w:u w:color="000000"/>
          <w:bdr w:val="nil"/>
          <w:lang w:eastAsia="en-GB"/>
        </w:rPr>
        <w:t xml:space="preserve"> more options to block funds linked to terrorism than in the past</w:t>
      </w:r>
      <w:r w:rsidRPr="007A02A1">
        <w:rPr>
          <w:color w:val="000000"/>
          <w:szCs w:val="24"/>
          <w:u w:color="000000"/>
          <w:bdr w:val="nil"/>
          <w:lang w:eastAsia="en-GB"/>
        </w:rPr>
        <w:t xml:space="preserve">, </w:t>
      </w:r>
      <w:r>
        <w:rPr>
          <w:color w:val="000000"/>
          <w:szCs w:val="24"/>
          <w:u w:color="000000"/>
          <w:bdr w:val="nil"/>
          <w:lang w:eastAsia="en-GB"/>
        </w:rPr>
        <w:t>with more safeguards than administrative asset freezing while still</w:t>
      </w:r>
      <w:r w:rsidRPr="007A02A1">
        <w:rPr>
          <w:color w:val="000000"/>
          <w:szCs w:val="24"/>
          <w:u w:color="000000"/>
          <w:bdr w:val="nil"/>
          <w:lang w:eastAsia="en-GB"/>
        </w:rPr>
        <w:t xml:space="preserve"> enabling quick and effective action</w:t>
      </w:r>
      <w:r w:rsidRPr="00576CCF">
        <w:rPr>
          <w:color w:val="000000"/>
          <w:szCs w:val="24"/>
          <w:u w:color="000000"/>
          <w:bdr w:val="nil"/>
          <w:lang w:eastAsia="en-GB"/>
        </w:rPr>
        <w:t>.</w:t>
      </w:r>
    </w:p>
    <w:p w:rsidR="009942DE" w:rsidRPr="005A0269" w:rsidRDefault="009942DE" w:rsidP="002533B2">
      <w:pPr>
        <w:rPr>
          <w:b/>
          <w:i/>
          <w:szCs w:val="24"/>
        </w:rPr>
      </w:pPr>
      <w:r>
        <w:rPr>
          <w:color w:val="000000"/>
          <w:szCs w:val="24"/>
          <w:u w:color="000000"/>
          <w:bdr w:val="nil"/>
          <w:lang w:eastAsia="en-GB"/>
        </w:rPr>
        <w:t xml:space="preserve">Taking into account the limited </w:t>
      </w:r>
      <w:r w:rsidR="00403E91">
        <w:rPr>
          <w:color w:val="000000"/>
          <w:szCs w:val="24"/>
          <w:u w:color="000000"/>
          <w:bdr w:val="nil"/>
          <w:lang w:eastAsia="en-GB"/>
        </w:rPr>
        <w:t>add</w:t>
      </w:r>
      <w:r w:rsidR="00157C2A">
        <w:rPr>
          <w:color w:val="000000"/>
          <w:szCs w:val="24"/>
          <w:u w:color="000000"/>
          <w:bdr w:val="nil"/>
          <w:lang w:eastAsia="en-GB"/>
        </w:rPr>
        <w:t xml:space="preserve">itional </w:t>
      </w:r>
      <w:r w:rsidR="0051766C">
        <w:rPr>
          <w:color w:val="000000"/>
          <w:szCs w:val="24"/>
          <w:u w:color="000000"/>
          <w:bdr w:val="nil"/>
          <w:lang w:eastAsia="en-GB"/>
        </w:rPr>
        <w:t xml:space="preserve">value </w:t>
      </w:r>
      <w:r w:rsidR="004B72AD">
        <w:rPr>
          <w:color w:val="000000"/>
          <w:szCs w:val="24"/>
          <w:u w:color="000000"/>
          <w:bdr w:val="nil"/>
          <w:lang w:eastAsia="en-GB"/>
        </w:rPr>
        <w:t xml:space="preserve">in terms of law enforcement </w:t>
      </w:r>
      <w:r w:rsidR="0051766C">
        <w:rPr>
          <w:color w:val="000000"/>
          <w:szCs w:val="24"/>
          <w:u w:color="000000"/>
          <w:bdr w:val="nil"/>
          <w:lang w:eastAsia="en-GB"/>
        </w:rPr>
        <w:t xml:space="preserve">activities </w:t>
      </w:r>
      <w:r w:rsidRPr="00576CCF">
        <w:rPr>
          <w:color w:val="000000"/>
          <w:szCs w:val="24"/>
          <w:u w:color="000000"/>
          <w:bdr w:val="nil"/>
          <w:lang w:eastAsia="en-GB"/>
        </w:rPr>
        <w:t xml:space="preserve">of a </w:t>
      </w:r>
      <w:r w:rsidR="00403E91">
        <w:rPr>
          <w:color w:val="000000"/>
          <w:szCs w:val="24"/>
          <w:u w:color="000000"/>
          <w:bdr w:val="nil"/>
          <w:lang w:eastAsia="en-GB"/>
        </w:rPr>
        <w:t xml:space="preserve">new </w:t>
      </w:r>
      <w:r w:rsidRPr="00576CCF">
        <w:rPr>
          <w:color w:val="000000"/>
          <w:szCs w:val="24"/>
          <w:u w:color="000000"/>
          <w:bdr w:val="nil"/>
          <w:lang w:eastAsia="en-GB"/>
        </w:rPr>
        <w:t xml:space="preserve">regime </w:t>
      </w:r>
      <w:r w:rsidR="00403E91">
        <w:rPr>
          <w:color w:val="000000"/>
          <w:szCs w:val="24"/>
          <w:u w:color="000000"/>
          <w:bdr w:val="nil"/>
          <w:lang w:eastAsia="en-GB"/>
        </w:rPr>
        <w:t xml:space="preserve">adopted </w:t>
      </w:r>
      <w:r w:rsidRPr="00576CCF">
        <w:rPr>
          <w:color w:val="000000"/>
          <w:szCs w:val="24"/>
          <w:u w:color="000000"/>
          <w:bdr w:val="nil"/>
          <w:lang w:eastAsia="en-GB"/>
        </w:rPr>
        <w:t>under Article 75 TFEU</w:t>
      </w:r>
      <w:r w:rsidR="00157C2A">
        <w:rPr>
          <w:color w:val="000000"/>
          <w:szCs w:val="24"/>
          <w:u w:color="000000"/>
          <w:bdr w:val="nil"/>
          <w:lang w:eastAsia="en-GB"/>
        </w:rPr>
        <w:t>,</w:t>
      </w:r>
      <w:r w:rsidR="00A15168">
        <w:rPr>
          <w:color w:val="000000"/>
          <w:szCs w:val="24"/>
          <w:u w:color="000000"/>
          <w:bdr w:val="nil"/>
          <w:lang w:eastAsia="en-GB"/>
        </w:rPr>
        <w:t xml:space="preserve"> that existing instruments </w:t>
      </w:r>
      <w:r w:rsidRPr="00576CCF">
        <w:rPr>
          <w:color w:val="000000"/>
          <w:szCs w:val="24"/>
          <w:u w:color="000000"/>
          <w:bdr w:val="nil"/>
          <w:lang w:eastAsia="en-GB"/>
        </w:rPr>
        <w:t xml:space="preserve">already cover the </w:t>
      </w:r>
      <w:r w:rsidR="00403E91">
        <w:rPr>
          <w:color w:val="000000"/>
          <w:szCs w:val="24"/>
          <w:u w:color="000000"/>
          <w:bdr w:val="nil"/>
          <w:lang w:eastAsia="en-GB"/>
        </w:rPr>
        <w:t xml:space="preserve">needs </w:t>
      </w:r>
      <w:r w:rsidR="00157C2A">
        <w:rPr>
          <w:color w:val="000000"/>
          <w:szCs w:val="24"/>
          <w:u w:color="000000"/>
          <w:bdr w:val="nil"/>
          <w:lang w:eastAsia="en-GB"/>
        </w:rPr>
        <w:t xml:space="preserve">arising from </w:t>
      </w:r>
      <w:r w:rsidRPr="00576CCF">
        <w:rPr>
          <w:color w:val="000000"/>
          <w:szCs w:val="24"/>
          <w:u w:color="000000"/>
          <w:bdr w:val="nil"/>
          <w:lang w:eastAsia="en-GB"/>
        </w:rPr>
        <w:t xml:space="preserve">current threats, and the increased possibilities in the context of </w:t>
      </w:r>
      <w:r w:rsidR="00403E91">
        <w:rPr>
          <w:color w:val="000000"/>
          <w:szCs w:val="24"/>
          <w:u w:color="000000"/>
          <w:bdr w:val="nil"/>
          <w:lang w:eastAsia="en-GB"/>
        </w:rPr>
        <w:t xml:space="preserve">EU </w:t>
      </w:r>
      <w:r w:rsidRPr="00576CCF">
        <w:rPr>
          <w:color w:val="000000"/>
          <w:szCs w:val="24"/>
          <w:u w:color="000000"/>
          <w:bdr w:val="nil"/>
          <w:lang w:eastAsia="en-GB"/>
        </w:rPr>
        <w:t xml:space="preserve">criminal law to freeze assets related to terrorism, the Commission does not </w:t>
      </w:r>
      <w:r>
        <w:rPr>
          <w:color w:val="000000"/>
          <w:szCs w:val="24"/>
          <w:u w:color="000000"/>
          <w:bdr w:val="nil"/>
          <w:lang w:eastAsia="en-GB"/>
        </w:rPr>
        <w:t xml:space="preserve">consider it necessary </w:t>
      </w:r>
      <w:r w:rsidRPr="00576CCF">
        <w:rPr>
          <w:color w:val="000000"/>
          <w:szCs w:val="24"/>
          <w:u w:color="000000"/>
          <w:bdr w:val="nil"/>
          <w:lang w:eastAsia="en-GB"/>
        </w:rPr>
        <w:t xml:space="preserve">to take further steps at this </w:t>
      </w:r>
      <w:r w:rsidR="001F78D2">
        <w:rPr>
          <w:color w:val="000000"/>
          <w:szCs w:val="24"/>
          <w:u w:color="000000"/>
          <w:bdr w:val="nil"/>
          <w:lang w:eastAsia="en-GB"/>
        </w:rPr>
        <w:t>point in time</w:t>
      </w:r>
      <w:r w:rsidRPr="00576CCF">
        <w:rPr>
          <w:color w:val="000000"/>
          <w:szCs w:val="24"/>
          <w:u w:color="000000"/>
          <w:bdr w:val="nil"/>
          <w:lang w:eastAsia="en-GB"/>
        </w:rPr>
        <w:t xml:space="preserve">. </w:t>
      </w:r>
      <w:r>
        <w:rPr>
          <w:color w:val="000000"/>
          <w:szCs w:val="24"/>
          <w:u w:color="000000"/>
          <w:bdr w:val="nil"/>
          <w:lang w:eastAsia="en-GB"/>
        </w:rPr>
        <w:t>However,</w:t>
      </w:r>
      <w:r w:rsidRPr="00576CCF">
        <w:rPr>
          <w:color w:val="000000"/>
          <w:szCs w:val="24"/>
          <w:u w:color="000000"/>
          <w:bdr w:val="nil"/>
          <w:lang w:eastAsia="en-GB"/>
        </w:rPr>
        <w:t xml:space="preserve"> the Commission </w:t>
      </w:r>
      <w:r>
        <w:rPr>
          <w:color w:val="000000"/>
          <w:szCs w:val="24"/>
          <w:u w:color="000000"/>
          <w:bdr w:val="nil"/>
          <w:lang w:eastAsia="en-GB"/>
        </w:rPr>
        <w:t xml:space="preserve">will </w:t>
      </w:r>
      <w:r w:rsidR="001F78D2">
        <w:rPr>
          <w:color w:val="000000"/>
          <w:szCs w:val="24"/>
          <w:u w:color="000000"/>
          <w:bdr w:val="nil"/>
          <w:lang w:eastAsia="en-GB"/>
        </w:rPr>
        <w:t xml:space="preserve">continue to </w:t>
      </w:r>
      <w:r>
        <w:rPr>
          <w:color w:val="000000"/>
          <w:szCs w:val="24"/>
          <w:u w:color="000000"/>
          <w:bdr w:val="nil"/>
          <w:lang w:eastAsia="en-GB"/>
        </w:rPr>
        <w:t xml:space="preserve">monitor </w:t>
      </w:r>
      <w:r w:rsidRPr="00576CCF">
        <w:rPr>
          <w:color w:val="000000"/>
          <w:szCs w:val="24"/>
          <w:u w:color="000000"/>
          <w:bdr w:val="nil"/>
          <w:lang w:eastAsia="en-GB"/>
        </w:rPr>
        <w:t xml:space="preserve">the </w:t>
      </w:r>
      <w:r w:rsidR="001F78D2">
        <w:rPr>
          <w:color w:val="000000"/>
          <w:szCs w:val="24"/>
          <w:u w:color="000000"/>
          <w:bdr w:val="nil"/>
          <w:lang w:eastAsia="en-GB"/>
        </w:rPr>
        <w:t xml:space="preserve">evolution </w:t>
      </w:r>
      <w:r w:rsidRPr="00576CCF">
        <w:rPr>
          <w:color w:val="000000"/>
          <w:szCs w:val="24"/>
          <w:u w:color="000000"/>
          <w:bdr w:val="nil"/>
          <w:lang w:eastAsia="en-GB"/>
        </w:rPr>
        <w:t xml:space="preserve">of the terrorist threat within the EU </w:t>
      </w:r>
      <w:r>
        <w:rPr>
          <w:color w:val="000000"/>
          <w:szCs w:val="24"/>
          <w:u w:color="000000"/>
          <w:bdr w:val="nil"/>
          <w:lang w:eastAsia="en-GB"/>
        </w:rPr>
        <w:t xml:space="preserve">very </w:t>
      </w:r>
      <w:r w:rsidRPr="00576CCF">
        <w:rPr>
          <w:color w:val="000000"/>
          <w:szCs w:val="24"/>
          <w:u w:color="000000"/>
          <w:bdr w:val="nil"/>
          <w:lang w:eastAsia="en-GB"/>
        </w:rPr>
        <w:t>closely</w:t>
      </w:r>
      <w:r w:rsidR="00A15168">
        <w:rPr>
          <w:color w:val="000000"/>
          <w:szCs w:val="24"/>
          <w:u w:color="000000"/>
          <w:bdr w:val="nil"/>
          <w:lang w:eastAsia="en-GB"/>
        </w:rPr>
        <w:t xml:space="preserve"> and </w:t>
      </w:r>
      <w:r w:rsidR="001F78D2">
        <w:rPr>
          <w:color w:val="000000"/>
          <w:szCs w:val="24"/>
          <w:u w:color="000000"/>
          <w:bdr w:val="nil"/>
          <w:lang w:eastAsia="en-GB"/>
        </w:rPr>
        <w:t xml:space="preserve">will </w:t>
      </w:r>
      <w:r w:rsidR="00A15168">
        <w:rPr>
          <w:color w:val="000000"/>
          <w:szCs w:val="24"/>
          <w:u w:color="000000"/>
          <w:bdr w:val="nil"/>
          <w:lang w:eastAsia="en-GB"/>
        </w:rPr>
        <w:t xml:space="preserve">review the </w:t>
      </w:r>
      <w:r w:rsidR="001F78D2">
        <w:rPr>
          <w:color w:val="000000"/>
          <w:szCs w:val="24"/>
          <w:u w:color="000000"/>
          <w:bdr w:val="nil"/>
          <w:lang w:eastAsia="en-GB"/>
        </w:rPr>
        <w:t xml:space="preserve">necessity of introducing measures on the basis of Article 75 TFEU </w:t>
      </w:r>
      <w:r w:rsidR="00A15168">
        <w:rPr>
          <w:color w:val="000000"/>
          <w:szCs w:val="24"/>
          <w:u w:color="000000"/>
          <w:bdr w:val="nil"/>
          <w:lang w:eastAsia="en-GB"/>
        </w:rPr>
        <w:t>on a regular basis</w:t>
      </w:r>
      <w:r w:rsidRPr="00576CCF">
        <w:rPr>
          <w:color w:val="000000"/>
          <w:szCs w:val="24"/>
          <w:u w:color="000000"/>
          <w:bdr w:val="nil"/>
          <w:lang w:eastAsia="en-GB"/>
        </w:rPr>
        <w:t>.</w:t>
      </w:r>
    </w:p>
    <w:p w:rsidR="002533B2" w:rsidRPr="005A0269" w:rsidRDefault="002533B2" w:rsidP="005A0269">
      <w:pPr>
        <w:pStyle w:val="ListParagraph"/>
        <w:numPr>
          <w:ilvl w:val="0"/>
          <w:numId w:val="33"/>
        </w:numPr>
        <w:spacing w:after="240"/>
        <w:rPr>
          <w:b/>
          <w:i/>
        </w:rPr>
      </w:pPr>
      <w:r w:rsidRPr="005A0269">
        <w:rPr>
          <w:b/>
          <w:i/>
        </w:rPr>
        <w:t xml:space="preserve">Tracking terrorist financing </w:t>
      </w:r>
    </w:p>
    <w:p w:rsidR="003425DC" w:rsidRPr="00E40409" w:rsidRDefault="002A793C" w:rsidP="00C06D6E">
      <w:pPr>
        <w:pStyle w:val="CommentText"/>
        <w:rPr>
          <w:color w:val="000000"/>
          <w:sz w:val="24"/>
          <w:szCs w:val="24"/>
          <w:u w:color="000000"/>
          <w:bdr w:val="nil"/>
          <w:lang w:val="en-GB" w:eastAsia="en-GB"/>
        </w:rPr>
      </w:pPr>
      <w:r w:rsidRPr="00E40409">
        <w:rPr>
          <w:color w:val="000000"/>
          <w:sz w:val="24"/>
          <w:szCs w:val="24"/>
          <w:u w:color="000000"/>
          <w:bdr w:val="nil"/>
          <w:lang w:val="en-GB" w:eastAsia="en-GB"/>
        </w:rPr>
        <w:t>T</w:t>
      </w:r>
      <w:r w:rsidR="002035BC" w:rsidRPr="00E40409">
        <w:rPr>
          <w:color w:val="000000"/>
          <w:sz w:val="24"/>
          <w:szCs w:val="24"/>
          <w:u w:color="000000"/>
          <w:bdr w:val="nil"/>
          <w:lang w:val="en-GB" w:eastAsia="en-GB"/>
        </w:rPr>
        <w:t xml:space="preserve">he Action Plan </w:t>
      </w:r>
      <w:r w:rsidRPr="00E40409">
        <w:rPr>
          <w:color w:val="000000"/>
          <w:sz w:val="24"/>
          <w:szCs w:val="24"/>
          <w:u w:color="000000"/>
          <w:bdr w:val="nil"/>
          <w:lang w:val="en-GB" w:eastAsia="en-GB"/>
        </w:rPr>
        <w:t xml:space="preserve">on Terrorist Financing </w:t>
      </w:r>
      <w:r w:rsidR="00157C2A">
        <w:rPr>
          <w:color w:val="000000"/>
          <w:sz w:val="24"/>
          <w:szCs w:val="24"/>
          <w:u w:color="000000"/>
          <w:bdr w:val="nil"/>
          <w:lang w:val="en-GB" w:eastAsia="en-GB"/>
        </w:rPr>
        <w:t xml:space="preserve">highlighted </w:t>
      </w:r>
      <w:r w:rsidR="00C06D6E" w:rsidRPr="00E40409">
        <w:rPr>
          <w:color w:val="000000"/>
          <w:sz w:val="24"/>
          <w:szCs w:val="24"/>
          <w:u w:color="000000"/>
          <w:bdr w:val="nil"/>
          <w:lang w:val="en-GB" w:eastAsia="en-GB"/>
        </w:rPr>
        <w:t xml:space="preserve">that when it comes to detecting the movement of funds through financial transactions or the identification of terrorist networks and affiliates, both Financial Intelligence Units (FIUs) and tracking systems such as the EU-US Terrorist Financing Tracking Programme (TFTP) are key tools. However, existing capacities </w:t>
      </w:r>
      <w:r w:rsidR="00157C2A">
        <w:rPr>
          <w:color w:val="000000"/>
          <w:sz w:val="24"/>
          <w:szCs w:val="24"/>
          <w:u w:color="000000"/>
          <w:bdr w:val="nil"/>
          <w:lang w:val="en-GB" w:eastAsia="en-GB"/>
        </w:rPr>
        <w:t>should</w:t>
      </w:r>
      <w:r w:rsidR="00C06D6E" w:rsidRPr="00E40409">
        <w:rPr>
          <w:color w:val="000000"/>
          <w:sz w:val="24"/>
          <w:szCs w:val="24"/>
          <w:u w:color="000000"/>
          <w:bdr w:val="nil"/>
          <w:lang w:val="en-GB" w:eastAsia="en-GB"/>
        </w:rPr>
        <w:t xml:space="preserve"> be reinforced to focus both on complex and large-scale funding operations, and on "low cost" terrorist operations which </w:t>
      </w:r>
      <w:r w:rsidR="00157C2A" w:rsidRPr="004C6B72">
        <w:rPr>
          <w:color w:val="000000"/>
          <w:sz w:val="24"/>
          <w:szCs w:val="24"/>
          <w:u w:color="000000"/>
          <w:bdr w:val="nil"/>
          <w:lang w:val="en-GB" w:eastAsia="en-GB"/>
        </w:rPr>
        <w:t>use new modes of payment which are difficult to tra</w:t>
      </w:r>
      <w:r w:rsidR="00157C2A">
        <w:rPr>
          <w:color w:val="000000"/>
          <w:sz w:val="24"/>
          <w:szCs w:val="24"/>
          <w:u w:color="000000"/>
          <w:bdr w:val="nil"/>
          <w:lang w:val="en-GB" w:eastAsia="en-GB"/>
        </w:rPr>
        <w:t>ck</w:t>
      </w:r>
      <w:r w:rsidR="00C06D6E" w:rsidRPr="00E40409">
        <w:rPr>
          <w:color w:val="000000"/>
          <w:sz w:val="24"/>
          <w:szCs w:val="24"/>
          <w:u w:color="000000"/>
          <w:bdr w:val="nil"/>
          <w:lang w:val="en-GB" w:eastAsia="en-GB"/>
        </w:rPr>
        <w:t xml:space="preserve">. The speed of reaction is also essential, as current financial services allow terrorists to move funds </w:t>
      </w:r>
      <w:r w:rsidR="00157C2A" w:rsidRPr="004C6B72">
        <w:rPr>
          <w:color w:val="000000"/>
          <w:sz w:val="24"/>
          <w:szCs w:val="24"/>
          <w:u w:color="000000"/>
          <w:bdr w:val="nil"/>
          <w:lang w:val="en-GB" w:eastAsia="en-GB"/>
        </w:rPr>
        <w:t xml:space="preserve">very rapidly </w:t>
      </w:r>
      <w:r w:rsidR="00C06D6E" w:rsidRPr="00E40409">
        <w:rPr>
          <w:color w:val="000000"/>
          <w:sz w:val="24"/>
          <w:szCs w:val="24"/>
          <w:u w:color="000000"/>
          <w:bdr w:val="nil"/>
          <w:lang w:val="en-GB" w:eastAsia="en-GB"/>
        </w:rPr>
        <w:t xml:space="preserve">from one place to the other, </w:t>
      </w:r>
      <w:r w:rsidR="00157C2A">
        <w:rPr>
          <w:color w:val="000000"/>
          <w:sz w:val="24"/>
          <w:szCs w:val="24"/>
          <w:u w:color="000000"/>
          <w:bdr w:val="nil"/>
          <w:lang w:val="en-GB" w:eastAsia="en-GB"/>
        </w:rPr>
        <w:t xml:space="preserve">This clearly shows </w:t>
      </w:r>
      <w:r w:rsidR="00C06D6E" w:rsidRPr="00E40409">
        <w:rPr>
          <w:color w:val="000000"/>
          <w:sz w:val="24"/>
          <w:szCs w:val="24"/>
          <w:u w:color="000000"/>
          <w:bdr w:val="nil"/>
          <w:lang w:val="en-GB" w:eastAsia="en-GB"/>
        </w:rPr>
        <w:t xml:space="preserve">the need to improve cooperation and exchange of financial and law enforcement intelligence. Tracking of international transactions through the EU-US Terrorist Finance Tracking Programme (TFTP) agreement appears to function effectively. Following an impact assessment, a Commission Communication of November 2013 concluded that setting up an EU-based system (referred to as TFTS, Terrorist Finance Tracking System) duplicating the TFTP would not be proportionate or bring added value. </w:t>
      </w:r>
    </w:p>
    <w:p w:rsidR="00C06D6E" w:rsidRPr="00E40409" w:rsidRDefault="00C06D6E" w:rsidP="00C06D6E">
      <w:pPr>
        <w:pStyle w:val="CommentText"/>
        <w:rPr>
          <w:color w:val="000000"/>
          <w:sz w:val="24"/>
          <w:szCs w:val="24"/>
          <w:u w:color="000000"/>
          <w:bdr w:val="nil"/>
          <w:lang w:val="en-GB" w:eastAsia="en-GB"/>
        </w:rPr>
      </w:pPr>
      <w:r w:rsidRPr="00E40409">
        <w:rPr>
          <w:color w:val="000000"/>
          <w:sz w:val="24"/>
          <w:szCs w:val="24"/>
          <w:u w:color="000000"/>
          <w:bdr w:val="nil"/>
          <w:lang w:val="en-GB" w:eastAsia="en-GB"/>
        </w:rPr>
        <w:t xml:space="preserve">However, </w:t>
      </w:r>
      <w:r w:rsidR="002F2040">
        <w:rPr>
          <w:color w:val="000000"/>
          <w:sz w:val="24"/>
          <w:szCs w:val="24"/>
          <w:u w:color="000000"/>
          <w:bdr w:val="nil"/>
          <w:lang w:val="en-GB" w:eastAsia="en-GB"/>
        </w:rPr>
        <w:t xml:space="preserve">given the rapidly evolving pattern of terrorist financing, </w:t>
      </w:r>
      <w:r w:rsidRPr="00E40409">
        <w:rPr>
          <w:color w:val="000000"/>
          <w:sz w:val="24"/>
          <w:szCs w:val="24"/>
          <w:u w:color="000000"/>
          <w:bdr w:val="nil"/>
          <w:lang w:val="en-GB" w:eastAsia="en-GB"/>
        </w:rPr>
        <w:t xml:space="preserve">it would nevertheless be worthwhile to analyse the need for complementary mechanisms to the </w:t>
      </w:r>
      <w:r w:rsidR="00B240D7">
        <w:rPr>
          <w:color w:val="000000"/>
          <w:sz w:val="24"/>
          <w:szCs w:val="24"/>
          <w:u w:color="000000"/>
          <w:bdr w:val="nil"/>
          <w:lang w:val="en-GB" w:eastAsia="en-GB"/>
        </w:rPr>
        <w:t xml:space="preserve">EU-US </w:t>
      </w:r>
      <w:r w:rsidRPr="00E40409">
        <w:rPr>
          <w:color w:val="000000"/>
          <w:sz w:val="24"/>
          <w:szCs w:val="24"/>
          <w:u w:color="000000"/>
          <w:bdr w:val="nil"/>
          <w:lang w:val="en-GB" w:eastAsia="en-GB"/>
        </w:rPr>
        <w:t xml:space="preserve">TFTP to fill </w:t>
      </w:r>
      <w:r w:rsidR="002F2040">
        <w:rPr>
          <w:color w:val="000000"/>
          <w:sz w:val="24"/>
          <w:szCs w:val="24"/>
          <w:u w:color="000000"/>
          <w:bdr w:val="nil"/>
          <w:lang w:val="en-GB" w:eastAsia="en-GB"/>
        </w:rPr>
        <w:t xml:space="preserve">any </w:t>
      </w:r>
      <w:r w:rsidRPr="00E40409">
        <w:rPr>
          <w:color w:val="000000"/>
          <w:sz w:val="24"/>
          <w:szCs w:val="24"/>
          <w:u w:color="000000"/>
          <w:bdr w:val="nil"/>
          <w:lang w:val="en-GB" w:eastAsia="en-GB"/>
        </w:rPr>
        <w:t>po</w:t>
      </w:r>
      <w:r w:rsidR="002F2040">
        <w:rPr>
          <w:color w:val="000000"/>
          <w:sz w:val="24"/>
          <w:szCs w:val="24"/>
          <w:u w:color="000000"/>
          <w:bdr w:val="nil"/>
          <w:lang w:val="en-GB" w:eastAsia="en-GB"/>
        </w:rPr>
        <w:t>tential</w:t>
      </w:r>
      <w:r w:rsidRPr="00E40409">
        <w:rPr>
          <w:color w:val="000000"/>
          <w:sz w:val="24"/>
          <w:szCs w:val="24"/>
          <w:u w:color="000000"/>
          <w:bdr w:val="nil"/>
          <w:lang w:val="en-GB" w:eastAsia="en-GB"/>
        </w:rPr>
        <w:t xml:space="preserve"> gaps (i.e. transactions which are excluded from the EU-US TFTP agreement – notably intra-EU payments in euro – and may not be possible to track otherwise).</w:t>
      </w:r>
    </w:p>
    <w:p w:rsidR="00A15168" w:rsidRDefault="00C06D6E" w:rsidP="00C06D6E">
      <w:pPr>
        <w:rPr>
          <w:szCs w:val="24"/>
          <w:lang w:eastAsia="en-GB"/>
        </w:rPr>
      </w:pPr>
      <w:r>
        <w:rPr>
          <w:szCs w:val="24"/>
          <w:lang w:eastAsia="en-GB"/>
        </w:rPr>
        <w:t xml:space="preserve">First, </w:t>
      </w:r>
      <w:r w:rsidR="003425DC">
        <w:rPr>
          <w:szCs w:val="24"/>
          <w:lang w:eastAsia="en-GB"/>
        </w:rPr>
        <w:t xml:space="preserve">since 2013, </w:t>
      </w:r>
      <w:r w:rsidR="00A15168">
        <w:rPr>
          <w:szCs w:val="24"/>
          <w:lang w:eastAsia="en-GB"/>
        </w:rPr>
        <w:t xml:space="preserve">the situation has </w:t>
      </w:r>
      <w:r w:rsidR="00A35D6D">
        <w:rPr>
          <w:szCs w:val="24"/>
          <w:lang w:eastAsia="en-GB"/>
        </w:rPr>
        <w:t>evolved</w:t>
      </w:r>
      <w:r w:rsidR="00A15168">
        <w:rPr>
          <w:szCs w:val="24"/>
          <w:lang w:eastAsia="en-GB"/>
        </w:rPr>
        <w:t xml:space="preserve">: </w:t>
      </w:r>
      <w:r w:rsidR="00A15168" w:rsidRPr="00576CCF">
        <w:rPr>
          <w:szCs w:val="24"/>
          <w:lang w:eastAsia="en-GB"/>
        </w:rPr>
        <w:t>the terrorist threat</w:t>
      </w:r>
      <w:r w:rsidR="00A15168">
        <w:rPr>
          <w:szCs w:val="24"/>
          <w:lang w:eastAsia="en-GB"/>
        </w:rPr>
        <w:t xml:space="preserve"> has </w:t>
      </w:r>
      <w:r w:rsidR="002F2040">
        <w:rPr>
          <w:szCs w:val="24"/>
          <w:lang w:eastAsia="en-GB"/>
        </w:rPr>
        <w:t xml:space="preserve">shifted </w:t>
      </w:r>
      <w:r w:rsidR="00A15168">
        <w:rPr>
          <w:szCs w:val="24"/>
          <w:lang w:eastAsia="en-GB"/>
        </w:rPr>
        <w:t xml:space="preserve">and the financial resources used by terrorists are often smaller and do not necessarily transit through transfer systems such as the one covered by </w:t>
      </w:r>
      <w:r w:rsidR="00A35D6D">
        <w:rPr>
          <w:szCs w:val="24"/>
          <w:lang w:eastAsia="en-GB"/>
        </w:rPr>
        <w:t xml:space="preserve">EU-US </w:t>
      </w:r>
      <w:r w:rsidR="00A15168">
        <w:rPr>
          <w:szCs w:val="24"/>
          <w:lang w:eastAsia="en-GB"/>
        </w:rPr>
        <w:t xml:space="preserve">TFTP. Many </w:t>
      </w:r>
      <w:r w:rsidR="00A15168" w:rsidRPr="00576CCF">
        <w:rPr>
          <w:szCs w:val="24"/>
          <w:lang w:eastAsia="en-GB"/>
        </w:rPr>
        <w:t xml:space="preserve">new means of payment </w:t>
      </w:r>
      <w:r w:rsidR="00A15168">
        <w:rPr>
          <w:szCs w:val="24"/>
          <w:lang w:eastAsia="en-GB"/>
        </w:rPr>
        <w:t xml:space="preserve">have also emerged offering new ways for terrorists to finance themselves. </w:t>
      </w:r>
    </w:p>
    <w:p w:rsidR="000525E1" w:rsidRDefault="002533B2" w:rsidP="002533B2">
      <w:pPr>
        <w:rPr>
          <w:szCs w:val="24"/>
          <w:lang w:eastAsia="en-GB"/>
        </w:rPr>
      </w:pPr>
      <w:r w:rsidRPr="00576CCF">
        <w:rPr>
          <w:szCs w:val="24"/>
          <w:lang w:eastAsia="en-GB"/>
        </w:rPr>
        <w:t xml:space="preserve">Discussions with Europol and Member States </w:t>
      </w:r>
      <w:r w:rsidR="00A15168">
        <w:rPr>
          <w:szCs w:val="24"/>
          <w:lang w:eastAsia="en-GB"/>
        </w:rPr>
        <w:t>suggest</w:t>
      </w:r>
      <w:r w:rsidR="00A15168" w:rsidRPr="00576CCF">
        <w:rPr>
          <w:szCs w:val="24"/>
          <w:lang w:eastAsia="en-GB"/>
        </w:rPr>
        <w:t xml:space="preserve"> </w:t>
      </w:r>
      <w:r w:rsidRPr="00576CCF">
        <w:rPr>
          <w:szCs w:val="24"/>
          <w:lang w:eastAsia="en-GB"/>
        </w:rPr>
        <w:t xml:space="preserve">that a </w:t>
      </w:r>
      <w:r w:rsidR="000525E1">
        <w:rPr>
          <w:szCs w:val="24"/>
          <w:lang w:eastAsia="en-GB"/>
        </w:rPr>
        <w:t>European system complementing EU-US TFT</w:t>
      </w:r>
      <w:r w:rsidR="003425DC">
        <w:rPr>
          <w:szCs w:val="24"/>
          <w:lang w:eastAsia="en-GB"/>
        </w:rPr>
        <w:t>P</w:t>
      </w:r>
      <w:r w:rsidR="000525E1">
        <w:rPr>
          <w:szCs w:val="24"/>
          <w:lang w:eastAsia="en-GB"/>
        </w:rPr>
        <w:t xml:space="preserve"> </w:t>
      </w:r>
      <w:r w:rsidR="002F2040">
        <w:rPr>
          <w:szCs w:val="24"/>
          <w:lang w:eastAsia="en-GB"/>
        </w:rPr>
        <w:t>c</w:t>
      </w:r>
      <w:r w:rsidRPr="00576CCF">
        <w:rPr>
          <w:szCs w:val="24"/>
          <w:lang w:eastAsia="en-GB"/>
        </w:rPr>
        <w:t>ould provide competent authorities with a more complete picture of relevant financial transactions</w:t>
      </w:r>
      <w:r w:rsidR="000525E1">
        <w:rPr>
          <w:szCs w:val="24"/>
          <w:lang w:eastAsia="en-GB"/>
        </w:rPr>
        <w:t xml:space="preserve"> that are currently missing</w:t>
      </w:r>
      <w:r>
        <w:rPr>
          <w:szCs w:val="24"/>
          <w:lang w:eastAsia="en-GB"/>
        </w:rPr>
        <w:t>,</w:t>
      </w:r>
      <w:r w:rsidRPr="00576CCF">
        <w:rPr>
          <w:szCs w:val="24"/>
          <w:lang w:eastAsia="en-GB"/>
        </w:rPr>
        <w:t xml:space="preserve"> without having to consult numerous databases (mostly limited to information held at national level)</w:t>
      </w:r>
      <w:r>
        <w:rPr>
          <w:szCs w:val="24"/>
          <w:lang w:eastAsia="en-GB"/>
        </w:rPr>
        <w:t xml:space="preserve"> and the related risk of possibly overlooking crucial information</w:t>
      </w:r>
      <w:r w:rsidRPr="00576CCF">
        <w:rPr>
          <w:szCs w:val="24"/>
          <w:lang w:eastAsia="en-GB"/>
        </w:rPr>
        <w:t>. It would also enable cross-checking of that information with the authorities of other Member States. Combined with other intelligence, it could help to identify suspects earlier in an investigation</w:t>
      </w:r>
      <w:r w:rsidRPr="00576CCF">
        <w:rPr>
          <w:szCs w:val="24"/>
        </w:rPr>
        <w:t xml:space="preserve"> </w:t>
      </w:r>
      <w:r w:rsidRPr="00576CCF">
        <w:rPr>
          <w:szCs w:val="24"/>
          <w:lang w:eastAsia="en-GB"/>
        </w:rPr>
        <w:t>with a view to preventing attacks, provide useful intelligence right after an attack, allow faster identification of the perpetrators</w:t>
      </w:r>
      <w:r>
        <w:rPr>
          <w:szCs w:val="24"/>
          <w:lang w:eastAsia="en-GB"/>
        </w:rPr>
        <w:t xml:space="preserve"> and their supporters,</w:t>
      </w:r>
      <w:r w:rsidRPr="00576CCF">
        <w:rPr>
          <w:szCs w:val="24"/>
          <w:lang w:eastAsia="en-GB"/>
        </w:rPr>
        <w:t xml:space="preserve"> and provide important evidence for the prosecution of terrorists. </w:t>
      </w:r>
    </w:p>
    <w:p w:rsidR="004B72AD" w:rsidRPr="00576CCF" w:rsidRDefault="000525E1" w:rsidP="004B72AD">
      <w:pPr>
        <w:rPr>
          <w:szCs w:val="24"/>
          <w:lang w:eastAsia="en-GB"/>
        </w:rPr>
      </w:pPr>
      <w:r>
        <w:rPr>
          <w:szCs w:val="24"/>
          <w:lang w:eastAsia="en-GB"/>
        </w:rPr>
        <w:t>However, t</w:t>
      </w:r>
      <w:r w:rsidR="002533B2" w:rsidRPr="00576CCF">
        <w:rPr>
          <w:szCs w:val="24"/>
          <w:lang w:eastAsia="en-GB"/>
        </w:rPr>
        <w:t xml:space="preserve">he added value of a </w:t>
      </w:r>
      <w:r>
        <w:rPr>
          <w:szCs w:val="24"/>
          <w:lang w:eastAsia="en-GB"/>
        </w:rPr>
        <w:t xml:space="preserve">European </w:t>
      </w:r>
      <w:r w:rsidR="003425DC">
        <w:rPr>
          <w:szCs w:val="24"/>
          <w:lang w:eastAsia="en-GB"/>
        </w:rPr>
        <w:t xml:space="preserve">complementary </w:t>
      </w:r>
      <w:r>
        <w:rPr>
          <w:szCs w:val="24"/>
          <w:lang w:eastAsia="en-GB"/>
        </w:rPr>
        <w:t>system</w:t>
      </w:r>
      <w:r w:rsidRPr="00576CCF">
        <w:rPr>
          <w:szCs w:val="24"/>
          <w:lang w:eastAsia="en-GB"/>
        </w:rPr>
        <w:t xml:space="preserve"> </w:t>
      </w:r>
      <w:r w:rsidR="002533B2" w:rsidRPr="00576CCF">
        <w:rPr>
          <w:szCs w:val="24"/>
          <w:lang w:eastAsia="en-GB"/>
        </w:rPr>
        <w:t>would need to be weighed against other considerations</w:t>
      </w:r>
      <w:r w:rsidR="002533B2">
        <w:rPr>
          <w:szCs w:val="24"/>
          <w:lang w:eastAsia="en-GB"/>
        </w:rPr>
        <w:t>. This would need to include notably: (i)</w:t>
      </w:r>
      <w:r w:rsidR="002533B2" w:rsidRPr="00576CCF">
        <w:rPr>
          <w:szCs w:val="24"/>
          <w:lang w:eastAsia="en-GB"/>
        </w:rPr>
        <w:t xml:space="preserve"> an assessment of the</w:t>
      </w:r>
      <w:r w:rsidR="002533B2">
        <w:rPr>
          <w:szCs w:val="24"/>
          <w:lang w:eastAsia="en-GB"/>
        </w:rPr>
        <w:t xml:space="preserve"> </w:t>
      </w:r>
      <w:r w:rsidR="002533B2" w:rsidRPr="00576CCF">
        <w:rPr>
          <w:szCs w:val="24"/>
          <w:lang w:eastAsia="en-GB"/>
        </w:rPr>
        <w:t xml:space="preserve"> risk</w:t>
      </w:r>
      <w:r w:rsidR="002533B2">
        <w:rPr>
          <w:szCs w:val="24"/>
          <w:lang w:eastAsia="en-GB"/>
        </w:rPr>
        <w:t>s</w:t>
      </w:r>
      <w:r w:rsidR="002533B2" w:rsidRPr="00576CCF">
        <w:rPr>
          <w:szCs w:val="24"/>
          <w:lang w:eastAsia="en-GB"/>
        </w:rPr>
        <w:t xml:space="preserve"> of </w:t>
      </w:r>
      <w:r w:rsidR="002533B2">
        <w:rPr>
          <w:szCs w:val="24"/>
          <w:lang w:eastAsia="en-GB"/>
        </w:rPr>
        <w:t xml:space="preserve">a particular channel to be used for </w:t>
      </w:r>
      <w:r w:rsidR="002533B2" w:rsidRPr="00576CCF">
        <w:rPr>
          <w:szCs w:val="24"/>
          <w:lang w:eastAsia="en-GB"/>
        </w:rPr>
        <w:t xml:space="preserve">terrorist financing, </w:t>
      </w:r>
      <w:r w:rsidR="002533B2">
        <w:rPr>
          <w:szCs w:val="24"/>
          <w:lang w:eastAsia="en-GB"/>
        </w:rPr>
        <w:t xml:space="preserve">and the proportionality of the measure envisaged; (ii) </w:t>
      </w:r>
      <w:r w:rsidR="002533B2" w:rsidRPr="00576CCF">
        <w:rPr>
          <w:szCs w:val="24"/>
          <w:lang w:eastAsia="en-GB"/>
        </w:rPr>
        <w:t>the</w:t>
      </w:r>
      <w:r w:rsidR="00A35D6D">
        <w:rPr>
          <w:szCs w:val="24"/>
          <w:lang w:eastAsia="en-GB"/>
        </w:rPr>
        <w:t xml:space="preserve"> technical complexity,</w:t>
      </w:r>
      <w:r w:rsidR="002533B2" w:rsidRPr="00576CCF">
        <w:rPr>
          <w:szCs w:val="24"/>
          <w:lang w:eastAsia="en-GB"/>
        </w:rPr>
        <w:t xml:space="preserve"> feasibility and costs of collecting and processing large amounts of dat</w:t>
      </w:r>
      <w:r w:rsidR="002533B2">
        <w:rPr>
          <w:szCs w:val="24"/>
          <w:lang w:eastAsia="en-GB"/>
        </w:rPr>
        <w:t>a from a wide range of entities</w:t>
      </w:r>
      <w:r w:rsidR="002533B2" w:rsidRPr="00576CCF">
        <w:rPr>
          <w:szCs w:val="24"/>
          <w:lang w:eastAsia="en-GB"/>
        </w:rPr>
        <w:t xml:space="preserve"> </w:t>
      </w:r>
      <w:r w:rsidR="002533B2">
        <w:rPr>
          <w:szCs w:val="24"/>
          <w:lang w:eastAsia="en-GB"/>
        </w:rPr>
        <w:t xml:space="preserve">and the </w:t>
      </w:r>
      <w:r w:rsidR="004B72AD">
        <w:rPr>
          <w:szCs w:val="24"/>
          <w:lang w:eastAsia="en-GB"/>
        </w:rPr>
        <w:t xml:space="preserve">economic </w:t>
      </w:r>
      <w:r w:rsidR="002533B2">
        <w:rPr>
          <w:szCs w:val="24"/>
          <w:lang w:eastAsia="en-GB"/>
        </w:rPr>
        <w:t>impact</w:t>
      </w:r>
      <w:r w:rsidR="004B72AD">
        <w:rPr>
          <w:szCs w:val="24"/>
          <w:lang w:eastAsia="en-GB"/>
        </w:rPr>
        <w:t xml:space="preserve"> on these entities</w:t>
      </w:r>
      <w:r w:rsidR="002533B2">
        <w:rPr>
          <w:szCs w:val="24"/>
          <w:lang w:eastAsia="en-GB"/>
        </w:rPr>
        <w:t xml:space="preserve">; and </w:t>
      </w:r>
      <w:r w:rsidR="004B72AD">
        <w:rPr>
          <w:szCs w:val="24"/>
          <w:lang w:eastAsia="en-GB"/>
        </w:rPr>
        <w:t>and (iii)</w:t>
      </w:r>
      <w:r w:rsidR="004B72AD" w:rsidRPr="00576CCF">
        <w:rPr>
          <w:szCs w:val="24"/>
          <w:lang w:eastAsia="en-GB"/>
        </w:rPr>
        <w:t xml:space="preserve"> </w:t>
      </w:r>
      <w:r w:rsidR="004B72AD" w:rsidRPr="001D7CE9">
        <w:rPr>
          <w:szCs w:val="24"/>
          <w:lang w:eastAsia="en-GB"/>
        </w:rPr>
        <w:t xml:space="preserve"> </w:t>
      </w:r>
      <w:r w:rsidR="004B72AD">
        <w:rPr>
          <w:szCs w:val="24"/>
          <w:lang w:eastAsia="en-GB"/>
        </w:rPr>
        <w:t>the impact on fundamental rights, notably the</w:t>
      </w:r>
      <w:r w:rsidR="004B72AD" w:rsidRPr="00576CCF">
        <w:rPr>
          <w:szCs w:val="24"/>
          <w:lang w:eastAsia="en-GB"/>
        </w:rPr>
        <w:t xml:space="preserve"> protection of private life </w:t>
      </w:r>
      <w:r w:rsidR="004B72AD">
        <w:rPr>
          <w:szCs w:val="24"/>
          <w:lang w:eastAsia="en-GB"/>
        </w:rPr>
        <w:t xml:space="preserve">and the right to the protection of personal data.  </w:t>
      </w:r>
    </w:p>
    <w:p w:rsidR="002533B2" w:rsidRPr="00576CCF" w:rsidRDefault="000525E1" w:rsidP="002533B2">
      <w:pPr>
        <w:rPr>
          <w:szCs w:val="24"/>
          <w:lang w:eastAsia="en-GB"/>
        </w:rPr>
      </w:pPr>
      <w:r w:rsidRPr="00931F85">
        <w:rPr>
          <w:szCs w:val="24"/>
          <w:lang w:eastAsia="en-GB"/>
        </w:rPr>
        <w:t xml:space="preserve">A key issue would be </w:t>
      </w:r>
      <w:r>
        <w:rPr>
          <w:szCs w:val="24"/>
          <w:lang w:eastAsia="en-GB"/>
        </w:rPr>
        <w:t>the</w:t>
      </w:r>
      <w:r w:rsidRPr="00931F85">
        <w:rPr>
          <w:szCs w:val="24"/>
          <w:lang w:eastAsia="en-GB"/>
        </w:rPr>
        <w:t xml:space="preserve"> scope </w:t>
      </w:r>
      <w:r>
        <w:rPr>
          <w:szCs w:val="24"/>
          <w:lang w:eastAsia="en-GB"/>
        </w:rPr>
        <w:t xml:space="preserve">of such a system, notably </w:t>
      </w:r>
      <w:r w:rsidRPr="00931F85">
        <w:rPr>
          <w:szCs w:val="24"/>
          <w:lang w:eastAsia="en-GB"/>
        </w:rPr>
        <w:t xml:space="preserve">which payment and money transfer services could be included and which entities holding financing information could be required to provide information to </w:t>
      </w:r>
      <w:r>
        <w:rPr>
          <w:szCs w:val="24"/>
          <w:lang w:eastAsia="en-GB"/>
        </w:rPr>
        <w:t xml:space="preserve">this system. </w:t>
      </w:r>
    </w:p>
    <w:p w:rsidR="002533B2" w:rsidRPr="00576CCF" w:rsidRDefault="002533B2" w:rsidP="002533B2">
      <w:pPr>
        <w:rPr>
          <w:szCs w:val="24"/>
          <w:lang w:eastAsia="en-GB"/>
        </w:rPr>
      </w:pPr>
      <w:r w:rsidRPr="00576CCF">
        <w:rPr>
          <w:szCs w:val="24"/>
          <w:lang w:eastAsia="en-GB"/>
        </w:rPr>
        <w:t>Limiting the scope to S</w:t>
      </w:r>
      <w:r w:rsidR="006A5B2A">
        <w:rPr>
          <w:szCs w:val="24"/>
          <w:lang w:eastAsia="en-GB"/>
        </w:rPr>
        <w:t>ingle European Payments Area (S</w:t>
      </w:r>
      <w:r w:rsidRPr="00576CCF">
        <w:rPr>
          <w:szCs w:val="24"/>
          <w:lang w:eastAsia="en-GB"/>
        </w:rPr>
        <w:t>EPA</w:t>
      </w:r>
      <w:r w:rsidR="006A5B2A">
        <w:rPr>
          <w:szCs w:val="24"/>
          <w:lang w:eastAsia="en-GB"/>
        </w:rPr>
        <w:t>)</w:t>
      </w:r>
      <w:r w:rsidRPr="00576CCF">
        <w:rPr>
          <w:szCs w:val="24"/>
          <w:lang w:eastAsia="en-GB"/>
        </w:rPr>
        <w:t xml:space="preserve"> wire transfers could already provide </w:t>
      </w:r>
      <w:r>
        <w:rPr>
          <w:szCs w:val="24"/>
          <w:lang w:eastAsia="en-GB"/>
        </w:rPr>
        <w:t xml:space="preserve">some </w:t>
      </w:r>
      <w:r w:rsidRPr="00576CCF">
        <w:rPr>
          <w:szCs w:val="24"/>
          <w:lang w:eastAsia="en-GB"/>
        </w:rPr>
        <w:t>added value</w:t>
      </w:r>
      <w:r w:rsidR="004B72AD">
        <w:rPr>
          <w:szCs w:val="24"/>
          <w:lang w:eastAsia="en-GB"/>
        </w:rPr>
        <w:t xml:space="preserve"> in terms of law enforcement</w:t>
      </w:r>
      <w:r w:rsidRPr="00576CCF">
        <w:rPr>
          <w:szCs w:val="24"/>
          <w:lang w:eastAsia="en-GB"/>
        </w:rPr>
        <w:t xml:space="preserve">: the majority of terrorist cells located in Europe have derived some income from legal sources </w:t>
      </w:r>
      <w:r>
        <w:rPr>
          <w:szCs w:val="24"/>
          <w:lang w:eastAsia="en-GB"/>
        </w:rPr>
        <w:t xml:space="preserve">– </w:t>
      </w:r>
      <w:r w:rsidRPr="00576CCF">
        <w:rPr>
          <w:szCs w:val="24"/>
          <w:lang w:eastAsia="en-GB"/>
        </w:rPr>
        <w:t>usually received through the formal banking system</w:t>
      </w:r>
      <w:r>
        <w:rPr>
          <w:szCs w:val="24"/>
          <w:lang w:eastAsia="en-GB"/>
        </w:rPr>
        <w:t xml:space="preserve"> –</w:t>
      </w:r>
      <w:r w:rsidRPr="00576CCF">
        <w:rPr>
          <w:szCs w:val="24"/>
          <w:lang w:eastAsia="en-GB"/>
        </w:rPr>
        <w:t xml:space="preserve"> and use bank accounts and credit cards both for their everyday economic activities and for attack-related expenses. The potential providers of data would be financial message services providers and automated clearing houses, but could also include credit institutions. </w:t>
      </w:r>
      <w:r>
        <w:rPr>
          <w:szCs w:val="24"/>
          <w:lang w:eastAsia="en-GB"/>
        </w:rPr>
        <w:t>However, w</w:t>
      </w:r>
      <w:r w:rsidRPr="00576CCF">
        <w:rPr>
          <w:szCs w:val="24"/>
          <w:lang w:eastAsia="en-GB"/>
        </w:rPr>
        <w:t xml:space="preserve">hile a system covering SEPA </w:t>
      </w:r>
      <w:r w:rsidR="004B72AD">
        <w:rPr>
          <w:szCs w:val="24"/>
          <w:lang w:eastAsia="en-GB"/>
        </w:rPr>
        <w:t xml:space="preserve">transfers </w:t>
      </w:r>
      <w:r w:rsidRPr="00576CCF">
        <w:rPr>
          <w:szCs w:val="24"/>
          <w:lang w:eastAsia="en-GB"/>
        </w:rPr>
        <w:t>would benefit from an existing regulatory framework and common standards, it would exclude transactions across the EU in currencies other than the euro and using other means of payment.</w:t>
      </w:r>
    </w:p>
    <w:p w:rsidR="002533B2" w:rsidRPr="00576CCF" w:rsidRDefault="002533B2" w:rsidP="002533B2">
      <w:pPr>
        <w:rPr>
          <w:szCs w:val="24"/>
          <w:lang w:eastAsia="en-GB"/>
        </w:rPr>
      </w:pPr>
      <w:r w:rsidRPr="00576CCF">
        <w:rPr>
          <w:szCs w:val="24"/>
          <w:lang w:eastAsia="en-GB"/>
        </w:rPr>
        <w:t xml:space="preserve">Extending the scope to </w:t>
      </w:r>
      <w:r w:rsidR="004B72AD">
        <w:rPr>
          <w:szCs w:val="24"/>
          <w:lang w:eastAsia="en-GB"/>
        </w:rPr>
        <w:t xml:space="preserve">cover transfers in other currencies as well as </w:t>
      </w:r>
      <w:r w:rsidRPr="00576CCF">
        <w:rPr>
          <w:szCs w:val="24"/>
          <w:lang w:eastAsia="en-GB"/>
        </w:rPr>
        <w:t xml:space="preserve">payments with credit, debit and pre-paid cards, e-wallet providers, money remittances or virtual currencies could further increase </w:t>
      </w:r>
      <w:r w:rsidR="004B72AD">
        <w:rPr>
          <w:szCs w:val="24"/>
          <w:lang w:eastAsia="en-GB"/>
        </w:rPr>
        <w:t xml:space="preserve">the </w:t>
      </w:r>
      <w:r w:rsidR="000525E1">
        <w:rPr>
          <w:szCs w:val="24"/>
          <w:lang w:eastAsia="en-GB"/>
        </w:rPr>
        <w:t>added value</w:t>
      </w:r>
      <w:r w:rsidR="004B72AD">
        <w:rPr>
          <w:szCs w:val="24"/>
          <w:lang w:eastAsia="en-GB"/>
        </w:rPr>
        <w:t xml:space="preserve"> in terms of law enforcement</w:t>
      </w:r>
      <w:r w:rsidRPr="00576CCF">
        <w:rPr>
          <w:szCs w:val="24"/>
          <w:lang w:eastAsia="en-GB"/>
        </w:rPr>
        <w:t>. At the same time, it would involve a significant additional amount of data and providers, which could have a further</w:t>
      </w:r>
      <w:r w:rsidR="000525E1">
        <w:rPr>
          <w:szCs w:val="24"/>
          <w:lang w:eastAsia="en-GB"/>
        </w:rPr>
        <w:t xml:space="preserve"> significant</w:t>
      </w:r>
      <w:r w:rsidRPr="00576CCF">
        <w:rPr>
          <w:szCs w:val="24"/>
          <w:lang w:eastAsia="en-GB"/>
        </w:rPr>
        <w:t xml:space="preserve"> impact on the costs of the system</w:t>
      </w:r>
      <w:r w:rsidR="000F6123">
        <w:rPr>
          <w:szCs w:val="24"/>
          <w:lang w:eastAsia="en-GB"/>
        </w:rPr>
        <w:t xml:space="preserve"> and </w:t>
      </w:r>
      <w:r>
        <w:rPr>
          <w:szCs w:val="24"/>
          <w:lang w:eastAsia="en-GB"/>
        </w:rPr>
        <w:t>its proportionality</w:t>
      </w:r>
      <w:r w:rsidRPr="00576CCF">
        <w:rPr>
          <w:szCs w:val="24"/>
          <w:lang w:eastAsia="en-GB"/>
        </w:rPr>
        <w:t xml:space="preserve">. </w:t>
      </w:r>
    </w:p>
    <w:p w:rsidR="002533B2" w:rsidRPr="00576CCF" w:rsidRDefault="002533B2" w:rsidP="002533B2">
      <w:pPr>
        <w:rPr>
          <w:szCs w:val="24"/>
          <w:lang w:eastAsia="en-GB"/>
        </w:rPr>
      </w:pPr>
      <w:r w:rsidRPr="00D428FE">
        <w:rPr>
          <w:szCs w:val="24"/>
          <w:lang w:eastAsia="en-GB"/>
        </w:rPr>
        <w:t xml:space="preserve">In light </w:t>
      </w:r>
      <w:r w:rsidR="00403E91">
        <w:rPr>
          <w:szCs w:val="24"/>
          <w:lang w:eastAsia="en-GB"/>
        </w:rPr>
        <w:t>of these considerations</w:t>
      </w:r>
      <w:r w:rsidR="000D100A" w:rsidRPr="005A0269">
        <w:rPr>
          <w:szCs w:val="24"/>
          <w:lang w:eastAsia="en-GB"/>
        </w:rPr>
        <w:t xml:space="preserve">, </w:t>
      </w:r>
      <w:r w:rsidRPr="00D428FE">
        <w:rPr>
          <w:szCs w:val="24"/>
          <w:lang w:eastAsia="en-GB"/>
        </w:rPr>
        <w:t xml:space="preserve">the Commission </w:t>
      </w:r>
      <w:r w:rsidR="000D100A" w:rsidRPr="005A0269">
        <w:rPr>
          <w:szCs w:val="24"/>
          <w:lang w:eastAsia="en-GB"/>
        </w:rPr>
        <w:t xml:space="preserve">will </w:t>
      </w:r>
      <w:r w:rsidR="00403E91">
        <w:rPr>
          <w:szCs w:val="24"/>
          <w:lang w:eastAsia="en-GB"/>
        </w:rPr>
        <w:t xml:space="preserve">continue its assessment and will </w:t>
      </w:r>
      <w:r w:rsidR="002F2040">
        <w:rPr>
          <w:szCs w:val="24"/>
          <w:lang w:eastAsia="en-GB"/>
        </w:rPr>
        <w:t xml:space="preserve">consider </w:t>
      </w:r>
      <w:r w:rsidR="000D100A" w:rsidRPr="005A0269">
        <w:rPr>
          <w:szCs w:val="24"/>
          <w:lang w:eastAsia="en-GB"/>
        </w:rPr>
        <w:t>options to set up a European system to track terrorist financing</w:t>
      </w:r>
      <w:r w:rsidR="00A15168" w:rsidRPr="00D428FE">
        <w:rPr>
          <w:szCs w:val="24"/>
          <w:lang w:eastAsia="en-GB"/>
        </w:rPr>
        <w:t xml:space="preserve">, </w:t>
      </w:r>
      <w:r w:rsidR="00A15168" w:rsidRPr="005A0269">
        <w:rPr>
          <w:szCs w:val="24"/>
          <w:lang w:eastAsia="en-GB"/>
        </w:rPr>
        <w:t>complementary to the existing TFTP</w:t>
      </w:r>
      <w:r w:rsidR="000D100A" w:rsidRPr="005A0269">
        <w:rPr>
          <w:szCs w:val="24"/>
          <w:lang w:eastAsia="en-GB"/>
        </w:rPr>
        <w:t>, including the impact of these options on fundamental right</w:t>
      </w:r>
      <w:r w:rsidR="00D428FE" w:rsidRPr="00D428FE">
        <w:rPr>
          <w:szCs w:val="24"/>
          <w:lang w:eastAsia="en-GB"/>
        </w:rPr>
        <w:t>s.</w:t>
      </w:r>
      <w:r w:rsidR="000D100A" w:rsidRPr="005A0269">
        <w:rPr>
          <w:szCs w:val="24"/>
          <w:lang w:eastAsia="en-GB"/>
        </w:rPr>
        <w:t xml:space="preserve"> </w:t>
      </w:r>
      <w:r w:rsidR="00D428FE" w:rsidRPr="005A0269">
        <w:rPr>
          <w:szCs w:val="24"/>
          <w:lang w:eastAsia="en-GB"/>
        </w:rPr>
        <w:t xml:space="preserve">Considering the technical </w:t>
      </w:r>
      <w:r w:rsidR="000525E1">
        <w:rPr>
          <w:szCs w:val="24"/>
          <w:lang w:eastAsia="en-GB"/>
        </w:rPr>
        <w:t xml:space="preserve">and legal </w:t>
      </w:r>
      <w:r w:rsidR="00D428FE" w:rsidRPr="005A0269">
        <w:rPr>
          <w:szCs w:val="24"/>
          <w:lang w:eastAsia="en-GB"/>
        </w:rPr>
        <w:t xml:space="preserve">complexity of the issues involved, detailed consultation with financial services providers will be necessary. </w:t>
      </w:r>
      <w:r w:rsidR="000D100A" w:rsidRPr="005A0269">
        <w:rPr>
          <w:szCs w:val="24"/>
          <w:lang w:eastAsia="en-GB"/>
        </w:rPr>
        <w:t>The Commission will report</w:t>
      </w:r>
      <w:r w:rsidR="00A35D6D">
        <w:rPr>
          <w:szCs w:val="24"/>
          <w:lang w:eastAsia="en-GB"/>
        </w:rPr>
        <w:t xml:space="preserve"> on</w:t>
      </w:r>
      <w:r w:rsidR="000D100A" w:rsidRPr="005A0269">
        <w:rPr>
          <w:szCs w:val="24"/>
          <w:lang w:eastAsia="en-GB"/>
        </w:rPr>
        <w:t xml:space="preserve"> </w:t>
      </w:r>
      <w:r w:rsidR="00D428FE" w:rsidRPr="00D428FE">
        <w:rPr>
          <w:szCs w:val="24"/>
          <w:lang w:eastAsia="en-GB"/>
        </w:rPr>
        <w:t xml:space="preserve">its </w:t>
      </w:r>
      <w:r w:rsidR="000D100A" w:rsidRPr="005A0269">
        <w:rPr>
          <w:szCs w:val="24"/>
          <w:lang w:eastAsia="en-GB"/>
        </w:rPr>
        <w:t>finding</w:t>
      </w:r>
      <w:r w:rsidR="00D428FE" w:rsidRPr="00D428FE">
        <w:rPr>
          <w:szCs w:val="24"/>
          <w:lang w:eastAsia="en-GB"/>
        </w:rPr>
        <w:t>s</w:t>
      </w:r>
      <w:r w:rsidR="000D100A" w:rsidRPr="005A0269">
        <w:rPr>
          <w:szCs w:val="24"/>
          <w:lang w:eastAsia="en-GB"/>
        </w:rPr>
        <w:t xml:space="preserve"> in the summer </w:t>
      </w:r>
      <w:r w:rsidRPr="00D428FE">
        <w:rPr>
          <w:szCs w:val="24"/>
          <w:lang w:eastAsia="en-GB"/>
        </w:rPr>
        <w:t>of 2017.</w:t>
      </w:r>
    </w:p>
    <w:p w:rsidR="000531EC" w:rsidRDefault="00C53A51" w:rsidP="00403E91">
      <w:pPr>
        <w:rPr>
          <w:rFonts w:eastAsia="Calibri"/>
          <w:szCs w:val="24"/>
        </w:rPr>
      </w:pPr>
      <w:r w:rsidRPr="00576CCF">
        <w:rPr>
          <w:szCs w:val="24"/>
        </w:rPr>
        <w:t xml:space="preserve">Looking ahead, the work </w:t>
      </w:r>
      <w:r w:rsidR="00D428FE">
        <w:rPr>
          <w:szCs w:val="24"/>
        </w:rPr>
        <w:t>to fully deliver the Action Plan to strengthen the fight against terrorist financing</w:t>
      </w:r>
      <w:r w:rsidR="00D428FE" w:rsidRPr="00576CCF">
        <w:rPr>
          <w:szCs w:val="24"/>
        </w:rPr>
        <w:t xml:space="preserve"> </w:t>
      </w:r>
      <w:r w:rsidRPr="00576CCF">
        <w:rPr>
          <w:szCs w:val="24"/>
        </w:rPr>
        <w:t xml:space="preserve">will continue </w:t>
      </w:r>
      <w:r w:rsidR="00D428FE">
        <w:rPr>
          <w:szCs w:val="24"/>
        </w:rPr>
        <w:t>i</w:t>
      </w:r>
      <w:r w:rsidRPr="00576CCF">
        <w:rPr>
          <w:szCs w:val="24"/>
        </w:rPr>
        <w:t>n 2017</w:t>
      </w:r>
      <w:r w:rsidR="00403E91">
        <w:rPr>
          <w:szCs w:val="24"/>
        </w:rPr>
        <w:t xml:space="preserve">, notably on the possibility to </w:t>
      </w:r>
      <w:r w:rsidR="00403E91" w:rsidRPr="00B33533">
        <w:rPr>
          <w:szCs w:val="24"/>
        </w:rPr>
        <w:t>reinforce the powers of customs authorities to</w:t>
      </w:r>
      <w:r w:rsidR="00403E91">
        <w:rPr>
          <w:szCs w:val="24"/>
        </w:rPr>
        <w:t xml:space="preserve"> fight against terrorism financing, presenting </w:t>
      </w:r>
      <w:r w:rsidR="00403E91" w:rsidRPr="00B33533">
        <w:rPr>
          <w:szCs w:val="24"/>
        </w:rPr>
        <w:t>a proposal to address terrorism financing through trade in goods and illicit trade in cultural goods</w:t>
      </w:r>
      <w:r w:rsidR="007B5A4F">
        <w:rPr>
          <w:szCs w:val="24"/>
        </w:rPr>
        <w:t>,</w:t>
      </w:r>
      <w:r w:rsidR="00403E91">
        <w:rPr>
          <w:szCs w:val="24"/>
        </w:rPr>
        <w:t xml:space="preserve"> a</w:t>
      </w:r>
      <w:r w:rsidR="00403E91" w:rsidRPr="00B33533">
        <w:rPr>
          <w:szCs w:val="24"/>
        </w:rPr>
        <w:t>nd examin</w:t>
      </w:r>
      <w:r w:rsidR="007B5A4F">
        <w:rPr>
          <w:szCs w:val="24"/>
        </w:rPr>
        <w:t>ing</w:t>
      </w:r>
      <w:r w:rsidR="00403E91" w:rsidRPr="00B33533">
        <w:rPr>
          <w:szCs w:val="24"/>
        </w:rPr>
        <w:t xml:space="preserve"> possibilities to extend law enforcement and other public authorities access to bank account registers.</w:t>
      </w:r>
      <w:r w:rsidR="00403E91">
        <w:rPr>
          <w:szCs w:val="24"/>
        </w:rPr>
        <w:t xml:space="preserve"> </w:t>
      </w:r>
      <w:r w:rsidRPr="00576CCF">
        <w:rPr>
          <w:szCs w:val="24"/>
        </w:rPr>
        <w:t xml:space="preserve">The Commission </w:t>
      </w:r>
      <w:r w:rsidR="00403E91">
        <w:rPr>
          <w:szCs w:val="24"/>
        </w:rPr>
        <w:t>is</w:t>
      </w:r>
      <w:r w:rsidR="00403E91" w:rsidRPr="00576CCF">
        <w:rPr>
          <w:szCs w:val="24"/>
        </w:rPr>
        <w:t xml:space="preserve"> </w:t>
      </w:r>
      <w:r w:rsidRPr="00576CCF">
        <w:rPr>
          <w:szCs w:val="24"/>
        </w:rPr>
        <w:t>encourag</w:t>
      </w:r>
      <w:r w:rsidR="00403E91">
        <w:rPr>
          <w:szCs w:val="24"/>
        </w:rPr>
        <w:t>ing</w:t>
      </w:r>
      <w:r w:rsidRPr="00576CCF">
        <w:rPr>
          <w:szCs w:val="24"/>
        </w:rPr>
        <w:t xml:space="preserve"> co-</w:t>
      </w:r>
      <w:r>
        <w:rPr>
          <w:szCs w:val="24"/>
        </w:rPr>
        <w:t xml:space="preserve">legislators </w:t>
      </w:r>
      <w:r w:rsidRPr="00B33533">
        <w:rPr>
          <w:szCs w:val="24"/>
        </w:rPr>
        <w:t xml:space="preserve">to prioritise the legislative files </w:t>
      </w:r>
      <w:r w:rsidR="00403E91">
        <w:rPr>
          <w:szCs w:val="24"/>
        </w:rPr>
        <w:t xml:space="preserve">already </w:t>
      </w:r>
      <w:r w:rsidR="002F2040" w:rsidRPr="00B33533">
        <w:rPr>
          <w:szCs w:val="24"/>
        </w:rPr>
        <w:t xml:space="preserve">presented </w:t>
      </w:r>
      <w:r w:rsidR="00403E91">
        <w:rPr>
          <w:szCs w:val="24"/>
        </w:rPr>
        <w:t xml:space="preserve">and </w:t>
      </w:r>
      <w:r w:rsidRPr="00B33533">
        <w:rPr>
          <w:szCs w:val="24"/>
        </w:rPr>
        <w:t>to reach agreement on the</w:t>
      </w:r>
      <w:r w:rsidR="00BA4AAD">
        <w:rPr>
          <w:szCs w:val="24"/>
        </w:rPr>
        <w:t xml:space="preserve"> revised</w:t>
      </w:r>
      <w:r w:rsidRPr="00B33533">
        <w:rPr>
          <w:szCs w:val="24"/>
        </w:rPr>
        <w:t xml:space="preserve"> 4th Money Laundering Directive without further delay</w:t>
      </w:r>
      <w:r w:rsidR="003425DC">
        <w:rPr>
          <w:rStyle w:val="FootnoteReference"/>
          <w:szCs w:val="24"/>
        </w:rPr>
        <w:footnoteReference w:id="20"/>
      </w:r>
      <w:r w:rsidRPr="00B33533">
        <w:rPr>
          <w:szCs w:val="24"/>
        </w:rPr>
        <w:t xml:space="preserve">. </w:t>
      </w:r>
    </w:p>
    <w:p w:rsidR="002533B2" w:rsidRDefault="00D92EF2" w:rsidP="005A0269">
      <w:pPr>
        <w:spacing w:after="120"/>
        <w:ind w:left="709" w:hanging="709"/>
        <w:rPr>
          <w:rFonts w:eastAsia="Calibri"/>
          <w:szCs w:val="24"/>
        </w:rPr>
      </w:pPr>
      <w:r w:rsidRPr="00460916">
        <w:rPr>
          <w:rFonts w:eastAsia="Calibri"/>
          <w:b/>
          <w:bCs/>
          <w:szCs w:val="24"/>
        </w:rPr>
        <w:t>I</w:t>
      </w:r>
      <w:r w:rsidR="002533B2">
        <w:rPr>
          <w:rFonts w:eastAsia="Calibri"/>
          <w:b/>
          <w:bCs/>
          <w:szCs w:val="24"/>
        </w:rPr>
        <w:t>V</w:t>
      </w:r>
      <w:r w:rsidRPr="00460916">
        <w:rPr>
          <w:rFonts w:eastAsia="Calibri"/>
          <w:b/>
          <w:bCs/>
          <w:szCs w:val="24"/>
        </w:rPr>
        <w:t xml:space="preserve">. </w:t>
      </w:r>
      <w:r w:rsidR="002533B2">
        <w:rPr>
          <w:rFonts w:eastAsia="Calibri"/>
          <w:b/>
          <w:bCs/>
          <w:szCs w:val="24"/>
        </w:rPr>
        <w:tab/>
      </w:r>
      <w:r w:rsidR="002533B2" w:rsidRPr="002533B2">
        <w:rPr>
          <w:rFonts w:eastAsia="Calibri"/>
          <w:b/>
          <w:szCs w:val="24"/>
        </w:rPr>
        <w:t xml:space="preserve">STRENGTHENING INFORMATION SYSTEMS AND </w:t>
      </w:r>
      <w:r w:rsidR="004763D9">
        <w:rPr>
          <w:rFonts w:eastAsia="Calibri"/>
          <w:b/>
          <w:szCs w:val="24"/>
        </w:rPr>
        <w:t>TACKLING BLIND SPOTS</w:t>
      </w:r>
      <w:r w:rsidR="002533B2">
        <w:rPr>
          <w:rFonts w:eastAsia="Calibri"/>
          <w:b/>
          <w:szCs w:val="24"/>
        </w:rPr>
        <w:t xml:space="preserve"> </w:t>
      </w:r>
    </w:p>
    <w:p w:rsidR="00DC20D4" w:rsidRDefault="00DC20D4" w:rsidP="008A48CE">
      <w:pPr>
        <w:spacing w:after="120"/>
        <w:rPr>
          <w:rFonts w:eastAsia="Calibri"/>
          <w:b/>
          <w:bCs/>
          <w:szCs w:val="24"/>
        </w:rPr>
      </w:pPr>
      <w:r>
        <w:rPr>
          <w:rFonts w:eastAsia="Calibri"/>
          <w:szCs w:val="24"/>
        </w:rPr>
        <w:t>Effective and systematic information exchange between Member States</w:t>
      </w:r>
      <w:r w:rsidR="00BE6379">
        <w:rPr>
          <w:rFonts w:eastAsia="Calibri"/>
          <w:szCs w:val="24"/>
        </w:rPr>
        <w:t xml:space="preserve"> and</w:t>
      </w:r>
      <w:r w:rsidR="000D17BC">
        <w:rPr>
          <w:rFonts w:eastAsia="Calibri"/>
          <w:szCs w:val="24"/>
        </w:rPr>
        <w:t xml:space="preserve"> </w:t>
      </w:r>
      <w:r>
        <w:rPr>
          <w:rFonts w:eastAsia="Calibri"/>
          <w:szCs w:val="24"/>
        </w:rPr>
        <w:t>strong, interconnected information systems</w:t>
      </w:r>
      <w:r w:rsidR="000D17BC">
        <w:rPr>
          <w:rFonts w:eastAsia="Calibri"/>
          <w:szCs w:val="24"/>
        </w:rPr>
        <w:t xml:space="preserve"> </w:t>
      </w:r>
      <w:r>
        <w:rPr>
          <w:rFonts w:eastAsia="Calibri"/>
          <w:szCs w:val="24"/>
        </w:rPr>
        <w:t xml:space="preserve">are key tools in </w:t>
      </w:r>
      <w:r w:rsidR="003F761D">
        <w:rPr>
          <w:rFonts w:eastAsia="Calibri"/>
          <w:szCs w:val="24"/>
        </w:rPr>
        <w:t>strengthening o</w:t>
      </w:r>
      <w:r w:rsidR="00BE6379">
        <w:rPr>
          <w:rFonts w:eastAsia="Calibri"/>
          <w:szCs w:val="24"/>
        </w:rPr>
        <w:t>u</w:t>
      </w:r>
      <w:r w:rsidR="003F761D">
        <w:rPr>
          <w:rFonts w:eastAsia="Calibri"/>
          <w:szCs w:val="24"/>
        </w:rPr>
        <w:t xml:space="preserve">r defences against </w:t>
      </w:r>
      <w:r>
        <w:rPr>
          <w:rFonts w:eastAsia="Calibri"/>
          <w:szCs w:val="24"/>
        </w:rPr>
        <w:t xml:space="preserve">terrorism and organised crime. </w:t>
      </w:r>
      <w:r w:rsidR="003F761D">
        <w:rPr>
          <w:rFonts w:eastAsia="Calibri"/>
          <w:szCs w:val="24"/>
        </w:rPr>
        <w:t>T</w:t>
      </w:r>
      <w:r>
        <w:rPr>
          <w:rFonts w:eastAsia="Calibri"/>
          <w:szCs w:val="24"/>
        </w:rPr>
        <w:t xml:space="preserve">he Commission is driving this work forward </w:t>
      </w:r>
      <w:r w:rsidR="003F761D">
        <w:rPr>
          <w:rFonts w:eastAsia="Calibri"/>
          <w:szCs w:val="24"/>
        </w:rPr>
        <w:t xml:space="preserve">by </w:t>
      </w:r>
      <w:r w:rsidR="00A27C5F">
        <w:rPr>
          <w:rFonts w:eastAsia="Calibri"/>
          <w:szCs w:val="24"/>
        </w:rPr>
        <w:t xml:space="preserve">ensuring better implementation by Member States of existing </w:t>
      </w:r>
      <w:r w:rsidR="00420B97">
        <w:rPr>
          <w:rFonts w:eastAsia="Calibri"/>
          <w:szCs w:val="24"/>
        </w:rPr>
        <w:t>instruments</w:t>
      </w:r>
      <w:r w:rsidR="000D17BC">
        <w:rPr>
          <w:rFonts w:eastAsia="Calibri"/>
          <w:szCs w:val="24"/>
        </w:rPr>
        <w:t>,</w:t>
      </w:r>
      <w:r w:rsidR="00A27C5F">
        <w:rPr>
          <w:rFonts w:eastAsia="Calibri"/>
          <w:szCs w:val="24"/>
        </w:rPr>
        <w:t xml:space="preserve"> </w:t>
      </w:r>
      <w:r w:rsidR="006E0694">
        <w:rPr>
          <w:rFonts w:eastAsia="Calibri"/>
          <w:szCs w:val="24"/>
        </w:rPr>
        <w:t>and by</w:t>
      </w:r>
      <w:r w:rsidR="00A27C5F">
        <w:rPr>
          <w:rFonts w:eastAsia="Calibri"/>
          <w:szCs w:val="24"/>
        </w:rPr>
        <w:t xml:space="preserve"> accelerating </w:t>
      </w:r>
      <w:r w:rsidR="00BE6379">
        <w:rPr>
          <w:rFonts w:eastAsia="Calibri"/>
          <w:szCs w:val="24"/>
        </w:rPr>
        <w:t>its work towards stronger and smarter information systems for borders and security</w:t>
      </w:r>
      <w:r w:rsidR="005810F8">
        <w:rPr>
          <w:rFonts w:eastAsia="Calibri"/>
          <w:szCs w:val="24"/>
        </w:rPr>
        <w:t xml:space="preserve"> as initiated in April 201</w:t>
      </w:r>
      <w:r w:rsidR="00D428FE">
        <w:rPr>
          <w:rFonts w:eastAsia="Calibri"/>
          <w:szCs w:val="24"/>
        </w:rPr>
        <w:t>6</w:t>
      </w:r>
      <w:r w:rsidR="00BE6379">
        <w:rPr>
          <w:rFonts w:eastAsia="Calibri"/>
          <w:szCs w:val="24"/>
        </w:rPr>
        <w:t>.</w:t>
      </w:r>
      <w:r w:rsidR="00BE6379">
        <w:rPr>
          <w:rStyle w:val="FootnoteReference"/>
          <w:rFonts w:eastAsia="Calibri"/>
          <w:szCs w:val="24"/>
        </w:rPr>
        <w:footnoteReference w:id="21"/>
      </w:r>
      <w:r w:rsidR="00BE6379">
        <w:rPr>
          <w:rFonts w:eastAsia="Calibri"/>
          <w:szCs w:val="24"/>
        </w:rPr>
        <w:t xml:space="preserve"> </w:t>
      </w:r>
      <w:r w:rsidR="005810F8">
        <w:rPr>
          <w:rFonts w:eastAsia="Calibri"/>
          <w:szCs w:val="24"/>
        </w:rPr>
        <w:t xml:space="preserve">This aims to ensure </w:t>
      </w:r>
      <w:r w:rsidR="005810F8" w:rsidRPr="005810F8">
        <w:rPr>
          <w:rFonts w:eastAsia="Calibri"/>
          <w:szCs w:val="24"/>
        </w:rPr>
        <w:t>that competent authorities systematically have the necessary information from different information systems at their disposal</w:t>
      </w:r>
      <w:r w:rsidR="00C3117C">
        <w:rPr>
          <w:rFonts w:eastAsia="Calibri"/>
          <w:szCs w:val="24"/>
        </w:rPr>
        <w:t xml:space="preserve"> to address current security challenges</w:t>
      </w:r>
      <w:r w:rsidR="000D17BC">
        <w:rPr>
          <w:rFonts w:eastAsia="Calibri"/>
          <w:szCs w:val="24"/>
        </w:rPr>
        <w:t>.</w:t>
      </w:r>
    </w:p>
    <w:p w:rsidR="00420B97" w:rsidRDefault="00F86047" w:rsidP="00F86047">
      <w:pPr>
        <w:rPr>
          <w:rFonts w:eastAsia="Calibri"/>
          <w:bCs/>
          <w:szCs w:val="24"/>
        </w:rPr>
      </w:pPr>
      <w:r>
        <w:rPr>
          <w:rFonts w:eastAsia="Calibri"/>
          <w:bCs/>
          <w:szCs w:val="24"/>
        </w:rPr>
        <w:t xml:space="preserve">A key aspect of improving information management at EU level is to address shortcomings in existing systems and to optimise their performance. To that end, the Commission presented a set of proposals to strengthen the effectiveness and efficiency of the </w:t>
      </w:r>
      <w:r w:rsidRPr="00DF274C">
        <w:rPr>
          <w:rFonts w:eastAsia="Calibri"/>
          <w:b/>
          <w:bCs/>
          <w:szCs w:val="24"/>
        </w:rPr>
        <w:t>Schengen Information System (SIS)</w:t>
      </w:r>
      <w:r>
        <w:rPr>
          <w:rFonts w:eastAsia="Calibri"/>
          <w:bCs/>
          <w:szCs w:val="24"/>
        </w:rPr>
        <w:t xml:space="preserve"> as the most important and widely used information-sharing instrument today.</w:t>
      </w:r>
      <w:r>
        <w:rPr>
          <w:rStyle w:val="FootnoteReference"/>
          <w:rFonts w:eastAsia="Calibri"/>
          <w:bCs/>
          <w:szCs w:val="24"/>
        </w:rPr>
        <w:footnoteReference w:id="22"/>
      </w:r>
      <w:r>
        <w:rPr>
          <w:rFonts w:eastAsia="Calibri"/>
          <w:bCs/>
          <w:szCs w:val="24"/>
        </w:rPr>
        <w:t xml:space="preserve"> Based on a comprehensive evaluation, the Commission's new proposals</w:t>
      </w:r>
      <w:r>
        <w:rPr>
          <w:rStyle w:val="FootnoteReference"/>
          <w:rFonts w:eastAsia="Calibri"/>
          <w:bCs/>
          <w:szCs w:val="24"/>
        </w:rPr>
        <w:footnoteReference w:id="23"/>
      </w:r>
      <w:r>
        <w:rPr>
          <w:rFonts w:eastAsia="Calibri"/>
          <w:bCs/>
          <w:szCs w:val="24"/>
        </w:rPr>
        <w:t xml:space="preserve"> seek to improve the functionalities of the system to meet new operational needs.</w:t>
      </w:r>
    </w:p>
    <w:p w:rsidR="00420B97" w:rsidRDefault="00F86047" w:rsidP="00F86047">
      <w:r>
        <w:rPr>
          <w:rFonts w:eastAsia="Calibri"/>
          <w:bCs/>
          <w:szCs w:val="24"/>
        </w:rPr>
        <w:t xml:space="preserve">The proposal will </w:t>
      </w:r>
      <w:r>
        <w:rPr>
          <w:rFonts w:eastAsia="Arial Unicode MS"/>
        </w:rPr>
        <w:t xml:space="preserve">improve and extend the use of SIS and its </w:t>
      </w:r>
      <w:r>
        <w:t xml:space="preserve">added value for law enforcement and strengthen the access rights of competent EU Agencies such as Europol and Eurojust. It will </w:t>
      </w:r>
      <w:r w:rsidRPr="007E426D">
        <w:t>extend some o</w:t>
      </w:r>
      <w:r>
        <w:t>f the existing alert categories and types of checks, introducing a new al</w:t>
      </w:r>
      <w:r w:rsidR="00F0129C">
        <w:t>ert</w:t>
      </w:r>
      <w:r>
        <w:t xml:space="preserve"> category on "unknown wanted persons" and a preventive alert on children at high risk of abduction. It will also introduce an obligation to create a SIS alert in case a person is sought in relation to a terrorist offence. The proposal will also </w:t>
      </w:r>
      <w:r w:rsidRPr="008F5770">
        <w:t>improve the enforcement of return decisions issued to irregularly staying third-country nationals by introducing a new alert category for return decisions</w:t>
      </w:r>
      <w:r>
        <w:t xml:space="preserve">. Moreover, it will </w:t>
      </w:r>
      <w:r w:rsidRPr="009D4C5A">
        <w:t>contribute to the effective enforcement of entry bans for third-country nationals at the external border by making their introduction in the SIS compulsory</w:t>
      </w:r>
      <w:r>
        <w:t xml:space="preserve">. The proposal will provide new functionalities to the system, such as a </w:t>
      </w:r>
      <w:r w:rsidRPr="009D4C5A">
        <w:t>more effective use of data such as facial imaging and fingerprints</w:t>
      </w:r>
      <w:r>
        <w:t xml:space="preserve">. </w:t>
      </w:r>
      <w:r w:rsidR="00420B97">
        <w:t>It</w:t>
      </w:r>
      <w:r>
        <w:t xml:space="preserve"> will </w:t>
      </w:r>
      <w:r w:rsidR="00420B97">
        <w:t xml:space="preserve">also </w:t>
      </w:r>
      <w:r>
        <w:t xml:space="preserve">enhance data security and the quality of the data recorded in SIS, for example by </w:t>
      </w:r>
      <w:r w:rsidRPr="009D4C5A">
        <w:t>providing for uniform requirements to officers on the ground on how to process SIS data in a secure way</w:t>
      </w:r>
      <w:r>
        <w:t>.</w:t>
      </w:r>
    </w:p>
    <w:p w:rsidR="00F86047" w:rsidRDefault="00F86047" w:rsidP="00F86047">
      <w:pPr>
        <w:rPr>
          <w:rFonts w:eastAsia="Calibri"/>
          <w:bCs/>
          <w:szCs w:val="24"/>
        </w:rPr>
      </w:pPr>
      <w:r>
        <w:t xml:space="preserve">The proposal will </w:t>
      </w:r>
      <w:r w:rsidRPr="009D4C5A">
        <w:t>strengthen data protection by introducing additional safeguards to ensure that the collection, processing and access to data is limited to what is strictly necessary, in full respect of EU legislation and fundamental rights, including the right to effective remedies</w:t>
      </w:r>
      <w:r>
        <w:t>.</w:t>
      </w:r>
    </w:p>
    <w:p w:rsidR="009D4C5A" w:rsidRDefault="007F56B0" w:rsidP="009D4C5A">
      <w:pPr>
        <w:rPr>
          <w:rFonts w:eastAsia="Calibri"/>
          <w:bCs/>
          <w:szCs w:val="24"/>
        </w:rPr>
      </w:pPr>
      <w:r>
        <w:rPr>
          <w:rFonts w:eastAsia="Calibri"/>
          <w:bCs/>
          <w:szCs w:val="24"/>
        </w:rPr>
        <w:t xml:space="preserve">In addition to improving the functioning of existing systems, </w:t>
      </w:r>
      <w:r w:rsidR="00420B97">
        <w:rPr>
          <w:rFonts w:eastAsia="Calibri"/>
          <w:bCs/>
          <w:szCs w:val="24"/>
        </w:rPr>
        <w:t>work will also continue on</w:t>
      </w:r>
      <w:r>
        <w:rPr>
          <w:rFonts w:eastAsia="Calibri"/>
          <w:bCs/>
          <w:szCs w:val="24"/>
        </w:rPr>
        <w:t xml:space="preserve"> how </w:t>
      </w:r>
      <w:r w:rsidR="00420B97">
        <w:rPr>
          <w:rFonts w:eastAsia="Calibri"/>
          <w:bCs/>
          <w:szCs w:val="24"/>
        </w:rPr>
        <w:t xml:space="preserve">information </w:t>
      </w:r>
      <w:r>
        <w:rPr>
          <w:rFonts w:eastAsia="Calibri"/>
          <w:bCs/>
          <w:szCs w:val="24"/>
        </w:rPr>
        <w:t xml:space="preserve">systems interact with each other. </w:t>
      </w:r>
      <w:r w:rsidRPr="006C2085">
        <w:t>President Juncker's S</w:t>
      </w:r>
      <w:r>
        <w:t xml:space="preserve">tate of the Union address in September 2016 and the European Council conclusions of December 2016 </w:t>
      </w:r>
      <w:r w:rsidRPr="006C2085">
        <w:t xml:space="preserve">refer to the importance of overcoming the current shortcomings in information management and of improving the </w:t>
      </w:r>
      <w:r w:rsidRPr="005A0269">
        <w:rPr>
          <w:b/>
        </w:rPr>
        <w:t>interoperability and interconnection between existing information systems</w:t>
      </w:r>
      <w:r w:rsidRPr="006C2085">
        <w:t>.</w:t>
      </w:r>
      <w:r w:rsidR="00D67575">
        <w:t xml:space="preserve"> The Commission's High Level Expert Group on Information Systems and Interoperability is assessing options to achieve this.</w:t>
      </w:r>
      <w:r>
        <w:t xml:space="preserve"> </w:t>
      </w:r>
      <w:r w:rsidR="00F0129C">
        <w:t>T</w:t>
      </w:r>
      <w:r w:rsidR="009D4C5A">
        <w:rPr>
          <w:rFonts w:eastAsia="Calibri"/>
          <w:bCs/>
          <w:szCs w:val="24"/>
        </w:rPr>
        <w:t xml:space="preserve">he High Level Expert Group multi-disciplinary and multi-agency </w:t>
      </w:r>
      <w:r w:rsidR="00F0129C">
        <w:rPr>
          <w:rFonts w:eastAsia="Calibri"/>
          <w:bCs/>
          <w:szCs w:val="24"/>
        </w:rPr>
        <w:t xml:space="preserve">cooperation approach </w:t>
      </w:r>
      <w:r w:rsidR="009D4C5A">
        <w:rPr>
          <w:rFonts w:eastAsia="Calibri"/>
          <w:bCs/>
          <w:szCs w:val="24"/>
        </w:rPr>
        <w:t xml:space="preserve">as outlined by the </w:t>
      </w:r>
      <w:r w:rsidR="00BE0D22">
        <w:rPr>
          <w:rFonts w:eastAsia="Calibri"/>
          <w:bCs/>
          <w:szCs w:val="24"/>
        </w:rPr>
        <w:t xml:space="preserve">European </w:t>
      </w:r>
      <w:r w:rsidR="009D4C5A">
        <w:rPr>
          <w:rFonts w:eastAsia="Calibri"/>
          <w:bCs/>
          <w:szCs w:val="24"/>
        </w:rPr>
        <w:t xml:space="preserve">Agenda on Security, </w:t>
      </w:r>
      <w:r w:rsidR="009D4C5A">
        <w:t>including</w:t>
      </w:r>
      <w:r w:rsidR="009D4C5A" w:rsidRPr="00063C2C">
        <w:t xml:space="preserve"> </w:t>
      </w:r>
      <w:r w:rsidR="009D4C5A">
        <w:t xml:space="preserve">possible </w:t>
      </w:r>
      <w:r w:rsidR="009D4C5A" w:rsidRPr="00063C2C">
        <w:t>synergies with</w:t>
      </w:r>
      <w:r w:rsidR="009D4C5A" w:rsidRPr="00FD539A">
        <w:t xml:space="preserve"> information systems for border management and law enforcement</w:t>
      </w:r>
      <w:r w:rsidR="009D4C5A">
        <w:t xml:space="preserve"> and customs authorities as set out in the EU Customs Union governance.</w:t>
      </w:r>
    </w:p>
    <w:p w:rsidR="00105FB2" w:rsidRDefault="00D51CB5" w:rsidP="00465232">
      <w:pPr>
        <w:rPr>
          <w:rFonts w:eastAsia="Calibri"/>
          <w:bCs/>
          <w:szCs w:val="24"/>
        </w:rPr>
      </w:pPr>
      <w:r>
        <w:rPr>
          <w:rFonts w:eastAsia="Calibri"/>
          <w:bCs/>
          <w:szCs w:val="24"/>
        </w:rPr>
        <w:t xml:space="preserve">In order to </w:t>
      </w:r>
      <w:r w:rsidR="00A27C5F" w:rsidRPr="00D67575">
        <w:rPr>
          <w:rFonts w:eastAsia="Calibri"/>
          <w:bCs/>
          <w:szCs w:val="24"/>
        </w:rPr>
        <w:t xml:space="preserve">accelerate </w:t>
      </w:r>
      <w:r>
        <w:rPr>
          <w:rFonts w:eastAsia="Calibri"/>
          <w:bCs/>
          <w:szCs w:val="24"/>
        </w:rPr>
        <w:t>delivery</w:t>
      </w:r>
      <w:r w:rsidR="007238C8" w:rsidRPr="00D67575">
        <w:rPr>
          <w:rFonts w:eastAsia="Calibri"/>
          <w:bCs/>
          <w:szCs w:val="24"/>
        </w:rPr>
        <w:t xml:space="preserve"> the </w:t>
      </w:r>
      <w:r w:rsidR="007238C8" w:rsidRPr="00D67575">
        <w:rPr>
          <w:rFonts w:eastAsia="Calibri"/>
          <w:b/>
          <w:bCs/>
          <w:szCs w:val="24"/>
        </w:rPr>
        <w:t>High Level Expert Group on Information Systems and Interoperability</w:t>
      </w:r>
      <w:r w:rsidR="007238C8" w:rsidRPr="00D67575">
        <w:rPr>
          <w:rFonts w:eastAsia="Calibri"/>
          <w:bCs/>
          <w:szCs w:val="24"/>
        </w:rPr>
        <w:t xml:space="preserve"> presented</w:t>
      </w:r>
      <w:r w:rsidR="00F0129C">
        <w:rPr>
          <w:rFonts w:eastAsia="Calibri"/>
          <w:bCs/>
          <w:szCs w:val="24"/>
        </w:rPr>
        <w:t>,</w:t>
      </w:r>
      <w:r w:rsidR="007238C8" w:rsidRPr="00D67575">
        <w:rPr>
          <w:rFonts w:eastAsia="Calibri"/>
          <w:bCs/>
          <w:szCs w:val="24"/>
        </w:rPr>
        <w:t xml:space="preserve"> </w:t>
      </w:r>
      <w:r w:rsidR="000D100A">
        <w:rPr>
          <w:rFonts w:eastAsia="Calibri"/>
          <w:bCs/>
          <w:szCs w:val="24"/>
        </w:rPr>
        <w:t>on 21 December</w:t>
      </w:r>
      <w:r w:rsidR="00F0129C">
        <w:rPr>
          <w:rFonts w:eastAsia="Calibri"/>
          <w:bCs/>
          <w:szCs w:val="24"/>
        </w:rPr>
        <w:t>,</w:t>
      </w:r>
      <w:r w:rsidR="000D100A">
        <w:rPr>
          <w:rFonts w:eastAsia="Calibri"/>
          <w:bCs/>
          <w:szCs w:val="24"/>
        </w:rPr>
        <w:t xml:space="preserve"> </w:t>
      </w:r>
      <w:r w:rsidR="007238C8" w:rsidRPr="00D67575">
        <w:rPr>
          <w:rFonts w:eastAsia="Calibri"/>
          <w:bCs/>
          <w:szCs w:val="24"/>
        </w:rPr>
        <w:t xml:space="preserve">a </w:t>
      </w:r>
      <w:r w:rsidR="00A27C5F" w:rsidRPr="00D67575">
        <w:rPr>
          <w:rFonts w:eastAsia="Calibri"/>
          <w:bCs/>
          <w:szCs w:val="24"/>
        </w:rPr>
        <w:t xml:space="preserve">chairman's </w:t>
      </w:r>
      <w:r w:rsidR="00BA4AAD">
        <w:rPr>
          <w:rFonts w:eastAsia="Calibri"/>
          <w:bCs/>
          <w:szCs w:val="24"/>
        </w:rPr>
        <w:t xml:space="preserve">interim </w:t>
      </w:r>
      <w:r w:rsidR="003214BA" w:rsidRPr="00D67575">
        <w:rPr>
          <w:rFonts w:eastAsia="Calibri"/>
          <w:bCs/>
          <w:szCs w:val="24"/>
        </w:rPr>
        <w:t>report</w:t>
      </w:r>
      <w:r w:rsidR="00370A4C" w:rsidRPr="00D67575">
        <w:rPr>
          <w:rFonts w:eastAsia="Calibri"/>
          <w:bCs/>
          <w:szCs w:val="24"/>
        </w:rPr>
        <w:t xml:space="preserve"> </w:t>
      </w:r>
      <w:r w:rsidR="00A27C5F" w:rsidRPr="00D67575">
        <w:rPr>
          <w:rFonts w:eastAsia="Calibri"/>
          <w:bCs/>
          <w:szCs w:val="24"/>
        </w:rPr>
        <w:t xml:space="preserve">with a </w:t>
      </w:r>
      <w:r w:rsidR="00F0129C">
        <w:rPr>
          <w:rFonts w:eastAsia="Calibri"/>
          <w:bCs/>
          <w:szCs w:val="24"/>
        </w:rPr>
        <w:t xml:space="preserve">proposal to </w:t>
      </w:r>
      <w:r w:rsidR="00A27C5F" w:rsidRPr="00D67575">
        <w:rPr>
          <w:rFonts w:eastAsia="Calibri"/>
          <w:bCs/>
          <w:szCs w:val="24"/>
        </w:rPr>
        <w:t>creat</w:t>
      </w:r>
      <w:r w:rsidR="00F0129C">
        <w:rPr>
          <w:rFonts w:eastAsia="Calibri"/>
          <w:bCs/>
          <w:szCs w:val="24"/>
        </w:rPr>
        <w:t>e</w:t>
      </w:r>
      <w:r w:rsidR="00A27C5F" w:rsidRPr="00D67575">
        <w:rPr>
          <w:rFonts w:eastAsia="Calibri"/>
          <w:bCs/>
          <w:szCs w:val="24"/>
        </w:rPr>
        <w:t xml:space="preserve"> a </w:t>
      </w:r>
      <w:r w:rsidR="00370A4C" w:rsidRPr="00D67575">
        <w:rPr>
          <w:rFonts w:eastAsia="Calibri"/>
          <w:bCs/>
          <w:szCs w:val="24"/>
        </w:rPr>
        <w:t>s</w:t>
      </w:r>
      <w:r w:rsidR="00A27C5F" w:rsidRPr="00D67575">
        <w:rPr>
          <w:rFonts w:eastAsia="Calibri"/>
          <w:bCs/>
          <w:szCs w:val="24"/>
        </w:rPr>
        <w:t xml:space="preserve">ingle </w:t>
      </w:r>
      <w:r w:rsidR="00370A4C" w:rsidRPr="00D67575">
        <w:rPr>
          <w:rFonts w:eastAsia="Calibri"/>
          <w:bCs/>
          <w:szCs w:val="24"/>
        </w:rPr>
        <w:t>s</w:t>
      </w:r>
      <w:r w:rsidR="00A27C5F" w:rsidRPr="00D67575">
        <w:rPr>
          <w:rFonts w:eastAsia="Calibri"/>
          <w:bCs/>
          <w:szCs w:val="24"/>
        </w:rPr>
        <w:t xml:space="preserve">earch </w:t>
      </w:r>
      <w:r w:rsidR="00370A4C" w:rsidRPr="00D67575">
        <w:rPr>
          <w:rFonts w:eastAsia="Calibri"/>
          <w:bCs/>
          <w:szCs w:val="24"/>
        </w:rPr>
        <w:t>portal</w:t>
      </w:r>
      <w:r w:rsidR="00F0129C" w:rsidRPr="00F0129C">
        <w:rPr>
          <w:rFonts w:eastAsia="Calibri"/>
          <w:bCs/>
          <w:szCs w:val="24"/>
        </w:rPr>
        <w:t xml:space="preserve"> </w:t>
      </w:r>
      <w:r w:rsidR="00A27C5F" w:rsidRPr="00D67575">
        <w:rPr>
          <w:rFonts w:eastAsia="Calibri"/>
          <w:bCs/>
          <w:szCs w:val="24"/>
        </w:rPr>
        <w:t>allow</w:t>
      </w:r>
      <w:r w:rsidR="00F0129C">
        <w:rPr>
          <w:rFonts w:eastAsia="Calibri"/>
          <w:bCs/>
          <w:szCs w:val="24"/>
        </w:rPr>
        <w:t>ing</w:t>
      </w:r>
      <w:r w:rsidR="00A27C5F" w:rsidRPr="00D67575">
        <w:rPr>
          <w:rFonts w:eastAsia="Calibri"/>
          <w:bCs/>
          <w:szCs w:val="24"/>
        </w:rPr>
        <w:t xml:space="preserve"> </w:t>
      </w:r>
      <w:r w:rsidR="00705FAE" w:rsidRPr="00D67575">
        <w:rPr>
          <w:rFonts w:eastAsia="Calibri"/>
          <w:bCs/>
          <w:szCs w:val="24"/>
        </w:rPr>
        <w:t xml:space="preserve">law </w:t>
      </w:r>
      <w:r w:rsidR="00705FAE">
        <w:rPr>
          <w:rFonts w:eastAsia="Calibri"/>
          <w:bCs/>
          <w:szCs w:val="24"/>
        </w:rPr>
        <w:t xml:space="preserve">enforcement </w:t>
      </w:r>
      <w:r w:rsidR="00705FAE" w:rsidRPr="00D67575">
        <w:rPr>
          <w:rFonts w:eastAsia="Calibri"/>
          <w:bCs/>
          <w:szCs w:val="24"/>
        </w:rPr>
        <w:t xml:space="preserve">and border </w:t>
      </w:r>
      <w:r w:rsidR="00705FAE">
        <w:rPr>
          <w:rFonts w:eastAsia="Calibri"/>
          <w:bCs/>
          <w:szCs w:val="24"/>
        </w:rPr>
        <w:t xml:space="preserve">management </w:t>
      </w:r>
      <w:r w:rsidR="00705FAE" w:rsidRPr="00D67575">
        <w:rPr>
          <w:rFonts w:eastAsia="Calibri"/>
          <w:bCs/>
          <w:szCs w:val="24"/>
        </w:rPr>
        <w:t>a</w:t>
      </w:r>
      <w:r w:rsidR="00705FAE">
        <w:rPr>
          <w:rFonts w:eastAsia="Calibri"/>
          <w:bCs/>
          <w:szCs w:val="24"/>
        </w:rPr>
        <w:t xml:space="preserve">uthorities </w:t>
      </w:r>
      <w:r w:rsidR="00705FAE" w:rsidRPr="00D67575">
        <w:rPr>
          <w:rFonts w:eastAsia="Calibri"/>
          <w:bCs/>
          <w:szCs w:val="24"/>
        </w:rPr>
        <w:t xml:space="preserve">on the ground </w:t>
      </w:r>
      <w:r w:rsidR="00705FAE">
        <w:rPr>
          <w:rFonts w:eastAsia="Calibri"/>
          <w:bCs/>
          <w:szCs w:val="24"/>
        </w:rPr>
        <w:t>to search</w:t>
      </w:r>
      <w:r w:rsidR="00705FAE" w:rsidRPr="00705FAE">
        <w:rPr>
          <w:rFonts w:eastAsia="Calibri"/>
          <w:bCs/>
          <w:szCs w:val="24"/>
        </w:rPr>
        <w:t xml:space="preserve"> </w:t>
      </w:r>
      <w:r w:rsidR="00705FAE" w:rsidRPr="00D67575">
        <w:rPr>
          <w:rFonts w:eastAsia="Calibri"/>
          <w:bCs/>
          <w:szCs w:val="24"/>
        </w:rPr>
        <w:t>simultaneously</w:t>
      </w:r>
      <w:r w:rsidR="00705FAE">
        <w:rPr>
          <w:rFonts w:eastAsia="Calibri"/>
          <w:bCs/>
          <w:szCs w:val="24"/>
        </w:rPr>
        <w:t xml:space="preserve"> </w:t>
      </w:r>
      <w:r w:rsidR="00A27C5F" w:rsidRPr="00D67575">
        <w:rPr>
          <w:rFonts w:eastAsia="Calibri"/>
          <w:bCs/>
          <w:szCs w:val="24"/>
        </w:rPr>
        <w:t>existing</w:t>
      </w:r>
      <w:r w:rsidR="00370A4C" w:rsidRPr="00D67575">
        <w:rPr>
          <w:rFonts w:eastAsia="Calibri"/>
          <w:bCs/>
          <w:szCs w:val="24"/>
        </w:rPr>
        <w:t xml:space="preserve"> EU</w:t>
      </w:r>
      <w:r w:rsidR="00A27C5F" w:rsidRPr="00D67575">
        <w:rPr>
          <w:rFonts w:eastAsia="Calibri"/>
          <w:bCs/>
          <w:szCs w:val="24"/>
        </w:rPr>
        <w:t xml:space="preserve"> databases and information systems.</w:t>
      </w:r>
      <w:r w:rsidR="00D67575">
        <w:rPr>
          <w:rFonts w:eastAsia="Calibri"/>
          <w:bCs/>
          <w:szCs w:val="24"/>
        </w:rPr>
        <w:t xml:space="preserve"> </w:t>
      </w:r>
      <w:r w:rsidR="00105FB2">
        <w:rPr>
          <w:rFonts w:eastAsia="Calibri"/>
          <w:bCs/>
          <w:szCs w:val="24"/>
        </w:rPr>
        <w:t>Member States' competent authorities w</w:t>
      </w:r>
      <w:r>
        <w:rPr>
          <w:rFonts w:eastAsia="Calibri"/>
          <w:bCs/>
          <w:szCs w:val="24"/>
        </w:rPr>
        <w:t xml:space="preserve">ould </w:t>
      </w:r>
      <w:r w:rsidR="00105FB2">
        <w:rPr>
          <w:rFonts w:eastAsia="Calibri"/>
          <w:bCs/>
          <w:szCs w:val="24"/>
        </w:rPr>
        <w:t>also be able to conduct s</w:t>
      </w:r>
      <w:r w:rsidR="00D67575">
        <w:rPr>
          <w:rFonts w:eastAsia="Calibri"/>
          <w:bCs/>
          <w:szCs w:val="24"/>
        </w:rPr>
        <w:t>uch simultaneous searches</w:t>
      </w:r>
      <w:r w:rsidR="00105FB2">
        <w:rPr>
          <w:rFonts w:eastAsia="Calibri"/>
          <w:bCs/>
          <w:szCs w:val="24"/>
        </w:rPr>
        <w:t xml:space="preserve"> with Europol's databases,</w:t>
      </w:r>
      <w:r w:rsidR="00D67575">
        <w:rPr>
          <w:rFonts w:eastAsia="Calibri"/>
          <w:bCs/>
          <w:szCs w:val="24"/>
        </w:rPr>
        <w:t xml:space="preserve"> </w:t>
      </w:r>
      <w:r w:rsidR="00105FB2">
        <w:rPr>
          <w:rFonts w:eastAsia="Calibri"/>
          <w:bCs/>
          <w:szCs w:val="24"/>
        </w:rPr>
        <w:t xml:space="preserve">thanks to </w:t>
      </w:r>
      <w:r>
        <w:rPr>
          <w:rFonts w:eastAsia="Calibri"/>
          <w:bCs/>
          <w:szCs w:val="24"/>
        </w:rPr>
        <w:t xml:space="preserve">a </w:t>
      </w:r>
      <w:r w:rsidR="00105FB2">
        <w:rPr>
          <w:rFonts w:eastAsia="Calibri"/>
          <w:bCs/>
          <w:szCs w:val="24"/>
        </w:rPr>
        <w:t>system interface that Europol is developing with Member States.</w:t>
      </w:r>
      <w:r w:rsidR="00D67575">
        <w:rPr>
          <w:rFonts w:eastAsia="Calibri"/>
          <w:bCs/>
          <w:szCs w:val="24"/>
        </w:rPr>
        <w:t xml:space="preserve"> The report </w:t>
      </w:r>
      <w:r w:rsidR="00105FB2">
        <w:rPr>
          <w:rFonts w:eastAsia="Calibri"/>
          <w:bCs/>
          <w:szCs w:val="24"/>
        </w:rPr>
        <w:t>also highlights the importance of data quality and makes recommendations to improve the quality of data in EU systems</w:t>
      </w:r>
      <w:r w:rsidR="007238C8" w:rsidRPr="00D67575">
        <w:rPr>
          <w:rFonts w:eastAsia="Calibri"/>
          <w:bCs/>
          <w:szCs w:val="24"/>
        </w:rPr>
        <w:t>.</w:t>
      </w:r>
      <w:r w:rsidR="00105FB2">
        <w:rPr>
          <w:rFonts w:eastAsia="Calibri"/>
          <w:bCs/>
          <w:szCs w:val="24"/>
        </w:rPr>
        <w:t xml:space="preserve"> </w:t>
      </w:r>
    </w:p>
    <w:p w:rsidR="003214BA" w:rsidRPr="005A0269" w:rsidRDefault="00FD539A" w:rsidP="00465232">
      <w:pPr>
        <w:rPr>
          <w:rFonts w:eastAsia="Calibri"/>
          <w:bCs/>
          <w:szCs w:val="24"/>
        </w:rPr>
      </w:pPr>
      <w:r>
        <w:rPr>
          <w:rFonts w:eastAsia="Calibri"/>
          <w:bCs/>
          <w:szCs w:val="24"/>
        </w:rPr>
        <w:t>T</w:t>
      </w:r>
      <w:r w:rsidR="00C3117C">
        <w:rPr>
          <w:rFonts w:eastAsia="Calibri"/>
          <w:bCs/>
          <w:szCs w:val="24"/>
        </w:rPr>
        <w:t>he</w:t>
      </w:r>
      <w:r>
        <w:rPr>
          <w:rFonts w:eastAsia="Calibri"/>
          <w:bCs/>
          <w:szCs w:val="24"/>
        </w:rPr>
        <w:t xml:space="preserve"> High Level Expert Group</w:t>
      </w:r>
      <w:r w:rsidR="00C3117C">
        <w:rPr>
          <w:rFonts w:eastAsia="Calibri"/>
          <w:bCs/>
          <w:szCs w:val="24"/>
        </w:rPr>
        <w:t xml:space="preserve"> </w:t>
      </w:r>
      <w:r w:rsidR="00105FB2">
        <w:rPr>
          <w:rFonts w:eastAsia="Calibri"/>
          <w:bCs/>
          <w:szCs w:val="24"/>
        </w:rPr>
        <w:t xml:space="preserve">will present its final report in the first half of 2017. </w:t>
      </w:r>
      <w:r w:rsidR="00C3117C">
        <w:rPr>
          <w:rFonts w:eastAsia="Calibri"/>
          <w:bCs/>
          <w:szCs w:val="24"/>
        </w:rPr>
        <w:t xml:space="preserve">Based on these findings and discussions with the European Parliament and the Council, the Commission will consider measures to </w:t>
      </w:r>
      <w:r w:rsidR="00705FAE">
        <w:rPr>
          <w:rFonts w:eastAsia="Calibri"/>
          <w:bCs/>
          <w:szCs w:val="24"/>
        </w:rPr>
        <w:t xml:space="preserve">further boost the interoperability of </w:t>
      </w:r>
      <w:r w:rsidR="00C3117C">
        <w:rPr>
          <w:rFonts w:eastAsia="Calibri"/>
          <w:bCs/>
          <w:szCs w:val="24"/>
        </w:rPr>
        <w:t xml:space="preserve">EU information systems and </w:t>
      </w:r>
      <w:r w:rsidR="00705FAE">
        <w:rPr>
          <w:rFonts w:eastAsia="Calibri"/>
          <w:bCs/>
          <w:szCs w:val="24"/>
        </w:rPr>
        <w:t>increase their effectiveness</w:t>
      </w:r>
      <w:r w:rsidR="007B5A4F">
        <w:rPr>
          <w:rFonts w:eastAsia="Calibri"/>
          <w:bCs/>
          <w:szCs w:val="24"/>
        </w:rPr>
        <w:t xml:space="preserve"> </w:t>
      </w:r>
      <w:r w:rsidR="00C3117C">
        <w:rPr>
          <w:rFonts w:eastAsia="Calibri"/>
          <w:bCs/>
          <w:szCs w:val="24"/>
        </w:rPr>
        <w:t xml:space="preserve">to address the current security threats. </w:t>
      </w:r>
    </w:p>
    <w:p w:rsidR="00B91FEC" w:rsidRPr="008A48CE" w:rsidRDefault="00B91FEC" w:rsidP="00B91FEC">
      <w:pPr>
        <w:spacing w:after="120"/>
        <w:rPr>
          <w:rFonts w:eastAsia="Calibri"/>
          <w:szCs w:val="24"/>
        </w:rPr>
      </w:pPr>
      <w:r>
        <w:rPr>
          <w:rFonts w:eastAsia="Calibri"/>
          <w:b/>
          <w:bCs/>
          <w:szCs w:val="24"/>
        </w:rPr>
        <w:t>IV</w:t>
      </w:r>
      <w:r w:rsidRPr="008A48CE">
        <w:rPr>
          <w:rFonts w:eastAsia="Calibri"/>
          <w:b/>
          <w:bCs/>
          <w:szCs w:val="24"/>
        </w:rPr>
        <w:t xml:space="preserve">. </w:t>
      </w:r>
      <w:r>
        <w:rPr>
          <w:rFonts w:eastAsia="Calibri"/>
          <w:b/>
          <w:bCs/>
          <w:szCs w:val="24"/>
        </w:rPr>
        <w:t>CONCLUSION</w:t>
      </w:r>
    </w:p>
    <w:p w:rsidR="00EE501C" w:rsidRDefault="00F47FDA" w:rsidP="005A0269">
      <w:pPr>
        <w:rPr>
          <w:rFonts w:eastAsia="Calibri"/>
          <w:szCs w:val="24"/>
        </w:rPr>
      </w:pPr>
      <w:r w:rsidRPr="00F47FDA">
        <w:rPr>
          <w:rFonts w:eastAsia="Calibri"/>
          <w:szCs w:val="24"/>
        </w:rPr>
        <w:t xml:space="preserve">The Commission will continue to drive forward work on the implementation of the European Agenda on Security, towards an effective and genuine Security Union, and will report on further progress in </w:t>
      </w:r>
      <w:r>
        <w:rPr>
          <w:rFonts w:eastAsia="Calibri"/>
          <w:szCs w:val="24"/>
        </w:rPr>
        <w:t>January</w:t>
      </w:r>
      <w:r w:rsidRPr="00F47FDA">
        <w:rPr>
          <w:rFonts w:eastAsia="Calibri"/>
          <w:szCs w:val="24"/>
        </w:rPr>
        <w:t xml:space="preserve">. </w:t>
      </w:r>
      <w:r>
        <w:rPr>
          <w:rFonts w:eastAsia="Calibri"/>
          <w:szCs w:val="24"/>
        </w:rPr>
        <w:t xml:space="preserve">The </w:t>
      </w:r>
      <w:r w:rsidR="00EE501C" w:rsidRPr="00EE501C">
        <w:rPr>
          <w:rFonts w:eastAsia="Calibri"/>
          <w:szCs w:val="24"/>
        </w:rPr>
        <w:t xml:space="preserve">report </w:t>
      </w:r>
      <w:r w:rsidR="00420B97">
        <w:rPr>
          <w:rFonts w:eastAsia="Calibri"/>
          <w:szCs w:val="24"/>
        </w:rPr>
        <w:t xml:space="preserve">in January </w:t>
      </w:r>
      <w:r w:rsidR="00EE501C" w:rsidRPr="00EE501C">
        <w:rPr>
          <w:rFonts w:eastAsia="Calibri"/>
          <w:szCs w:val="24"/>
        </w:rPr>
        <w:t xml:space="preserve">will focus on strengthening our defences – including taking forward the interim report of the High Level Experts Group on </w:t>
      </w:r>
      <w:r w:rsidRPr="00EE501C">
        <w:rPr>
          <w:rFonts w:eastAsia="Calibri"/>
          <w:szCs w:val="24"/>
        </w:rPr>
        <w:t>information systems</w:t>
      </w:r>
      <w:r>
        <w:rPr>
          <w:rFonts w:eastAsia="Calibri"/>
          <w:szCs w:val="24"/>
        </w:rPr>
        <w:t xml:space="preserve"> and </w:t>
      </w:r>
      <w:r w:rsidR="00EE501C" w:rsidRPr="00EE501C">
        <w:rPr>
          <w:rFonts w:eastAsia="Calibri"/>
          <w:szCs w:val="24"/>
        </w:rPr>
        <w:t>interoperability</w:t>
      </w:r>
      <w:r>
        <w:rPr>
          <w:rFonts w:eastAsia="Calibri"/>
          <w:szCs w:val="24"/>
        </w:rPr>
        <w:t xml:space="preserve">. </w:t>
      </w:r>
    </w:p>
    <w:sectPr w:rsidR="00EE501C" w:rsidSect="00C0349F">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8894F3" w15:done="0"/>
  <w15:commentEx w15:paraId="75C7051E" w15:done="0"/>
  <w15:commentEx w15:paraId="6F1C3DBE" w15:done="0"/>
  <w15:commentEx w15:paraId="297986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566" w:rsidRPr="009116F7" w:rsidRDefault="00816566" w:rsidP="00F05CCB">
      <w:pPr>
        <w:spacing w:after="0"/>
      </w:pPr>
      <w:r w:rsidRPr="009116F7">
        <w:separator/>
      </w:r>
    </w:p>
  </w:endnote>
  <w:endnote w:type="continuationSeparator" w:id="0">
    <w:p w:rsidR="00816566" w:rsidRPr="009116F7" w:rsidRDefault="00816566" w:rsidP="00F05CCB">
      <w:pPr>
        <w:spacing w:after="0"/>
      </w:pPr>
      <w:r w:rsidRPr="009116F7">
        <w:continuationSeparator/>
      </w:r>
    </w:p>
  </w:endnote>
  <w:endnote w:type="continuationNotice" w:id="1">
    <w:p w:rsidR="00816566" w:rsidRPr="009116F7" w:rsidRDefault="008165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3D" w:rsidRPr="00B8473D" w:rsidRDefault="00B8473D" w:rsidP="00B847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3D" w:rsidRPr="00B8473D" w:rsidRDefault="00B8473D" w:rsidP="00B8473D">
    <w:pPr>
      <w:pStyle w:val="FooterCoverPage"/>
      <w:rPr>
        <w:rFonts w:ascii="Arial" w:hAnsi="Arial" w:cs="Arial"/>
        <w:b/>
        <w:sz w:val="48"/>
      </w:rPr>
    </w:pPr>
    <w:r w:rsidRPr="00B8473D">
      <w:rPr>
        <w:rFonts w:ascii="Arial" w:hAnsi="Arial" w:cs="Arial"/>
        <w:b/>
        <w:sz w:val="48"/>
      </w:rPr>
      <w:t>EN</w:t>
    </w:r>
    <w:r w:rsidRPr="00B8473D">
      <w:rPr>
        <w:rFonts w:ascii="Arial" w:hAnsi="Arial" w:cs="Arial"/>
        <w:b/>
        <w:sz w:val="48"/>
      </w:rPr>
      <w:tab/>
    </w:r>
    <w:r w:rsidRPr="00B8473D">
      <w:rPr>
        <w:rFonts w:ascii="Arial" w:hAnsi="Arial" w:cs="Arial"/>
        <w:b/>
        <w:sz w:val="48"/>
      </w:rPr>
      <w:tab/>
    </w:r>
    <w:fldSimple w:instr=" DOCVARIABLE &quot;LW_Confidence&quot; \* MERGEFORMAT ">
      <w:r>
        <w:t xml:space="preserve"> </w:t>
      </w:r>
    </w:fldSimple>
    <w:r w:rsidRPr="00B8473D">
      <w:tab/>
    </w:r>
    <w:r w:rsidRPr="00B8473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3D" w:rsidRPr="00B8473D" w:rsidRDefault="00B8473D" w:rsidP="00B8473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49F" w:rsidRDefault="00C0349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49F" w:rsidRPr="009116F7" w:rsidRDefault="00C0349F">
    <w:pPr>
      <w:pStyle w:val="Footer"/>
      <w:jc w:val="center"/>
    </w:pPr>
    <w:r w:rsidRPr="009116F7">
      <w:fldChar w:fldCharType="begin"/>
    </w:r>
    <w:r w:rsidRPr="009116F7">
      <w:instrText>PAGE</w:instrText>
    </w:r>
    <w:r w:rsidRPr="009116F7">
      <w:fldChar w:fldCharType="separate"/>
    </w:r>
    <w:r w:rsidR="00B8473D">
      <w:rPr>
        <w:noProof/>
      </w:rPr>
      <w:t>10</w:t>
    </w:r>
    <w:r w:rsidRPr="009116F7">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49F" w:rsidRDefault="00C0349F">
    <w:pPr>
      <w:pStyle w:val="Footer"/>
      <w:jc w:val="center"/>
    </w:pPr>
    <w:r>
      <w:fldChar w:fldCharType="begin"/>
    </w:r>
    <w:r>
      <w:instrText xml:space="preserve"> PAGE   \* MERGEFORMAT </w:instrText>
    </w:r>
    <w:r>
      <w:fldChar w:fldCharType="separate"/>
    </w:r>
    <w:r w:rsidR="00B8473D">
      <w:rPr>
        <w:noProof/>
      </w:rPr>
      <w:t>2</w:t>
    </w:r>
    <w:r>
      <w:rPr>
        <w:noProof/>
      </w:rPr>
      <w:fldChar w:fldCharType="end"/>
    </w:r>
  </w:p>
  <w:p w:rsidR="00C0349F" w:rsidRDefault="00C03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566" w:rsidRPr="009116F7" w:rsidRDefault="00816566" w:rsidP="00F05CCB">
      <w:pPr>
        <w:spacing w:after="0"/>
      </w:pPr>
      <w:r w:rsidRPr="009116F7">
        <w:separator/>
      </w:r>
    </w:p>
  </w:footnote>
  <w:footnote w:type="continuationSeparator" w:id="0">
    <w:p w:rsidR="00816566" w:rsidRPr="009116F7" w:rsidRDefault="00816566" w:rsidP="00F05CCB">
      <w:pPr>
        <w:spacing w:after="0"/>
      </w:pPr>
      <w:r w:rsidRPr="009116F7">
        <w:continuationSeparator/>
      </w:r>
    </w:p>
  </w:footnote>
  <w:footnote w:type="continuationNotice" w:id="1">
    <w:p w:rsidR="00816566" w:rsidRPr="009116F7" w:rsidRDefault="00816566">
      <w:pPr>
        <w:spacing w:after="0"/>
      </w:pPr>
    </w:p>
  </w:footnote>
  <w:footnote w:id="2">
    <w:p w:rsidR="000C0775" w:rsidRDefault="000C0775" w:rsidP="001819A8">
      <w:pPr>
        <w:pStyle w:val="FootnoteText"/>
        <w:spacing w:after="0"/>
      </w:pPr>
      <w:r>
        <w:rPr>
          <w:rStyle w:val="FootnoteReference"/>
        </w:rPr>
        <w:footnoteRef/>
      </w:r>
      <w:r>
        <w:t xml:space="preserve"> </w:t>
      </w:r>
      <w:r>
        <w:tab/>
      </w:r>
      <w:r w:rsidRPr="000C0775">
        <w:t>COM (2015) 625</w:t>
      </w:r>
      <w:r w:rsidR="00E53A70">
        <w:t xml:space="preserve"> final</w:t>
      </w:r>
    </w:p>
  </w:footnote>
  <w:footnote w:id="3">
    <w:p w:rsidR="00EB1476" w:rsidRPr="004A4036" w:rsidRDefault="00EB1476" w:rsidP="001819A8">
      <w:pPr>
        <w:pStyle w:val="FootnoteText"/>
        <w:spacing w:after="0"/>
      </w:pPr>
      <w:r w:rsidRPr="004A4036">
        <w:rPr>
          <w:rStyle w:val="FootnoteReference"/>
        </w:rPr>
        <w:footnoteRef/>
      </w:r>
      <w:r w:rsidRPr="004A4036">
        <w:t xml:space="preserve"> </w:t>
      </w:r>
      <w:r w:rsidR="004A4036">
        <w:tab/>
      </w:r>
      <w:r w:rsidRPr="004A4036">
        <w:t>Including the Additional Protocol to the Council of Europe Convention on the prevention of terrorism, and the standards of the Financial Action Task Force (FATF).</w:t>
      </w:r>
    </w:p>
  </w:footnote>
  <w:footnote w:id="4">
    <w:p w:rsidR="00E53A70" w:rsidRPr="0008769B" w:rsidRDefault="00E53A70" w:rsidP="001819A8">
      <w:pPr>
        <w:pStyle w:val="FootnoteText"/>
        <w:spacing w:after="0"/>
      </w:pPr>
      <w:r w:rsidRPr="0008769B">
        <w:rPr>
          <w:rStyle w:val="FootnoteReference"/>
        </w:rPr>
        <w:footnoteRef/>
      </w:r>
      <w:r w:rsidRPr="0008769B">
        <w:t xml:space="preserve"> </w:t>
      </w:r>
      <w:r w:rsidRPr="0008769B">
        <w:tab/>
        <w:t>COM(2006) 93 final</w:t>
      </w:r>
    </w:p>
  </w:footnote>
  <w:footnote w:id="5">
    <w:p w:rsidR="005B4911" w:rsidRDefault="005B4911">
      <w:pPr>
        <w:pStyle w:val="FootnoteText"/>
      </w:pPr>
      <w:r w:rsidRPr="0008769B">
        <w:rPr>
          <w:rStyle w:val="FootnoteReference"/>
        </w:rPr>
        <w:footnoteRef/>
      </w:r>
      <w:r w:rsidRPr="0008769B">
        <w:t xml:space="preserve"> </w:t>
      </w:r>
      <w:r w:rsidRPr="0008769B">
        <w:tab/>
        <w:t>At the meeting of COREPER on 20 December 2016 on the text agreed by the co-legislators on the Firearms Directive, the Commission issued a declaration regretting that some parts of the original proposal which set a greater level of ambition, in particular in proposing a complete ban of the most dangerous semi-automatic firearms, were not supported by the Parliament and the Council.</w:t>
      </w:r>
    </w:p>
  </w:footnote>
  <w:footnote w:id="6">
    <w:p w:rsidR="00E53A70" w:rsidRPr="00C37742" w:rsidRDefault="00E53A70" w:rsidP="001819A8">
      <w:pPr>
        <w:pStyle w:val="FootnoteText"/>
        <w:spacing w:after="0"/>
      </w:pPr>
      <w:r>
        <w:rPr>
          <w:rStyle w:val="FootnoteReference"/>
        </w:rPr>
        <w:footnoteRef/>
      </w:r>
      <w:r w:rsidRPr="00C37742">
        <w:t xml:space="preserve"> </w:t>
      </w:r>
      <w:r w:rsidR="005E52E3" w:rsidRPr="00C37742">
        <w:tab/>
      </w:r>
      <w:r w:rsidRPr="00C37742">
        <w:t xml:space="preserve">C(2016) 7647 final, </w:t>
      </w:r>
      <w:r w:rsidR="005E52E3" w:rsidRPr="00C37742">
        <w:t xml:space="preserve">C(2016) 7650 final and </w:t>
      </w:r>
      <w:r w:rsidRPr="00C37742">
        <w:t>C(2016) 7657 final</w:t>
      </w:r>
    </w:p>
  </w:footnote>
  <w:footnote w:id="7">
    <w:p w:rsidR="005E52E3" w:rsidRPr="00D40222" w:rsidRDefault="005E52E3" w:rsidP="00FC4EB4">
      <w:pPr>
        <w:pStyle w:val="FootnoteText"/>
        <w:spacing w:after="0"/>
        <w:ind w:left="420" w:hanging="420"/>
        <w:rPr>
          <w:lang w:val="pt-PT"/>
        </w:rPr>
      </w:pPr>
      <w:r>
        <w:rPr>
          <w:rStyle w:val="FootnoteReference"/>
        </w:rPr>
        <w:footnoteRef/>
      </w:r>
      <w:r w:rsidRPr="00D40222">
        <w:rPr>
          <w:lang w:val="pt-PT"/>
        </w:rPr>
        <w:t xml:space="preserve"> </w:t>
      </w:r>
      <w:r w:rsidRPr="00D40222">
        <w:rPr>
          <w:lang w:val="pt-PT"/>
        </w:rPr>
        <w:tab/>
        <w:t xml:space="preserve">COM (2015)670 final </w:t>
      </w:r>
    </w:p>
  </w:footnote>
  <w:footnote w:id="8">
    <w:p w:rsidR="00F47FDA" w:rsidRPr="00D40222" w:rsidRDefault="00F47FDA" w:rsidP="00FC4EB4">
      <w:pPr>
        <w:pStyle w:val="FootnoteText"/>
        <w:spacing w:after="0"/>
        <w:ind w:left="420" w:hanging="420"/>
        <w:rPr>
          <w:lang w:val="pt-PT"/>
        </w:rPr>
      </w:pPr>
      <w:r w:rsidRPr="005E52E3">
        <w:rPr>
          <w:vertAlign w:val="superscript"/>
        </w:rPr>
        <w:footnoteRef/>
      </w:r>
      <w:r w:rsidRPr="00D40222">
        <w:rPr>
          <w:lang w:val="pt-PT"/>
        </w:rPr>
        <w:t xml:space="preserve"> </w:t>
      </w:r>
      <w:r w:rsidRPr="00D40222">
        <w:rPr>
          <w:lang w:val="pt-PT"/>
        </w:rPr>
        <w:tab/>
      </w:r>
      <w:r w:rsidR="005E52E3" w:rsidRPr="00D40222">
        <w:rPr>
          <w:lang w:val="pt-PT"/>
        </w:rPr>
        <w:t>COM(</w:t>
      </w:r>
      <w:r w:rsidRPr="00D40222">
        <w:rPr>
          <w:lang w:val="pt-PT"/>
        </w:rPr>
        <w:t>2016</w:t>
      </w:r>
      <w:r w:rsidR="005E52E3" w:rsidRPr="00D40222">
        <w:rPr>
          <w:lang w:val="pt-PT"/>
        </w:rPr>
        <w:t>)</w:t>
      </w:r>
      <w:r w:rsidRPr="00D40222">
        <w:rPr>
          <w:lang w:val="pt-PT"/>
        </w:rPr>
        <w:t>050 final</w:t>
      </w:r>
    </w:p>
  </w:footnote>
  <w:footnote w:id="9">
    <w:p w:rsidR="00F47FDA" w:rsidRPr="00324457" w:rsidRDefault="00F47FDA" w:rsidP="00FC4EB4">
      <w:pPr>
        <w:pStyle w:val="FootnoteText"/>
        <w:spacing w:after="0"/>
        <w:ind w:left="420" w:hanging="420"/>
        <w:rPr>
          <w:lang w:val="pt-PT"/>
        </w:rPr>
      </w:pPr>
      <w:r>
        <w:rPr>
          <w:rStyle w:val="FootnoteReference"/>
        </w:rPr>
        <w:footnoteRef/>
      </w:r>
      <w:r w:rsidRPr="00324457">
        <w:rPr>
          <w:lang w:val="pt-PT"/>
        </w:rPr>
        <w:t xml:space="preserve"> </w:t>
      </w:r>
      <w:r w:rsidR="005E52E3" w:rsidRPr="00324457">
        <w:rPr>
          <w:lang w:val="pt-PT"/>
        </w:rPr>
        <w:tab/>
      </w:r>
      <w:r w:rsidR="005E52E3" w:rsidRPr="0007239C">
        <w:rPr>
          <w:lang w:val="pt-PT"/>
        </w:rPr>
        <w:t>COM(2016)</w:t>
      </w:r>
      <w:r w:rsidR="0007239C" w:rsidRPr="0007239C">
        <w:rPr>
          <w:lang w:val="pt-PT"/>
        </w:rPr>
        <w:t>826</w:t>
      </w:r>
    </w:p>
  </w:footnote>
  <w:footnote w:id="10">
    <w:p w:rsidR="002A42C1" w:rsidRPr="005E52E3" w:rsidRDefault="002A42C1" w:rsidP="007708C9">
      <w:pPr>
        <w:pStyle w:val="FootnoteText"/>
        <w:spacing w:after="0"/>
        <w:ind w:left="426" w:hanging="426"/>
      </w:pPr>
      <w:r>
        <w:rPr>
          <w:rStyle w:val="FootnoteReference"/>
        </w:rPr>
        <w:footnoteRef/>
      </w:r>
      <w:r w:rsidRPr="005E52E3">
        <w:t xml:space="preserve"> </w:t>
      </w:r>
      <w:r w:rsidR="00FC4EB4">
        <w:tab/>
      </w:r>
      <w:r w:rsidR="007708C9" w:rsidRPr="00C16101">
        <w:t>Council of Europe Convention on Laundering, Search, Seizure and Co</w:t>
      </w:r>
      <w:r w:rsidR="007708C9">
        <w:t xml:space="preserve">nfiscation of the Proceeds from </w:t>
      </w:r>
      <w:r w:rsidR="007708C9" w:rsidRPr="00C16101">
        <w:t>Crime and on the Financing of Terrorism of 2005, CETS No 198</w:t>
      </w:r>
      <w:r w:rsidR="007708C9">
        <w:t>, [</w:t>
      </w:r>
      <w:r w:rsidR="007708C9" w:rsidRPr="007407CF">
        <w:rPr>
          <w:i/>
        </w:rPr>
        <w:t xml:space="preserve">which requests countries to criminalise the laundering of proceeds of </w:t>
      </w:r>
      <w:r w:rsidR="007708C9">
        <w:rPr>
          <w:i/>
        </w:rPr>
        <w:t>a</w:t>
      </w:r>
      <w:r w:rsidR="007708C9" w:rsidRPr="007407CF">
        <w:rPr>
          <w:i/>
        </w:rPr>
        <w:t xml:space="preserve"> wide range of predicate offences (providing a list of predicate offence categories) an to criminalise ancillary activities, while making irrelevant whether the predicate offence was subject to the criminal jurisdiction of the country where the money laundering offence took place and requiring countries to ensure that a prior or simultaneous conviction for the predicate offence and the precise establishment of the predicate offence are not a prerequisite for a conviction for money laundering</w:t>
      </w:r>
      <w:r w:rsidR="007708C9">
        <w:rPr>
          <w:i/>
        </w:rPr>
        <w:t>]</w:t>
      </w:r>
      <w:r w:rsidR="007708C9" w:rsidRPr="007407CF">
        <w:rPr>
          <w:i/>
        </w:rPr>
        <w:t>.</w:t>
      </w:r>
      <w:r w:rsidR="007708C9" w:rsidRPr="00C16101">
        <w:t xml:space="preserve"> </w:t>
      </w:r>
    </w:p>
  </w:footnote>
  <w:footnote w:id="11">
    <w:p w:rsidR="000E536E" w:rsidRDefault="000E536E" w:rsidP="00FC4EB4">
      <w:pPr>
        <w:pStyle w:val="FootnoteText"/>
        <w:spacing w:after="0"/>
      </w:pPr>
      <w:r>
        <w:rPr>
          <w:rStyle w:val="FootnoteReference"/>
        </w:rPr>
        <w:footnoteRef/>
      </w:r>
      <w:r>
        <w:t xml:space="preserve"> </w:t>
      </w:r>
      <w:r w:rsidR="00FC4EB4">
        <w:tab/>
      </w:r>
      <w:r w:rsidR="00A7748F" w:rsidRPr="00A7748F">
        <w:t>http://eur-lex.europa.eu/LexUriServ/LexUriServ.do?uri=OJ:L:2005:309:0009:0012:EN:PDF</w:t>
      </w:r>
    </w:p>
  </w:footnote>
  <w:footnote w:id="12">
    <w:p w:rsidR="00F47FDA" w:rsidRDefault="00F47FDA" w:rsidP="00FC4EB4">
      <w:pPr>
        <w:pStyle w:val="FootnoteText"/>
        <w:spacing w:after="0"/>
      </w:pPr>
      <w:r>
        <w:rPr>
          <w:rStyle w:val="FootnoteReference"/>
        </w:rPr>
        <w:footnoteRef/>
      </w:r>
      <w:r w:rsidR="00FC4EB4">
        <w:tab/>
      </w:r>
      <w:r w:rsidR="005E52E3" w:rsidRPr="004B7846">
        <w:t>COM(2016)</w:t>
      </w:r>
      <w:r w:rsidR="004B7846" w:rsidRPr="004B7846">
        <w:t>819</w:t>
      </w:r>
    </w:p>
  </w:footnote>
  <w:footnote w:id="13">
    <w:p w:rsidR="007708C9" w:rsidRPr="00BF53FD" w:rsidRDefault="007708C9" w:rsidP="0007239C">
      <w:pPr>
        <w:pStyle w:val="FootnoteText"/>
        <w:spacing w:after="0"/>
      </w:pPr>
      <w:r>
        <w:rPr>
          <w:rStyle w:val="FootnoteReference"/>
        </w:rPr>
        <w:footnoteRef/>
      </w:r>
      <w:r>
        <w:t xml:space="preserve"> </w:t>
      </w:r>
      <w:r>
        <w:tab/>
        <w:t>Directive 2014/42/EU on the freezing and confiscation of instrumentalities and proceeds of crime in the European Union</w:t>
      </w:r>
    </w:p>
  </w:footnote>
  <w:footnote w:id="14">
    <w:p w:rsidR="007708C9" w:rsidRPr="004A4036" w:rsidRDefault="007708C9" w:rsidP="00C0349F">
      <w:pPr>
        <w:pStyle w:val="FootnoteText"/>
        <w:spacing w:after="0"/>
        <w:ind w:left="420" w:hanging="420"/>
      </w:pPr>
      <w:r w:rsidRPr="004A4036">
        <w:rPr>
          <w:rStyle w:val="FootnoteReference"/>
        </w:rPr>
        <w:footnoteRef/>
      </w:r>
      <w:r w:rsidRPr="004A4036">
        <w:t xml:space="preserve"> </w:t>
      </w:r>
      <w:r>
        <w:tab/>
      </w:r>
      <w:r w:rsidR="00FC4EB4" w:rsidRPr="00FC4EB4">
        <w:t>COM(2016) 826</w:t>
      </w:r>
    </w:p>
  </w:footnote>
  <w:footnote w:id="15">
    <w:p w:rsidR="009942DE" w:rsidRPr="004A4036" w:rsidRDefault="009942DE" w:rsidP="00C0349F">
      <w:pPr>
        <w:pStyle w:val="FootnoteText"/>
        <w:spacing w:after="0"/>
        <w:ind w:left="420" w:hanging="420"/>
      </w:pPr>
      <w:r w:rsidRPr="004A4036">
        <w:rPr>
          <w:rStyle w:val="FootnoteReference"/>
        </w:rPr>
        <w:footnoteRef/>
      </w:r>
      <w:r w:rsidRPr="004A4036">
        <w:t xml:space="preserve"> </w:t>
      </w:r>
      <w:r w:rsidR="000C0775">
        <w:tab/>
      </w:r>
      <w:r w:rsidRPr="004A4036">
        <w:t>Results of the TF Fact-Finding Initiative, FATF/PLEN(2015)36</w:t>
      </w:r>
    </w:p>
  </w:footnote>
  <w:footnote w:id="16">
    <w:p w:rsidR="007708C9" w:rsidRPr="004A4036" w:rsidRDefault="007708C9" w:rsidP="00C0349F">
      <w:pPr>
        <w:pStyle w:val="FootnoteText"/>
        <w:spacing w:after="0"/>
        <w:ind w:left="420" w:hanging="420"/>
      </w:pPr>
      <w:r w:rsidRPr="004A4036">
        <w:rPr>
          <w:rStyle w:val="FootnoteReference"/>
        </w:rPr>
        <w:footnoteRef/>
      </w:r>
      <w:r w:rsidRPr="004A4036">
        <w:t xml:space="preserve"> </w:t>
      </w:r>
      <w:r>
        <w:tab/>
      </w:r>
      <w:r w:rsidRPr="004A4036">
        <w:t>However, the Commission considers that there are no grounds in national or international law to distinguish between internal and international terrorism.</w:t>
      </w:r>
    </w:p>
  </w:footnote>
  <w:footnote w:id="17">
    <w:p w:rsidR="009942DE" w:rsidRPr="004A4036" w:rsidRDefault="009942DE" w:rsidP="00C0349F">
      <w:pPr>
        <w:pStyle w:val="FootnoteText"/>
        <w:spacing w:after="0"/>
        <w:ind w:left="420" w:hanging="420"/>
      </w:pPr>
      <w:r w:rsidRPr="004A4036">
        <w:rPr>
          <w:rStyle w:val="FootnoteReference"/>
        </w:rPr>
        <w:footnoteRef/>
      </w:r>
      <w:r w:rsidRPr="004A4036">
        <w:t xml:space="preserve"> </w:t>
      </w:r>
      <w:r>
        <w:tab/>
      </w:r>
      <w:r w:rsidRPr="004A4036">
        <w:t>"Changes in Modus Operandi of IS revisited"; Europol, 2 December 2016</w:t>
      </w:r>
    </w:p>
  </w:footnote>
  <w:footnote w:id="18">
    <w:p w:rsidR="009942DE" w:rsidRPr="004A4036" w:rsidRDefault="009942DE" w:rsidP="00C0349F">
      <w:pPr>
        <w:pStyle w:val="FootnoteText"/>
        <w:spacing w:after="0"/>
        <w:ind w:left="420" w:hanging="420"/>
      </w:pPr>
      <w:r w:rsidRPr="004A4036">
        <w:rPr>
          <w:rStyle w:val="FootnoteReference"/>
        </w:rPr>
        <w:footnoteRef/>
      </w:r>
      <w:r w:rsidRPr="004A4036">
        <w:t xml:space="preserve"> </w:t>
      </w:r>
      <w:r>
        <w:tab/>
      </w:r>
      <w:r w:rsidRPr="004A4036">
        <w:t>European Union Terrorism Situation and Trend Report (TE-SAT) 2016, Europol</w:t>
      </w:r>
    </w:p>
  </w:footnote>
  <w:footnote w:id="19">
    <w:p w:rsidR="004B72AD" w:rsidRDefault="004B72AD" w:rsidP="00C0349F">
      <w:pPr>
        <w:pStyle w:val="FootnoteText"/>
        <w:ind w:left="420" w:hanging="420"/>
      </w:pPr>
      <w:r>
        <w:rPr>
          <w:rStyle w:val="FootnoteReference"/>
        </w:rPr>
        <w:footnoteRef/>
      </w:r>
      <w:r>
        <w:t xml:space="preserve"> </w:t>
      </w:r>
      <w:r w:rsidR="00C0349F">
        <w:tab/>
      </w:r>
      <w:r w:rsidRPr="005E7EA6">
        <w:t>Council Decision (CFSP) 2016/1693 concerning restrictive measures against ISIL (Da'esh) and Al-Qaeda and persons, groups, undertakings and entities associated with them, and repealing Common Position 2002/402/CFSP, and Council Regulation (EU) 2016/1686 of 20 September 2016 imposing additional restrictive measures directed against ISIL (Da'esh) and Al-Qaeda and natural and legal persons, entities or bodies associated with them.</w:t>
      </w:r>
    </w:p>
  </w:footnote>
  <w:footnote w:id="20">
    <w:p w:rsidR="003425DC" w:rsidRDefault="003425DC" w:rsidP="00FC4EB4">
      <w:pPr>
        <w:pStyle w:val="FootnoteText"/>
        <w:spacing w:after="0"/>
      </w:pPr>
      <w:r>
        <w:rPr>
          <w:rStyle w:val="FootnoteReference"/>
        </w:rPr>
        <w:footnoteRef/>
      </w:r>
      <w:r>
        <w:t xml:space="preserve"> </w:t>
      </w:r>
      <w:r w:rsidR="00FC4EB4">
        <w:tab/>
      </w:r>
      <w:r w:rsidRPr="003425DC">
        <w:t>https://ec.europa.eu/priorities/sites/beta-political/files/joint-declaration-legislative-priorities-2017_en.pdf</w:t>
      </w:r>
    </w:p>
  </w:footnote>
  <w:footnote w:id="21">
    <w:p w:rsidR="00BE6379" w:rsidRPr="00BE6379" w:rsidRDefault="00BE6379" w:rsidP="00FC4EB4">
      <w:pPr>
        <w:pStyle w:val="FootnoteText"/>
        <w:spacing w:after="0"/>
      </w:pPr>
      <w:r>
        <w:rPr>
          <w:rStyle w:val="FootnoteReference"/>
        </w:rPr>
        <w:footnoteRef/>
      </w:r>
      <w:r>
        <w:t xml:space="preserve"> </w:t>
      </w:r>
      <w:r w:rsidR="001819A8">
        <w:tab/>
      </w:r>
      <w:r w:rsidRPr="005A0269">
        <w:t>See the Communication on "Stronger and Smarter Information Systems for Borders and Security", COM(2016) 205 final of 6.4.2016.</w:t>
      </w:r>
    </w:p>
  </w:footnote>
  <w:footnote w:id="22">
    <w:p w:rsidR="00F86047" w:rsidRPr="005810F8" w:rsidRDefault="00F86047" w:rsidP="00FC4EB4">
      <w:pPr>
        <w:pStyle w:val="FootnoteText"/>
        <w:spacing w:after="0"/>
      </w:pPr>
      <w:r>
        <w:rPr>
          <w:rStyle w:val="FootnoteReference"/>
        </w:rPr>
        <w:footnoteRef/>
      </w:r>
      <w:r>
        <w:t xml:space="preserve"> </w:t>
      </w:r>
      <w:r>
        <w:tab/>
      </w:r>
      <w:r w:rsidRPr="005A0269">
        <w:t xml:space="preserve">In 2015, </w:t>
      </w:r>
      <w:r w:rsidRPr="005810F8">
        <w:t>national competent authorities checked persons and objects against data held in SIS on nearly 2.9 billion occasions and exchanged over 1.8 million pieces of supplementary information.</w:t>
      </w:r>
    </w:p>
  </w:footnote>
  <w:footnote w:id="23">
    <w:p w:rsidR="00F86047" w:rsidRDefault="00F86047" w:rsidP="00FC4EB4">
      <w:pPr>
        <w:pStyle w:val="FootnoteText"/>
        <w:spacing w:after="0"/>
      </w:pPr>
      <w:r>
        <w:rPr>
          <w:rStyle w:val="FootnoteReference"/>
        </w:rPr>
        <w:footnoteRef/>
      </w:r>
      <w:r>
        <w:t xml:space="preserve"> </w:t>
      </w:r>
      <w:r>
        <w:tab/>
      </w:r>
      <w:r w:rsidR="00FC4EB4" w:rsidRPr="00FC4EB4">
        <w:t>COM(2016) 883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3D" w:rsidRPr="00B8473D" w:rsidRDefault="00B8473D" w:rsidP="00B847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3D" w:rsidRPr="00B8473D" w:rsidRDefault="00B8473D" w:rsidP="00B8473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3D" w:rsidRPr="00B8473D" w:rsidRDefault="00B8473D" w:rsidP="00B8473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49F" w:rsidRDefault="00C0349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49F" w:rsidRDefault="00C0349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49F" w:rsidRDefault="00C034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6306F4"/>
    <w:multiLevelType w:val="hybridMultilevel"/>
    <w:tmpl w:val="2682D3E0"/>
    <w:lvl w:ilvl="0" w:tplc="1B307230">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035A3566"/>
    <w:multiLevelType w:val="hybridMultilevel"/>
    <w:tmpl w:val="A4C212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4996626"/>
    <w:multiLevelType w:val="hybridMultilevel"/>
    <w:tmpl w:val="F7147ACE"/>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1E485D8C"/>
    <w:multiLevelType w:val="hybridMultilevel"/>
    <w:tmpl w:val="2844FB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5E44C4D"/>
    <w:multiLevelType w:val="hybridMultilevel"/>
    <w:tmpl w:val="DD8286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302543"/>
    <w:multiLevelType w:val="hybridMultilevel"/>
    <w:tmpl w:val="720210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A212738"/>
    <w:multiLevelType w:val="hybridMultilevel"/>
    <w:tmpl w:val="B470A1CE"/>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512"/>
        </w:tabs>
        <w:ind w:left="512" w:hanging="600"/>
      </w:pPr>
    </w:lvl>
    <w:lvl w:ilvl="2">
      <w:start w:val="1"/>
      <w:numFmt w:val="decimal"/>
      <w:pStyle w:val="Heading3"/>
      <w:lvlText w:val="%1.%2.%3."/>
      <w:lvlJc w:val="left"/>
      <w:pPr>
        <w:tabs>
          <w:tab w:val="num" w:pos="1352"/>
        </w:tabs>
        <w:ind w:left="1352" w:hanging="840"/>
      </w:pPr>
    </w:lvl>
    <w:lvl w:ilvl="3">
      <w:start w:val="1"/>
      <w:numFmt w:val="decimal"/>
      <w:pStyle w:val="Heading4"/>
      <w:lvlText w:val="%1.%2.%3.%4."/>
      <w:lvlJc w:val="left"/>
      <w:pPr>
        <w:tabs>
          <w:tab w:val="num" w:pos="2312"/>
        </w:tabs>
        <w:ind w:left="2312" w:hanging="960"/>
      </w:pPr>
    </w:lvl>
    <w:lvl w:ilvl="4">
      <w:start w:val="1"/>
      <w:numFmt w:val="lowerLetter"/>
      <w:lvlText w:val="(%5)"/>
      <w:lvlJc w:val="left"/>
      <w:pPr>
        <w:tabs>
          <w:tab w:val="num" w:pos="1232"/>
        </w:tabs>
        <w:ind w:left="1232" w:hanging="360"/>
      </w:pPr>
    </w:lvl>
    <w:lvl w:ilvl="5">
      <w:start w:val="1"/>
      <w:numFmt w:val="lowerRoman"/>
      <w:lvlText w:val="(%6)"/>
      <w:lvlJc w:val="left"/>
      <w:pPr>
        <w:tabs>
          <w:tab w:val="num" w:pos="1592"/>
        </w:tabs>
        <w:ind w:left="1592" w:hanging="360"/>
      </w:pPr>
    </w:lvl>
    <w:lvl w:ilvl="6">
      <w:start w:val="1"/>
      <w:numFmt w:val="decimal"/>
      <w:lvlText w:val="%7."/>
      <w:lvlJc w:val="left"/>
      <w:pPr>
        <w:tabs>
          <w:tab w:val="num" w:pos="1952"/>
        </w:tabs>
        <w:ind w:left="1952" w:hanging="360"/>
      </w:pPr>
    </w:lvl>
    <w:lvl w:ilvl="7">
      <w:start w:val="1"/>
      <w:numFmt w:val="lowerLetter"/>
      <w:lvlText w:val="%8."/>
      <w:lvlJc w:val="left"/>
      <w:pPr>
        <w:tabs>
          <w:tab w:val="num" w:pos="2312"/>
        </w:tabs>
        <w:ind w:left="2312" w:hanging="360"/>
      </w:pPr>
    </w:lvl>
    <w:lvl w:ilvl="8">
      <w:start w:val="1"/>
      <w:numFmt w:val="lowerRoman"/>
      <w:lvlText w:val="%9."/>
      <w:lvlJc w:val="left"/>
      <w:pPr>
        <w:tabs>
          <w:tab w:val="num" w:pos="2672"/>
        </w:tabs>
        <w:ind w:left="2672" w:hanging="360"/>
      </w:pPr>
    </w:lvl>
  </w:abstractNum>
  <w:abstractNum w:abstractNumId="21">
    <w:nsid w:val="51696505"/>
    <w:multiLevelType w:val="hybridMultilevel"/>
    <w:tmpl w:val="8C74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5A9B3E55"/>
    <w:multiLevelType w:val="hybridMultilevel"/>
    <w:tmpl w:val="C34A9BC2"/>
    <w:lvl w:ilvl="0" w:tplc="0809000F">
      <w:start w:val="1"/>
      <w:numFmt w:val="decimal"/>
      <w:lvlText w:val="%1."/>
      <w:lvlJc w:val="left"/>
      <w:pPr>
        <w:ind w:left="720" w:hanging="360"/>
      </w:pPr>
      <w:rPr>
        <w:rFonts w:hint="default"/>
      </w:rPr>
    </w:lvl>
    <w:lvl w:ilvl="1" w:tplc="06427916">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3F13AA"/>
    <w:multiLevelType w:val="hybridMultilevel"/>
    <w:tmpl w:val="0A0851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983090"/>
    <w:multiLevelType w:val="hybridMultilevel"/>
    <w:tmpl w:val="F6F6E584"/>
    <w:lvl w:ilvl="0" w:tplc="FC90C370">
      <w:start w:val="1"/>
      <w:numFmt w:val="bullet"/>
      <w:lvlText w:val=""/>
      <w:lvlJc w:val="left"/>
      <w:pPr>
        <w:ind w:left="360" w:hanging="360"/>
      </w:pPr>
      <w:rPr>
        <w:rFonts w:ascii="Symbol" w:hAnsi="Symbol" w:hint="default"/>
      </w:rPr>
    </w:lvl>
    <w:lvl w:ilvl="1" w:tplc="01BAA2DC">
      <w:numFmt w:val="bullet"/>
      <w:lvlText w:val="-"/>
      <w:lvlJc w:val="left"/>
      <w:pPr>
        <w:ind w:left="1080" w:hanging="360"/>
      </w:pPr>
      <w:rPr>
        <w:rFonts w:ascii="Times New Roman" w:eastAsia="Calibr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01A0D29"/>
    <w:multiLevelType w:val="hybridMultilevel"/>
    <w:tmpl w:val="C6CE757A"/>
    <w:lvl w:ilvl="0" w:tplc="93C0C944">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2C855FB"/>
    <w:multiLevelType w:val="hybridMultilevel"/>
    <w:tmpl w:val="A3268D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2">
    <w:nsid w:val="75213A45"/>
    <w:multiLevelType w:val="hybridMultilevel"/>
    <w:tmpl w:val="71704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ED32B5D"/>
    <w:multiLevelType w:val="hybridMultilevel"/>
    <w:tmpl w:val="91CA9C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22"/>
  </w:num>
  <w:num w:numId="5">
    <w:abstractNumId w:val="14"/>
  </w:num>
  <w:num w:numId="6">
    <w:abstractNumId w:val="13"/>
  </w:num>
  <w:num w:numId="7">
    <w:abstractNumId w:val="7"/>
  </w:num>
  <w:num w:numId="8">
    <w:abstractNumId w:val="6"/>
  </w:num>
  <w:num w:numId="9">
    <w:abstractNumId w:val="28"/>
  </w:num>
  <w:num w:numId="10">
    <w:abstractNumId w:val="30"/>
  </w:num>
  <w:num w:numId="11">
    <w:abstractNumId w:val="29"/>
  </w:num>
  <w:num w:numId="12">
    <w:abstractNumId w:val="31"/>
  </w:num>
  <w:num w:numId="13">
    <w:abstractNumId w:val="10"/>
  </w:num>
  <w:num w:numId="14">
    <w:abstractNumId w:val="15"/>
  </w:num>
  <w:num w:numId="15">
    <w:abstractNumId w:val="17"/>
  </w:num>
  <w:num w:numId="16">
    <w:abstractNumId w:val="16"/>
  </w:num>
  <w:num w:numId="17">
    <w:abstractNumId w:val="4"/>
  </w:num>
  <w:num w:numId="18">
    <w:abstractNumId w:val="18"/>
  </w:num>
  <w:num w:numId="19">
    <w:abstractNumId w:val="8"/>
  </w:num>
  <w:num w:numId="20">
    <w:abstractNumId w:val="8"/>
  </w:num>
  <w:num w:numId="21">
    <w:abstractNumId w:val="21"/>
  </w:num>
  <w:num w:numId="22">
    <w:abstractNumId w:val="25"/>
  </w:num>
  <w:num w:numId="23">
    <w:abstractNumId w:val="32"/>
  </w:num>
  <w:num w:numId="24">
    <w:abstractNumId w:val="2"/>
  </w:num>
  <w:num w:numId="25">
    <w:abstractNumId w:val="9"/>
  </w:num>
  <w:num w:numId="26">
    <w:abstractNumId w:val="26"/>
  </w:num>
  <w:num w:numId="27">
    <w:abstractNumId w:val="27"/>
  </w:num>
  <w:num w:numId="28">
    <w:abstractNumId w:val="12"/>
  </w:num>
  <w:num w:numId="29">
    <w:abstractNumId w:val="3"/>
  </w:num>
  <w:num w:numId="30">
    <w:abstractNumId w:val="11"/>
  </w:num>
  <w:num w:numId="31">
    <w:abstractNumId w:val="24"/>
  </w:num>
  <w:num w:numId="32">
    <w:abstractNumId w:val="33"/>
  </w:num>
  <w:num w:numId="33">
    <w:abstractNumId w:val="23"/>
  </w:num>
  <w:num w:numId="34">
    <w:abstractNumId w:val="19"/>
  </w:num>
  <w:num w:numId="3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de-DE" w:vendorID="64" w:dllVersion="131078" w:nlCheck="1" w:checkStyle="1"/>
  <w:activeWritingStyle w:appName="MSWord" w:lang="fr-B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4113559D012E4980BC252FC7ED6CB4B2"/>
    <w:docVar w:name="LW_CROSSREFERENCE" w:val="&lt;UNUSED&gt;"/>
    <w:docVar w:name="LW_DocType" w:val="NOT"/>
    <w:docVar w:name="LW_EMISSION" w:val="21.12.2016"/>
    <w:docVar w:name="LW_EMISSION_ISODATE" w:val="2016-12-21"/>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lt;EMPTY&gt;"/>
    <w:docVar w:name="LW_REF.INST.NEW_TEXT" w:val="(2016) 831 final"/>
    <w:docVar w:name="LW_REF.INTERNE" w:val="&lt;UNUSED&gt;"/>
    <w:docVar w:name="LW_SOUS.TITRE.OBJ.CP" w:val="&lt;UNUSED&gt;"/>
    <w:docVar w:name="LW_SUPERTITRE" w:val="&lt;UNUSED&gt;"/>
    <w:docVar w:name="LW_TITRE.OBJ.CP" w:val="Third progress report towards an effective and genuine Security Union"/>
    <w:docVar w:name="LW_TYPE.DOC.CP" w:val="COMMUNICATION FROM THE COMMISSION TO THE EUROPEAN PARLIAMENT, THE EUROPEAN COUNCIL AND THE COUNCIL"/>
  </w:docVars>
  <w:rsids>
    <w:rsidRoot w:val="00F05CCB"/>
    <w:rsid w:val="000001E2"/>
    <w:rsid w:val="000002D3"/>
    <w:rsid w:val="00000C6A"/>
    <w:rsid w:val="00001A21"/>
    <w:rsid w:val="0000306E"/>
    <w:rsid w:val="000038AE"/>
    <w:rsid w:val="00004841"/>
    <w:rsid w:val="00005023"/>
    <w:rsid w:val="000057D8"/>
    <w:rsid w:val="00005B2C"/>
    <w:rsid w:val="00005DE1"/>
    <w:rsid w:val="00006C7C"/>
    <w:rsid w:val="000072F0"/>
    <w:rsid w:val="0000777E"/>
    <w:rsid w:val="000078F1"/>
    <w:rsid w:val="00012653"/>
    <w:rsid w:val="000126ED"/>
    <w:rsid w:val="00012FF6"/>
    <w:rsid w:val="0001333F"/>
    <w:rsid w:val="00013649"/>
    <w:rsid w:val="00014C46"/>
    <w:rsid w:val="00015157"/>
    <w:rsid w:val="00016992"/>
    <w:rsid w:val="00020998"/>
    <w:rsid w:val="0002245F"/>
    <w:rsid w:val="00022F15"/>
    <w:rsid w:val="0002312F"/>
    <w:rsid w:val="00023F75"/>
    <w:rsid w:val="00024B37"/>
    <w:rsid w:val="00024DA7"/>
    <w:rsid w:val="0002643B"/>
    <w:rsid w:val="00026E87"/>
    <w:rsid w:val="00026FC7"/>
    <w:rsid w:val="000277C5"/>
    <w:rsid w:val="000278C0"/>
    <w:rsid w:val="00027BF5"/>
    <w:rsid w:val="00027C2E"/>
    <w:rsid w:val="00027CD5"/>
    <w:rsid w:val="000304E6"/>
    <w:rsid w:val="00030943"/>
    <w:rsid w:val="0003141B"/>
    <w:rsid w:val="0003179C"/>
    <w:rsid w:val="00034589"/>
    <w:rsid w:val="00034591"/>
    <w:rsid w:val="000359E6"/>
    <w:rsid w:val="00035E12"/>
    <w:rsid w:val="00037D53"/>
    <w:rsid w:val="00040DC7"/>
    <w:rsid w:val="00041D44"/>
    <w:rsid w:val="000437C6"/>
    <w:rsid w:val="0004442B"/>
    <w:rsid w:val="00044436"/>
    <w:rsid w:val="000453AD"/>
    <w:rsid w:val="00046065"/>
    <w:rsid w:val="000466D4"/>
    <w:rsid w:val="0004747B"/>
    <w:rsid w:val="00047546"/>
    <w:rsid w:val="00051D84"/>
    <w:rsid w:val="00051E7F"/>
    <w:rsid w:val="000525E1"/>
    <w:rsid w:val="0005271F"/>
    <w:rsid w:val="000531EC"/>
    <w:rsid w:val="0005397E"/>
    <w:rsid w:val="0005403B"/>
    <w:rsid w:val="00055BD4"/>
    <w:rsid w:val="00057158"/>
    <w:rsid w:val="0005728B"/>
    <w:rsid w:val="00057442"/>
    <w:rsid w:val="0005746E"/>
    <w:rsid w:val="000576F6"/>
    <w:rsid w:val="0006068F"/>
    <w:rsid w:val="000609E1"/>
    <w:rsid w:val="00062721"/>
    <w:rsid w:val="000642A1"/>
    <w:rsid w:val="0006477B"/>
    <w:rsid w:val="00064D74"/>
    <w:rsid w:val="00064FAB"/>
    <w:rsid w:val="000653BB"/>
    <w:rsid w:val="00065BBE"/>
    <w:rsid w:val="00065F0D"/>
    <w:rsid w:val="00066222"/>
    <w:rsid w:val="00066838"/>
    <w:rsid w:val="00066B9E"/>
    <w:rsid w:val="00067007"/>
    <w:rsid w:val="00067CCA"/>
    <w:rsid w:val="00067D32"/>
    <w:rsid w:val="000700E6"/>
    <w:rsid w:val="000703E8"/>
    <w:rsid w:val="00071268"/>
    <w:rsid w:val="0007174D"/>
    <w:rsid w:val="00071B6F"/>
    <w:rsid w:val="0007239C"/>
    <w:rsid w:val="000726DD"/>
    <w:rsid w:val="00072D89"/>
    <w:rsid w:val="00073E68"/>
    <w:rsid w:val="00074312"/>
    <w:rsid w:val="00074A54"/>
    <w:rsid w:val="00074C64"/>
    <w:rsid w:val="00074F62"/>
    <w:rsid w:val="0007649B"/>
    <w:rsid w:val="0007656C"/>
    <w:rsid w:val="000765D0"/>
    <w:rsid w:val="00076DEE"/>
    <w:rsid w:val="00077061"/>
    <w:rsid w:val="00077A0C"/>
    <w:rsid w:val="000807CC"/>
    <w:rsid w:val="00080998"/>
    <w:rsid w:val="00080AAF"/>
    <w:rsid w:val="00083102"/>
    <w:rsid w:val="00083380"/>
    <w:rsid w:val="0008344A"/>
    <w:rsid w:val="000839C2"/>
    <w:rsid w:val="000844D9"/>
    <w:rsid w:val="00084F2C"/>
    <w:rsid w:val="00086364"/>
    <w:rsid w:val="000870F4"/>
    <w:rsid w:val="00087426"/>
    <w:rsid w:val="0008769B"/>
    <w:rsid w:val="00087B27"/>
    <w:rsid w:val="00087B90"/>
    <w:rsid w:val="00092BE4"/>
    <w:rsid w:val="000937BD"/>
    <w:rsid w:val="00093B9D"/>
    <w:rsid w:val="0009407F"/>
    <w:rsid w:val="00095358"/>
    <w:rsid w:val="00095869"/>
    <w:rsid w:val="000964B8"/>
    <w:rsid w:val="000A090C"/>
    <w:rsid w:val="000A0D04"/>
    <w:rsid w:val="000A28A1"/>
    <w:rsid w:val="000A2956"/>
    <w:rsid w:val="000A3086"/>
    <w:rsid w:val="000A320C"/>
    <w:rsid w:val="000A4748"/>
    <w:rsid w:val="000A5AF8"/>
    <w:rsid w:val="000A62CB"/>
    <w:rsid w:val="000A6456"/>
    <w:rsid w:val="000A64C2"/>
    <w:rsid w:val="000A6B5D"/>
    <w:rsid w:val="000A7555"/>
    <w:rsid w:val="000B0152"/>
    <w:rsid w:val="000B026F"/>
    <w:rsid w:val="000B0D69"/>
    <w:rsid w:val="000B1ABC"/>
    <w:rsid w:val="000B1FBF"/>
    <w:rsid w:val="000B2578"/>
    <w:rsid w:val="000B360D"/>
    <w:rsid w:val="000B3721"/>
    <w:rsid w:val="000B4438"/>
    <w:rsid w:val="000B51F7"/>
    <w:rsid w:val="000B538F"/>
    <w:rsid w:val="000B59CE"/>
    <w:rsid w:val="000B69B6"/>
    <w:rsid w:val="000C002C"/>
    <w:rsid w:val="000C0718"/>
    <w:rsid w:val="000C0775"/>
    <w:rsid w:val="000C0843"/>
    <w:rsid w:val="000C0E33"/>
    <w:rsid w:val="000C1186"/>
    <w:rsid w:val="000C131D"/>
    <w:rsid w:val="000C16E4"/>
    <w:rsid w:val="000C1936"/>
    <w:rsid w:val="000C1E08"/>
    <w:rsid w:val="000C4C1B"/>
    <w:rsid w:val="000C5291"/>
    <w:rsid w:val="000C54A6"/>
    <w:rsid w:val="000C5ED6"/>
    <w:rsid w:val="000C6236"/>
    <w:rsid w:val="000C63FA"/>
    <w:rsid w:val="000C645A"/>
    <w:rsid w:val="000C6825"/>
    <w:rsid w:val="000C6BB2"/>
    <w:rsid w:val="000C6DDA"/>
    <w:rsid w:val="000C7E40"/>
    <w:rsid w:val="000D03C4"/>
    <w:rsid w:val="000D0647"/>
    <w:rsid w:val="000D0BA5"/>
    <w:rsid w:val="000D0F84"/>
    <w:rsid w:val="000D100A"/>
    <w:rsid w:val="000D1320"/>
    <w:rsid w:val="000D151E"/>
    <w:rsid w:val="000D17BC"/>
    <w:rsid w:val="000D219F"/>
    <w:rsid w:val="000D3C4A"/>
    <w:rsid w:val="000D4BFE"/>
    <w:rsid w:val="000D5682"/>
    <w:rsid w:val="000D5BBB"/>
    <w:rsid w:val="000D7280"/>
    <w:rsid w:val="000D7A1F"/>
    <w:rsid w:val="000D7B67"/>
    <w:rsid w:val="000D7D7A"/>
    <w:rsid w:val="000E0000"/>
    <w:rsid w:val="000E0866"/>
    <w:rsid w:val="000E1188"/>
    <w:rsid w:val="000E21A6"/>
    <w:rsid w:val="000E224B"/>
    <w:rsid w:val="000E2401"/>
    <w:rsid w:val="000E2C51"/>
    <w:rsid w:val="000E2D4B"/>
    <w:rsid w:val="000E4196"/>
    <w:rsid w:val="000E41F6"/>
    <w:rsid w:val="000E42A3"/>
    <w:rsid w:val="000E536E"/>
    <w:rsid w:val="000E5E2A"/>
    <w:rsid w:val="000E604C"/>
    <w:rsid w:val="000E64D4"/>
    <w:rsid w:val="000E6CB6"/>
    <w:rsid w:val="000F066B"/>
    <w:rsid w:val="000F0A97"/>
    <w:rsid w:val="000F0AA9"/>
    <w:rsid w:val="000F0CD2"/>
    <w:rsid w:val="000F2502"/>
    <w:rsid w:val="000F2A0E"/>
    <w:rsid w:val="000F2D65"/>
    <w:rsid w:val="000F3214"/>
    <w:rsid w:val="000F378A"/>
    <w:rsid w:val="000F40A6"/>
    <w:rsid w:val="000F46EE"/>
    <w:rsid w:val="000F54C9"/>
    <w:rsid w:val="000F5FC3"/>
    <w:rsid w:val="000F6123"/>
    <w:rsid w:val="000F67B3"/>
    <w:rsid w:val="000F71C5"/>
    <w:rsid w:val="000F795E"/>
    <w:rsid w:val="0010044E"/>
    <w:rsid w:val="0010136E"/>
    <w:rsid w:val="001019BB"/>
    <w:rsid w:val="00102ACC"/>
    <w:rsid w:val="00104BF2"/>
    <w:rsid w:val="00104CD3"/>
    <w:rsid w:val="00105FB2"/>
    <w:rsid w:val="00106357"/>
    <w:rsid w:val="00106373"/>
    <w:rsid w:val="001064F1"/>
    <w:rsid w:val="00106A4E"/>
    <w:rsid w:val="00107130"/>
    <w:rsid w:val="001107E3"/>
    <w:rsid w:val="00110B75"/>
    <w:rsid w:val="001112E5"/>
    <w:rsid w:val="00111610"/>
    <w:rsid w:val="001127DE"/>
    <w:rsid w:val="00112FA1"/>
    <w:rsid w:val="00113274"/>
    <w:rsid w:val="001135BD"/>
    <w:rsid w:val="001144B5"/>
    <w:rsid w:val="00114ABB"/>
    <w:rsid w:val="0012125F"/>
    <w:rsid w:val="00123772"/>
    <w:rsid w:val="001241C8"/>
    <w:rsid w:val="00124C61"/>
    <w:rsid w:val="00124CCB"/>
    <w:rsid w:val="001255D7"/>
    <w:rsid w:val="001261BB"/>
    <w:rsid w:val="001266AA"/>
    <w:rsid w:val="001300C4"/>
    <w:rsid w:val="001313B3"/>
    <w:rsid w:val="00131BDE"/>
    <w:rsid w:val="00132C58"/>
    <w:rsid w:val="001342C5"/>
    <w:rsid w:val="00134936"/>
    <w:rsid w:val="00134B24"/>
    <w:rsid w:val="00134E74"/>
    <w:rsid w:val="001362A9"/>
    <w:rsid w:val="00136432"/>
    <w:rsid w:val="0013691B"/>
    <w:rsid w:val="0013691F"/>
    <w:rsid w:val="00136B21"/>
    <w:rsid w:val="00137178"/>
    <w:rsid w:val="00137BBB"/>
    <w:rsid w:val="00137FC2"/>
    <w:rsid w:val="001401F2"/>
    <w:rsid w:val="00140A12"/>
    <w:rsid w:val="00140E66"/>
    <w:rsid w:val="001439E1"/>
    <w:rsid w:val="00144780"/>
    <w:rsid w:val="001448E9"/>
    <w:rsid w:val="00144A93"/>
    <w:rsid w:val="00145523"/>
    <w:rsid w:val="00146CE4"/>
    <w:rsid w:val="001472E0"/>
    <w:rsid w:val="00150AE5"/>
    <w:rsid w:val="001515E3"/>
    <w:rsid w:val="001529BF"/>
    <w:rsid w:val="00152A4A"/>
    <w:rsid w:val="00153444"/>
    <w:rsid w:val="00153898"/>
    <w:rsid w:val="00153D10"/>
    <w:rsid w:val="00155047"/>
    <w:rsid w:val="00156039"/>
    <w:rsid w:val="001560DF"/>
    <w:rsid w:val="00156300"/>
    <w:rsid w:val="0015760E"/>
    <w:rsid w:val="00157C06"/>
    <w:rsid w:val="00157C2A"/>
    <w:rsid w:val="0016002B"/>
    <w:rsid w:val="00160A8D"/>
    <w:rsid w:val="00160AB6"/>
    <w:rsid w:val="00160DD9"/>
    <w:rsid w:val="00161B77"/>
    <w:rsid w:val="00161DC9"/>
    <w:rsid w:val="00164318"/>
    <w:rsid w:val="001645BC"/>
    <w:rsid w:val="00165C68"/>
    <w:rsid w:val="00166912"/>
    <w:rsid w:val="001673E3"/>
    <w:rsid w:val="00167A57"/>
    <w:rsid w:val="00167B03"/>
    <w:rsid w:val="001701C1"/>
    <w:rsid w:val="001707F9"/>
    <w:rsid w:val="00170E46"/>
    <w:rsid w:val="0017173D"/>
    <w:rsid w:val="00171750"/>
    <w:rsid w:val="00171B43"/>
    <w:rsid w:val="00171C72"/>
    <w:rsid w:val="00171DC9"/>
    <w:rsid w:val="00173860"/>
    <w:rsid w:val="00173D8A"/>
    <w:rsid w:val="0017453B"/>
    <w:rsid w:val="00174A82"/>
    <w:rsid w:val="00174CF9"/>
    <w:rsid w:val="00175693"/>
    <w:rsid w:val="00175F1E"/>
    <w:rsid w:val="001760E8"/>
    <w:rsid w:val="00176A54"/>
    <w:rsid w:val="001774B3"/>
    <w:rsid w:val="0017783D"/>
    <w:rsid w:val="001809CF"/>
    <w:rsid w:val="00180D8D"/>
    <w:rsid w:val="0018184F"/>
    <w:rsid w:val="001819A8"/>
    <w:rsid w:val="00181A4E"/>
    <w:rsid w:val="001820A6"/>
    <w:rsid w:val="00182160"/>
    <w:rsid w:val="00182F64"/>
    <w:rsid w:val="00183384"/>
    <w:rsid w:val="0018339D"/>
    <w:rsid w:val="00183CA8"/>
    <w:rsid w:val="00184128"/>
    <w:rsid w:val="00184261"/>
    <w:rsid w:val="001842E1"/>
    <w:rsid w:val="00184982"/>
    <w:rsid w:val="0018554B"/>
    <w:rsid w:val="00185B3B"/>
    <w:rsid w:val="00186664"/>
    <w:rsid w:val="00186996"/>
    <w:rsid w:val="00187BE4"/>
    <w:rsid w:val="00190748"/>
    <w:rsid w:val="001917A0"/>
    <w:rsid w:val="00192F1D"/>
    <w:rsid w:val="00193D25"/>
    <w:rsid w:val="00195788"/>
    <w:rsid w:val="00195C8D"/>
    <w:rsid w:val="00196F94"/>
    <w:rsid w:val="00197AB2"/>
    <w:rsid w:val="001A02B6"/>
    <w:rsid w:val="001A0397"/>
    <w:rsid w:val="001A1C2D"/>
    <w:rsid w:val="001A209A"/>
    <w:rsid w:val="001A265A"/>
    <w:rsid w:val="001A26CD"/>
    <w:rsid w:val="001A2A1E"/>
    <w:rsid w:val="001A2FDB"/>
    <w:rsid w:val="001A3145"/>
    <w:rsid w:val="001A43CC"/>
    <w:rsid w:val="001A4816"/>
    <w:rsid w:val="001A4914"/>
    <w:rsid w:val="001A526D"/>
    <w:rsid w:val="001A5864"/>
    <w:rsid w:val="001A6FB7"/>
    <w:rsid w:val="001A7DBD"/>
    <w:rsid w:val="001B0C3B"/>
    <w:rsid w:val="001B0F59"/>
    <w:rsid w:val="001B3DCD"/>
    <w:rsid w:val="001B42C7"/>
    <w:rsid w:val="001B4321"/>
    <w:rsid w:val="001B4BE3"/>
    <w:rsid w:val="001B5922"/>
    <w:rsid w:val="001B6C8B"/>
    <w:rsid w:val="001B7C61"/>
    <w:rsid w:val="001C00C0"/>
    <w:rsid w:val="001C15FC"/>
    <w:rsid w:val="001C1F73"/>
    <w:rsid w:val="001C2040"/>
    <w:rsid w:val="001C27BF"/>
    <w:rsid w:val="001C35CD"/>
    <w:rsid w:val="001C45D3"/>
    <w:rsid w:val="001C62BB"/>
    <w:rsid w:val="001C7712"/>
    <w:rsid w:val="001C7C7A"/>
    <w:rsid w:val="001D0AE0"/>
    <w:rsid w:val="001D0C27"/>
    <w:rsid w:val="001D0E29"/>
    <w:rsid w:val="001D12D4"/>
    <w:rsid w:val="001D1684"/>
    <w:rsid w:val="001D2DCF"/>
    <w:rsid w:val="001D39EC"/>
    <w:rsid w:val="001D43E2"/>
    <w:rsid w:val="001D4943"/>
    <w:rsid w:val="001D4AF4"/>
    <w:rsid w:val="001D55F5"/>
    <w:rsid w:val="001D5EE1"/>
    <w:rsid w:val="001D5F87"/>
    <w:rsid w:val="001D655D"/>
    <w:rsid w:val="001D6B7E"/>
    <w:rsid w:val="001D6FD7"/>
    <w:rsid w:val="001E0229"/>
    <w:rsid w:val="001E0296"/>
    <w:rsid w:val="001E0CB5"/>
    <w:rsid w:val="001E10C5"/>
    <w:rsid w:val="001E12FE"/>
    <w:rsid w:val="001E1A82"/>
    <w:rsid w:val="001E1B71"/>
    <w:rsid w:val="001E331C"/>
    <w:rsid w:val="001E3513"/>
    <w:rsid w:val="001E37B6"/>
    <w:rsid w:val="001E37C6"/>
    <w:rsid w:val="001E3CE1"/>
    <w:rsid w:val="001E48C6"/>
    <w:rsid w:val="001E4B47"/>
    <w:rsid w:val="001E4C69"/>
    <w:rsid w:val="001E513D"/>
    <w:rsid w:val="001E573E"/>
    <w:rsid w:val="001E5C87"/>
    <w:rsid w:val="001E6BBA"/>
    <w:rsid w:val="001E74CE"/>
    <w:rsid w:val="001E7BBE"/>
    <w:rsid w:val="001E7E9E"/>
    <w:rsid w:val="001E7FD4"/>
    <w:rsid w:val="001F0A15"/>
    <w:rsid w:val="001F0AF3"/>
    <w:rsid w:val="001F22F1"/>
    <w:rsid w:val="001F2596"/>
    <w:rsid w:val="001F2BF5"/>
    <w:rsid w:val="001F33A2"/>
    <w:rsid w:val="001F4168"/>
    <w:rsid w:val="001F43B7"/>
    <w:rsid w:val="001F4AB2"/>
    <w:rsid w:val="001F4E97"/>
    <w:rsid w:val="001F50C4"/>
    <w:rsid w:val="001F5218"/>
    <w:rsid w:val="001F6574"/>
    <w:rsid w:val="001F7523"/>
    <w:rsid w:val="001F78D2"/>
    <w:rsid w:val="001F7AE0"/>
    <w:rsid w:val="001F7D37"/>
    <w:rsid w:val="00200CEF"/>
    <w:rsid w:val="00201846"/>
    <w:rsid w:val="002035BC"/>
    <w:rsid w:val="0020436B"/>
    <w:rsid w:val="0020489F"/>
    <w:rsid w:val="00204B76"/>
    <w:rsid w:val="00205620"/>
    <w:rsid w:val="00205F16"/>
    <w:rsid w:val="0020714A"/>
    <w:rsid w:val="002105CD"/>
    <w:rsid w:val="002109C2"/>
    <w:rsid w:val="002110F5"/>
    <w:rsid w:val="0021160A"/>
    <w:rsid w:val="00212302"/>
    <w:rsid w:val="00212486"/>
    <w:rsid w:val="00212A28"/>
    <w:rsid w:val="00212AE0"/>
    <w:rsid w:val="0021337F"/>
    <w:rsid w:val="002138EB"/>
    <w:rsid w:val="00214060"/>
    <w:rsid w:val="00214659"/>
    <w:rsid w:val="00214945"/>
    <w:rsid w:val="00214A9B"/>
    <w:rsid w:val="00214FBE"/>
    <w:rsid w:val="00215537"/>
    <w:rsid w:val="00215AA1"/>
    <w:rsid w:val="00216527"/>
    <w:rsid w:val="002171C7"/>
    <w:rsid w:val="002178C8"/>
    <w:rsid w:val="00217D70"/>
    <w:rsid w:val="00217E75"/>
    <w:rsid w:val="00217FA4"/>
    <w:rsid w:val="00220660"/>
    <w:rsid w:val="0022094D"/>
    <w:rsid w:val="00220FE8"/>
    <w:rsid w:val="00222AB0"/>
    <w:rsid w:val="002236D8"/>
    <w:rsid w:val="00224222"/>
    <w:rsid w:val="002245D6"/>
    <w:rsid w:val="002248C6"/>
    <w:rsid w:val="002250B5"/>
    <w:rsid w:val="002255D8"/>
    <w:rsid w:val="00226578"/>
    <w:rsid w:val="00226A80"/>
    <w:rsid w:val="00226E85"/>
    <w:rsid w:val="002274F2"/>
    <w:rsid w:val="00227B8B"/>
    <w:rsid w:val="002305C2"/>
    <w:rsid w:val="002323BD"/>
    <w:rsid w:val="00232E5F"/>
    <w:rsid w:val="00234182"/>
    <w:rsid w:val="00234D4E"/>
    <w:rsid w:val="00235A77"/>
    <w:rsid w:val="00236B9B"/>
    <w:rsid w:val="0023792C"/>
    <w:rsid w:val="00237D18"/>
    <w:rsid w:val="002409D7"/>
    <w:rsid w:val="0024125D"/>
    <w:rsid w:val="00242241"/>
    <w:rsid w:val="00243168"/>
    <w:rsid w:val="00243AB8"/>
    <w:rsid w:val="00244FD4"/>
    <w:rsid w:val="00245026"/>
    <w:rsid w:val="002456A4"/>
    <w:rsid w:val="00245B57"/>
    <w:rsid w:val="00246DA5"/>
    <w:rsid w:val="00246F19"/>
    <w:rsid w:val="00247859"/>
    <w:rsid w:val="00247A8F"/>
    <w:rsid w:val="0025007E"/>
    <w:rsid w:val="002503EF"/>
    <w:rsid w:val="00250719"/>
    <w:rsid w:val="002515BA"/>
    <w:rsid w:val="002515D8"/>
    <w:rsid w:val="0025197C"/>
    <w:rsid w:val="00251CF8"/>
    <w:rsid w:val="002533B2"/>
    <w:rsid w:val="002535AA"/>
    <w:rsid w:val="00254674"/>
    <w:rsid w:val="00255454"/>
    <w:rsid w:val="00260578"/>
    <w:rsid w:val="002609F1"/>
    <w:rsid w:val="0026155E"/>
    <w:rsid w:val="00261E3E"/>
    <w:rsid w:val="00261FC9"/>
    <w:rsid w:val="002624D5"/>
    <w:rsid w:val="002629B8"/>
    <w:rsid w:val="00263CC0"/>
    <w:rsid w:val="00264BBB"/>
    <w:rsid w:val="00264DD1"/>
    <w:rsid w:val="00265A16"/>
    <w:rsid w:val="00265F8D"/>
    <w:rsid w:val="002669AD"/>
    <w:rsid w:val="002671B7"/>
    <w:rsid w:val="002672EC"/>
    <w:rsid w:val="0026789A"/>
    <w:rsid w:val="00267924"/>
    <w:rsid w:val="00270EA4"/>
    <w:rsid w:val="00271C9D"/>
    <w:rsid w:val="002723D3"/>
    <w:rsid w:val="0027299C"/>
    <w:rsid w:val="0027316F"/>
    <w:rsid w:val="002731BD"/>
    <w:rsid w:val="002746B5"/>
    <w:rsid w:val="0027480E"/>
    <w:rsid w:val="0027485E"/>
    <w:rsid w:val="00274A2C"/>
    <w:rsid w:val="002751B6"/>
    <w:rsid w:val="00277327"/>
    <w:rsid w:val="002775FE"/>
    <w:rsid w:val="00277DDD"/>
    <w:rsid w:val="00280ADE"/>
    <w:rsid w:val="00280EFC"/>
    <w:rsid w:val="002815D5"/>
    <w:rsid w:val="00281897"/>
    <w:rsid w:val="00281BBA"/>
    <w:rsid w:val="00281EA6"/>
    <w:rsid w:val="00282D97"/>
    <w:rsid w:val="00282E22"/>
    <w:rsid w:val="002834A6"/>
    <w:rsid w:val="00283C4B"/>
    <w:rsid w:val="0028676C"/>
    <w:rsid w:val="0028683A"/>
    <w:rsid w:val="00286BE6"/>
    <w:rsid w:val="0028763F"/>
    <w:rsid w:val="00287EC3"/>
    <w:rsid w:val="00290D11"/>
    <w:rsid w:val="00291891"/>
    <w:rsid w:val="00291AFF"/>
    <w:rsid w:val="00292716"/>
    <w:rsid w:val="002935B8"/>
    <w:rsid w:val="00293AE3"/>
    <w:rsid w:val="00294A62"/>
    <w:rsid w:val="00294BD9"/>
    <w:rsid w:val="00295BB1"/>
    <w:rsid w:val="00296350"/>
    <w:rsid w:val="00296546"/>
    <w:rsid w:val="0029658D"/>
    <w:rsid w:val="00296806"/>
    <w:rsid w:val="00296C8D"/>
    <w:rsid w:val="00296E8F"/>
    <w:rsid w:val="002A0F41"/>
    <w:rsid w:val="002A1210"/>
    <w:rsid w:val="002A282B"/>
    <w:rsid w:val="002A3239"/>
    <w:rsid w:val="002A32EA"/>
    <w:rsid w:val="002A3322"/>
    <w:rsid w:val="002A39E8"/>
    <w:rsid w:val="002A42C1"/>
    <w:rsid w:val="002A474B"/>
    <w:rsid w:val="002A65A7"/>
    <w:rsid w:val="002A66C4"/>
    <w:rsid w:val="002A6B65"/>
    <w:rsid w:val="002A775F"/>
    <w:rsid w:val="002A793C"/>
    <w:rsid w:val="002B00CB"/>
    <w:rsid w:val="002B04E4"/>
    <w:rsid w:val="002B0570"/>
    <w:rsid w:val="002B0917"/>
    <w:rsid w:val="002B0AE7"/>
    <w:rsid w:val="002B1451"/>
    <w:rsid w:val="002B1DED"/>
    <w:rsid w:val="002B23C9"/>
    <w:rsid w:val="002B2538"/>
    <w:rsid w:val="002B27D8"/>
    <w:rsid w:val="002B2C60"/>
    <w:rsid w:val="002B34D4"/>
    <w:rsid w:val="002B36F8"/>
    <w:rsid w:val="002B6C43"/>
    <w:rsid w:val="002B6CF2"/>
    <w:rsid w:val="002B760C"/>
    <w:rsid w:val="002B7A89"/>
    <w:rsid w:val="002C1C25"/>
    <w:rsid w:val="002C29EA"/>
    <w:rsid w:val="002C30B4"/>
    <w:rsid w:val="002C3C1E"/>
    <w:rsid w:val="002C45D0"/>
    <w:rsid w:val="002C6CBB"/>
    <w:rsid w:val="002D0B24"/>
    <w:rsid w:val="002D0E36"/>
    <w:rsid w:val="002D14B2"/>
    <w:rsid w:val="002D21C2"/>
    <w:rsid w:val="002D234A"/>
    <w:rsid w:val="002D2D44"/>
    <w:rsid w:val="002D2EEB"/>
    <w:rsid w:val="002D3FDE"/>
    <w:rsid w:val="002D4C45"/>
    <w:rsid w:val="002D4C97"/>
    <w:rsid w:val="002D51DB"/>
    <w:rsid w:val="002D7A84"/>
    <w:rsid w:val="002E012B"/>
    <w:rsid w:val="002E0C0D"/>
    <w:rsid w:val="002E1A9B"/>
    <w:rsid w:val="002E1B21"/>
    <w:rsid w:val="002E25C4"/>
    <w:rsid w:val="002E32C1"/>
    <w:rsid w:val="002E3FD8"/>
    <w:rsid w:val="002E60A7"/>
    <w:rsid w:val="002E65E8"/>
    <w:rsid w:val="002E6CC1"/>
    <w:rsid w:val="002E732E"/>
    <w:rsid w:val="002E7FBD"/>
    <w:rsid w:val="002F114B"/>
    <w:rsid w:val="002F189A"/>
    <w:rsid w:val="002F1D57"/>
    <w:rsid w:val="002F1F95"/>
    <w:rsid w:val="002F2040"/>
    <w:rsid w:val="002F210E"/>
    <w:rsid w:val="002F3449"/>
    <w:rsid w:val="002F3E71"/>
    <w:rsid w:val="002F4823"/>
    <w:rsid w:val="002F5629"/>
    <w:rsid w:val="002F5C34"/>
    <w:rsid w:val="002F5E87"/>
    <w:rsid w:val="002F67F5"/>
    <w:rsid w:val="002F688E"/>
    <w:rsid w:val="002F6FD0"/>
    <w:rsid w:val="002F793B"/>
    <w:rsid w:val="003019D3"/>
    <w:rsid w:val="003021EA"/>
    <w:rsid w:val="00302698"/>
    <w:rsid w:val="003042E4"/>
    <w:rsid w:val="00304740"/>
    <w:rsid w:val="00304BBD"/>
    <w:rsid w:val="00304D55"/>
    <w:rsid w:val="00305257"/>
    <w:rsid w:val="003052A8"/>
    <w:rsid w:val="003059C9"/>
    <w:rsid w:val="00306381"/>
    <w:rsid w:val="003065BC"/>
    <w:rsid w:val="003068BF"/>
    <w:rsid w:val="00307BC2"/>
    <w:rsid w:val="00310825"/>
    <w:rsid w:val="00311533"/>
    <w:rsid w:val="00311E03"/>
    <w:rsid w:val="00311E05"/>
    <w:rsid w:val="00312384"/>
    <w:rsid w:val="00312D38"/>
    <w:rsid w:val="0031557B"/>
    <w:rsid w:val="00315DD4"/>
    <w:rsid w:val="003168D7"/>
    <w:rsid w:val="003169ED"/>
    <w:rsid w:val="00320A6E"/>
    <w:rsid w:val="00320C50"/>
    <w:rsid w:val="003214BA"/>
    <w:rsid w:val="00321828"/>
    <w:rsid w:val="0032294C"/>
    <w:rsid w:val="00322B64"/>
    <w:rsid w:val="00322C7F"/>
    <w:rsid w:val="00322FAC"/>
    <w:rsid w:val="0032396F"/>
    <w:rsid w:val="00323A57"/>
    <w:rsid w:val="00323D7F"/>
    <w:rsid w:val="00324029"/>
    <w:rsid w:val="00324457"/>
    <w:rsid w:val="00325A12"/>
    <w:rsid w:val="003274F1"/>
    <w:rsid w:val="00331593"/>
    <w:rsid w:val="0033206C"/>
    <w:rsid w:val="003330F6"/>
    <w:rsid w:val="003343EB"/>
    <w:rsid w:val="00334718"/>
    <w:rsid w:val="00334A9A"/>
    <w:rsid w:val="00334C32"/>
    <w:rsid w:val="00335245"/>
    <w:rsid w:val="00336227"/>
    <w:rsid w:val="0033623F"/>
    <w:rsid w:val="0033775A"/>
    <w:rsid w:val="003377F9"/>
    <w:rsid w:val="00337FF3"/>
    <w:rsid w:val="00340C34"/>
    <w:rsid w:val="003415E6"/>
    <w:rsid w:val="00341D0C"/>
    <w:rsid w:val="003423E9"/>
    <w:rsid w:val="003425DC"/>
    <w:rsid w:val="003436B6"/>
    <w:rsid w:val="003437E1"/>
    <w:rsid w:val="00343FC0"/>
    <w:rsid w:val="00344133"/>
    <w:rsid w:val="003469C7"/>
    <w:rsid w:val="00350C05"/>
    <w:rsid w:val="00351D21"/>
    <w:rsid w:val="0035275F"/>
    <w:rsid w:val="00352CD1"/>
    <w:rsid w:val="00352F40"/>
    <w:rsid w:val="00353233"/>
    <w:rsid w:val="0035396A"/>
    <w:rsid w:val="00354584"/>
    <w:rsid w:val="003569F4"/>
    <w:rsid w:val="00356AA6"/>
    <w:rsid w:val="00357C6B"/>
    <w:rsid w:val="00360364"/>
    <w:rsid w:val="00360709"/>
    <w:rsid w:val="0036384C"/>
    <w:rsid w:val="00363A73"/>
    <w:rsid w:val="0036514D"/>
    <w:rsid w:val="0036570A"/>
    <w:rsid w:val="0036623E"/>
    <w:rsid w:val="0036669C"/>
    <w:rsid w:val="00366945"/>
    <w:rsid w:val="003701A6"/>
    <w:rsid w:val="00370A4C"/>
    <w:rsid w:val="003717CB"/>
    <w:rsid w:val="00371815"/>
    <w:rsid w:val="003718D2"/>
    <w:rsid w:val="00373364"/>
    <w:rsid w:val="00373C0A"/>
    <w:rsid w:val="003748CF"/>
    <w:rsid w:val="00374BD1"/>
    <w:rsid w:val="00375CF3"/>
    <w:rsid w:val="00376C18"/>
    <w:rsid w:val="00376E5E"/>
    <w:rsid w:val="003777DF"/>
    <w:rsid w:val="00380D70"/>
    <w:rsid w:val="00382B59"/>
    <w:rsid w:val="00382E12"/>
    <w:rsid w:val="00384A23"/>
    <w:rsid w:val="00384D46"/>
    <w:rsid w:val="003854C8"/>
    <w:rsid w:val="00386771"/>
    <w:rsid w:val="0039186A"/>
    <w:rsid w:val="00391CFE"/>
    <w:rsid w:val="003927B0"/>
    <w:rsid w:val="003930C6"/>
    <w:rsid w:val="00396E09"/>
    <w:rsid w:val="00396E6C"/>
    <w:rsid w:val="00396F29"/>
    <w:rsid w:val="00397100"/>
    <w:rsid w:val="003A0898"/>
    <w:rsid w:val="003A18AD"/>
    <w:rsid w:val="003A27EA"/>
    <w:rsid w:val="003A299F"/>
    <w:rsid w:val="003A3AB0"/>
    <w:rsid w:val="003A3D0C"/>
    <w:rsid w:val="003A4147"/>
    <w:rsid w:val="003A439A"/>
    <w:rsid w:val="003A5024"/>
    <w:rsid w:val="003A56BD"/>
    <w:rsid w:val="003A5959"/>
    <w:rsid w:val="003A5C15"/>
    <w:rsid w:val="003A605A"/>
    <w:rsid w:val="003A78AF"/>
    <w:rsid w:val="003A7D0C"/>
    <w:rsid w:val="003B0489"/>
    <w:rsid w:val="003B088E"/>
    <w:rsid w:val="003B1573"/>
    <w:rsid w:val="003B1F23"/>
    <w:rsid w:val="003B344D"/>
    <w:rsid w:val="003B49B8"/>
    <w:rsid w:val="003B4B36"/>
    <w:rsid w:val="003B4EE6"/>
    <w:rsid w:val="003B5AE5"/>
    <w:rsid w:val="003B60A3"/>
    <w:rsid w:val="003B6125"/>
    <w:rsid w:val="003B6AC3"/>
    <w:rsid w:val="003B6C9E"/>
    <w:rsid w:val="003B73F6"/>
    <w:rsid w:val="003C03E6"/>
    <w:rsid w:val="003C0715"/>
    <w:rsid w:val="003C0BB1"/>
    <w:rsid w:val="003C0E3A"/>
    <w:rsid w:val="003C1A3D"/>
    <w:rsid w:val="003C1CFA"/>
    <w:rsid w:val="003C1E80"/>
    <w:rsid w:val="003C3E85"/>
    <w:rsid w:val="003C409E"/>
    <w:rsid w:val="003C44DF"/>
    <w:rsid w:val="003C4988"/>
    <w:rsid w:val="003C4C2A"/>
    <w:rsid w:val="003C5A74"/>
    <w:rsid w:val="003C5D1F"/>
    <w:rsid w:val="003C7463"/>
    <w:rsid w:val="003C754A"/>
    <w:rsid w:val="003C7B42"/>
    <w:rsid w:val="003D1025"/>
    <w:rsid w:val="003D23A0"/>
    <w:rsid w:val="003D23F8"/>
    <w:rsid w:val="003D29DF"/>
    <w:rsid w:val="003D2CF4"/>
    <w:rsid w:val="003D3AD2"/>
    <w:rsid w:val="003D3D6E"/>
    <w:rsid w:val="003D3E2D"/>
    <w:rsid w:val="003D431B"/>
    <w:rsid w:val="003D585F"/>
    <w:rsid w:val="003D6288"/>
    <w:rsid w:val="003D73B7"/>
    <w:rsid w:val="003D7582"/>
    <w:rsid w:val="003D764C"/>
    <w:rsid w:val="003D7702"/>
    <w:rsid w:val="003E0D15"/>
    <w:rsid w:val="003E10D9"/>
    <w:rsid w:val="003E148B"/>
    <w:rsid w:val="003E1BB8"/>
    <w:rsid w:val="003E2654"/>
    <w:rsid w:val="003E2868"/>
    <w:rsid w:val="003E2C27"/>
    <w:rsid w:val="003E36F9"/>
    <w:rsid w:val="003E5B25"/>
    <w:rsid w:val="003E5D21"/>
    <w:rsid w:val="003E638A"/>
    <w:rsid w:val="003E6563"/>
    <w:rsid w:val="003E6B8B"/>
    <w:rsid w:val="003E6F51"/>
    <w:rsid w:val="003E7611"/>
    <w:rsid w:val="003F082F"/>
    <w:rsid w:val="003F0964"/>
    <w:rsid w:val="003F0A43"/>
    <w:rsid w:val="003F1746"/>
    <w:rsid w:val="003F1804"/>
    <w:rsid w:val="003F19A1"/>
    <w:rsid w:val="003F29E3"/>
    <w:rsid w:val="003F30F3"/>
    <w:rsid w:val="003F3465"/>
    <w:rsid w:val="003F3CCD"/>
    <w:rsid w:val="003F3CDB"/>
    <w:rsid w:val="003F415E"/>
    <w:rsid w:val="003F45DF"/>
    <w:rsid w:val="003F4664"/>
    <w:rsid w:val="003F49A3"/>
    <w:rsid w:val="003F4DDB"/>
    <w:rsid w:val="003F5C7E"/>
    <w:rsid w:val="003F6997"/>
    <w:rsid w:val="003F6D28"/>
    <w:rsid w:val="003F7060"/>
    <w:rsid w:val="003F761D"/>
    <w:rsid w:val="003F7F1D"/>
    <w:rsid w:val="004003C2"/>
    <w:rsid w:val="00400444"/>
    <w:rsid w:val="00401499"/>
    <w:rsid w:val="0040154A"/>
    <w:rsid w:val="0040188D"/>
    <w:rsid w:val="00402393"/>
    <w:rsid w:val="004031D8"/>
    <w:rsid w:val="004037DD"/>
    <w:rsid w:val="00403C4D"/>
    <w:rsid w:val="00403E21"/>
    <w:rsid w:val="00403E91"/>
    <w:rsid w:val="004048D2"/>
    <w:rsid w:val="00405EDE"/>
    <w:rsid w:val="00406037"/>
    <w:rsid w:val="00406281"/>
    <w:rsid w:val="00407E57"/>
    <w:rsid w:val="00410352"/>
    <w:rsid w:val="00411BEE"/>
    <w:rsid w:val="00412AE1"/>
    <w:rsid w:val="00412F2C"/>
    <w:rsid w:val="0041410D"/>
    <w:rsid w:val="00414689"/>
    <w:rsid w:val="00415E14"/>
    <w:rsid w:val="0041669B"/>
    <w:rsid w:val="00416769"/>
    <w:rsid w:val="0041735B"/>
    <w:rsid w:val="0041795C"/>
    <w:rsid w:val="00417BE0"/>
    <w:rsid w:val="00420350"/>
    <w:rsid w:val="004206EE"/>
    <w:rsid w:val="004207A7"/>
    <w:rsid w:val="00420938"/>
    <w:rsid w:val="00420B0D"/>
    <w:rsid w:val="00420B97"/>
    <w:rsid w:val="00420D12"/>
    <w:rsid w:val="00421127"/>
    <w:rsid w:val="00421948"/>
    <w:rsid w:val="004224EA"/>
    <w:rsid w:val="00422639"/>
    <w:rsid w:val="004229A2"/>
    <w:rsid w:val="00424E27"/>
    <w:rsid w:val="00424FBA"/>
    <w:rsid w:val="00426328"/>
    <w:rsid w:val="00430554"/>
    <w:rsid w:val="00432025"/>
    <w:rsid w:val="004328E1"/>
    <w:rsid w:val="00432D78"/>
    <w:rsid w:val="00434B0D"/>
    <w:rsid w:val="00434F2A"/>
    <w:rsid w:val="00435E44"/>
    <w:rsid w:val="0043610A"/>
    <w:rsid w:val="00437372"/>
    <w:rsid w:val="004403E0"/>
    <w:rsid w:val="00441FB2"/>
    <w:rsid w:val="0044257B"/>
    <w:rsid w:val="00442A10"/>
    <w:rsid w:val="004430D8"/>
    <w:rsid w:val="00443445"/>
    <w:rsid w:val="0044368E"/>
    <w:rsid w:val="004436D5"/>
    <w:rsid w:val="00444066"/>
    <w:rsid w:val="00444D9B"/>
    <w:rsid w:val="00446094"/>
    <w:rsid w:val="00446796"/>
    <w:rsid w:val="0044699D"/>
    <w:rsid w:val="00446ED9"/>
    <w:rsid w:val="00447141"/>
    <w:rsid w:val="00447E4D"/>
    <w:rsid w:val="0045064C"/>
    <w:rsid w:val="0045128E"/>
    <w:rsid w:val="00451B1F"/>
    <w:rsid w:val="0045284E"/>
    <w:rsid w:val="00453109"/>
    <w:rsid w:val="00453844"/>
    <w:rsid w:val="00455153"/>
    <w:rsid w:val="004555C4"/>
    <w:rsid w:val="00455A57"/>
    <w:rsid w:val="00455B4B"/>
    <w:rsid w:val="00457FBB"/>
    <w:rsid w:val="00460453"/>
    <w:rsid w:val="00460916"/>
    <w:rsid w:val="00460E57"/>
    <w:rsid w:val="00461384"/>
    <w:rsid w:val="00461DF0"/>
    <w:rsid w:val="00462226"/>
    <w:rsid w:val="0046353F"/>
    <w:rsid w:val="00463ACE"/>
    <w:rsid w:val="0046446E"/>
    <w:rsid w:val="0046522C"/>
    <w:rsid w:val="00465232"/>
    <w:rsid w:val="00465ED3"/>
    <w:rsid w:val="0046725F"/>
    <w:rsid w:val="00467D69"/>
    <w:rsid w:val="00470C72"/>
    <w:rsid w:val="0047100F"/>
    <w:rsid w:val="004725EB"/>
    <w:rsid w:val="0047440F"/>
    <w:rsid w:val="004746B7"/>
    <w:rsid w:val="00474A25"/>
    <w:rsid w:val="00474C54"/>
    <w:rsid w:val="004754B9"/>
    <w:rsid w:val="00476080"/>
    <w:rsid w:val="004763D9"/>
    <w:rsid w:val="00477350"/>
    <w:rsid w:val="00477634"/>
    <w:rsid w:val="004776BB"/>
    <w:rsid w:val="00477CD7"/>
    <w:rsid w:val="004800D3"/>
    <w:rsid w:val="0048034F"/>
    <w:rsid w:val="0048038F"/>
    <w:rsid w:val="004816E1"/>
    <w:rsid w:val="00481BDD"/>
    <w:rsid w:val="00482297"/>
    <w:rsid w:val="004832D3"/>
    <w:rsid w:val="004832DF"/>
    <w:rsid w:val="00483FCA"/>
    <w:rsid w:val="00484D40"/>
    <w:rsid w:val="00485057"/>
    <w:rsid w:val="00485282"/>
    <w:rsid w:val="004855E0"/>
    <w:rsid w:val="004856B1"/>
    <w:rsid w:val="004872BC"/>
    <w:rsid w:val="004873C0"/>
    <w:rsid w:val="00487AA6"/>
    <w:rsid w:val="00487B20"/>
    <w:rsid w:val="0049027B"/>
    <w:rsid w:val="00490D0E"/>
    <w:rsid w:val="004937B0"/>
    <w:rsid w:val="0049599E"/>
    <w:rsid w:val="00496796"/>
    <w:rsid w:val="004A0782"/>
    <w:rsid w:val="004A0A22"/>
    <w:rsid w:val="004A0C55"/>
    <w:rsid w:val="004A0CC6"/>
    <w:rsid w:val="004A1082"/>
    <w:rsid w:val="004A14A8"/>
    <w:rsid w:val="004A254E"/>
    <w:rsid w:val="004A2A0A"/>
    <w:rsid w:val="004A2F04"/>
    <w:rsid w:val="004A3C8E"/>
    <w:rsid w:val="004A3FAE"/>
    <w:rsid w:val="004A4036"/>
    <w:rsid w:val="004A40C1"/>
    <w:rsid w:val="004A4BB4"/>
    <w:rsid w:val="004A4CEA"/>
    <w:rsid w:val="004A4E43"/>
    <w:rsid w:val="004A7023"/>
    <w:rsid w:val="004A72B5"/>
    <w:rsid w:val="004A756B"/>
    <w:rsid w:val="004B1672"/>
    <w:rsid w:val="004B16DD"/>
    <w:rsid w:val="004B3098"/>
    <w:rsid w:val="004B330B"/>
    <w:rsid w:val="004B3356"/>
    <w:rsid w:val="004B3636"/>
    <w:rsid w:val="004B4A61"/>
    <w:rsid w:val="004B4E6E"/>
    <w:rsid w:val="004B59DD"/>
    <w:rsid w:val="004B5E12"/>
    <w:rsid w:val="004B614F"/>
    <w:rsid w:val="004B72AD"/>
    <w:rsid w:val="004B7846"/>
    <w:rsid w:val="004C0E81"/>
    <w:rsid w:val="004C1297"/>
    <w:rsid w:val="004C16EA"/>
    <w:rsid w:val="004C1CB4"/>
    <w:rsid w:val="004C1E87"/>
    <w:rsid w:val="004C22DB"/>
    <w:rsid w:val="004C247B"/>
    <w:rsid w:val="004C2EFE"/>
    <w:rsid w:val="004C30D1"/>
    <w:rsid w:val="004C34D0"/>
    <w:rsid w:val="004C3AB2"/>
    <w:rsid w:val="004C3D10"/>
    <w:rsid w:val="004C4656"/>
    <w:rsid w:val="004C4BB3"/>
    <w:rsid w:val="004C53C5"/>
    <w:rsid w:val="004C57D3"/>
    <w:rsid w:val="004C621E"/>
    <w:rsid w:val="004C646F"/>
    <w:rsid w:val="004C6656"/>
    <w:rsid w:val="004C776B"/>
    <w:rsid w:val="004D0425"/>
    <w:rsid w:val="004D084C"/>
    <w:rsid w:val="004D0882"/>
    <w:rsid w:val="004D0F78"/>
    <w:rsid w:val="004D1186"/>
    <w:rsid w:val="004D1A60"/>
    <w:rsid w:val="004D1D47"/>
    <w:rsid w:val="004D2677"/>
    <w:rsid w:val="004D2C47"/>
    <w:rsid w:val="004D2E6D"/>
    <w:rsid w:val="004D3257"/>
    <w:rsid w:val="004D3330"/>
    <w:rsid w:val="004D3E1A"/>
    <w:rsid w:val="004D43F1"/>
    <w:rsid w:val="004D512E"/>
    <w:rsid w:val="004D5915"/>
    <w:rsid w:val="004D71F7"/>
    <w:rsid w:val="004D7951"/>
    <w:rsid w:val="004D79FA"/>
    <w:rsid w:val="004E08FE"/>
    <w:rsid w:val="004E0F65"/>
    <w:rsid w:val="004E1F8C"/>
    <w:rsid w:val="004E33A8"/>
    <w:rsid w:val="004E3C83"/>
    <w:rsid w:val="004E3D96"/>
    <w:rsid w:val="004E4098"/>
    <w:rsid w:val="004E4EE5"/>
    <w:rsid w:val="004E5954"/>
    <w:rsid w:val="004E5C78"/>
    <w:rsid w:val="004E61AD"/>
    <w:rsid w:val="004E6C75"/>
    <w:rsid w:val="004F0751"/>
    <w:rsid w:val="004F0D4E"/>
    <w:rsid w:val="004F16A0"/>
    <w:rsid w:val="004F1E83"/>
    <w:rsid w:val="004F227F"/>
    <w:rsid w:val="004F26D3"/>
    <w:rsid w:val="004F2B18"/>
    <w:rsid w:val="004F3E06"/>
    <w:rsid w:val="004F3FE7"/>
    <w:rsid w:val="004F52C6"/>
    <w:rsid w:val="004F58F7"/>
    <w:rsid w:val="004F5E4B"/>
    <w:rsid w:val="004F634D"/>
    <w:rsid w:val="004F64DE"/>
    <w:rsid w:val="004F6DFF"/>
    <w:rsid w:val="00501226"/>
    <w:rsid w:val="00501BBB"/>
    <w:rsid w:val="00502FEF"/>
    <w:rsid w:val="00503226"/>
    <w:rsid w:val="00503AA0"/>
    <w:rsid w:val="00503B7A"/>
    <w:rsid w:val="00503D7A"/>
    <w:rsid w:val="00504393"/>
    <w:rsid w:val="00504BE3"/>
    <w:rsid w:val="00505221"/>
    <w:rsid w:val="005055A2"/>
    <w:rsid w:val="005071E2"/>
    <w:rsid w:val="005077CC"/>
    <w:rsid w:val="00510DC7"/>
    <w:rsid w:val="00511573"/>
    <w:rsid w:val="00511C17"/>
    <w:rsid w:val="005123D7"/>
    <w:rsid w:val="00512FED"/>
    <w:rsid w:val="00515601"/>
    <w:rsid w:val="00516555"/>
    <w:rsid w:val="0051686B"/>
    <w:rsid w:val="005170E1"/>
    <w:rsid w:val="00517605"/>
    <w:rsid w:val="0051766C"/>
    <w:rsid w:val="0051796D"/>
    <w:rsid w:val="00520004"/>
    <w:rsid w:val="0052033E"/>
    <w:rsid w:val="00520688"/>
    <w:rsid w:val="00520FBD"/>
    <w:rsid w:val="005220CF"/>
    <w:rsid w:val="005230A3"/>
    <w:rsid w:val="00523429"/>
    <w:rsid w:val="00523792"/>
    <w:rsid w:val="005238B3"/>
    <w:rsid w:val="00523E0B"/>
    <w:rsid w:val="0052596A"/>
    <w:rsid w:val="00526193"/>
    <w:rsid w:val="005263E6"/>
    <w:rsid w:val="005272CC"/>
    <w:rsid w:val="0052781A"/>
    <w:rsid w:val="00527E02"/>
    <w:rsid w:val="00530CDF"/>
    <w:rsid w:val="005311EA"/>
    <w:rsid w:val="005322A7"/>
    <w:rsid w:val="005333A9"/>
    <w:rsid w:val="00534511"/>
    <w:rsid w:val="005363C1"/>
    <w:rsid w:val="00536528"/>
    <w:rsid w:val="00537B72"/>
    <w:rsid w:val="00537C7E"/>
    <w:rsid w:val="00541927"/>
    <w:rsid w:val="00541953"/>
    <w:rsid w:val="00541FD4"/>
    <w:rsid w:val="0054320F"/>
    <w:rsid w:val="005436F3"/>
    <w:rsid w:val="00544A12"/>
    <w:rsid w:val="0054560C"/>
    <w:rsid w:val="00546D80"/>
    <w:rsid w:val="00547E1C"/>
    <w:rsid w:val="00547EDD"/>
    <w:rsid w:val="00550CBC"/>
    <w:rsid w:val="00550CC8"/>
    <w:rsid w:val="0055179C"/>
    <w:rsid w:val="00551A13"/>
    <w:rsid w:val="0055271B"/>
    <w:rsid w:val="00552BF4"/>
    <w:rsid w:val="0055302E"/>
    <w:rsid w:val="00553375"/>
    <w:rsid w:val="00553F20"/>
    <w:rsid w:val="005549B8"/>
    <w:rsid w:val="00554B6A"/>
    <w:rsid w:val="005553CD"/>
    <w:rsid w:val="00556087"/>
    <w:rsid w:val="005561A3"/>
    <w:rsid w:val="0055643E"/>
    <w:rsid w:val="0055723D"/>
    <w:rsid w:val="00557489"/>
    <w:rsid w:val="00557DC9"/>
    <w:rsid w:val="00560560"/>
    <w:rsid w:val="0056080A"/>
    <w:rsid w:val="00560E51"/>
    <w:rsid w:val="0056148E"/>
    <w:rsid w:val="00561949"/>
    <w:rsid w:val="0056298B"/>
    <w:rsid w:val="00562C8C"/>
    <w:rsid w:val="00564781"/>
    <w:rsid w:val="00564A95"/>
    <w:rsid w:val="00564D8E"/>
    <w:rsid w:val="00564E1E"/>
    <w:rsid w:val="00566308"/>
    <w:rsid w:val="005712BC"/>
    <w:rsid w:val="005719E7"/>
    <w:rsid w:val="00571A3B"/>
    <w:rsid w:val="00571D42"/>
    <w:rsid w:val="00572A8B"/>
    <w:rsid w:val="00572EA3"/>
    <w:rsid w:val="0057309A"/>
    <w:rsid w:val="00574232"/>
    <w:rsid w:val="005745E3"/>
    <w:rsid w:val="00575602"/>
    <w:rsid w:val="0057648B"/>
    <w:rsid w:val="00576BE2"/>
    <w:rsid w:val="00576D3D"/>
    <w:rsid w:val="00576EB8"/>
    <w:rsid w:val="0058019C"/>
    <w:rsid w:val="005810F8"/>
    <w:rsid w:val="0058221C"/>
    <w:rsid w:val="005822C4"/>
    <w:rsid w:val="00582BC9"/>
    <w:rsid w:val="00582CA8"/>
    <w:rsid w:val="00583153"/>
    <w:rsid w:val="005837E4"/>
    <w:rsid w:val="00583ED2"/>
    <w:rsid w:val="00584828"/>
    <w:rsid w:val="0058583A"/>
    <w:rsid w:val="005863AB"/>
    <w:rsid w:val="00586611"/>
    <w:rsid w:val="00586D48"/>
    <w:rsid w:val="0058763E"/>
    <w:rsid w:val="0058768D"/>
    <w:rsid w:val="00587973"/>
    <w:rsid w:val="00587CD9"/>
    <w:rsid w:val="005903A3"/>
    <w:rsid w:val="00591F56"/>
    <w:rsid w:val="00591F6A"/>
    <w:rsid w:val="00592685"/>
    <w:rsid w:val="00592AA8"/>
    <w:rsid w:val="00592EFA"/>
    <w:rsid w:val="005932B3"/>
    <w:rsid w:val="00594FF7"/>
    <w:rsid w:val="0059533D"/>
    <w:rsid w:val="00595BFC"/>
    <w:rsid w:val="00595DDB"/>
    <w:rsid w:val="00596BDF"/>
    <w:rsid w:val="00597ADE"/>
    <w:rsid w:val="00597ECE"/>
    <w:rsid w:val="005A0269"/>
    <w:rsid w:val="005A08EF"/>
    <w:rsid w:val="005A0A05"/>
    <w:rsid w:val="005A1405"/>
    <w:rsid w:val="005A21F0"/>
    <w:rsid w:val="005A2515"/>
    <w:rsid w:val="005A26BB"/>
    <w:rsid w:val="005A2708"/>
    <w:rsid w:val="005A3128"/>
    <w:rsid w:val="005A3C40"/>
    <w:rsid w:val="005A4115"/>
    <w:rsid w:val="005A4414"/>
    <w:rsid w:val="005A4D28"/>
    <w:rsid w:val="005A5DCE"/>
    <w:rsid w:val="005A6BE3"/>
    <w:rsid w:val="005A797C"/>
    <w:rsid w:val="005A7EA2"/>
    <w:rsid w:val="005B069C"/>
    <w:rsid w:val="005B0F31"/>
    <w:rsid w:val="005B2073"/>
    <w:rsid w:val="005B23CC"/>
    <w:rsid w:val="005B2BDA"/>
    <w:rsid w:val="005B2FA6"/>
    <w:rsid w:val="005B3206"/>
    <w:rsid w:val="005B3D28"/>
    <w:rsid w:val="005B467A"/>
    <w:rsid w:val="005B46E8"/>
    <w:rsid w:val="005B4911"/>
    <w:rsid w:val="005B6AE8"/>
    <w:rsid w:val="005B70E9"/>
    <w:rsid w:val="005C0B97"/>
    <w:rsid w:val="005C0CD2"/>
    <w:rsid w:val="005C1724"/>
    <w:rsid w:val="005C2E78"/>
    <w:rsid w:val="005C3584"/>
    <w:rsid w:val="005C3C4A"/>
    <w:rsid w:val="005C3E9E"/>
    <w:rsid w:val="005C6EFD"/>
    <w:rsid w:val="005D2DB9"/>
    <w:rsid w:val="005D3130"/>
    <w:rsid w:val="005D32DA"/>
    <w:rsid w:val="005D4D01"/>
    <w:rsid w:val="005D4D94"/>
    <w:rsid w:val="005D5D21"/>
    <w:rsid w:val="005D64AC"/>
    <w:rsid w:val="005D6B46"/>
    <w:rsid w:val="005D6FC9"/>
    <w:rsid w:val="005E00E4"/>
    <w:rsid w:val="005E0FB1"/>
    <w:rsid w:val="005E161A"/>
    <w:rsid w:val="005E2D9B"/>
    <w:rsid w:val="005E33F1"/>
    <w:rsid w:val="005E404D"/>
    <w:rsid w:val="005E427A"/>
    <w:rsid w:val="005E51D7"/>
    <w:rsid w:val="005E52E3"/>
    <w:rsid w:val="005E553C"/>
    <w:rsid w:val="005E6562"/>
    <w:rsid w:val="005E6A8F"/>
    <w:rsid w:val="005F011B"/>
    <w:rsid w:val="005F095E"/>
    <w:rsid w:val="005F0A01"/>
    <w:rsid w:val="005F1EFF"/>
    <w:rsid w:val="005F2213"/>
    <w:rsid w:val="005F59CF"/>
    <w:rsid w:val="005F6008"/>
    <w:rsid w:val="005F61FB"/>
    <w:rsid w:val="005F65B3"/>
    <w:rsid w:val="005F6876"/>
    <w:rsid w:val="005F6D9E"/>
    <w:rsid w:val="00600E8B"/>
    <w:rsid w:val="00601772"/>
    <w:rsid w:val="0060284E"/>
    <w:rsid w:val="006043E1"/>
    <w:rsid w:val="006046DA"/>
    <w:rsid w:val="00604DE8"/>
    <w:rsid w:val="00606171"/>
    <w:rsid w:val="006063A1"/>
    <w:rsid w:val="00606961"/>
    <w:rsid w:val="00607001"/>
    <w:rsid w:val="00607051"/>
    <w:rsid w:val="00607565"/>
    <w:rsid w:val="006100ED"/>
    <w:rsid w:val="006107D0"/>
    <w:rsid w:val="00610BE8"/>
    <w:rsid w:val="00610D6F"/>
    <w:rsid w:val="00612232"/>
    <w:rsid w:val="0061514C"/>
    <w:rsid w:val="0061516C"/>
    <w:rsid w:val="006155CC"/>
    <w:rsid w:val="00615F73"/>
    <w:rsid w:val="006167A3"/>
    <w:rsid w:val="0061781C"/>
    <w:rsid w:val="006178B1"/>
    <w:rsid w:val="006203CA"/>
    <w:rsid w:val="006206C1"/>
    <w:rsid w:val="0062074B"/>
    <w:rsid w:val="00620EFF"/>
    <w:rsid w:val="00621B61"/>
    <w:rsid w:val="006227EE"/>
    <w:rsid w:val="0062321D"/>
    <w:rsid w:val="006235A3"/>
    <w:rsid w:val="006249B8"/>
    <w:rsid w:val="00625B39"/>
    <w:rsid w:val="00626ABC"/>
    <w:rsid w:val="00626B8B"/>
    <w:rsid w:val="00626E53"/>
    <w:rsid w:val="006308CF"/>
    <w:rsid w:val="0063322A"/>
    <w:rsid w:val="00635487"/>
    <w:rsid w:val="006357DA"/>
    <w:rsid w:val="006363C1"/>
    <w:rsid w:val="00636D2E"/>
    <w:rsid w:val="0063726D"/>
    <w:rsid w:val="00637481"/>
    <w:rsid w:val="00640E1F"/>
    <w:rsid w:val="00642395"/>
    <w:rsid w:val="00642E26"/>
    <w:rsid w:val="00643401"/>
    <w:rsid w:val="00643406"/>
    <w:rsid w:val="00643B8B"/>
    <w:rsid w:val="006452E9"/>
    <w:rsid w:val="00645392"/>
    <w:rsid w:val="006455F6"/>
    <w:rsid w:val="0064723F"/>
    <w:rsid w:val="00647495"/>
    <w:rsid w:val="00647E98"/>
    <w:rsid w:val="00650087"/>
    <w:rsid w:val="006503AD"/>
    <w:rsid w:val="006509BD"/>
    <w:rsid w:val="006509E9"/>
    <w:rsid w:val="006512B1"/>
    <w:rsid w:val="00653898"/>
    <w:rsid w:val="0065556D"/>
    <w:rsid w:val="006557AA"/>
    <w:rsid w:val="006559FA"/>
    <w:rsid w:val="00656521"/>
    <w:rsid w:val="006568FE"/>
    <w:rsid w:val="006571D7"/>
    <w:rsid w:val="00660E9B"/>
    <w:rsid w:val="00661BDC"/>
    <w:rsid w:val="00663D27"/>
    <w:rsid w:val="00664916"/>
    <w:rsid w:val="00664A1F"/>
    <w:rsid w:val="00664D32"/>
    <w:rsid w:val="006650BD"/>
    <w:rsid w:val="00665A77"/>
    <w:rsid w:val="006669B7"/>
    <w:rsid w:val="00667753"/>
    <w:rsid w:val="00670694"/>
    <w:rsid w:val="00670B7F"/>
    <w:rsid w:val="00671C1A"/>
    <w:rsid w:val="0067211C"/>
    <w:rsid w:val="006724FD"/>
    <w:rsid w:val="00672710"/>
    <w:rsid w:val="0067273C"/>
    <w:rsid w:val="00672A7C"/>
    <w:rsid w:val="00673AF5"/>
    <w:rsid w:val="00673CF3"/>
    <w:rsid w:val="00673E42"/>
    <w:rsid w:val="00674C8F"/>
    <w:rsid w:val="0067544C"/>
    <w:rsid w:val="00675A16"/>
    <w:rsid w:val="00676278"/>
    <w:rsid w:val="00676819"/>
    <w:rsid w:val="00676E4A"/>
    <w:rsid w:val="00676FFA"/>
    <w:rsid w:val="00677699"/>
    <w:rsid w:val="00677707"/>
    <w:rsid w:val="006777F5"/>
    <w:rsid w:val="00677B1F"/>
    <w:rsid w:val="0068072E"/>
    <w:rsid w:val="00680B22"/>
    <w:rsid w:val="00680D75"/>
    <w:rsid w:val="00681454"/>
    <w:rsid w:val="00681A4F"/>
    <w:rsid w:val="00681B64"/>
    <w:rsid w:val="00683926"/>
    <w:rsid w:val="00684842"/>
    <w:rsid w:val="00684EED"/>
    <w:rsid w:val="00685CF7"/>
    <w:rsid w:val="00685FF3"/>
    <w:rsid w:val="00686F8A"/>
    <w:rsid w:val="0068731A"/>
    <w:rsid w:val="0068755D"/>
    <w:rsid w:val="006875D6"/>
    <w:rsid w:val="00687A8E"/>
    <w:rsid w:val="006904E8"/>
    <w:rsid w:val="00690AC0"/>
    <w:rsid w:val="006920A2"/>
    <w:rsid w:val="006924A5"/>
    <w:rsid w:val="0069263E"/>
    <w:rsid w:val="00692A56"/>
    <w:rsid w:val="00694BB7"/>
    <w:rsid w:val="00694D10"/>
    <w:rsid w:val="00694EF5"/>
    <w:rsid w:val="006953C1"/>
    <w:rsid w:val="006955F5"/>
    <w:rsid w:val="00695978"/>
    <w:rsid w:val="00695B94"/>
    <w:rsid w:val="00695D44"/>
    <w:rsid w:val="006971AD"/>
    <w:rsid w:val="006975D7"/>
    <w:rsid w:val="0069777C"/>
    <w:rsid w:val="0069781E"/>
    <w:rsid w:val="0069785D"/>
    <w:rsid w:val="00697E6E"/>
    <w:rsid w:val="006A0BAB"/>
    <w:rsid w:val="006A11B4"/>
    <w:rsid w:val="006A167A"/>
    <w:rsid w:val="006A2315"/>
    <w:rsid w:val="006A2831"/>
    <w:rsid w:val="006A2AD3"/>
    <w:rsid w:val="006A2B43"/>
    <w:rsid w:val="006A2FD4"/>
    <w:rsid w:val="006A42A5"/>
    <w:rsid w:val="006A5B2A"/>
    <w:rsid w:val="006A60EF"/>
    <w:rsid w:val="006A63E4"/>
    <w:rsid w:val="006A6C64"/>
    <w:rsid w:val="006A7220"/>
    <w:rsid w:val="006B00EC"/>
    <w:rsid w:val="006B08BC"/>
    <w:rsid w:val="006B0B3A"/>
    <w:rsid w:val="006B16CA"/>
    <w:rsid w:val="006B1D72"/>
    <w:rsid w:val="006B1FBD"/>
    <w:rsid w:val="006B2668"/>
    <w:rsid w:val="006B3837"/>
    <w:rsid w:val="006B4184"/>
    <w:rsid w:val="006B4576"/>
    <w:rsid w:val="006B49ED"/>
    <w:rsid w:val="006B5082"/>
    <w:rsid w:val="006B52E3"/>
    <w:rsid w:val="006B593F"/>
    <w:rsid w:val="006B5AF7"/>
    <w:rsid w:val="006B5C49"/>
    <w:rsid w:val="006C0919"/>
    <w:rsid w:val="006C29E6"/>
    <w:rsid w:val="006C3356"/>
    <w:rsid w:val="006C3B1E"/>
    <w:rsid w:val="006C4000"/>
    <w:rsid w:val="006C4785"/>
    <w:rsid w:val="006C569A"/>
    <w:rsid w:val="006C73D4"/>
    <w:rsid w:val="006C7B14"/>
    <w:rsid w:val="006D0106"/>
    <w:rsid w:val="006D1799"/>
    <w:rsid w:val="006D1B0F"/>
    <w:rsid w:val="006D2241"/>
    <w:rsid w:val="006D31A9"/>
    <w:rsid w:val="006D36BA"/>
    <w:rsid w:val="006D477D"/>
    <w:rsid w:val="006D4990"/>
    <w:rsid w:val="006D5C90"/>
    <w:rsid w:val="006D68DA"/>
    <w:rsid w:val="006D7B63"/>
    <w:rsid w:val="006E0694"/>
    <w:rsid w:val="006E0FE1"/>
    <w:rsid w:val="006E1290"/>
    <w:rsid w:val="006E2282"/>
    <w:rsid w:val="006E2688"/>
    <w:rsid w:val="006E342C"/>
    <w:rsid w:val="006E4D87"/>
    <w:rsid w:val="006E5D22"/>
    <w:rsid w:val="006E6378"/>
    <w:rsid w:val="006F196A"/>
    <w:rsid w:val="006F1A89"/>
    <w:rsid w:val="006F1D31"/>
    <w:rsid w:val="006F1EBE"/>
    <w:rsid w:val="006F33D3"/>
    <w:rsid w:val="006F3481"/>
    <w:rsid w:val="006F3729"/>
    <w:rsid w:val="006F3C91"/>
    <w:rsid w:val="006F4196"/>
    <w:rsid w:val="006F4BE0"/>
    <w:rsid w:val="006F4DFF"/>
    <w:rsid w:val="006F5A64"/>
    <w:rsid w:val="006F668A"/>
    <w:rsid w:val="006F7120"/>
    <w:rsid w:val="006F7AF1"/>
    <w:rsid w:val="00700239"/>
    <w:rsid w:val="007012EA"/>
    <w:rsid w:val="00701487"/>
    <w:rsid w:val="007017D2"/>
    <w:rsid w:val="00701EA8"/>
    <w:rsid w:val="00702D97"/>
    <w:rsid w:val="00703E0D"/>
    <w:rsid w:val="00704FCC"/>
    <w:rsid w:val="00705FAE"/>
    <w:rsid w:val="00710389"/>
    <w:rsid w:val="007105C3"/>
    <w:rsid w:val="00710EF1"/>
    <w:rsid w:val="007112AC"/>
    <w:rsid w:val="00711F92"/>
    <w:rsid w:val="00712FB7"/>
    <w:rsid w:val="00713A3A"/>
    <w:rsid w:val="00713E10"/>
    <w:rsid w:val="00713F3F"/>
    <w:rsid w:val="00715DAA"/>
    <w:rsid w:val="007161F5"/>
    <w:rsid w:val="007169A1"/>
    <w:rsid w:val="00717900"/>
    <w:rsid w:val="007204E8"/>
    <w:rsid w:val="00722F36"/>
    <w:rsid w:val="007230E0"/>
    <w:rsid w:val="007238C8"/>
    <w:rsid w:val="0072404C"/>
    <w:rsid w:val="00725671"/>
    <w:rsid w:val="00725FFA"/>
    <w:rsid w:val="007274CD"/>
    <w:rsid w:val="0072767A"/>
    <w:rsid w:val="00730830"/>
    <w:rsid w:val="00730C40"/>
    <w:rsid w:val="00731107"/>
    <w:rsid w:val="007313D1"/>
    <w:rsid w:val="00731713"/>
    <w:rsid w:val="007325D3"/>
    <w:rsid w:val="007327A1"/>
    <w:rsid w:val="00733BEE"/>
    <w:rsid w:val="0073427E"/>
    <w:rsid w:val="007347E7"/>
    <w:rsid w:val="00735BA9"/>
    <w:rsid w:val="0073719F"/>
    <w:rsid w:val="007372D2"/>
    <w:rsid w:val="007373B8"/>
    <w:rsid w:val="0073793E"/>
    <w:rsid w:val="0074080F"/>
    <w:rsid w:val="00740C7A"/>
    <w:rsid w:val="00740EE7"/>
    <w:rsid w:val="007410A5"/>
    <w:rsid w:val="007411D7"/>
    <w:rsid w:val="00741497"/>
    <w:rsid w:val="007415D6"/>
    <w:rsid w:val="0074180E"/>
    <w:rsid w:val="00741BE5"/>
    <w:rsid w:val="007420CA"/>
    <w:rsid w:val="007427D1"/>
    <w:rsid w:val="0074297D"/>
    <w:rsid w:val="00743046"/>
    <w:rsid w:val="00743694"/>
    <w:rsid w:val="00743A94"/>
    <w:rsid w:val="007448C5"/>
    <w:rsid w:val="00744C5C"/>
    <w:rsid w:val="00744F92"/>
    <w:rsid w:val="007454D4"/>
    <w:rsid w:val="00745BF3"/>
    <w:rsid w:val="00746305"/>
    <w:rsid w:val="0074631D"/>
    <w:rsid w:val="00746AFA"/>
    <w:rsid w:val="00750053"/>
    <w:rsid w:val="00751556"/>
    <w:rsid w:val="00754916"/>
    <w:rsid w:val="00755205"/>
    <w:rsid w:val="007565E3"/>
    <w:rsid w:val="007569E0"/>
    <w:rsid w:val="00757279"/>
    <w:rsid w:val="00761D39"/>
    <w:rsid w:val="00761E07"/>
    <w:rsid w:val="0076213C"/>
    <w:rsid w:val="007635B6"/>
    <w:rsid w:val="007635E7"/>
    <w:rsid w:val="00764ABB"/>
    <w:rsid w:val="00765B64"/>
    <w:rsid w:val="00766779"/>
    <w:rsid w:val="00767150"/>
    <w:rsid w:val="0076798D"/>
    <w:rsid w:val="00767E44"/>
    <w:rsid w:val="007705F6"/>
    <w:rsid w:val="007708C9"/>
    <w:rsid w:val="00770DCB"/>
    <w:rsid w:val="00772FE0"/>
    <w:rsid w:val="00774018"/>
    <w:rsid w:val="0077440A"/>
    <w:rsid w:val="00774C7F"/>
    <w:rsid w:val="00774DEB"/>
    <w:rsid w:val="007758E8"/>
    <w:rsid w:val="00775CDF"/>
    <w:rsid w:val="007774D8"/>
    <w:rsid w:val="00777A88"/>
    <w:rsid w:val="00777B89"/>
    <w:rsid w:val="00777D86"/>
    <w:rsid w:val="007804F2"/>
    <w:rsid w:val="00780909"/>
    <w:rsid w:val="00781AFD"/>
    <w:rsid w:val="007821EF"/>
    <w:rsid w:val="00782FF8"/>
    <w:rsid w:val="00783301"/>
    <w:rsid w:val="00783BC8"/>
    <w:rsid w:val="00783BDE"/>
    <w:rsid w:val="00783D75"/>
    <w:rsid w:val="00784238"/>
    <w:rsid w:val="0078490D"/>
    <w:rsid w:val="007849DC"/>
    <w:rsid w:val="007851AF"/>
    <w:rsid w:val="00786F74"/>
    <w:rsid w:val="0079095D"/>
    <w:rsid w:val="00790D6B"/>
    <w:rsid w:val="00790E37"/>
    <w:rsid w:val="00790EC2"/>
    <w:rsid w:val="007912C7"/>
    <w:rsid w:val="00792B8D"/>
    <w:rsid w:val="0079348F"/>
    <w:rsid w:val="00793BBC"/>
    <w:rsid w:val="00793DC4"/>
    <w:rsid w:val="00794092"/>
    <w:rsid w:val="00794B50"/>
    <w:rsid w:val="00795F12"/>
    <w:rsid w:val="00796BCA"/>
    <w:rsid w:val="00796DA6"/>
    <w:rsid w:val="007971A2"/>
    <w:rsid w:val="00797708"/>
    <w:rsid w:val="00797A9B"/>
    <w:rsid w:val="00797AA2"/>
    <w:rsid w:val="007A0413"/>
    <w:rsid w:val="007A09E2"/>
    <w:rsid w:val="007A122A"/>
    <w:rsid w:val="007A2296"/>
    <w:rsid w:val="007A2EEF"/>
    <w:rsid w:val="007A355C"/>
    <w:rsid w:val="007A430E"/>
    <w:rsid w:val="007A5241"/>
    <w:rsid w:val="007A5652"/>
    <w:rsid w:val="007A6205"/>
    <w:rsid w:val="007A6D5C"/>
    <w:rsid w:val="007A7346"/>
    <w:rsid w:val="007A7493"/>
    <w:rsid w:val="007A7525"/>
    <w:rsid w:val="007A7720"/>
    <w:rsid w:val="007A7AC9"/>
    <w:rsid w:val="007A7C8E"/>
    <w:rsid w:val="007A7D5D"/>
    <w:rsid w:val="007A7E38"/>
    <w:rsid w:val="007A7EC3"/>
    <w:rsid w:val="007B06FE"/>
    <w:rsid w:val="007B0C89"/>
    <w:rsid w:val="007B0CD1"/>
    <w:rsid w:val="007B0DE9"/>
    <w:rsid w:val="007B1E45"/>
    <w:rsid w:val="007B32F8"/>
    <w:rsid w:val="007B3D19"/>
    <w:rsid w:val="007B4D2D"/>
    <w:rsid w:val="007B5A4F"/>
    <w:rsid w:val="007B5A65"/>
    <w:rsid w:val="007B6AD4"/>
    <w:rsid w:val="007B7060"/>
    <w:rsid w:val="007C0123"/>
    <w:rsid w:val="007C0176"/>
    <w:rsid w:val="007C01A0"/>
    <w:rsid w:val="007C029A"/>
    <w:rsid w:val="007C0688"/>
    <w:rsid w:val="007C0C42"/>
    <w:rsid w:val="007C1E8D"/>
    <w:rsid w:val="007C2FAC"/>
    <w:rsid w:val="007C39E3"/>
    <w:rsid w:val="007C5D59"/>
    <w:rsid w:val="007C797C"/>
    <w:rsid w:val="007C7DBA"/>
    <w:rsid w:val="007C7F34"/>
    <w:rsid w:val="007D0E71"/>
    <w:rsid w:val="007D1144"/>
    <w:rsid w:val="007D16F0"/>
    <w:rsid w:val="007D23BC"/>
    <w:rsid w:val="007D47B8"/>
    <w:rsid w:val="007D47F3"/>
    <w:rsid w:val="007D4A22"/>
    <w:rsid w:val="007D4C93"/>
    <w:rsid w:val="007D5156"/>
    <w:rsid w:val="007D6051"/>
    <w:rsid w:val="007D6120"/>
    <w:rsid w:val="007D6D1B"/>
    <w:rsid w:val="007D6D25"/>
    <w:rsid w:val="007D6EF7"/>
    <w:rsid w:val="007D7A71"/>
    <w:rsid w:val="007E22C1"/>
    <w:rsid w:val="007E2881"/>
    <w:rsid w:val="007E30FF"/>
    <w:rsid w:val="007E395B"/>
    <w:rsid w:val="007E403E"/>
    <w:rsid w:val="007E4156"/>
    <w:rsid w:val="007E4938"/>
    <w:rsid w:val="007E56C4"/>
    <w:rsid w:val="007E5BD0"/>
    <w:rsid w:val="007E7A5A"/>
    <w:rsid w:val="007F0BA5"/>
    <w:rsid w:val="007F0D72"/>
    <w:rsid w:val="007F17F3"/>
    <w:rsid w:val="007F1D3C"/>
    <w:rsid w:val="007F43E8"/>
    <w:rsid w:val="007F47D3"/>
    <w:rsid w:val="007F4C9C"/>
    <w:rsid w:val="007F56B0"/>
    <w:rsid w:val="007F5741"/>
    <w:rsid w:val="007F5C38"/>
    <w:rsid w:val="007F622C"/>
    <w:rsid w:val="007F64CB"/>
    <w:rsid w:val="007F6B8C"/>
    <w:rsid w:val="007F76B0"/>
    <w:rsid w:val="007F7714"/>
    <w:rsid w:val="00800F82"/>
    <w:rsid w:val="00801423"/>
    <w:rsid w:val="008014AC"/>
    <w:rsid w:val="008014B6"/>
    <w:rsid w:val="00802750"/>
    <w:rsid w:val="00802FD2"/>
    <w:rsid w:val="008034E2"/>
    <w:rsid w:val="00803516"/>
    <w:rsid w:val="00803A65"/>
    <w:rsid w:val="00803FBF"/>
    <w:rsid w:val="008042D8"/>
    <w:rsid w:val="00804D8F"/>
    <w:rsid w:val="00804F3E"/>
    <w:rsid w:val="00806920"/>
    <w:rsid w:val="00806E1C"/>
    <w:rsid w:val="008106AF"/>
    <w:rsid w:val="00810A43"/>
    <w:rsid w:val="00810D3F"/>
    <w:rsid w:val="00811569"/>
    <w:rsid w:val="00812304"/>
    <w:rsid w:val="00812EF9"/>
    <w:rsid w:val="00813240"/>
    <w:rsid w:val="008142C9"/>
    <w:rsid w:val="00814377"/>
    <w:rsid w:val="00814655"/>
    <w:rsid w:val="00814AA1"/>
    <w:rsid w:val="00816166"/>
    <w:rsid w:val="00816566"/>
    <w:rsid w:val="00816A8E"/>
    <w:rsid w:val="0081724F"/>
    <w:rsid w:val="008174E8"/>
    <w:rsid w:val="00817D7D"/>
    <w:rsid w:val="00817F06"/>
    <w:rsid w:val="00822915"/>
    <w:rsid w:val="00822B29"/>
    <w:rsid w:val="00823143"/>
    <w:rsid w:val="00824EEE"/>
    <w:rsid w:val="00825BDD"/>
    <w:rsid w:val="00825D09"/>
    <w:rsid w:val="00827782"/>
    <w:rsid w:val="00827C54"/>
    <w:rsid w:val="00830A88"/>
    <w:rsid w:val="0083105E"/>
    <w:rsid w:val="0083170C"/>
    <w:rsid w:val="00831CDE"/>
    <w:rsid w:val="00832CD4"/>
    <w:rsid w:val="0083393A"/>
    <w:rsid w:val="008349CA"/>
    <w:rsid w:val="00836328"/>
    <w:rsid w:val="008373EE"/>
    <w:rsid w:val="0083785C"/>
    <w:rsid w:val="008403FB"/>
    <w:rsid w:val="00842059"/>
    <w:rsid w:val="008425B9"/>
    <w:rsid w:val="00842823"/>
    <w:rsid w:val="008429C7"/>
    <w:rsid w:val="00842A29"/>
    <w:rsid w:val="0084381A"/>
    <w:rsid w:val="008440A6"/>
    <w:rsid w:val="0084420E"/>
    <w:rsid w:val="00844256"/>
    <w:rsid w:val="00845C11"/>
    <w:rsid w:val="00846517"/>
    <w:rsid w:val="00847B7E"/>
    <w:rsid w:val="0085026E"/>
    <w:rsid w:val="00850FCC"/>
    <w:rsid w:val="008510FE"/>
    <w:rsid w:val="008512B7"/>
    <w:rsid w:val="008517EB"/>
    <w:rsid w:val="0085184C"/>
    <w:rsid w:val="00852EDC"/>
    <w:rsid w:val="0085343D"/>
    <w:rsid w:val="00854245"/>
    <w:rsid w:val="00855F02"/>
    <w:rsid w:val="0085716D"/>
    <w:rsid w:val="008605A0"/>
    <w:rsid w:val="0086099E"/>
    <w:rsid w:val="00860DA2"/>
    <w:rsid w:val="00860F7E"/>
    <w:rsid w:val="00861285"/>
    <w:rsid w:val="0086129F"/>
    <w:rsid w:val="00862A8F"/>
    <w:rsid w:val="00862D6A"/>
    <w:rsid w:val="008638C8"/>
    <w:rsid w:val="00863CB0"/>
    <w:rsid w:val="00863ED8"/>
    <w:rsid w:val="008642A0"/>
    <w:rsid w:val="00864836"/>
    <w:rsid w:val="00864A70"/>
    <w:rsid w:val="00866090"/>
    <w:rsid w:val="00866401"/>
    <w:rsid w:val="0086686B"/>
    <w:rsid w:val="00866D8E"/>
    <w:rsid w:val="00867982"/>
    <w:rsid w:val="00867C57"/>
    <w:rsid w:val="008714AB"/>
    <w:rsid w:val="008735D3"/>
    <w:rsid w:val="00873A38"/>
    <w:rsid w:val="00874C44"/>
    <w:rsid w:val="008761CB"/>
    <w:rsid w:val="00876916"/>
    <w:rsid w:val="008770C0"/>
    <w:rsid w:val="00877CE7"/>
    <w:rsid w:val="00881AE0"/>
    <w:rsid w:val="0088453C"/>
    <w:rsid w:val="008854F2"/>
    <w:rsid w:val="0088558C"/>
    <w:rsid w:val="00885D3A"/>
    <w:rsid w:val="008868E7"/>
    <w:rsid w:val="00886A24"/>
    <w:rsid w:val="00886AC7"/>
    <w:rsid w:val="00886BA1"/>
    <w:rsid w:val="00886C2E"/>
    <w:rsid w:val="00886FC6"/>
    <w:rsid w:val="00887F5E"/>
    <w:rsid w:val="008912F3"/>
    <w:rsid w:val="00891522"/>
    <w:rsid w:val="00891955"/>
    <w:rsid w:val="00891D69"/>
    <w:rsid w:val="0089256A"/>
    <w:rsid w:val="008928F1"/>
    <w:rsid w:val="008929C9"/>
    <w:rsid w:val="00892FB0"/>
    <w:rsid w:val="00893520"/>
    <w:rsid w:val="0089492D"/>
    <w:rsid w:val="00894B7F"/>
    <w:rsid w:val="0089655F"/>
    <w:rsid w:val="00897433"/>
    <w:rsid w:val="008976AB"/>
    <w:rsid w:val="008A0C5A"/>
    <w:rsid w:val="008A16E0"/>
    <w:rsid w:val="008A2AF3"/>
    <w:rsid w:val="008A2B03"/>
    <w:rsid w:val="008A2EBC"/>
    <w:rsid w:val="008A3760"/>
    <w:rsid w:val="008A3A02"/>
    <w:rsid w:val="008A48CE"/>
    <w:rsid w:val="008A4C20"/>
    <w:rsid w:val="008A4CB5"/>
    <w:rsid w:val="008A5AE5"/>
    <w:rsid w:val="008A5B52"/>
    <w:rsid w:val="008A624D"/>
    <w:rsid w:val="008A63CA"/>
    <w:rsid w:val="008A7011"/>
    <w:rsid w:val="008A7DF9"/>
    <w:rsid w:val="008B0591"/>
    <w:rsid w:val="008B0618"/>
    <w:rsid w:val="008B0861"/>
    <w:rsid w:val="008B0C50"/>
    <w:rsid w:val="008B0CF5"/>
    <w:rsid w:val="008B112D"/>
    <w:rsid w:val="008B1975"/>
    <w:rsid w:val="008B3458"/>
    <w:rsid w:val="008B4931"/>
    <w:rsid w:val="008B59AE"/>
    <w:rsid w:val="008B6A98"/>
    <w:rsid w:val="008B74D8"/>
    <w:rsid w:val="008C0B6F"/>
    <w:rsid w:val="008C13B0"/>
    <w:rsid w:val="008C1597"/>
    <w:rsid w:val="008C2F07"/>
    <w:rsid w:val="008C34AD"/>
    <w:rsid w:val="008C3CC1"/>
    <w:rsid w:val="008C4B92"/>
    <w:rsid w:val="008C4BD2"/>
    <w:rsid w:val="008C61BA"/>
    <w:rsid w:val="008C763D"/>
    <w:rsid w:val="008C7698"/>
    <w:rsid w:val="008D1168"/>
    <w:rsid w:val="008D120F"/>
    <w:rsid w:val="008D3622"/>
    <w:rsid w:val="008D3A0E"/>
    <w:rsid w:val="008D42F6"/>
    <w:rsid w:val="008D447D"/>
    <w:rsid w:val="008D5D88"/>
    <w:rsid w:val="008D5EB3"/>
    <w:rsid w:val="008D6D6F"/>
    <w:rsid w:val="008D7745"/>
    <w:rsid w:val="008E02F1"/>
    <w:rsid w:val="008E0E5C"/>
    <w:rsid w:val="008E0EFE"/>
    <w:rsid w:val="008E1573"/>
    <w:rsid w:val="008E1630"/>
    <w:rsid w:val="008E1A85"/>
    <w:rsid w:val="008E2833"/>
    <w:rsid w:val="008E2DC6"/>
    <w:rsid w:val="008E3575"/>
    <w:rsid w:val="008E4406"/>
    <w:rsid w:val="008E4E7E"/>
    <w:rsid w:val="008E618E"/>
    <w:rsid w:val="008E64F8"/>
    <w:rsid w:val="008E7D31"/>
    <w:rsid w:val="008F0581"/>
    <w:rsid w:val="008F09DC"/>
    <w:rsid w:val="008F1C74"/>
    <w:rsid w:val="008F1CDB"/>
    <w:rsid w:val="008F2528"/>
    <w:rsid w:val="008F2AE2"/>
    <w:rsid w:val="008F364A"/>
    <w:rsid w:val="008F3C27"/>
    <w:rsid w:val="008F41D1"/>
    <w:rsid w:val="008F42E8"/>
    <w:rsid w:val="008F47A5"/>
    <w:rsid w:val="008F4D0A"/>
    <w:rsid w:val="008F5CD4"/>
    <w:rsid w:val="008F69C1"/>
    <w:rsid w:val="008F7E5B"/>
    <w:rsid w:val="0090009C"/>
    <w:rsid w:val="00900AAD"/>
    <w:rsid w:val="00901A50"/>
    <w:rsid w:val="00902892"/>
    <w:rsid w:val="00902F8B"/>
    <w:rsid w:val="0090417A"/>
    <w:rsid w:val="009045D8"/>
    <w:rsid w:val="00904A74"/>
    <w:rsid w:val="00904ABB"/>
    <w:rsid w:val="00904BD8"/>
    <w:rsid w:val="00904D81"/>
    <w:rsid w:val="00905E46"/>
    <w:rsid w:val="00907171"/>
    <w:rsid w:val="009105AF"/>
    <w:rsid w:val="00910CCA"/>
    <w:rsid w:val="00910ECB"/>
    <w:rsid w:val="0091132F"/>
    <w:rsid w:val="009116F7"/>
    <w:rsid w:val="00912409"/>
    <w:rsid w:val="0091319E"/>
    <w:rsid w:val="00913E4D"/>
    <w:rsid w:val="00914FEF"/>
    <w:rsid w:val="00915C43"/>
    <w:rsid w:val="00915E30"/>
    <w:rsid w:val="00915EAA"/>
    <w:rsid w:val="009174C0"/>
    <w:rsid w:val="009178D9"/>
    <w:rsid w:val="00917FBD"/>
    <w:rsid w:val="0092049F"/>
    <w:rsid w:val="00920E45"/>
    <w:rsid w:val="0092111E"/>
    <w:rsid w:val="009219ED"/>
    <w:rsid w:val="0092321C"/>
    <w:rsid w:val="00924062"/>
    <w:rsid w:val="00924227"/>
    <w:rsid w:val="00925E17"/>
    <w:rsid w:val="00926D6A"/>
    <w:rsid w:val="009271AD"/>
    <w:rsid w:val="00927C56"/>
    <w:rsid w:val="0093075F"/>
    <w:rsid w:val="00931F85"/>
    <w:rsid w:val="009320F0"/>
    <w:rsid w:val="0093372C"/>
    <w:rsid w:val="00935037"/>
    <w:rsid w:val="00935D60"/>
    <w:rsid w:val="00936367"/>
    <w:rsid w:val="00936CE0"/>
    <w:rsid w:val="00936EA1"/>
    <w:rsid w:val="0093732D"/>
    <w:rsid w:val="009378DA"/>
    <w:rsid w:val="00940010"/>
    <w:rsid w:val="00941419"/>
    <w:rsid w:val="00941C65"/>
    <w:rsid w:val="00942304"/>
    <w:rsid w:val="00944212"/>
    <w:rsid w:val="00944786"/>
    <w:rsid w:val="009448B9"/>
    <w:rsid w:val="00947361"/>
    <w:rsid w:val="00950388"/>
    <w:rsid w:val="009506FB"/>
    <w:rsid w:val="009512E9"/>
    <w:rsid w:val="009513C8"/>
    <w:rsid w:val="009522FB"/>
    <w:rsid w:val="00952394"/>
    <w:rsid w:val="00952EFB"/>
    <w:rsid w:val="00954D19"/>
    <w:rsid w:val="00954F00"/>
    <w:rsid w:val="00955820"/>
    <w:rsid w:val="009558F1"/>
    <w:rsid w:val="00955E6D"/>
    <w:rsid w:val="00955F05"/>
    <w:rsid w:val="00956D45"/>
    <w:rsid w:val="00957461"/>
    <w:rsid w:val="00957A91"/>
    <w:rsid w:val="00957AD5"/>
    <w:rsid w:val="00960F12"/>
    <w:rsid w:val="009613CD"/>
    <w:rsid w:val="00961576"/>
    <w:rsid w:val="009616A7"/>
    <w:rsid w:val="00961BFE"/>
    <w:rsid w:val="0096245D"/>
    <w:rsid w:val="0096401A"/>
    <w:rsid w:val="0096406F"/>
    <w:rsid w:val="00964B79"/>
    <w:rsid w:val="00965222"/>
    <w:rsid w:val="00965605"/>
    <w:rsid w:val="00965A59"/>
    <w:rsid w:val="00965D20"/>
    <w:rsid w:val="00967CA2"/>
    <w:rsid w:val="0097143C"/>
    <w:rsid w:val="0097177A"/>
    <w:rsid w:val="00972159"/>
    <w:rsid w:val="00973612"/>
    <w:rsid w:val="00973B4C"/>
    <w:rsid w:val="00973CB4"/>
    <w:rsid w:val="00973CE4"/>
    <w:rsid w:val="00973E4E"/>
    <w:rsid w:val="009745F3"/>
    <w:rsid w:val="00974671"/>
    <w:rsid w:val="0097491A"/>
    <w:rsid w:val="00974D45"/>
    <w:rsid w:val="00974FB0"/>
    <w:rsid w:val="00975019"/>
    <w:rsid w:val="009759F8"/>
    <w:rsid w:val="00975B0C"/>
    <w:rsid w:val="00976AF4"/>
    <w:rsid w:val="009775BA"/>
    <w:rsid w:val="00980153"/>
    <w:rsid w:val="00983F3E"/>
    <w:rsid w:val="0098607F"/>
    <w:rsid w:val="0098608A"/>
    <w:rsid w:val="00986109"/>
    <w:rsid w:val="00987474"/>
    <w:rsid w:val="009876E7"/>
    <w:rsid w:val="00987905"/>
    <w:rsid w:val="0099002D"/>
    <w:rsid w:val="0099072A"/>
    <w:rsid w:val="009908FD"/>
    <w:rsid w:val="00990984"/>
    <w:rsid w:val="009909A7"/>
    <w:rsid w:val="00991012"/>
    <w:rsid w:val="009914A4"/>
    <w:rsid w:val="00991659"/>
    <w:rsid w:val="00991C06"/>
    <w:rsid w:val="00991DAD"/>
    <w:rsid w:val="00992679"/>
    <w:rsid w:val="00992D17"/>
    <w:rsid w:val="009930DF"/>
    <w:rsid w:val="009942DE"/>
    <w:rsid w:val="00994CE6"/>
    <w:rsid w:val="00994CFF"/>
    <w:rsid w:val="00994D8A"/>
    <w:rsid w:val="00994D93"/>
    <w:rsid w:val="00994DB8"/>
    <w:rsid w:val="00994E86"/>
    <w:rsid w:val="009951F7"/>
    <w:rsid w:val="009955A9"/>
    <w:rsid w:val="009958B7"/>
    <w:rsid w:val="00995B5A"/>
    <w:rsid w:val="009A0257"/>
    <w:rsid w:val="009A09BA"/>
    <w:rsid w:val="009A134F"/>
    <w:rsid w:val="009A196D"/>
    <w:rsid w:val="009A3295"/>
    <w:rsid w:val="009A32FD"/>
    <w:rsid w:val="009A47EC"/>
    <w:rsid w:val="009A57E1"/>
    <w:rsid w:val="009A57E9"/>
    <w:rsid w:val="009A5F5E"/>
    <w:rsid w:val="009A6461"/>
    <w:rsid w:val="009A6C3D"/>
    <w:rsid w:val="009A725B"/>
    <w:rsid w:val="009A72E5"/>
    <w:rsid w:val="009A77CE"/>
    <w:rsid w:val="009B00BE"/>
    <w:rsid w:val="009B0AF9"/>
    <w:rsid w:val="009B0D67"/>
    <w:rsid w:val="009B1934"/>
    <w:rsid w:val="009B255B"/>
    <w:rsid w:val="009B26B9"/>
    <w:rsid w:val="009B27B1"/>
    <w:rsid w:val="009B2968"/>
    <w:rsid w:val="009B36E5"/>
    <w:rsid w:val="009B385F"/>
    <w:rsid w:val="009B4284"/>
    <w:rsid w:val="009B44B5"/>
    <w:rsid w:val="009B5F22"/>
    <w:rsid w:val="009B5FA6"/>
    <w:rsid w:val="009C01A9"/>
    <w:rsid w:val="009C1307"/>
    <w:rsid w:val="009C156D"/>
    <w:rsid w:val="009C258B"/>
    <w:rsid w:val="009C31F9"/>
    <w:rsid w:val="009C4026"/>
    <w:rsid w:val="009C4B25"/>
    <w:rsid w:val="009C5015"/>
    <w:rsid w:val="009C51A6"/>
    <w:rsid w:val="009C5378"/>
    <w:rsid w:val="009C54C7"/>
    <w:rsid w:val="009C5603"/>
    <w:rsid w:val="009C57B0"/>
    <w:rsid w:val="009C5814"/>
    <w:rsid w:val="009C5A34"/>
    <w:rsid w:val="009C5A85"/>
    <w:rsid w:val="009C64EF"/>
    <w:rsid w:val="009C6DC2"/>
    <w:rsid w:val="009C7423"/>
    <w:rsid w:val="009C7B16"/>
    <w:rsid w:val="009D09A9"/>
    <w:rsid w:val="009D0AB3"/>
    <w:rsid w:val="009D1135"/>
    <w:rsid w:val="009D1CCE"/>
    <w:rsid w:val="009D1E2E"/>
    <w:rsid w:val="009D1EC8"/>
    <w:rsid w:val="009D23C5"/>
    <w:rsid w:val="009D2A1B"/>
    <w:rsid w:val="009D2D9C"/>
    <w:rsid w:val="009D3483"/>
    <w:rsid w:val="009D3A89"/>
    <w:rsid w:val="009D3AD9"/>
    <w:rsid w:val="009D3C04"/>
    <w:rsid w:val="009D4834"/>
    <w:rsid w:val="009D49CD"/>
    <w:rsid w:val="009D4C5A"/>
    <w:rsid w:val="009D5189"/>
    <w:rsid w:val="009D52FA"/>
    <w:rsid w:val="009D5C95"/>
    <w:rsid w:val="009D68D7"/>
    <w:rsid w:val="009D6B86"/>
    <w:rsid w:val="009D71CA"/>
    <w:rsid w:val="009D73B9"/>
    <w:rsid w:val="009D7A04"/>
    <w:rsid w:val="009E0FD8"/>
    <w:rsid w:val="009E1FBE"/>
    <w:rsid w:val="009E207E"/>
    <w:rsid w:val="009E339F"/>
    <w:rsid w:val="009E3923"/>
    <w:rsid w:val="009E50D2"/>
    <w:rsid w:val="009E5DE2"/>
    <w:rsid w:val="009E714E"/>
    <w:rsid w:val="009E756A"/>
    <w:rsid w:val="009E7EF2"/>
    <w:rsid w:val="009F003B"/>
    <w:rsid w:val="009F0306"/>
    <w:rsid w:val="009F0844"/>
    <w:rsid w:val="009F17FE"/>
    <w:rsid w:val="009F2E8A"/>
    <w:rsid w:val="009F308C"/>
    <w:rsid w:val="009F37B0"/>
    <w:rsid w:val="009F412A"/>
    <w:rsid w:val="009F5625"/>
    <w:rsid w:val="009F5D79"/>
    <w:rsid w:val="009F5EE9"/>
    <w:rsid w:val="009F641D"/>
    <w:rsid w:val="009F6EB3"/>
    <w:rsid w:val="009F770E"/>
    <w:rsid w:val="009F7DAC"/>
    <w:rsid w:val="00A00A1A"/>
    <w:rsid w:val="00A0124D"/>
    <w:rsid w:val="00A01739"/>
    <w:rsid w:val="00A01BD6"/>
    <w:rsid w:val="00A02B27"/>
    <w:rsid w:val="00A03B80"/>
    <w:rsid w:val="00A03C31"/>
    <w:rsid w:val="00A050A7"/>
    <w:rsid w:val="00A06A20"/>
    <w:rsid w:val="00A06C03"/>
    <w:rsid w:val="00A074FC"/>
    <w:rsid w:val="00A1096E"/>
    <w:rsid w:val="00A10ADB"/>
    <w:rsid w:val="00A10FC9"/>
    <w:rsid w:val="00A12651"/>
    <w:rsid w:val="00A12C30"/>
    <w:rsid w:val="00A12F08"/>
    <w:rsid w:val="00A15168"/>
    <w:rsid w:val="00A15681"/>
    <w:rsid w:val="00A1633D"/>
    <w:rsid w:val="00A167DB"/>
    <w:rsid w:val="00A1684E"/>
    <w:rsid w:val="00A17C07"/>
    <w:rsid w:val="00A2049A"/>
    <w:rsid w:val="00A2050F"/>
    <w:rsid w:val="00A206D6"/>
    <w:rsid w:val="00A20722"/>
    <w:rsid w:val="00A21E7C"/>
    <w:rsid w:val="00A227A3"/>
    <w:rsid w:val="00A23663"/>
    <w:rsid w:val="00A23CAB"/>
    <w:rsid w:val="00A24142"/>
    <w:rsid w:val="00A2491D"/>
    <w:rsid w:val="00A24D04"/>
    <w:rsid w:val="00A25573"/>
    <w:rsid w:val="00A25BD4"/>
    <w:rsid w:val="00A2692F"/>
    <w:rsid w:val="00A2798B"/>
    <w:rsid w:val="00A27C5F"/>
    <w:rsid w:val="00A30687"/>
    <w:rsid w:val="00A30795"/>
    <w:rsid w:val="00A30A43"/>
    <w:rsid w:val="00A30B52"/>
    <w:rsid w:val="00A329EE"/>
    <w:rsid w:val="00A33424"/>
    <w:rsid w:val="00A33614"/>
    <w:rsid w:val="00A3482C"/>
    <w:rsid w:val="00A34D5A"/>
    <w:rsid w:val="00A352B7"/>
    <w:rsid w:val="00A352D3"/>
    <w:rsid w:val="00A35763"/>
    <w:rsid w:val="00A35A72"/>
    <w:rsid w:val="00A35D6D"/>
    <w:rsid w:val="00A35F1F"/>
    <w:rsid w:val="00A36321"/>
    <w:rsid w:val="00A36FD7"/>
    <w:rsid w:val="00A37555"/>
    <w:rsid w:val="00A37A6A"/>
    <w:rsid w:val="00A37DD2"/>
    <w:rsid w:val="00A403EB"/>
    <w:rsid w:val="00A40D67"/>
    <w:rsid w:val="00A4188D"/>
    <w:rsid w:val="00A420D8"/>
    <w:rsid w:val="00A42408"/>
    <w:rsid w:val="00A4267D"/>
    <w:rsid w:val="00A427B3"/>
    <w:rsid w:val="00A43098"/>
    <w:rsid w:val="00A43872"/>
    <w:rsid w:val="00A43F48"/>
    <w:rsid w:val="00A44CDF"/>
    <w:rsid w:val="00A45C51"/>
    <w:rsid w:val="00A462B0"/>
    <w:rsid w:val="00A5121E"/>
    <w:rsid w:val="00A51609"/>
    <w:rsid w:val="00A51A2D"/>
    <w:rsid w:val="00A51CAD"/>
    <w:rsid w:val="00A52566"/>
    <w:rsid w:val="00A52DAB"/>
    <w:rsid w:val="00A53586"/>
    <w:rsid w:val="00A536AA"/>
    <w:rsid w:val="00A539B3"/>
    <w:rsid w:val="00A53A9B"/>
    <w:rsid w:val="00A54A69"/>
    <w:rsid w:val="00A555F4"/>
    <w:rsid w:val="00A557D4"/>
    <w:rsid w:val="00A55B96"/>
    <w:rsid w:val="00A55FF6"/>
    <w:rsid w:val="00A565B9"/>
    <w:rsid w:val="00A56AEE"/>
    <w:rsid w:val="00A57C15"/>
    <w:rsid w:val="00A62773"/>
    <w:rsid w:val="00A62D89"/>
    <w:rsid w:val="00A63BB3"/>
    <w:rsid w:val="00A64021"/>
    <w:rsid w:val="00A6440F"/>
    <w:rsid w:val="00A64552"/>
    <w:rsid w:val="00A65909"/>
    <w:rsid w:val="00A660AF"/>
    <w:rsid w:val="00A66562"/>
    <w:rsid w:val="00A667CD"/>
    <w:rsid w:val="00A6691F"/>
    <w:rsid w:val="00A66D3D"/>
    <w:rsid w:val="00A67B41"/>
    <w:rsid w:val="00A67F0D"/>
    <w:rsid w:val="00A67FFE"/>
    <w:rsid w:val="00A704A9"/>
    <w:rsid w:val="00A72430"/>
    <w:rsid w:val="00A73704"/>
    <w:rsid w:val="00A73C77"/>
    <w:rsid w:val="00A746D5"/>
    <w:rsid w:val="00A74CCE"/>
    <w:rsid w:val="00A75848"/>
    <w:rsid w:val="00A75900"/>
    <w:rsid w:val="00A763E6"/>
    <w:rsid w:val="00A764D2"/>
    <w:rsid w:val="00A76582"/>
    <w:rsid w:val="00A77175"/>
    <w:rsid w:val="00A7748F"/>
    <w:rsid w:val="00A80B01"/>
    <w:rsid w:val="00A80D2E"/>
    <w:rsid w:val="00A80D4A"/>
    <w:rsid w:val="00A81047"/>
    <w:rsid w:val="00A81759"/>
    <w:rsid w:val="00A81A2F"/>
    <w:rsid w:val="00A853E7"/>
    <w:rsid w:val="00A8638E"/>
    <w:rsid w:val="00A864E0"/>
    <w:rsid w:val="00A86BE1"/>
    <w:rsid w:val="00A86FDC"/>
    <w:rsid w:val="00A876AB"/>
    <w:rsid w:val="00A87C10"/>
    <w:rsid w:val="00A90454"/>
    <w:rsid w:val="00A9068F"/>
    <w:rsid w:val="00A91318"/>
    <w:rsid w:val="00A93590"/>
    <w:rsid w:val="00A9388D"/>
    <w:rsid w:val="00A94075"/>
    <w:rsid w:val="00A95196"/>
    <w:rsid w:val="00A95F35"/>
    <w:rsid w:val="00A960A4"/>
    <w:rsid w:val="00A96B07"/>
    <w:rsid w:val="00A9726C"/>
    <w:rsid w:val="00AA0355"/>
    <w:rsid w:val="00AA05D9"/>
    <w:rsid w:val="00AA1CEB"/>
    <w:rsid w:val="00AA22B7"/>
    <w:rsid w:val="00AA244C"/>
    <w:rsid w:val="00AA2619"/>
    <w:rsid w:val="00AA285C"/>
    <w:rsid w:val="00AA2914"/>
    <w:rsid w:val="00AA2959"/>
    <w:rsid w:val="00AA2A7C"/>
    <w:rsid w:val="00AA2CE2"/>
    <w:rsid w:val="00AA2E25"/>
    <w:rsid w:val="00AA2E64"/>
    <w:rsid w:val="00AA30A9"/>
    <w:rsid w:val="00AA34C0"/>
    <w:rsid w:val="00AA399A"/>
    <w:rsid w:val="00AA3A4A"/>
    <w:rsid w:val="00AA42DE"/>
    <w:rsid w:val="00AA4688"/>
    <w:rsid w:val="00AA4C85"/>
    <w:rsid w:val="00AA50D6"/>
    <w:rsid w:val="00AA5862"/>
    <w:rsid w:val="00AA6E64"/>
    <w:rsid w:val="00AA767F"/>
    <w:rsid w:val="00AA7715"/>
    <w:rsid w:val="00AA79FD"/>
    <w:rsid w:val="00AA7C04"/>
    <w:rsid w:val="00AA7CC6"/>
    <w:rsid w:val="00AA7D3D"/>
    <w:rsid w:val="00AB062C"/>
    <w:rsid w:val="00AB17B7"/>
    <w:rsid w:val="00AB18F3"/>
    <w:rsid w:val="00AB21C3"/>
    <w:rsid w:val="00AB2C4E"/>
    <w:rsid w:val="00AB5584"/>
    <w:rsid w:val="00AB5D0E"/>
    <w:rsid w:val="00AB6678"/>
    <w:rsid w:val="00AB71D0"/>
    <w:rsid w:val="00AB75C1"/>
    <w:rsid w:val="00AB79AF"/>
    <w:rsid w:val="00AC12BD"/>
    <w:rsid w:val="00AC1EB2"/>
    <w:rsid w:val="00AC277C"/>
    <w:rsid w:val="00AC2B38"/>
    <w:rsid w:val="00AC2BA2"/>
    <w:rsid w:val="00AC404F"/>
    <w:rsid w:val="00AC439D"/>
    <w:rsid w:val="00AC44A0"/>
    <w:rsid w:val="00AC4657"/>
    <w:rsid w:val="00AC542D"/>
    <w:rsid w:val="00AD30CD"/>
    <w:rsid w:val="00AD33A5"/>
    <w:rsid w:val="00AD3CFC"/>
    <w:rsid w:val="00AD49FF"/>
    <w:rsid w:val="00AD69ED"/>
    <w:rsid w:val="00AD72BC"/>
    <w:rsid w:val="00AD7CED"/>
    <w:rsid w:val="00AE0588"/>
    <w:rsid w:val="00AE1BDA"/>
    <w:rsid w:val="00AE1FCD"/>
    <w:rsid w:val="00AE308C"/>
    <w:rsid w:val="00AE41F8"/>
    <w:rsid w:val="00AE437B"/>
    <w:rsid w:val="00AE5E32"/>
    <w:rsid w:val="00AE7719"/>
    <w:rsid w:val="00AE7D73"/>
    <w:rsid w:val="00AE7D76"/>
    <w:rsid w:val="00AF0A5E"/>
    <w:rsid w:val="00AF2601"/>
    <w:rsid w:val="00AF29BB"/>
    <w:rsid w:val="00AF3AC0"/>
    <w:rsid w:val="00AF3ECF"/>
    <w:rsid w:val="00AF4D7E"/>
    <w:rsid w:val="00AF4F74"/>
    <w:rsid w:val="00AF6278"/>
    <w:rsid w:val="00AF658F"/>
    <w:rsid w:val="00AF6E1E"/>
    <w:rsid w:val="00AF782C"/>
    <w:rsid w:val="00B01E7A"/>
    <w:rsid w:val="00B03357"/>
    <w:rsid w:val="00B0388F"/>
    <w:rsid w:val="00B03BB7"/>
    <w:rsid w:val="00B03E1F"/>
    <w:rsid w:val="00B04837"/>
    <w:rsid w:val="00B04859"/>
    <w:rsid w:val="00B06875"/>
    <w:rsid w:val="00B072E9"/>
    <w:rsid w:val="00B10268"/>
    <w:rsid w:val="00B115C1"/>
    <w:rsid w:val="00B11BAC"/>
    <w:rsid w:val="00B11F73"/>
    <w:rsid w:val="00B12C0F"/>
    <w:rsid w:val="00B1337F"/>
    <w:rsid w:val="00B13709"/>
    <w:rsid w:val="00B14A61"/>
    <w:rsid w:val="00B14D5A"/>
    <w:rsid w:val="00B152CB"/>
    <w:rsid w:val="00B15FE5"/>
    <w:rsid w:val="00B16090"/>
    <w:rsid w:val="00B16157"/>
    <w:rsid w:val="00B1632F"/>
    <w:rsid w:val="00B1644C"/>
    <w:rsid w:val="00B16DA4"/>
    <w:rsid w:val="00B17218"/>
    <w:rsid w:val="00B20973"/>
    <w:rsid w:val="00B20F99"/>
    <w:rsid w:val="00B228CC"/>
    <w:rsid w:val="00B23088"/>
    <w:rsid w:val="00B240D7"/>
    <w:rsid w:val="00B24233"/>
    <w:rsid w:val="00B24C93"/>
    <w:rsid w:val="00B25BA5"/>
    <w:rsid w:val="00B262E9"/>
    <w:rsid w:val="00B2704D"/>
    <w:rsid w:val="00B3002D"/>
    <w:rsid w:val="00B31ABE"/>
    <w:rsid w:val="00B31C3E"/>
    <w:rsid w:val="00B338A0"/>
    <w:rsid w:val="00B350FF"/>
    <w:rsid w:val="00B35654"/>
    <w:rsid w:val="00B35E2D"/>
    <w:rsid w:val="00B3679F"/>
    <w:rsid w:val="00B36855"/>
    <w:rsid w:val="00B372D1"/>
    <w:rsid w:val="00B402A1"/>
    <w:rsid w:val="00B40CA9"/>
    <w:rsid w:val="00B435A4"/>
    <w:rsid w:val="00B44380"/>
    <w:rsid w:val="00B44EA0"/>
    <w:rsid w:val="00B4657B"/>
    <w:rsid w:val="00B475E9"/>
    <w:rsid w:val="00B5064D"/>
    <w:rsid w:val="00B50F1F"/>
    <w:rsid w:val="00B51C3B"/>
    <w:rsid w:val="00B5263E"/>
    <w:rsid w:val="00B52DFA"/>
    <w:rsid w:val="00B53582"/>
    <w:rsid w:val="00B536F5"/>
    <w:rsid w:val="00B54143"/>
    <w:rsid w:val="00B546B0"/>
    <w:rsid w:val="00B55DEA"/>
    <w:rsid w:val="00B56009"/>
    <w:rsid w:val="00B56067"/>
    <w:rsid w:val="00B5627B"/>
    <w:rsid w:val="00B56498"/>
    <w:rsid w:val="00B570DC"/>
    <w:rsid w:val="00B57644"/>
    <w:rsid w:val="00B61212"/>
    <w:rsid w:val="00B6235B"/>
    <w:rsid w:val="00B623CF"/>
    <w:rsid w:val="00B6246D"/>
    <w:rsid w:val="00B62F46"/>
    <w:rsid w:val="00B635CC"/>
    <w:rsid w:val="00B63E03"/>
    <w:rsid w:val="00B64342"/>
    <w:rsid w:val="00B64EF7"/>
    <w:rsid w:val="00B6552F"/>
    <w:rsid w:val="00B656EA"/>
    <w:rsid w:val="00B65A12"/>
    <w:rsid w:val="00B66259"/>
    <w:rsid w:val="00B66617"/>
    <w:rsid w:val="00B666B4"/>
    <w:rsid w:val="00B73357"/>
    <w:rsid w:val="00B74E97"/>
    <w:rsid w:val="00B750FD"/>
    <w:rsid w:val="00B75F8D"/>
    <w:rsid w:val="00B764F0"/>
    <w:rsid w:val="00B76639"/>
    <w:rsid w:val="00B767C7"/>
    <w:rsid w:val="00B76A6F"/>
    <w:rsid w:val="00B77D7A"/>
    <w:rsid w:val="00B77F78"/>
    <w:rsid w:val="00B81455"/>
    <w:rsid w:val="00B8202F"/>
    <w:rsid w:val="00B82693"/>
    <w:rsid w:val="00B82D44"/>
    <w:rsid w:val="00B83CEF"/>
    <w:rsid w:val="00B84012"/>
    <w:rsid w:val="00B8473D"/>
    <w:rsid w:val="00B84CBB"/>
    <w:rsid w:val="00B85243"/>
    <w:rsid w:val="00B861FA"/>
    <w:rsid w:val="00B863DA"/>
    <w:rsid w:val="00B86567"/>
    <w:rsid w:val="00B90569"/>
    <w:rsid w:val="00B9069A"/>
    <w:rsid w:val="00B91853"/>
    <w:rsid w:val="00B91AF1"/>
    <w:rsid w:val="00B91FEC"/>
    <w:rsid w:val="00B92CD6"/>
    <w:rsid w:val="00B92E46"/>
    <w:rsid w:val="00B9314C"/>
    <w:rsid w:val="00B9374F"/>
    <w:rsid w:val="00B93814"/>
    <w:rsid w:val="00B939B9"/>
    <w:rsid w:val="00B93D7A"/>
    <w:rsid w:val="00B94C2E"/>
    <w:rsid w:val="00B94DD1"/>
    <w:rsid w:val="00B951C9"/>
    <w:rsid w:val="00B95A2F"/>
    <w:rsid w:val="00BA1375"/>
    <w:rsid w:val="00BA1F48"/>
    <w:rsid w:val="00BA39B5"/>
    <w:rsid w:val="00BA4AAD"/>
    <w:rsid w:val="00BA4F77"/>
    <w:rsid w:val="00BA58D5"/>
    <w:rsid w:val="00BA5DBD"/>
    <w:rsid w:val="00BA5F9E"/>
    <w:rsid w:val="00BA6AF4"/>
    <w:rsid w:val="00BB05B7"/>
    <w:rsid w:val="00BB0F8A"/>
    <w:rsid w:val="00BB1442"/>
    <w:rsid w:val="00BB1FFD"/>
    <w:rsid w:val="00BB2028"/>
    <w:rsid w:val="00BB40FA"/>
    <w:rsid w:val="00BB5709"/>
    <w:rsid w:val="00BB6392"/>
    <w:rsid w:val="00BB6956"/>
    <w:rsid w:val="00BB6EFE"/>
    <w:rsid w:val="00BB73F6"/>
    <w:rsid w:val="00BB75C1"/>
    <w:rsid w:val="00BB7665"/>
    <w:rsid w:val="00BB7D38"/>
    <w:rsid w:val="00BB7F68"/>
    <w:rsid w:val="00BC0E15"/>
    <w:rsid w:val="00BC22D7"/>
    <w:rsid w:val="00BC25EA"/>
    <w:rsid w:val="00BC2628"/>
    <w:rsid w:val="00BC3997"/>
    <w:rsid w:val="00BC39A5"/>
    <w:rsid w:val="00BC411E"/>
    <w:rsid w:val="00BC451A"/>
    <w:rsid w:val="00BC4AB5"/>
    <w:rsid w:val="00BC517C"/>
    <w:rsid w:val="00BC52B0"/>
    <w:rsid w:val="00BC7112"/>
    <w:rsid w:val="00BC754B"/>
    <w:rsid w:val="00BD0480"/>
    <w:rsid w:val="00BD0915"/>
    <w:rsid w:val="00BD1C26"/>
    <w:rsid w:val="00BD24D6"/>
    <w:rsid w:val="00BD595D"/>
    <w:rsid w:val="00BD5D68"/>
    <w:rsid w:val="00BD6033"/>
    <w:rsid w:val="00BD69E4"/>
    <w:rsid w:val="00BD6E55"/>
    <w:rsid w:val="00BD78EC"/>
    <w:rsid w:val="00BD7F69"/>
    <w:rsid w:val="00BE0635"/>
    <w:rsid w:val="00BE07E6"/>
    <w:rsid w:val="00BE0D22"/>
    <w:rsid w:val="00BE1E1C"/>
    <w:rsid w:val="00BE1FD4"/>
    <w:rsid w:val="00BE23F2"/>
    <w:rsid w:val="00BE27B1"/>
    <w:rsid w:val="00BE3435"/>
    <w:rsid w:val="00BE473E"/>
    <w:rsid w:val="00BE4B0F"/>
    <w:rsid w:val="00BE5171"/>
    <w:rsid w:val="00BE5310"/>
    <w:rsid w:val="00BE5F05"/>
    <w:rsid w:val="00BE6045"/>
    <w:rsid w:val="00BE6379"/>
    <w:rsid w:val="00BF027A"/>
    <w:rsid w:val="00BF0B26"/>
    <w:rsid w:val="00BF1138"/>
    <w:rsid w:val="00BF14CC"/>
    <w:rsid w:val="00BF1AB1"/>
    <w:rsid w:val="00BF1BB6"/>
    <w:rsid w:val="00BF22FC"/>
    <w:rsid w:val="00BF26B1"/>
    <w:rsid w:val="00BF29CF"/>
    <w:rsid w:val="00BF322C"/>
    <w:rsid w:val="00BF3DC2"/>
    <w:rsid w:val="00BF44D9"/>
    <w:rsid w:val="00BF45A5"/>
    <w:rsid w:val="00BF53FD"/>
    <w:rsid w:val="00BF5B13"/>
    <w:rsid w:val="00BF662E"/>
    <w:rsid w:val="00BF69BC"/>
    <w:rsid w:val="00BF6A41"/>
    <w:rsid w:val="00BF7BCC"/>
    <w:rsid w:val="00BF7C03"/>
    <w:rsid w:val="00C002E3"/>
    <w:rsid w:val="00C005D7"/>
    <w:rsid w:val="00C00B47"/>
    <w:rsid w:val="00C010B2"/>
    <w:rsid w:val="00C02215"/>
    <w:rsid w:val="00C02EE2"/>
    <w:rsid w:val="00C0349A"/>
    <w:rsid w:val="00C0349F"/>
    <w:rsid w:val="00C04250"/>
    <w:rsid w:val="00C042B1"/>
    <w:rsid w:val="00C04BF6"/>
    <w:rsid w:val="00C051E1"/>
    <w:rsid w:val="00C05AF4"/>
    <w:rsid w:val="00C05FCA"/>
    <w:rsid w:val="00C0619A"/>
    <w:rsid w:val="00C06336"/>
    <w:rsid w:val="00C06974"/>
    <w:rsid w:val="00C06AD7"/>
    <w:rsid w:val="00C06D6E"/>
    <w:rsid w:val="00C077C9"/>
    <w:rsid w:val="00C107C8"/>
    <w:rsid w:val="00C10C6B"/>
    <w:rsid w:val="00C1125A"/>
    <w:rsid w:val="00C11A5A"/>
    <w:rsid w:val="00C11D0E"/>
    <w:rsid w:val="00C1207B"/>
    <w:rsid w:val="00C13CD6"/>
    <w:rsid w:val="00C14CAF"/>
    <w:rsid w:val="00C1556E"/>
    <w:rsid w:val="00C15FB7"/>
    <w:rsid w:val="00C16BD9"/>
    <w:rsid w:val="00C17499"/>
    <w:rsid w:val="00C17E29"/>
    <w:rsid w:val="00C20139"/>
    <w:rsid w:val="00C20D6F"/>
    <w:rsid w:val="00C2188C"/>
    <w:rsid w:val="00C21BF6"/>
    <w:rsid w:val="00C22032"/>
    <w:rsid w:val="00C2218F"/>
    <w:rsid w:val="00C224E6"/>
    <w:rsid w:val="00C22FC5"/>
    <w:rsid w:val="00C23D3E"/>
    <w:rsid w:val="00C252ED"/>
    <w:rsid w:val="00C2539D"/>
    <w:rsid w:val="00C2579A"/>
    <w:rsid w:val="00C25B51"/>
    <w:rsid w:val="00C25C34"/>
    <w:rsid w:val="00C25D4A"/>
    <w:rsid w:val="00C26686"/>
    <w:rsid w:val="00C2728B"/>
    <w:rsid w:val="00C279D6"/>
    <w:rsid w:val="00C30806"/>
    <w:rsid w:val="00C3111C"/>
    <w:rsid w:val="00C3117C"/>
    <w:rsid w:val="00C3147D"/>
    <w:rsid w:val="00C31CAE"/>
    <w:rsid w:val="00C322B1"/>
    <w:rsid w:val="00C32E44"/>
    <w:rsid w:val="00C3340D"/>
    <w:rsid w:val="00C33E05"/>
    <w:rsid w:val="00C343BE"/>
    <w:rsid w:val="00C351DF"/>
    <w:rsid w:val="00C35624"/>
    <w:rsid w:val="00C36A91"/>
    <w:rsid w:val="00C37087"/>
    <w:rsid w:val="00C37742"/>
    <w:rsid w:val="00C40941"/>
    <w:rsid w:val="00C40E00"/>
    <w:rsid w:val="00C41BB9"/>
    <w:rsid w:val="00C41C38"/>
    <w:rsid w:val="00C41E09"/>
    <w:rsid w:val="00C42701"/>
    <w:rsid w:val="00C431B4"/>
    <w:rsid w:val="00C448FB"/>
    <w:rsid w:val="00C44AD6"/>
    <w:rsid w:val="00C4611A"/>
    <w:rsid w:val="00C46B64"/>
    <w:rsid w:val="00C50149"/>
    <w:rsid w:val="00C50361"/>
    <w:rsid w:val="00C507A7"/>
    <w:rsid w:val="00C5083C"/>
    <w:rsid w:val="00C519EC"/>
    <w:rsid w:val="00C51DF9"/>
    <w:rsid w:val="00C52125"/>
    <w:rsid w:val="00C52215"/>
    <w:rsid w:val="00C5265F"/>
    <w:rsid w:val="00C52F25"/>
    <w:rsid w:val="00C52F2F"/>
    <w:rsid w:val="00C5323B"/>
    <w:rsid w:val="00C53A51"/>
    <w:rsid w:val="00C543D7"/>
    <w:rsid w:val="00C54628"/>
    <w:rsid w:val="00C55C58"/>
    <w:rsid w:val="00C564A2"/>
    <w:rsid w:val="00C60056"/>
    <w:rsid w:val="00C6006F"/>
    <w:rsid w:val="00C60448"/>
    <w:rsid w:val="00C605EE"/>
    <w:rsid w:val="00C626AD"/>
    <w:rsid w:val="00C6279D"/>
    <w:rsid w:val="00C62D7D"/>
    <w:rsid w:val="00C632B8"/>
    <w:rsid w:val="00C63478"/>
    <w:rsid w:val="00C63635"/>
    <w:rsid w:val="00C63A41"/>
    <w:rsid w:val="00C63B2E"/>
    <w:rsid w:val="00C65169"/>
    <w:rsid w:val="00C65310"/>
    <w:rsid w:val="00C653C2"/>
    <w:rsid w:val="00C65407"/>
    <w:rsid w:val="00C65736"/>
    <w:rsid w:val="00C657A8"/>
    <w:rsid w:val="00C65EB6"/>
    <w:rsid w:val="00C669C7"/>
    <w:rsid w:val="00C66BF3"/>
    <w:rsid w:val="00C70E9C"/>
    <w:rsid w:val="00C72057"/>
    <w:rsid w:val="00C722C4"/>
    <w:rsid w:val="00C725F3"/>
    <w:rsid w:val="00C7265A"/>
    <w:rsid w:val="00C72AAE"/>
    <w:rsid w:val="00C72C00"/>
    <w:rsid w:val="00C73919"/>
    <w:rsid w:val="00C748C5"/>
    <w:rsid w:val="00C76B52"/>
    <w:rsid w:val="00C76F9B"/>
    <w:rsid w:val="00C80EA2"/>
    <w:rsid w:val="00C812BD"/>
    <w:rsid w:val="00C825F1"/>
    <w:rsid w:val="00C83967"/>
    <w:rsid w:val="00C840AB"/>
    <w:rsid w:val="00C841CD"/>
    <w:rsid w:val="00C8461E"/>
    <w:rsid w:val="00C84F68"/>
    <w:rsid w:val="00C85206"/>
    <w:rsid w:val="00C862DE"/>
    <w:rsid w:val="00C868EE"/>
    <w:rsid w:val="00C86944"/>
    <w:rsid w:val="00C9047F"/>
    <w:rsid w:val="00C908CA"/>
    <w:rsid w:val="00C917BB"/>
    <w:rsid w:val="00C918B0"/>
    <w:rsid w:val="00C93058"/>
    <w:rsid w:val="00C93AA1"/>
    <w:rsid w:val="00C93CFB"/>
    <w:rsid w:val="00C94263"/>
    <w:rsid w:val="00C949A0"/>
    <w:rsid w:val="00C9566F"/>
    <w:rsid w:val="00C9614A"/>
    <w:rsid w:val="00C962AC"/>
    <w:rsid w:val="00CA00E5"/>
    <w:rsid w:val="00CA0788"/>
    <w:rsid w:val="00CA0AAF"/>
    <w:rsid w:val="00CA0E79"/>
    <w:rsid w:val="00CA112C"/>
    <w:rsid w:val="00CA1CB8"/>
    <w:rsid w:val="00CA30C0"/>
    <w:rsid w:val="00CA31C7"/>
    <w:rsid w:val="00CA38BA"/>
    <w:rsid w:val="00CA397C"/>
    <w:rsid w:val="00CA3B5B"/>
    <w:rsid w:val="00CA494B"/>
    <w:rsid w:val="00CA4DF0"/>
    <w:rsid w:val="00CA4E3C"/>
    <w:rsid w:val="00CA54BB"/>
    <w:rsid w:val="00CA57E2"/>
    <w:rsid w:val="00CA63C5"/>
    <w:rsid w:val="00CA6A66"/>
    <w:rsid w:val="00CA702A"/>
    <w:rsid w:val="00CA7398"/>
    <w:rsid w:val="00CA75A3"/>
    <w:rsid w:val="00CA7C7A"/>
    <w:rsid w:val="00CB04A8"/>
    <w:rsid w:val="00CB0D05"/>
    <w:rsid w:val="00CB112B"/>
    <w:rsid w:val="00CB25E5"/>
    <w:rsid w:val="00CB264B"/>
    <w:rsid w:val="00CB3267"/>
    <w:rsid w:val="00CB33DB"/>
    <w:rsid w:val="00CB5D94"/>
    <w:rsid w:val="00CC078E"/>
    <w:rsid w:val="00CC0820"/>
    <w:rsid w:val="00CC12FB"/>
    <w:rsid w:val="00CC2046"/>
    <w:rsid w:val="00CC27FE"/>
    <w:rsid w:val="00CC3871"/>
    <w:rsid w:val="00CC4002"/>
    <w:rsid w:val="00CC40DB"/>
    <w:rsid w:val="00CC457F"/>
    <w:rsid w:val="00CC654C"/>
    <w:rsid w:val="00CD007A"/>
    <w:rsid w:val="00CD07C2"/>
    <w:rsid w:val="00CD085D"/>
    <w:rsid w:val="00CD0A50"/>
    <w:rsid w:val="00CD1214"/>
    <w:rsid w:val="00CD1300"/>
    <w:rsid w:val="00CD2FBB"/>
    <w:rsid w:val="00CD3F8B"/>
    <w:rsid w:val="00CD407B"/>
    <w:rsid w:val="00CD4A3B"/>
    <w:rsid w:val="00CD5851"/>
    <w:rsid w:val="00CD6768"/>
    <w:rsid w:val="00CD6C33"/>
    <w:rsid w:val="00CD71A4"/>
    <w:rsid w:val="00CE124C"/>
    <w:rsid w:val="00CE2DC5"/>
    <w:rsid w:val="00CE2FD6"/>
    <w:rsid w:val="00CE367D"/>
    <w:rsid w:val="00CE4753"/>
    <w:rsid w:val="00CE4D2B"/>
    <w:rsid w:val="00CE5133"/>
    <w:rsid w:val="00CE57B1"/>
    <w:rsid w:val="00CE5BFA"/>
    <w:rsid w:val="00CE5D4F"/>
    <w:rsid w:val="00CE6094"/>
    <w:rsid w:val="00CE65F0"/>
    <w:rsid w:val="00CE6741"/>
    <w:rsid w:val="00CE7001"/>
    <w:rsid w:val="00CE71F7"/>
    <w:rsid w:val="00CE72BA"/>
    <w:rsid w:val="00CE7340"/>
    <w:rsid w:val="00CE79F5"/>
    <w:rsid w:val="00CE7A29"/>
    <w:rsid w:val="00CF01E8"/>
    <w:rsid w:val="00CF13DD"/>
    <w:rsid w:val="00CF143D"/>
    <w:rsid w:val="00CF16CA"/>
    <w:rsid w:val="00CF1EEF"/>
    <w:rsid w:val="00CF1F63"/>
    <w:rsid w:val="00CF239E"/>
    <w:rsid w:val="00CF2945"/>
    <w:rsid w:val="00CF35AF"/>
    <w:rsid w:val="00CF4EE4"/>
    <w:rsid w:val="00CF510B"/>
    <w:rsid w:val="00CF5239"/>
    <w:rsid w:val="00CF597A"/>
    <w:rsid w:val="00CF6041"/>
    <w:rsid w:val="00CF6101"/>
    <w:rsid w:val="00CF6A65"/>
    <w:rsid w:val="00CF7165"/>
    <w:rsid w:val="00CF7CDB"/>
    <w:rsid w:val="00D004FD"/>
    <w:rsid w:val="00D00508"/>
    <w:rsid w:val="00D02BC4"/>
    <w:rsid w:val="00D0463C"/>
    <w:rsid w:val="00D04FF7"/>
    <w:rsid w:val="00D051E9"/>
    <w:rsid w:val="00D05E35"/>
    <w:rsid w:val="00D065D0"/>
    <w:rsid w:val="00D073F1"/>
    <w:rsid w:val="00D077ED"/>
    <w:rsid w:val="00D1103C"/>
    <w:rsid w:val="00D1304C"/>
    <w:rsid w:val="00D13585"/>
    <w:rsid w:val="00D1384A"/>
    <w:rsid w:val="00D13873"/>
    <w:rsid w:val="00D15293"/>
    <w:rsid w:val="00D15CF9"/>
    <w:rsid w:val="00D17613"/>
    <w:rsid w:val="00D17785"/>
    <w:rsid w:val="00D203EF"/>
    <w:rsid w:val="00D2058F"/>
    <w:rsid w:val="00D2163B"/>
    <w:rsid w:val="00D21C3E"/>
    <w:rsid w:val="00D21F38"/>
    <w:rsid w:val="00D2309E"/>
    <w:rsid w:val="00D234E7"/>
    <w:rsid w:val="00D234EE"/>
    <w:rsid w:val="00D235F6"/>
    <w:rsid w:val="00D2383B"/>
    <w:rsid w:val="00D24597"/>
    <w:rsid w:val="00D25CDD"/>
    <w:rsid w:val="00D26458"/>
    <w:rsid w:val="00D26C1F"/>
    <w:rsid w:val="00D26DA6"/>
    <w:rsid w:val="00D26DE1"/>
    <w:rsid w:val="00D275E3"/>
    <w:rsid w:val="00D2779B"/>
    <w:rsid w:val="00D27946"/>
    <w:rsid w:val="00D27B55"/>
    <w:rsid w:val="00D309E5"/>
    <w:rsid w:val="00D30CBF"/>
    <w:rsid w:val="00D3146A"/>
    <w:rsid w:val="00D316FA"/>
    <w:rsid w:val="00D31B9E"/>
    <w:rsid w:val="00D322B2"/>
    <w:rsid w:val="00D32405"/>
    <w:rsid w:val="00D34F64"/>
    <w:rsid w:val="00D364BA"/>
    <w:rsid w:val="00D36AC6"/>
    <w:rsid w:val="00D40222"/>
    <w:rsid w:val="00D4037C"/>
    <w:rsid w:val="00D40733"/>
    <w:rsid w:val="00D41119"/>
    <w:rsid w:val="00D417FD"/>
    <w:rsid w:val="00D41B39"/>
    <w:rsid w:val="00D425C2"/>
    <w:rsid w:val="00D42766"/>
    <w:rsid w:val="00D428FE"/>
    <w:rsid w:val="00D429EF"/>
    <w:rsid w:val="00D433BA"/>
    <w:rsid w:val="00D4431A"/>
    <w:rsid w:val="00D44905"/>
    <w:rsid w:val="00D44F96"/>
    <w:rsid w:val="00D457BB"/>
    <w:rsid w:val="00D45921"/>
    <w:rsid w:val="00D4628F"/>
    <w:rsid w:val="00D47D07"/>
    <w:rsid w:val="00D50E44"/>
    <w:rsid w:val="00D516D0"/>
    <w:rsid w:val="00D51CB5"/>
    <w:rsid w:val="00D51E64"/>
    <w:rsid w:val="00D53012"/>
    <w:rsid w:val="00D536C8"/>
    <w:rsid w:val="00D54068"/>
    <w:rsid w:val="00D54559"/>
    <w:rsid w:val="00D55C0C"/>
    <w:rsid w:val="00D5621D"/>
    <w:rsid w:val="00D56885"/>
    <w:rsid w:val="00D569FD"/>
    <w:rsid w:val="00D56C61"/>
    <w:rsid w:val="00D5710A"/>
    <w:rsid w:val="00D571E8"/>
    <w:rsid w:val="00D576A0"/>
    <w:rsid w:val="00D600BC"/>
    <w:rsid w:val="00D6026D"/>
    <w:rsid w:val="00D606F3"/>
    <w:rsid w:val="00D61035"/>
    <w:rsid w:val="00D61CE7"/>
    <w:rsid w:val="00D624AF"/>
    <w:rsid w:val="00D62C8D"/>
    <w:rsid w:val="00D62E74"/>
    <w:rsid w:val="00D62EBA"/>
    <w:rsid w:val="00D63242"/>
    <w:rsid w:val="00D634AD"/>
    <w:rsid w:val="00D63585"/>
    <w:rsid w:val="00D63B8C"/>
    <w:rsid w:val="00D64FF4"/>
    <w:rsid w:val="00D651C4"/>
    <w:rsid w:val="00D65884"/>
    <w:rsid w:val="00D66002"/>
    <w:rsid w:val="00D66EBE"/>
    <w:rsid w:val="00D67575"/>
    <w:rsid w:val="00D67EDF"/>
    <w:rsid w:val="00D702B0"/>
    <w:rsid w:val="00D70C44"/>
    <w:rsid w:val="00D724D3"/>
    <w:rsid w:val="00D7343B"/>
    <w:rsid w:val="00D737DF"/>
    <w:rsid w:val="00D737F8"/>
    <w:rsid w:val="00D73D8D"/>
    <w:rsid w:val="00D73EA2"/>
    <w:rsid w:val="00D74078"/>
    <w:rsid w:val="00D74531"/>
    <w:rsid w:val="00D75552"/>
    <w:rsid w:val="00D75A50"/>
    <w:rsid w:val="00D75C1F"/>
    <w:rsid w:val="00D75D24"/>
    <w:rsid w:val="00D764BA"/>
    <w:rsid w:val="00D76755"/>
    <w:rsid w:val="00D779CB"/>
    <w:rsid w:val="00D8003B"/>
    <w:rsid w:val="00D809F4"/>
    <w:rsid w:val="00D80A5A"/>
    <w:rsid w:val="00D81310"/>
    <w:rsid w:val="00D8181B"/>
    <w:rsid w:val="00D8185E"/>
    <w:rsid w:val="00D8242D"/>
    <w:rsid w:val="00D82C8A"/>
    <w:rsid w:val="00D8312B"/>
    <w:rsid w:val="00D83291"/>
    <w:rsid w:val="00D83CD2"/>
    <w:rsid w:val="00D8562B"/>
    <w:rsid w:val="00D85C98"/>
    <w:rsid w:val="00D861F5"/>
    <w:rsid w:val="00D863D0"/>
    <w:rsid w:val="00D8643C"/>
    <w:rsid w:val="00D903ED"/>
    <w:rsid w:val="00D91142"/>
    <w:rsid w:val="00D917DE"/>
    <w:rsid w:val="00D917F9"/>
    <w:rsid w:val="00D91902"/>
    <w:rsid w:val="00D91C0B"/>
    <w:rsid w:val="00D92061"/>
    <w:rsid w:val="00D9239E"/>
    <w:rsid w:val="00D92EF2"/>
    <w:rsid w:val="00D9317E"/>
    <w:rsid w:val="00D94581"/>
    <w:rsid w:val="00D94930"/>
    <w:rsid w:val="00D949A4"/>
    <w:rsid w:val="00D95230"/>
    <w:rsid w:val="00D95379"/>
    <w:rsid w:val="00D954D4"/>
    <w:rsid w:val="00D95856"/>
    <w:rsid w:val="00D972D7"/>
    <w:rsid w:val="00D976D9"/>
    <w:rsid w:val="00DA1F19"/>
    <w:rsid w:val="00DA204C"/>
    <w:rsid w:val="00DA2258"/>
    <w:rsid w:val="00DA2BFB"/>
    <w:rsid w:val="00DA2E0A"/>
    <w:rsid w:val="00DA30B5"/>
    <w:rsid w:val="00DA3431"/>
    <w:rsid w:val="00DA359F"/>
    <w:rsid w:val="00DA376A"/>
    <w:rsid w:val="00DA38E6"/>
    <w:rsid w:val="00DA478A"/>
    <w:rsid w:val="00DA502C"/>
    <w:rsid w:val="00DA514B"/>
    <w:rsid w:val="00DA5536"/>
    <w:rsid w:val="00DA55D7"/>
    <w:rsid w:val="00DA68B7"/>
    <w:rsid w:val="00DA7E1B"/>
    <w:rsid w:val="00DB0232"/>
    <w:rsid w:val="00DB0974"/>
    <w:rsid w:val="00DB09E9"/>
    <w:rsid w:val="00DB1435"/>
    <w:rsid w:val="00DB23AD"/>
    <w:rsid w:val="00DB29BB"/>
    <w:rsid w:val="00DB2B61"/>
    <w:rsid w:val="00DB3937"/>
    <w:rsid w:val="00DB49B5"/>
    <w:rsid w:val="00DB5398"/>
    <w:rsid w:val="00DB5636"/>
    <w:rsid w:val="00DB5AC7"/>
    <w:rsid w:val="00DB6FA4"/>
    <w:rsid w:val="00DB7987"/>
    <w:rsid w:val="00DB7ED7"/>
    <w:rsid w:val="00DC0D43"/>
    <w:rsid w:val="00DC1209"/>
    <w:rsid w:val="00DC20D4"/>
    <w:rsid w:val="00DC24EF"/>
    <w:rsid w:val="00DC2B02"/>
    <w:rsid w:val="00DC2B7C"/>
    <w:rsid w:val="00DC2FB2"/>
    <w:rsid w:val="00DC3A8C"/>
    <w:rsid w:val="00DC3B70"/>
    <w:rsid w:val="00DC3E60"/>
    <w:rsid w:val="00DC4C1D"/>
    <w:rsid w:val="00DC4FF8"/>
    <w:rsid w:val="00DC5565"/>
    <w:rsid w:val="00DC6BEE"/>
    <w:rsid w:val="00DC6F70"/>
    <w:rsid w:val="00DC74C6"/>
    <w:rsid w:val="00DC74C8"/>
    <w:rsid w:val="00DD001F"/>
    <w:rsid w:val="00DD0C74"/>
    <w:rsid w:val="00DD0EED"/>
    <w:rsid w:val="00DD156F"/>
    <w:rsid w:val="00DD16E0"/>
    <w:rsid w:val="00DD1D0E"/>
    <w:rsid w:val="00DD30A7"/>
    <w:rsid w:val="00DD5AC9"/>
    <w:rsid w:val="00DD6491"/>
    <w:rsid w:val="00DD7E4F"/>
    <w:rsid w:val="00DE0C0C"/>
    <w:rsid w:val="00DE1846"/>
    <w:rsid w:val="00DE2707"/>
    <w:rsid w:val="00DE2D04"/>
    <w:rsid w:val="00DE315F"/>
    <w:rsid w:val="00DE35DB"/>
    <w:rsid w:val="00DE3773"/>
    <w:rsid w:val="00DE7010"/>
    <w:rsid w:val="00DE783B"/>
    <w:rsid w:val="00DE7CBC"/>
    <w:rsid w:val="00DF032F"/>
    <w:rsid w:val="00DF052C"/>
    <w:rsid w:val="00DF0EB5"/>
    <w:rsid w:val="00DF1532"/>
    <w:rsid w:val="00DF158E"/>
    <w:rsid w:val="00DF274C"/>
    <w:rsid w:val="00DF295A"/>
    <w:rsid w:val="00DF295D"/>
    <w:rsid w:val="00DF2CFE"/>
    <w:rsid w:val="00DF322F"/>
    <w:rsid w:val="00DF35E0"/>
    <w:rsid w:val="00DF3687"/>
    <w:rsid w:val="00DF4A88"/>
    <w:rsid w:val="00DF529E"/>
    <w:rsid w:val="00DF567C"/>
    <w:rsid w:val="00DF5994"/>
    <w:rsid w:val="00DF5BF6"/>
    <w:rsid w:val="00DF64D5"/>
    <w:rsid w:val="00DF6A85"/>
    <w:rsid w:val="00DF6BCE"/>
    <w:rsid w:val="00DF7511"/>
    <w:rsid w:val="00DF7F5C"/>
    <w:rsid w:val="00E006F8"/>
    <w:rsid w:val="00E00947"/>
    <w:rsid w:val="00E00A99"/>
    <w:rsid w:val="00E01435"/>
    <w:rsid w:val="00E0192D"/>
    <w:rsid w:val="00E020D4"/>
    <w:rsid w:val="00E027E6"/>
    <w:rsid w:val="00E0310D"/>
    <w:rsid w:val="00E0385F"/>
    <w:rsid w:val="00E03D2F"/>
    <w:rsid w:val="00E03D4A"/>
    <w:rsid w:val="00E041E4"/>
    <w:rsid w:val="00E04506"/>
    <w:rsid w:val="00E04F57"/>
    <w:rsid w:val="00E05383"/>
    <w:rsid w:val="00E05491"/>
    <w:rsid w:val="00E0643D"/>
    <w:rsid w:val="00E07026"/>
    <w:rsid w:val="00E07777"/>
    <w:rsid w:val="00E10A81"/>
    <w:rsid w:val="00E10AFE"/>
    <w:rsid w:val="00E10C43"/>
    <w:rsid w:val="00E11440"/>
    <w:rsid w:val="00E1175F"/>
    <w:rsid w:val="00E11906"/>
    <w:rsid w:val="00E12547"/>
    <w:rsid w:val="00E128CA"/>
    <w:rsid w:val="00E12D9C"/>
    <w:rsid w:val="00E12F31"/>
    <w:rsid w:val="00E147B6"/>
    <w:rsid w:val="00E1584C"/>
    <w:rsid w:val="00E15D0E"/>
    <w:rsid w:val="00E160C4"/>
    <w:rsid w:val="00E16337"/>
    <w:rsid w:val="00E17144"/>
    <w:rsid w:val="00E20A9B"/>
    <w:rsid w:val="00E20EC1"/>
    <w:rsid w:val="00E21090"/>
    <w:rsid w:val="00E22B15"/>
    <w:rsid w:val="00E2373E"/>
    <w:rsid w:val="00E255B3"/>
    <w:rsid w:val="00E25962"/>
    <w:rsid w:val="00E25A1C"/>
    <w:rsid w:val="00E25F83"/>
    <w:rsid w:val="00E26C62"/>
    <w:rsid w:val="00E307AE"/>
    <w:rsid w:val="00E30BBD"/>
    <w:rsid w:val="00E30F9E"/>
    <w:rsid w:val="00E31162"/>
    <w:rsid w:val="00E3241F"/>
    <w:rsid w:val="00E329E9"/>
    <w:rsid w:val="00E32C4C"/>
    <w:rsid w:val="00E32CB9"/>
    <w:rsid w:val="00E3306C"/>
    <w:rsid w:val="00E33187"/>
    <w:rsid w:val="00E33A4E"/>
    <w:rsid w:val="00E33B96"/>
    <w:rsid w:val="00E33C3D"/>
    <w:rsid w:val="00E33F6A"/>
    <w:rsid w:val="00E348C5"/>
    <w:rsid w:val="00E34D28"/>
    <w:rsid w:val="00E35048"/>
    <w:rsid w:val="00E3537F"/>
    <w:rsid w:val="00E365B3"/>
    <w:rsid w:val="00E36AE3"/>
    <w:rsid w:val="00E36D8F"/>
    <w:rsid w:val="00E370B5"/>
    <w:rsid w:val="00E40244"/>
    <w:rsid w:val="00E40409"/>
    <w:rsid w:val="00E418C0"/>
    <w:rsid w:val="00E425A9"/>
    <w:rsid w:val="00E44506"/>
    <w:rsid w:val="00E44898"/>
    <w:rsid w:val="00E45BCA"/>
    <w:rsid w:val="00E4711C"/>
    <w:rsid w:val="00E4719B"/>
    <w:rsid w:val="00E47768"/>
    <w:rsid w:val="00E47CF8"/>
    <w:rsid w:val="00E5034E"/>
    <w:rsid w:val="00E51142"/>
    <w:rsid w:val="00E513B4"/>
    <w:rsid w:val="00E517F4"/>
    <w:rsid w:val="00E5188F"/>
    <w:rsid w:val="00E51BD6"/>
    <w:rsid w:val="00E51D94"/>
    <w:rsid w:val="00E52D7A"/>
    <w:rsid w:val="00E53A70"/>
    <w:rsid w:val="00E54106"/>
    <w:rsid w:val="00E602D1"/>
    <w:rsid w:val="00E616DD"/>
    <w:rsid w:val="00E621B0"/>
    <w:rsid w:val="00E62FD8"/>
    <w:rsid w:val="00E638AA"/>
    <w:rsid w:val="00E63ABE"/>
    <w:rsid w:val="00E63F52"/>
    <w:rsid w:val="00E6402E"/>
    <w:rsid w:val="00E641A7"/>
    <w:rsid w:val="00E64BF6"/>
    <w:rsid w:val="00E65425"/>
    <w:rsid w:val="00E65B4C"/>
    <w:rsid w:val="00E661D5"/>
    <w:rsid w:val="00E666EB"/>
    <w:rsid w:val="00E66AB0"/>
    <w:rsid w:val="00E70031"/>
    <w:rsid w:val="00E70911"/>
    <w:rsid w:val="00E70DBD"/>
    <w:rsid w:val="00E71124"/>
    <w:rsid w:val="00E717C0"/>
    <w:rsid w:val="00E72337"/>
    <w:rsid w:val="00E72847"/>
    <w:rsid w:val="00E72C1A"/>
    <w:rsid w:val="00E73971"/>
    <w:rsid w:val="00E74047"/>
    <w:rsid w:val="00E74E6A"/>
    <w:rsid w:val="00E75E57"/>
    <w:rsid w:val="00E763C7"/>
    <w:rsid w:val="00E769A3"/>
    <w:rsid w:val="00E772DF"/>
    <w:rsid w:val="00E77751"/>
    <w:rsid w:val="00E82A79"/>
    <w:rsid w:val="00E8307F"/>
    <w:rsid w:val="00E85346"/>
    <w:rsid w:val="00E855B5"/>
    <w:rsid w:val="00E85C58"/>
    <w:rsid w:val="00E86689"/>
    <w:rsid w:val="00E86EBB"/>
    <w:rsid w:val="00E86F1D"/>
    <w:rsid w:val="00E86F26"/>
    <w:rsid w:val="00E86F35"/>
    <w:rsid w:val="00E8729A"/>
    <w:rsid w:val="00E87D8C"/>
    <w:rsid w:val="00E9013D"/>
    <w:rsid w:val="00E906D7"/>
    <w:rsid w:val="00E90A33"/>
    <w:rsid w:val="00E92661"/>
    <w:rsid w:val="00E92720"/>
    <w:rsid w:val="00E929F3"/>
    <w:rsid w:val="00E93407"/>
    <w:rsid w:val="00E9346C"/>
    <w:rsid w:val="00E957FC"/>
    <w:rsid w:val="00E95964"/>
    <w:rsid w:val="00E96283"/>
    <w:rsid w:val="00EA013E"/>
    <w:rsid w:val="00EA0524"/>
    <w:rsid w:val="00EA07BD"/>
    <w:rsid w:val="00EA1B7A"/>
    <w:rsid w:val="00EA2816"/>
    <w:rsid w:val="00EA3706"/>
    <w:rsid w:val="00EA4788"/>
    <w:rsid w:val="00EA557F"/>
    <w:rsid w:val="00EA5738"/>
    <w:rsid w:val="00EA726C"/>
    <w:rsid w:val="00EA7467"/>
    <w:rsid w:val="00EB033C"/>
    <w:rsid w:val="00EB052A"/>
    <w:rsid w:val="00EB061C"/>
    <w:rsid w:val="00EB0730"/>
    <w:rsid w:val="00EB1476"/>
    <w:rsid w:val="00EB221D"/>
    <w:rsid w:val="00EB24E1"/>
    <w:rsid w:val="00EB2B79"/>
    <w:rsid w:val="00EB2D63"/>
    <w:rsid w:val="00EB3089"/>
    <w:rsid w:val="00EB361B"/>
    <w:rsid w:val="00EB3CC5"/>
    <w:rsid w:val="00EB3F0B"/>
    <w:rsid w:val="00EB48AB"/>
    <w:rsid w:val="00EB5123"/>
    <w:rsid w:val="00EB517E"/>
    <w:rsid w:val="00EB54CE"/>
    <w:rsid w:val="00EB58E2"/>
    <w:rsid w:val="00EB5EBF"/>
    <w:rsid w:val="00EB5FB7"/>
    <w:rsid w:val="00EB6089"/>
    <w:rsid w:val="00EB6F1E"/>
    <w:rsid w:val="00EB724E"/>
    <w:rsid w:val="00EB72E4"/>
    <w:rsid w:val="00EB7C7D"/>
    <w:rsid w:val="00EB7F3C"/>
    <w:rsid w:val="00EC129E"/>
    <w:rsid w:val="00EC20E3"/>
    <w:rsid w:val="00EC2A7C"/>
    <w:rsid w:val="00EC35C8"/>
    <w:rsid w:val="00EC3FF1"/>
    <w:rsid w:val="00EC445F"/>
    <w:rsid w:val="00EC4989"/>
    <w:rsid w:val="00EC67F9"/>
    <w:rsid w:val="00EC73CC"/>
    <w:rsid w:val="00EC7430"/>
    <w:rsid w:val="00ED05CA"/>
    <w:rsid w:val="00ED06FA"/>
    <w:rsid w:val="00ED0902"/>
    <w:rsid w:val="00ED14FD"/>
    <w:rsid w:val="00ED2200"/>
    <w:rsid w:val="00ED2A03"/>
    <w:rsid w:val="00ED32CB"/>
    <w:rsid w:val="00ED34E0"/>
    <w:rsid w:val="00ED35EC"/>
    <w:rsid w:val="00ED3A3D"/>
    <w:rsid w:val="00ED45D0"/>
    <w:rsid w:val="00ED4E8E"/>
    <w:rsid w:val="00ED50EB"/>
    <w:rsid w:val="00ED5102"/>
    <w:rsid w:val="00ED66EC"/>
    <w:rsid w:val="00ED6759"/>
    <w:rsid w:val="00ED77B3"/>
    <w:rsid w:val="00EE110D"/>
    <w:rsid w:val="00EE160F"/>
    <w:rsid w:val="00EE1B87"/>
    <w:rsid w:val="00EE38A9"/>
    <w:rsid w:val="00EE45F7"/>
    <w:rsid w:val="00EE461F"/>
    <w:rsid w:val="00EE4D05"/>
    <w:rsid w:val="00EE4F80"/>
    <w:rsid w:val="00EE501C"/>
    <w:rsid w:val="00EE5434"/>
    <w:rsid w:val="00EE5A29"/>
    <w:rsid w:val="00EE617D"/>
    <w:rsid w:val="00EE6F61"/>
    <w:rsid w:val="00EE76D8"/>
    <w:rsid w:val="00EE7C2B"/>
    <w:rsid w:val="00EE7F75"/>
    <w:rsid w:val="00EF0183"/>
    <w:rsid w:val="00EF0355"/>
    <w:rsid w:val="00EF11D5"/>
    <w:rsid w:val="00EF29C1"/>
    <w:rsid w:val="00EF3E02"/>
    <w:rsid w:val="00EF5BE7"/>
    <w:rsid w:val="00EF64F4"/>
    <w:rsid w:val="00EF6644"/>
    <w:rsid w:val="00EF734E"/>
    <w:rsid w:val="00EF7421"/>
    <w:rsid w:val="00EF7C62"/>
    <w:rsid w:val="00F003AD"/>
    <w:rsid w:val="00F0048D"/>
    <w:rsid w:val="00F0077D"/>
    <w:rsid w:val="00F0129C"/>
    <w:rsid w:val="00F01615"/>
    <w:rsid w:val="00F03AFE"/>
    <w:rsid w:val="00F05198"/>
    <w:rsid w:val="00F05CCB"/>
    <w:rsid w:val="00F07C3D"/>
    <w:rsid w:val="00F07D0D"/>
    <w:rsid w:val="00F10D1E"/>
    <w:rsid w:val="00F10D68"/>
    <w:rsid w:val="00F12632"/>
    <w:rsid w:val="00F12A2A"/>
    <w:rsid w:val="00F12E1F"/>
    <w:rsid w:val="00F14F24"/>
    <w:rsid w:val="00F15C6E"/>
    <w:rsid w:val="00F15F19"/>
    <w:rsid w:val="00F160C8"/>
    <w:rsid w:val="00F170C6"/>
    <w:rsid w:val="00F176CB"/>
    <w:rsid w:val="00F17AE2"/>
    <w:rsid w:val="00F21103"/>
    <w:rsid w:val="00F21479"/>
    <w:rsid w:val="00F22F3E"/>
    <w:rsid w:val="00F23535"/>
    <w:rsid w:val="00F2355A"/>
    <w:rsid w:val="00F23B55"/>
    <w:rsid w:val="00F23D84"/>
    <w:rsid w:val="00F24C26"/>
    <w:rsid w:val="00F255CC"/>
    <w:rsid w:val="00F2625D"/>
    <w:rsid w:val="00F265DE"/>
    <w:rsid w:val="00F2782B"/>
    <w:rsid w:val="00F2794A"/>
    <w:rsid w:val="00F27CA4"/>
    <w:rsid w:val="00F323B2"/>
    <w:rsid w:val="00F326CE"/>
    <w:rsid w:val="00F3349C"/>
    <w:rsid w:val="00F34FFC"/>
    <w:rsid w:val="00F36290"/>
    <w:rsid w:val="00F36A6D"/>
    <w:rsid w:val="00F37628"/>
    <w:rsid w:val="00F3782B"/>
    <w:rsid w:val="00F37F2C"/>
    <w:rsid w:val="00F40226"/>
    <w:rsid w:val="00F402C2"/>
    <w:rsid w:val="00F4038A"/>
    <w:rsid w:val="00F4044B"/>
    <w:rsid w:val="00F41AB3"/>
    <w:rsid w:val="00F41E43"/>
    <w:rsid w:val="00F4351B"/>
    <w:rsid w:val="00F43BE4"/>
    <w:rsid w:val="00F45EFC"/>
    <w:rsid w:val="00F46B61"/>
    <w:rsid w:val="00F47FDA"/>
    <w:rsid w:val="00F5016D"/>
    <w:rsid w:val="00F52EC7"/>
    <w:rsid w:val="00F53885"/>
    <w:rsid w:val="00F55B96"/>
    <w:rsid w:val="00F55C52"/>
    <w:rsid w:val="00F56032"/>
    <w:rsid w:val="00F573A9"/>
    <w:rsid w:val="00F603B6"/>
    <w:rsid w:val="00F60B44"/>
    <w:rsid w:val="00F62289"/>
    <w:rsid w:val="00F64278"/>
    <w:rsid w:val="00F646EC"/>
    <w:rsid w:val="00F65AE0"/>
    <w:rsid w:val="00F66902"/>
    <w:rsid w:val="00F66936"/>
    <w:rsid w:val="00F66E9C"/>
    <w:rsid w:val="00F66F6C"/>
    <w:rsid w:val="00F67706"/>
    <w:rsid w:val="00F67B5C"/>
    <w:rsid w:val="00F7095B"/>
    <w:rsid w:val="00F74038"/>
    <w:rsid w:val="00F76DAC"/>
    <w:rsid w:val="00F77436"/>
    <w:rsid w:val="00F77943"/>
    <w:rsid w:val="00F8046B"/>
    <w:rsid w:val="00F80643"/>
    <w:rsid w:val="00F8065C"/>
    <w:rsid w:val="00F80D92"/>
    <w:rsid w:val="00F8165B"/>
    <w:rsid w:val="00F82883"/>
    <w:rsid w:val="00F833DA"/>
    <w:rsid w:val="00F84C14"/>
    <w:rsid w:val="00F85CC1"/>
    <w:rsid w:val="00F85EE6"/>
    <w:rsid w:val="00F86047"/>
    <w:rsid w:val="00F8650B"/>
    <w:rsid w:val="00F866A3"/>
    <w:rsid w:val="00F8716B"/>
    <w:rsid w:val="00F872D0"/>
    <w:rsid w:val="00F9126D"/>
    <w:rsid w:val="00F91D6D"/>
    <w:rsid w:val="00F9337E"/>
    <w:rsid w:val="00F93511"/>
    <w:rsid w:val="00F94C47"/>
    <w:rsid w:val="00F95240"/>
    <w:rsid w:val="00F95742"/>
    <w:rsid w:val="00F9595E"/>
    <w:rsid w:val="00F95CC2"/>
    <w:rsid w:val="00F95CCC"/>
    <w:rsid w:val="00F96F5A"/>
    <w:rsid w:val="00F971D0"/>
    <w:rsid w:val="00F97BEE"/>
    <w:rsid w:val="00F97C66"/>
    <w:rsid w:val="00FA0DF4"/>
    <w:rsid w:val="00FA22FC"/>
    <w:rsid w:val="00FA2A2C"/>
    <w:rsid w:val="00FA2D00"/>
    <w:rsid w:val="00FA39E8"/>
    <w:rsid w:val="00FA3D7A"/>
    <w:rsid w:val="00FA50C8"/>
    <w:rsid w:val="00FA655B"/>
    <w:rsid w:val="00FA6DF7"/>
    <w:rsid w:val="00FA7EC9"/>
    <w:rsid w:val="00FB00CA"/>
    <w:rsid w:val="00FB1309"/>
    <w:rsid w:val="00FB1E33"/>
    <w:rsid w:val="00FB40DB"/>
    <w:rsid w:val="00FB47E9"/>
    <w:rsid w:val="00FB5217"/>
    <w:rsid w:val="00FB5F89"/>
    <w:rsid w:val="00FB677B"/>
    <w:rsid w:val="00FB67EF"/>
    <w:rsid w:val="00FB6D7A"/>
    <w:rsid w:val="00FB6FCD"/>
    <w:rsid w:val="00FC05C3"/>
    <w:rsid w:val="00FC078B"/>
    <w:rsid w:val="00FC0919"/>
    <w:rsid w:val="00FC0E54"/>
    <w:rsid w:val="00FC0F81"/>
    <w:rsid w:val="00FC12B9"/>
    <w:rsid w:val="00FC1474"/>
    <w:rsid w:val="00FC15BC"/>
    <w:rsid w:val="00FC2280"/>
    <w:rsid w:val="00FC2281"/>
    <w:rsid w:val="00FC25C4"/>
    <w:rsid w:val="00FC38EC"/>
    <w:rsid w:val="00FC41D3"/>
    <w:rsid w:val="00FC4EB4"/>
    <w:rsid w:val="00FC535F"/>
    <w:rsid w:val="00FC6056"/>
    <w:rsid w:val="00FC7F94"/>
    <w:rsid w:val="00FD036C"/>
    <w:rsid w:val="00FD07D5"/>
    <w:rsid w:val="00FD129E"/>
    <w:rsid w:val="00FD1CD5"/>
    <w:rsid w:val="00FD33AA"/>
    <w:rsid w:val="00FD52FE"/>
    <w:rsid w:val="00FD539A"/>
    <w:rsid w:val="00FD56F9"/>
    <w:rsid w:val="00FD5D7C"/>
    <w:rsid w:val="00FD6073"/>
    <w:rsid w:val="00FD6114"/>
    <w:rsid w:val="00FD663B"/>
    <w:rsid w:val="00FD68FE"/>
    <w:rsid w:val="00FD6931"/>
    <w:rsid w:val="00FE065D"/>
    <w:rsid w:val="00FE09E4"/>
    <w:rsid w:val="00FE10C7"/>
    <w:rsid w:val="00FE14A0"/>
    <w:rsid w:val="00FE2BAB"/>
    <w:rsid w:val="00FE2C65"/>
    <w:rsid w:val="00FE2E5E"/>
    <w:rsid w:val="00FE3905"/>
    <w:rsid w:val="00FE4CB6"/>
    <w:rsid w:val="00FE5444"/>
    <w:rsid w:val="00FE5B95"/>
    <w:rsid w:val="00FE67DF"/>
    <w:rsid w:val="00FE6DCC"/>
    <w:rsid w:val="00FE70C1"/>
    <w:rsid w:val="00FE748C"/>
    <w:rsid w:val="00FF0072"/>
    <w:rsid w:val="00FF0278"/>
    <w:rsid w:val="00FF04DA"/>
    <w:rsid w:val="00FF0727"/>
    <w:rsid w:val="00FF1CCC"/>
    <w:rsid w:val="00FF1E81"/>
    <w:rsid w:val="00FF1FE4"/>
    <w:rsid w:val="00FF23BA"/>
    <w:rsid w:val="00FF2FE9"/>
    <w:rsid w:val="00FF4D9F"/>
    <w:rsid w:val="00FF52CA"/>
    <w:rsid w:val="00FF5CFE"/>
    <w:rsid w:val="00FF628F"/>
    <w:rsid w:val="00FF636F"/>
    <w:rsid w:val="00FF679B"/>
    <w:rsid w:val="00FF752D"/>
    <w:rsid w:val="00FF757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endnote text" w:uiPriority="99"/>
    <w:lsdException w:name="Title" w:semiHidden="0" w:unhideWhenUsed="0" w:qFormat="1"/>
    <w:lsdException w:name="Signature" w:uiPriority="99"/>
    <w:lsdException w:name="Subtitle" w:semiHidden="0" w:unhideWhenUsed="0" w:qFormat="1"/>
    <w:lsdException w:name="Date" w:uiPriority="99"/>
    <w:lsdException w:name="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573"/>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lang w:val="x-none"/>
    </w:rPr>
  </w:style>
  <w:style w:type="paragraph" w:styleId="Heading2">
    <w:name w:val="heading 2"/>
    <w:basedOn w:val="Normal"/>
    <w:next w:val="Text2"/>
    <w:link w:val="Heading2Char"/>
    <w:qFormat/>
    <w:pPr>
      <w:keepNext/>
      <w:numPr>
        <w:ilvl w:val="1"/>
        <w:numId w:val="3"/>
      </w:numPr>
      <w:outlineLvl w:val="1"/>
    </w:pPr>
    <w:rPr>
      <w:b/>
      <w:lang w:val="x-none"/>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lang w:val="x-none"/>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lang w:val="x-none"/>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En-ttedetabledesmatires1">
    <w:name w:val="En-tête de table des matières1"/>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F05CCB"/>
    <w:rPr>
      <w:rFonts w:ascii="Arial" w:hAnsi="Arial"/>
      <w:sz w:val="16"/>
      <w:lang w:val="en-GB" w:eastAsia="en-US"/>
    </w:rPr>
  </w:style>
  <w:style w:type="character" w:customStyle="1" w:styleId="DateChar">
    <w:name w:val="Date Char"/>
    <w:link w:val="Date"/>
    <w:uiPriority w:val="99"/>
    <w:rsid w:val="00F05CCB"/>
    <w:rPr>
      <w:sz w:val="24"/>
      <w:lang w:val="en-GB" w:eastAsia="en-US"/>
    </w:rPr>
  </w:style>
  <w:style w:type="character" w:customStyle="1" w:styleId="SignatureChar">
    <w:name w:val="Signature Char"/>
    <w:link w:val="Signature"/>
    <w:uiPriority w:val="99"/>
    <w:rsid w:val="00F05CCB"/>
    <w:rPr>
      <w:sz w:val="24"/>
      <w:lang w:val="en-GB" w:eastAsia="en-US"/>
    </w:rPr>
  </w:style>
  <w:style w:type="paragraph" w:customStyle="1" w:styleId="ZCom">
    <w:name w:val="Z_Com"/>
    <w:basedOn w:val="Normal"/>
    <w:next w:val="ZDGName"/>
    <w:uiPriority w:val="99"/>
    <w:rsid w:val="00F05CCB"/>
    <w:pPr>
      <w:widowControl w:val="0"/>
      <w:autoSpaceDE w:val="0"/>
      <w:autoSpaceDN w:val="0"/>
      <w:spacing w:after="0"/>
      <w:ind w:right="85"/>
    </w:pPr>
    <w:rPr>
      <w:rFonts w:ascii="Arial" w:hAnsi="Arial" w:cs="Arial"/>
      <w:szCs w:val="24"/>
      <w:lang w:eastAsia="fr-FR"/>
    </w:rPr>
  </w:style>
  <w:style w:type="paragraph" w:customStyle="1" w:styleId="ZDGName">
    <w:name w:val="Z_DGName"/>
    <w:basedOn w:val="Normal"/>
    <w:uiPriority w:val="99"/>
    <w:rsid w:val="00F05CCB"/>
    <w:pPr>
      <w:widowControl w:val="0"/>
      <w:autoSpaceDE w:val="0"/>
      <w:autoSpaceDN w:val="0"/>
      <w:spacing w:after="0"/>
      <w:ind w:right="85"/>
      <w:jc w:val="left"/>
    </w:pPr>
    <w:rPr>
      <w:rFonts w:ascii="Arial" w:hAnsi="Arial" w:cs="Arial"/>
      <w:sz w:val="16"/>
      <w:szCs w:val="16"/>
      <w:lang w:eastAsia="fr-FR"/>
    </w:rPr>
  </w:style>
  <w:style w:type="character" w:customStyle="1" w:styleId="HeaderChar">
    <w:name w:val="Header Char"/>
    <w:link w:val="Header"/>
    <w:uiPriority w:val="99"/>
    <w:rsid w:val="00F05CCB"/>
    <w:rPr>
      <w:sz w:val="24"/>
      <w:lang w:val="en-GB" w:eastAsia="en-US"/>
    </w:rPr>
  </w:style>
  <w:style w:type="character" w:styleId="Hyperlink">
    <w:name w:val="Hyperlink"/>
    <w:uiPriority w:val="99"/>
    <w:unhideWhenUsed/>
    <w:rsid w:val="00F05CCB"/>
    <w:rPr>
      <w:color w:val="0000FF"/>
      <w:u w:val="single"/>
    </w:rPr>
  </w:style>
  <w:style w:type="paragraph" w:styleId="BalloonText">
    <w:name w:val="Balloon Text"/>
    <w:basedOn w:val="Normal"/>
    <w:link w:val="BalloonTextChar"/>
    <w:uiPriority w:val="99"/>
    <w:semiHidden/>
    <w:unhideWhenUsed/>
    <w:rsid w:val="00A536AA"/>
    <w:pPr>
      <w:spacing w:after="0"/>
    </w:pPr>
    <w:rPr>
      <w:rFonts w:ascii="Tahoma" w:hAnsi="Tahoma"/>
      <w:sz w:val="16"/>
      <w:szCs w:val="16"/>
      <w:lang w:val="x-none"/>
    </w:rPr>
  </w:style>
  <w:style w:type="character" w:customStyle="1" w:styleId="BalloonTextChar">
    <w:name w:val="Balloon Text Char"/>
    <w:link w:val="BalloonText"/>
    <w:uiPriority w:val="99"/>
    <w:semiHidden/>
    <w:rsid w:val="00A536AA"/>
    <w:rPr>
      <w:rFonts w:ascii="Tahoma" w:hAnsi="Tahoma" w:cs="Tahoma"/>
      <w:sz w:val="16"/>
      <w:szCs w:val="16"/>
      <w:lang w:eastAsia="en-US"/>
    </w:rPr>
  </w:style>
  <w:style w:type="character" w:styleId="CommentReference">
    <w:name w:val="annotation reference"/>
    <w:uiPriority w:val="99"/>
    <w:semiHidden/>
    <w:unhideWhenUsed/>
    <w:rsid w:val="008D6D6F"/>
    <w:rPr>
      <w:sz w:val="16"/>
      <w:szCs w:val="16"/>
    </w:rPr>
  </w:style>
  <w:style w:type="paragraph" w:styleId="CommentSubject">
    <w:name w:val="annotation subject"/>
    <w:basedOn w:val="CommentText"/>
    <w:next w:val="CommentText"/>
    <w:link w:val="CommentSubjectChar"/>
    <w:uiPriority w:val="99"/>
    <w:semiHidden/>
    <w:unhideWhenUsed/>
    <w:rsid w:val="008D6D6F"/>
    <w:rPr>
      <w:b/>
      <w:bCs/>
    </w:rPr>
  </w:style>
  <w:style w:type="character" w:customStyle="1" w:styleId="CommentTextChar">
    <w:name w:val="Comment Text Char"/>
    <w:link w:val="CommentText"/>
    <w:uiPriority w:val="99"/>
    <w:semiHidden/>
    <w:rsid w:val="008D6D6F"/>
    <w:rPr>
      <w:lang w:eastAsia="en-US"/>
    </w:rPr>
  </w:style>
  <w:style w:type="character" w:customStyle="1" w:styleId="CommentSubjectChar">
    <w:name w:val="Comment Subject Char"/>
    <w:link w:val="CommentSubject"/>
    <w:uiPriority w:val="99"/>
    <w:semiHidden/>
    <w:rsid w:val="008D6D6F"/>
    <w:rPr>
      <w:b/>
      <w:bCs/>
      <w:lang w:eastAsia="en-US"/>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
    <w:link w:val="Odwo0142anieprzypisu"/>
    <w:uiPriority w:val="99"/>
    <w:qFormat/>
    <w:rsid w:val="000F40A6"/>
    <w:rPr>
      <w:vertAlign w:val="superscript"/>
    </w:rPr>
  </w:style>
  <w:style w:type="paragraph" w:customStyle="1" w:styleId="Normal12Hanging">
    <w:name w:val="Normal12Hanging"/>
    <w:basedOn w:val="Normal"/>
    <w:rsid w:val="0005403B"/>
    <w:pPr>
      <w:widowControl w:val="0"/>
      <w:ind w:left="567" w:hanging="567"/>
      <w:jc w:val="left"/>
    </w:pPr>
    <w:rPr>
      <w:lang w:eastAsia="en-GB"/>
    </w:rPr>
  </w:style>
  <w:style w:type="paragraph" w:customStyle="1" w:styleId="NormalWeb10">
    <w:name w:val="Normal (Web)10"/>
    <w:basedOn w:val="Normal"/>
    <w:rsid w:val="00027BF5"/>
    <w:pPr>
      <w:spacing w:before="100" w:beforeAutospacing="1" w:after="100" w:afterAutospacing="1"/>
      <w:jc w:val="left"/>
    </w:pPr>
    <w:rPr>
      <w:szCs w:val="24"/>
      <w:lang w:val="fr-FR" w:eastAsia="fr-FR"/>
    </w:rPr>
  </w:style>
  <w:style w:type="character" w:styleId="Strong">
    <w:name w:val="Strong"/>
    <w:qFormat/>
    <w:rsid w:val="00027BF5"/>
    <w:rPr>
      <w:b/>
      <w:bCs/>
    </w:rPr>
  </w:style>
  <w:style w:type="paragraph" w:customStyle="1" w:styleId="Briefinglist1">
    <w:name w:val="Briefing list 1"/>
    <w:basedOn w:val="Normal"/>
    <w:rsid w:val="003E638A"/>
    <w:pPr>
      <w:numPr>
        <w:numId w:val="19"/>
      </w:numPr>
      <w:spacing w:after="120"/>
    </w:pPr>
    <w:rPr>
      <w:rFonts w:ascii="Arial" w:hAnsi="Arial" w:cs="Arial"/>
      <w:sz w:val="22"/>
      <w:szCs w:val="22"/>
      <w:lang w:val="fr-FR"/>
    </w:rPr>
  </w:style>
  <w:style w:type="character" w:customStyle="1" w:styleId="FootnoteTextChar">
    <w:name w:val="Footnote Text Char"/>
    <w:uiPriority w:val="99"/>
    <w:rsid w:val="004754B9"/>
    <w:rPr>
      <w:lang w:eastAsia="en-US"/>
    </w:rPr>
  </w:style>
  <w:style w:type="paragraph" w:customStyle="1" w:styleId="ColorfulShading-Accent11">
    <w:name w:val="Colorful Shading - Accent 11"/>
    <w:hidden/>
    <w:uiPriority w:val="99"/>
    <w:semiHidden/>
    <w:rsid w:val="008C4B92"/>
    <w:rPr>
      <w:sz w:val="24"/>
      <w:lang w:eastAsia="en-US"/>
    </w:rPr>
  </w:style>
  <w:style w:type="character" w:customStyle="1" w:styleId="Heading1Char">
    <w:name w:val="Heading 1 Char"/>
    <w:link w:val="Heading1"/>
    <w:rsid w:val="00A050A7"/>
    <w:rPr>
      <w:b/>
      <w:smallCaps/>
      <w:sz w:val="24"/>
      <w:lang w:val="x-none" w:eastAsia="en-US"/>
    </w:rPr>
  </w:style>
  <w:style w:type="paragraph" w:customStyle="1" w:styleId="ColorfulList-Accent11">
    <w:name w:val="Colorful List - Accent 11"/>
    <w:basedOn w:val="Normal"/>
    <w:uiPriority w:val="72"/>
    <w:qFormat/>
    <w:rsid w:val="007F1D3C"/>
    <w:pPr>
      <w:spacing w:after="200" w:line="276" w:lineRule="auto"/>
      <w:ind w:left="720"/>
      <w:contextualSpacing/>
      <w:jc w:val="left"/>
    </w:pPr>
    <w:rPr>
      <w:rFonts w:ascii="Calibri" w:eastAsia="Calibri" w:hAnsi="Calibri"/>
      <w:sz w:val="22"/>
      <w:szCs w:val="22"/>
    </w:rPr>
  </w:style>
  <w:style w:type="character" w:customStyle="1" w:styleId="EndnoteTextChar">
    <w:name w:val="Endnote Text Char"/>
    <w:link w:val="EndnoteText"/>
    <w:uiPriority w:val="99"/>
    <w:semiHidden/>
    <w:rsid w:val="00CD2FBB"/>
    <w:rPr>
      <w:lang w:eastAsia="en-US"/>
    </w:rPr>
  </w:style>
  <w:style w:type="character" w:styleId="EndnoteReference">
    <w:name w:val="endnote reference"/>
    <w:uiPriority w:val="99"/>
    <w:semiHidden/>
    <w:unhideWhenUsed/>
    <w:rsid w:val="00CD2FBB"/>
    <w:rPr>
      <w:vertAlign w:val="superscript"/>
    </w:rPr>
  </w:style>
  <w:style w:type="table" w:styleId="TableGrid">
    <w:name w:val="Table Grid"/>
    <w:basedOn w:val="TableNormal"/>
    <w:uiPriority w:val="59"/>
    <w:rsid w:val="00794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23C5"/>
    <w:rPr>
      <w:sz w:val="24"/>
      <w:lang w:eastAsia="en-US"/>
    </w:rPr>
  </w:style>
  <w:style w:type="paragraph" w:styleId="ListParagraph">
    <w:name w:val="List Paragraph"/>
    <w:basedOn w:val="Normal"/>
    <w:uiPriority w:val="34"/>
    <w:qFormat/>
    <w:rsid w:val="001B3DCD"/>
    <w:pPr>
      <w:spacing w:after="0"/>
      <w:ind w:left="720"/>
      <w:contextualSpacing/>
      <w:jc w:val="left"/>
    </w:pPr>
    <w:rPr>
      <w:rFonts w:eastAsia="Calibri"/>
      <w:szCs w:val="22"/>
    </w:rPr>
  </w:style>
  <w:style w:type="character" w:customStyle="1" w:styleId="Marker">
    <w:name w:val="Marker"/>
    <w:rsid w:val="0026155E"/>
    <w:rPr>
      <w:color w:val="0000FF"/>
      <w:shd w:val="clear" w:color="auto" w:fill="auto"/>
    </w:rPr>
  </w:style>
  <w:style w:type="paragraph" w:customStyle="1" w:styleId="Pagedecouverture">
    <w:name w:val="Page de couverture"/>
    <w:basedOn w:val="Normal"/>
    <w:next w:val="Normal"/>
    <w:rsid w:val="0026155E"/>
    <w:pPr>
      <w:spacing w:after="0"/>
    </w:pPr>
    <w:rPr>
      <w:rFonts w:eastAsia="Calibri"/>
      <w:szCs w:val="22"/>
    </w:rPr>
  </w:style>
  <w:style w:type="paragraph" w:customStyle="1" w:styleId="FooterCoverPage">
    <w:name w:val="Footer Cover Page"/>
    <w:basedOn w:val="Normal"/>
    <w:link w:val="FooterCoverPageChar"/>
    <w:rsid w:val="0026155E"/>
    <w:pPr>
      <w:tabs>
        <w:tab w:val="center" w:pos="4535"/>
        <w:tab w:val="right" w:pos="9071"/>
        <w:tab w:val="right" w:pos="9921"/>
      </w:tabs>
      <w:spacing w:before="360" w:after="0"/>
      <w:ind w:left="-850" w:right="-850"/>
      <w:jc w:val="left"/>
    </w:pPr>
    <w:rPr>
      <w:szCs w:val="24"/>
    </w:rPr>
  </w:style>
  <w:style w:type="character" w:customStyle="1" w:styleId="Heading2Char">
    <w:name w:val="Heading 2 Char"/>
    <w:link w:val="Heading2"/>
    <w:rsid w:val="0026155E"/>
    <w:rPr>
      <w:b/>
      <w:sz w:val="24"/>
      <w:lang w:val="x-none" w:eastAsia="en-US"/>
    </w:rPr>
  </w:style>
  <w:style w:type="character" w:customStyle="1" w:styleId="FooterCoverPageChar">
    <w:name w:val="Footer Cover Page Char"/>
    <w:link w:val="FooterCoverPage"/>
    <w:rsid w:val="0026155E"/>
    <w:rPr>
      <w:sz w:val="24"/>
      <w:szCs w:val="24"/>
      <w:lang w:eastAsia="en-US"/>
    </w:rPr>
  </w:style>
  <w:style w:type="paragraph" w:customStyle="1" w:styleId="HeaderCoverPage">
    <w:name w:val="Header Cover Page"/>
    <w:basedOn w:val="Normal"/>
    <w:link w:val="HeaderCoverPageChar"/>
    <w:rsid w:val="0026155E"/>
    <w:pPr>
      <w:tabs>
        <w:tab w:val="center" w:pos="4535"/>
        <w:tab w:val="right" w:pos="9071"/>
      </w:tabs>
      <w:spacing w:after="120"/>
    </w:pPr>
    <w:rPr>
      <w:szCs w:val="24"/>
    </w:rPr>
  </w:style>
  <w:style w:type="character" w:customStyle="1" w:styleId="HeaderCoverPageChar">
    <w:name w:val="Header Cover Page Char"/>
    <w:link w:val="HeaderCoverPage"/>
    <w:rsid w:val="0026155E"/>
    <w:rPr>
      <w:sz w:val="24"/>
      <w:szCs w:val="24"/>
      <w:lang w:eastAsia="en-US"/>
    </w:rPr>
  </w:style>
  <w:style w:type="paragraph" w:customStyle="1" w:styleId="Default">
    <w:name w:val="Default"/>
    <w:rsid w:val="00C41BB9"/>
    <w:pPr>
      <w:autoSpaceDE w:val="0"/>
      <w:autoSpaceDN w:val="0"/>
      <w:adjustRightInd w:val="0"/>
    </w:pPr>
    <w:rPr>
      <w:rFonts w:eastAsia="Calibri"/>
      <w:color w:val="000000"/>
      <w:sz w:val="24"/>
      <w:szCs w:val="24"/>
      <w:lang w:eastAsia="en-US"/>
    </w:rPr>
  </w:style>
  <w:style w:type="character" w:customStyle="1" w:styleId="s14">
    <w:name w:val="s14"/>
    <w:basedOn w:val="DefaultParagraphFont"/>
    <w:rsid w:val="002F210E"/>
  </w:style>
  <w:style w:type="character" w:customStyle="1" w:styleId="s15">
    <w:name w:val="s15"/>
    <w:basedOn w:val="DefaultParagraphFont"/>
    <w:rsid w:val="002F210E"/>
  </w:style>
  <w:style w:type="paragraph" w:customStyle="1" w:styleId="Odwo0142anieprzypisu">
    <w:name w:val="Odwo&lt;0142&gt;anie przypisu"/>
    <w:aliases w:val="SUPER,BVI fnr Char1 Char,fr"/>
    <w:basedOn w:val="Normal"/>
    <w:link w:val="FootnoteReference"/>
    <w:uiPriority w:val="99"/>
    <w:rsid w:val="00C53A51"/>
    <w:pPr>
      <w:spacing w:before="120" w:after="160" w:line="240" w:lineRule="exact"/>
    </w:pPr>
    <w:rPr>
      <w:sz w:val="20"/>
      <w:vertAlign w:val="superscript"/>
      <w:lang w:eastAsia="en-GB"/>
    </w:rPr>
  </w:style>
  <w:style w:type="character" w:customStyle="1" w:styleId="5NormalChar">
    <w:name w:val="5 Normal Char"/>
    <w:link w:val="5Normal"/>
    <w:locked/>
    <w:rsid w:val="009D4C5A"/>
    <w:rPr>
      <w:rFonts w:ascii="Verdana" w:hAnsi="Verdana"/>
      <w:spacing w:val="-2"/>
      <w:szCs w:val="24"/>
    </w:rPr>
  </w:style>
  <w:style w:type="paragraph" w:customStyle="1" w:styleId="5Normal">
    <w:name w:val="5 Normal"/>
    <w:basedOn w:val="Normal"/>
    <w:link w:val="5NormalChar"/>
    <w:rsid w:val="009D4C5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sz w:val="20"/>
      <w:szCs w:val="24"/>
      <w:lang w:eastAsia="en-GB"/>
    </w:rPr>
  </w:style>
  <w:style w:type="paragraph" w:customStyle="1" w:styleId="Tiret1">
    <w:name w:val="Tiret 1"/>
    <w:basedOn w:val="5Normal"/>
    <w:next w:val="5Normal"/>
    <w:rsid w:val="009D4C5A"/>
    <w:pPr>
      <w:numPr>
        <w:numId w:val="35"/>
      </w:numPr>
      <w:tabs>
        <w:tab w:val="clear" w:pos="720"/>
        <w:tab w:val="num" w:pos="360"/>
        <w:tab w:val="num" w:pos="1492"/>
      </w:tabs>
      <w:spacing w:after="40"/>
      <w:ind w:left="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endnote text" w:uiPriority="99"/>
    <w:lsdException w:name="Title" w:semiHidden="0" w:unhideWhenUsed="0" w:qFormat="1"/>
    <w:lsdException w:name="Signature" w:uiPriority="99"/>
    <w:lsdException w:name="Subtitle" w:semiHidden="0" w:unhideWhenUsed="0" w:qFormat="1"/>
    <w:lsdException w:name="Date" w:uiPriority="99"/>
    <w:lsdException w:name="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573"/>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lang w:val="x-none"/>
    </w:rPr>
  </w:style>
  <w:style w:type="paragraph" w:styleId="Heading2">
    <w:name w:val="heading 2"/>
    <w:basedOn w:val="Normal"/>
    <w:next w:val="Text2"/>
    <w:link w:val="Heading2Char"/>
    <w:qFormat/>
    <w:pPr>
      <w:keepNext/>
      <w:numPr>
        <w:ilvl w:val="1"/>
        <w:numId w:val="3"/>
      </w:numPr>
      <w:outlineLvl w:val="1"/>
    </w:pPr>
    <w:rPr>
      <w:b/>
      <w:lang w:val="x-none"/>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lang w:val="x-none"/>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uiPriority w:val="99"/>
    <w:semiHidden/>
    <w:rPr>
      <w:sz w:val="20"/>
      <w:lang w:val="x-none"/>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En-ttedetabledesmatires1">
    <w:name w:val="En-tête de table des matières1"/>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F05CCB"/>
    <w:rPr>
      <w:rFonts w:ascii="Arial" w:hAnsi="Arial"/>
      <w:sz w:val="16"/>
      <w:lang w:val="en-GB" w:eastAsia="en-US"/>
    </w:rPr>
  </w:style>
  <w:style w:type="character" w:customStyle="1" w:styleId="DateChar">
    <w:name w:val="Date Char"/>
    <w:link w:val="Date"/>
    <w:uiPriority w:val="99"/>
    <w:rsid w:val="00F05CCB"/>
    <w:rPr>
      <w:sz w:val="24"/>
      <w:lang w:val="en-GB" w:eastAsia="en-US"/>
    </w:rPr>
  </w:style>
  <w:style w:type="character" w:customStyle="1" w:styleId="SignatureChar">
    <w:name w:val="Signature Char"/>
    <w:link w:val="Signature"/>
    <w:uiPriority w:val="99"/>
    <w:rsid w:val="00F05CCB"/>
    <w:rPr>
      <w:sz w:val="24"/>
      <w:lang w:val="en-GB" w:eastAsia="en-US"/>
    </w:rPr>
  </w:style>
  <w:style w:type="paragraph" w:customStyle="1" w:styleId="ZCom">
    <w:name w:val="Z_Com"/>
    <w:basedOn w:val="Normal"/>
    <w:next w:val="ZDGName"/>
    <w:uiPriority w:val="99"/>
    <w:rsid w:val="00F05CCB"/>
    <w:pPr>
      <w:widowControl w:val="0"/>
      <w:autoSpaceDE w:val="0"/>
      <w:autoSpaceDN w:val="0"/>
      <w:spacing w:after="0"/>
      <w:ind w:right="85"/>
    </w:pPr>
    <w:rPr>
      <w:rFonts w:ascii="Arial" w:hAnsi="Arial" w:cs="Arial"/>
      <w:szCs w:val="24"/>
      <w:lang w:eastAsia="fr-FR"/>
    </w:rPr>
  </w:style>
  <w:style w:type="paragraph" w:customStyle="1" w:styleId="ZDGName">
    <w:name w:val="Z_DGName"/>
    <w:basedOn w:val="Normal"/>
    <w:uiPriority w:val="99"/>
    <w:rsid w:val="00F05CCB"/>
    <w:pPr>
      <w:widowControl w:val="0"/>
      <w:autoSpaceDE w:val="0"/>
      <w:autoSpaceDN w:val="0"/>
      <w:spacing w:after="0"/>
      <w:ind w:right="85"/>
      <w:jc w:val="left"/>
    </w:pPr>
    <w:rPr>
      <w:rFonts w:ascii="Arial" w:hAnsi="Arial" w:cs="Arial"/>
      <w:sz w:val="16"/>
      <w:szCs w:val="16"/>
      <w:lang w:eastAsia="fr-FR"/>
    </w:rPr>
  </w:style>
  <w:style w:type="character" w:customStyle="1" w:styleId="HeaderChar">
    <w:name w:val="Header Char"/>
    <w:link w:val="Header"/>
    <w:uiPriority w:val="99"/>
    <w:rsid w:val="00F05CCB"/>
    <w:rPr>
      <w:sz w:val="24"/>
      <w:lang w:val="en-GB" w:eastAsia="en-US"/>
    </w:rPr>
  </w:style>
  <w:style w:type="character" w:styleId="Hyperlink">
    <w:name w:val="Hyperlink"/>
    <w:uiPriority w:val="99"/>
    <w:unhideWhenUsed/>
    <w:rsid w:val="00F05CCB"/>
    <w:rPr>
      <w:color w:val="0000FF"/>
      <w:u w:val="single"/>
    </w:rPr>
  </w:style>
  <w:style w:type="paragraph" w:styleId="BalloonText">
    <w:name w:val="Balloon Text"/>
    <w:basedOn w:val="Normal"/>
    <w:link w:val="BalloonTextChar"/>
    <w:uiPriority w:val="99"/>
    <w:semiHidden/>
    <w:unhideWhenUsed/>
    <w:rsid w:val="00A536AA"/>
    <w:pPr>
      <w:spacing w:after="0"/>
    </w:pPr>
    <w:rPr>
      <w:rFonts w:ascii="Tahoma" w:hAnsi="Tahoma"/>
      <w:sz w:val="16"/>
      <w:szCs w:val="16"/>
      <w:lang w:val="x-none"/>
    </w:rPr>
  </w:style>
  <w:style w:type="character" w:customStyle="1" w:styleId="BalloonTextChar">
    <w:name w:val="Balloon Text Char"/>
    <w:link w:val="BalloonText"/>
    <w:uiPriority w:val="99"/>
    <w:semiHidden/>
    <w:rsid w:val="00A536AA"/>
    <w:rPr>
      <w:rFonts w:ascii="Tahoma" w:hAnsi="Tahoma" w:cs="Tahoma"/>
      <w:sz w:val="16"/>
      <w:szCs w:val="16"/>
      <w:lang w:eastAsia="en-US"/>
    </w:rPr>
  </w:style>
  <w:style w:type="character" w:styleId="CommentReference">
    <w:name w:val="annotation reference"/>
    <w:uiPriority w:val="99"/>
    <w:semiHidden/>
    <w:unhideWhenUsed/>
    <w:rsid w:val="008D6D6F"/>
    <w:rPr>
      <w:sz w:val="16"/>
      <w:szCs w:val="16"/>
    </w:rPr>
  </w:style>
  <w:style w:type="paragraph" w:styleId="CommentSubject">
    <w:name w:val="annotation subject"/>
    <w:basedOn w:val="CommentText"/>
    <w:next w:val="CommentText"/>
    <w:link w:val="CommentSubjectChar"/>
    <w:uiPriority w:val="99"/>
    <w:semiHidden/>
    <w:unhideWhenUsed/>
    <w:rsid w:val="008D6D6F"/>
    <w:rPr>
      <w:b/>
      <w:bCs/>
    </w:rPr>
  </w:style>
  <w:style w:type="character" w:customStyle="1" w:styleId="CommentTextChar">
    <w:name w:val="Comment Text Char"/>
    <w:link w:val="CommentText"/>
    <w:uiPriority w:val="99"/>
    <w:semiHidden/>
    <w:rsid w:val="008D6D6F"/>
    <w:rPr>
      <w:lang w:eastAsia="en-US"/>
    </w:rPr>
  </w:style>
  <w:style w:type="character" w:customStyle="1" w:styleId="CommentSubjectChar">
    <w:name w:val="Comment Subject Char"/>
    <w:link w:val="CommentSubject"/>
    <w:uiPriority w:val="99"/>
    <w:semiHidden/>
    <w:rsid w:val="008D6D6F"/>
    <w:rPr>
      <w:b/>
      <w:bCs/>
      <w:lang w:eastAsia="en-US"/>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
    <w:link w:val="Odwo0142anieprzypisu"/>
    <w:uiPriority w:val="99"/>
    <w:qFormat/>
    <w:rsid w:val="000F40A6"/>
    <w:rPr>
      <w:vertAlign w:val="superscript"/>
    </w:rPr>
  </w:style>
  <w:style w:type="paragraph" w:customStyle="1" w:styleId="Normal12Hanging">
    <w:name w:val="Normal12Hanging"/>
    <w:basedOn w:val="Normal"/>
    <w:rsid w:val="0005403B"/>
    <w:pPr>
      <w:widowControl w:val="0"/>
      <w:ind w:left="567" w:hanging="567"/>
      <w:jc w:val="left"/>
    </w:pPr>
    <w:rPr>
      <w:lang w:eastAsia="en-GB"/>
    </w:rPr>
  </w:style>
  <w:style w:type="paragraph" w:customStyle="1" w:styleId="NormalWeb10">
    <w:name w:val="Normal (Web)10"/>
    <w:basedOn w:val="Normal"/>
    <w:rsid w:val="00027BF5"/>
    <w:pPr>
      <w:spacing w:before="100" w:beforeAutospacing="1" w:after="100" w:afterAutospacing="1"/>
      <w:jc w:val="left"/>
    </w:pPr>
    <w:rPr>
      <w:szCs w:val="24"/>
      <w:lang w:val="fr-FR" w:eastAsia="fr-FR"/>
    </w:rPr>
  </w:style>
  <w:style w:type="character" w:styleId="Strong">
    <w:name w:val="Strong"/>
    <w:qFormat/>
    <w:rsid w:val="00027BF5"/>
    <w:rPr>
      <w:b/>
      <w:bCs/>
    </w:rPr>
  </w:style>
  <w:style w:type="paragraph" w:customStyle="1" w:styleId="Briefinglist1">
    <w:name w:val="Briefing list 1"/>
    <w:basedOn w:val="Normal"/>
    <w:rsid w:val="003E638A"/>
    <w:pPr>
      <w:numPr>
        <w:numId w:val="19"/>
      </w:numPr>
      <w:spacing w:after="120"/>
    </w:pPr>
    <w:rPr>
      <w:rFonts w:ascii="Arial" w:hAnsi="Arial" w:cs="Arial"/>
      <w:sz w:val="22"/>
      <w:szCs w:val="22"/>
      <w:lang w:val="fr-FR"/>
    </w:rPr>
  </w:style>
  <w:style w:type="character" w:customStyle="1" w:styleId="FootnoteTextChar">
    <w:name w:val="Footnote Text Char"/>
    <w:uiPriority w:val="99"/>
    <w:rsid w:val="004754B9"/>
    <w:rPr>
      <w:lang w:eastAsia="en-US"/>
    </w:rPr>
  </w:style>
  <w:style w:type="paragraph" w:customStyle="1" w:styleId="ColorfulShading-Accent11">
    <w:name w:val="Colorful Shading - Accent 11"/>
    <w:hidden/>
    <w:uiPriority w:val="99"/>
    <w:semiHidden/>
    <w:rsid w:val="008C4B92"/>
    <w:rPr>
      <w:sz w:val="24"/>
      <w:lang w:eastAsia="en-US"/>
    </w:rPr>
  </w:style>
  <w:style w:type="character" w:customStyle="1" w:styleId="Heading1Char">
    <w:name w:val="Heading 1 Char"/>
    <w:link w:val="Heading1"/>
    <w:rsid w:val="00A050A7"/>
    <w:rPr>
      <w:b/>
      <w:smallCaps/>
      <w:sz w:val="24"/>
      <w:lang w:val="x-none" w:eastAsia="en-US"/>
    </w:rPr>
  </w:style>
  <w:style w:type="paragraph" w:customStyle="1" w:styleId="ColorfulList-Accent11">
    <w:name w:val="Colorful List - Accent 11"/>
    <w:basedOn w:val="Normal"/>
    <w:uiPriority w:val="72"/>
    <w:qFormat/>
    <w:rsid w:val="007F1D3C"/>
    <w:pPr>
      <w:spacing w:after="200" w:line="276" w:lineRule="auto"/>
      <w:ind w:left="720"/>
      <w:contextualSpacing/>
      <w:jc w:val="left"/>
    </w:pPr>
    <w:rPr>
      <w:rFonts w:ascii="Calibri" w:eastAsia="Calibri" w:hAnsi="Calibri"/>
      <w:sz w:val="22"/>
      <w:szCs w:val="22"/>
    </w:rPr>
  </w:style>
  <w:style w:type="character" w:customStyle="1" w:styleId="EndnoteTextChar">
    <w:name w:val="Endnote Text Char"/>
    <w:link w:val="EndnoteText"/>
    <w:uiPriority w:val="99"/>
    <w:semiHidden/>
    <w:rsid w:val="00CD2FBB"/>
    <w:rPr>
      <w:lang w:eastAsia="en-US"/>
    </w:rPr>
  </w:style>
  <w:style w:type="character" w:styleId="EndnoteReference">
    <w:name w:val="endnote reference"/>
    <w:uiPriority w:val="99"/>
    <w:semiHidden/>
    <w:unhideWhenUsed/>
    <w:rsid w:val="00CD2FBB"/>
    <w:rPr>
      <w:vertAlign w:val="superscript"/>
    </w:rPr>
  </w:style>
  <w:style w:type="table" w:styleId="TableGrid">
    <w:name w:val="Table Grid"/>
    <w:basedOn w:val="TableNormal"/>
    <w:uiPriority w:val="59"/>
    <w:rsid w:val="00794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23C5"/>
    <w:rPr>
      <w:sz w:val="24"/>
      <w:lang w:eastAsia="en-US"/>
    </w:rPr>
  </w:style>
  <w:style w:type="paragraph" w:styleId="ListParagraph">
    <w:name w:val="List Paragraph"/>
    <w:basedOn w:val="Normal"/>
    <w:uiPriority w:val="34"/>
    <w:qFormat/>
    <w:rsid w:val="001B3DCD"/>
    <w:pPr>
      <w:spacing w:after="0"/>
      <w:ind w:left="720"/>
      <w:contextualSpacing/>
      <w:jc w:val="left"/>
    </w:pPr>
    <w:rPr>
      <w:rFonts w:eastAsia="Calibri"/>
      <w:szCs w:val="22"/>
    </w:rPr>
  </w:style>
  <w:style w:type="character" w:customStyle="1" w:styleId="Marker">
    <w:name w:val="Marker"/>
    <w:rsid w:val="0026155E"/>
    <w:rPr>
      <w:color w:val="0000FF"/>
      <w:shd w:val="clear" w:color="auto" w:fill="auto"/>
    </w:rPr>
  </w:style>
  <w:style w:type="paragraph" w:customStyle="1" w:styleId="Pagedecouverture">
    <w:name w:val="Page de couverture"/>
    <w:basedOn w:val="Normal"/>
    <w:next w:val="Normal"/>
    <w:rsid w:val="0026155E"/>
    <w:pPr>
      <w:spacing w:after="0"/>
    </w:pPr>
    <w:rPr>
      <w:rFonts w:eastAsia="Calibri"/>
      <w:szCs w:val="22"/>
    </w:rPr>
  </w:style>
  <w:style w:type="paragraph" w:customStyle="1" w:styleId="FooterCoverPage">
    <w:name w:val="Footer Cover Page"/>
    <w:basedOn w:val="Normal"/>
    <w:link w:val="FooterCoverPageChar"/>
    <w:rsid w:val="0026155E"/>
    <w:pPr>
      <w:tabs>
        <w:tab w:val="center" w:pos="4535"/>
        <w:tab w:val="right" w:pos="9071"/>
        <w:tab w:val="right" w:pos="9921"/>
      </w:tabs>
      <w:spacing w:before="360" w:after="0"/>
      <w:ind w:left="-850" w:right="-850"/>
      <w:jc w:val="left"/>
    </w:pPr>
    <w:rPr>
      <w:szCs w:val="24"/>
    </w:rPr>
  </w:style>
  <w:style w:type="character" w:customStyle="1" w:styleId="Heading2Char">
    <w:name w:val="Heading 2 Char"/>
    <w:link w:val="Heading2"/>
    <w:rsid w:val="0026155E"/>
    <w:rPr>
      <w:b/>
      <w:sz w:val="24"/>
      <w:lang w:val="x-none" w:eastAsia="en-US"/>
    </w:rPr>
  </w:style>
  <w:style w:type="character" w:customStyle="1" w:styleId="FooterCoverPageChar">
    <w:name w:val="Footer Cover Page Char"/>
    <w:link w:val="FooterCoverPage"/>
    <w:rsid w:val="0026155E"/>
    <w:rPr>
      <w:sz w:val="24"/>
      <w:szCs w:val="24"/>
      <w:lang w:eastAsia="en-US"/>
    </w:rPr>
  </w:style>
  <w:style w:type="paragraph" w:customStyle="1" w:styleId="HeaderCoverPage">
    <w:name w:val="Header Cover Page"/>
    <w:basedOn w:val="Normal"/>
    <w:link w:val="HeaderCoverPageChar"/>
    <w:rsid w:val="0026155E"/>
    <w:pPr>
      <w:tabs>
        <w:tab w:val="center" w:pos="4535"/>
        <w:tab w:val="right" w:pos="9071"/>
      </w:tabs>
      <w:spacing w:after="120"/>
    </w:pPr>
    <w:rPr>
      <w:szCs w:val="24"/>
    </w:rPr>
  </w:style>
  <w:style w:type="character" w:customStyle="1" w:styleId="HeaderCoverPageChar">
    <w:name w:val="Header Cover Page Char"/>
    <w:link w:val="HeaderCoverPage"/>
    <w:rsid w:val="0026155E"/>
    <w:rPr>
      <w:sz w:val="24"/>
      <w:szCs w:val="24"/>
      <w:lang w:eastAsia="en-US"/>
    </w:rPr>
  </w:style>
  <w:style w:type="paragraph" w:customStyle="1" w:styleId="Default">
    <w:name w:val="Default"/>
    <w:rsid w:val="00C41BB9"/>
    <w:pPr>
      <w:autoSpaceDE w:val="0"/>
      <w:autoSpaceDN w:val="0"/>
      <w:adjustRightInd w:val="0"/>
    </w:pPr>
    <w:rPr>
      <w:rFonts w:eastAsia="Calibri"/>
      <w:color w:val="000000"/>
      <w:sz w:val="24"/>
      <w:szCs w:val="24"/>
      <w:lang w:eastAsia="en-US"/>
    </w:rPr>
  </w:style>
  <w:style w:type="character" w:customStyle="1" w:styleId="s14">
    <w:name w:val="s14"/>
    <w:basedOn w:val="DefaultParagraphFont"/>
    <w:rsid w:val="002F210E"/>
  </w:style>
  <w:style w:type="character" w:customStyle="1" w:styleId="s15">
    <w:name w:val="s15"/>
    <w:basedOn w:val="DefaultParagraphFont"/>
    <w:rsid w:val="002F210E"/>
  </w:style>
  <w:style w:type="paragraph" w:customStyle="1" w:styleId="Odwo0142anieprzypisu">
    <w:name w:val="Odwo&lt;0142&gt;anie przypisu"/>
    <w:aliases w:val="SUPER,BVI fnr Char1 Char,fr"/>
    <w:basedOn w:val="Normal"/>
    <w:link w:val="FootnoteReference"/>
    <w:uiPriority w:val="99"/>
    <w:rsid w:val="00C53A51"/>
    <w:pPr>
      <w:spacing w:before="120" w:after="160" w:line="240" w:lineRule="exact"/>
    </w:pPr>
    <w:rPr>
      <w:sz w:val="20"/>
      <w:vertAlign w:val="superscript"/>
      <w:lang w:eastAsia="en-GB"/>
    </w:rPr>
  </w:style>
  <w:style w:type="character" w:customStyle="1" w:styleId="5NormalChar">
    <w:name w:val="5 Normal Char"/>
    <w:link w:val="5Normal"/>
    <w:locked/>
    <w:rsid w:val="009D4C5A"/>
    <w:rPr>
      <w:rFonts w:ascii="Verdana" w:hAnsi="Verdana"/>
      <w:spacing w:val="-2"/>
      <w:szCs w:val="24"/>
    </w:rPr>
  </w:style>
  <w:style w:type="paragraph" w:customStyle="1" w:styleId="5Normal">
    <w:name w:val="5 Normal"/>
    <w:basedOn w:val="Normal"/>
    <w:link w:val="5NormalChar"/>
    <w:rsid w:val="009D4C5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sz w:val="20"/>
      <w:szCs w:val="24"/>
      <w:lang w:eastAsia="en-GB"/>
    </w:rPr>
  </w:style>
  <w:style w:type="paragraph" w:customStyle="1" w:styleId="Tiret1">
    <w:name w:val="Tiret 1"/>
    <w:basedOn w:val="5Normal"/>
    <w:next w:val="5Normal"/>
    <w:rsid w:val="009D4C5A"/>
    <w:pPr>
      <w:numPr>
        <w:numId w:val="35"/>
      </w:numPr>
      <w:tabs>
        <w:tab w:val="clear" w:pos="720"/>
        <w:tab w:val="num" w:pos="360"/>
        <w:tab w:val="num" w:pos="1492"/>
      </w:tabs>
      <w:spacing w:after="4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0469">
      <w:bodyDiv w:val="1"/>
      <w:marLeft w:val="0"/>
      <w:marRight w:val="0"/>
      <w:marTop w:val="0"/>
      <w:marBottom w:val="0"/>
      <w:divBdr>
        <w:top w:val="none" w:sz="0" w:space="0" w:color="auto"/>
        <w:left w:val="none" w:sz="0" w:space="0" w:color="auto"/>
        <w:bottom w:val="none" w:sz="0" w:space="0" w:color="auto"/>
        <w:right w:val="none" w:sz="0" w:space="0" w:color="auto"/>
      </w:divBdr>
    </w:div>
    <w:div w:id="208340316">
      <w:bodyDiv w:val="1"/>
      <w:marLeft w:val="0"/>
      <w:marRight w:val="0"/>
      <w:marTop w:val="0"/>
      <w:marBottom w:val="0"/>
      <w:divBdr>
        <w:top w:val="none" w:sz="0" w:space="0" w:color="auto"/>
        <w:left w:val="none" w:sz="0" w:space="0" w:color="auto"/>
        <w:bottom w:val="none" w:sz="0" w:space="0" w:color="auto"/>
        <w:right w:val="none" w:sz="0" w:space="0" w:color="auto"/>
      </w:divBdr>
    </w:div>
    <w:div w:id="230776591">
      <w:bodyDiv w:val="1"/>
      <w:marLeft w:val="0"/>
      <w:marRight w:val="0"/>
      <w:marTop w:val="0"/>
      <w:marBottom w:val="0"/>
      <w:divBdr>
        <w:top w:val="none" w:sz="0" w:space="0" w:color="auto"/>
        <w:left w:val="none" w:sz="0" w:space="0" w:color="auto"/>
        <w:bottom w:val="none" w:sz="0" w:space="0" w:color="auto"/>
        <w:right w:val="none" w:sz="0" w:space="0" w:color="auto"/>
      </w:divBdr>
    </w:div>
    <w:div w:id="260340966">
      <w:bodyDiv w:val="1"/>
      <w:marLeft w:val="0"/>
      <w:marRight w:val="0"/>
      <w:marTop w:val="0"/>
      <w:marBottom w:val="0"/>
      <w:divBdr>
        <w:top w:val="none" w:sz="0" w:space="0" w:color="auto"/>
        <w:left w:val="none" w:sz="0" w:space="0" w:color="auto"/>
        <w:bottom w:val="none" w:sz="0" w:space="0" w:color="auto"/>
        <w:right w:val="none" w:sz="0" w:space="0" w:color="auto"/>
      </w:divBdr>
    </w:div>
    <w:div w:id="363598087">
      <w:bodyDiv w:val="1"/>
      <w:marLeft w:val="0"/>
      <w:marRight w:val="0"/>
      <w:marTop w:val="0"/>
      <w:marBottom w:val="0"/>
      <w:divBdr>
        <w:top w:val="none" w:sz="0" w:space="0" w:color="auto"/>
        <w:left w:val="none" w:sz="0" w:space="0" w:color="auto"/>
        <w:bottom w:val="none" w:sz="0" w:space="0" w:color="auto"/>
        <w:right w:val="none" w:sz="0" w:space="0" w:color="auto"/>
      </w:divBdr>
    </w:div>
    <w:div w:id="415202468">
      <w:bodyDiv w:val="1"/>
      <w:marLeft w:val="0"/>
      <w:marRight w:val="0"/>
      <w:marTop w:val="0"/>
      <w:marBottom w:val="0"/>
      <w:divBdr>
        <w:top w:val="none" w:sz="0" w:space="0" w:color="auto"/>
        <w:left w:val="none" w:sz="0" w:space="0" w:color="auto"/>
        <w:bottom w:val="none" w:sz="0" w:space="0" w:color="auto"/>
        <w:right w:val="none" w:sz="0" w:space="0" w:color="auto"/>
      </w:divBdr>
    </w:div>
    <w:div w:id="438450384">
      <w:bodyDiv w:val="1"/>
      <w:marLeft w:val="0"/>
      <w:marRight w:val="0"/>
      <w:marTop w:val="0"/>
      <w:marBottom w:val="0"/>
      <w:divBdr>
        <w:top w:val="none" w:sz="0" w:space="0" w:color="auto"/>
        <w:left w:val="none" w:sz="0" w:space="0" w:color="auto"/>
        <w:bottom w:val="none" w:sz="0" w:space="0" w:color="auto"/>
        <w:right w:val="none" w:sz="0" w:space="0" w:color="auto"/>
      </w:divBdr>
    </w:div>
    <w:div w:id="478112710">
      <w:bodyDiv w:val="1"/>
      <w:marLeft w:val="0"/>
      <w:marRight w:val="0"/>
      <w:marTop w:val="0"/>
      <w:marBottom w:val="0"/>
      <w:divBdr>
        <w:top w:val="none" w:sz="0" w:space="0" w:color="auto"/>
        <w:left w:val="none" w:sz="0" w:space="0" w:color="auto"/>
        <w:bottom w:val="none" w:sz="0" w:space="0" w:color="auto"/>
        <w:right w:val="none" w:sz="0" w:space="0" w:color="auto"/>
      </w:divBdr>
    </w:div>
    <w:div w:id="479075544">
      <w:bodyDiv w:val="1"/>
      <w:marLeft w:val="0"/>
      <w:marRight w:val="0"/>
      <w:marTop w:val="0"/>
      <w:marBottom w:val="0"/>
      <w:divBdr>
        <w:top w:val="none" w:sz="0" w:space="0" w:color="auto"/>
        <w:left w:val="none" w:sz="0" w:space="0" w:color="auto"/>
        <w:bottom w:val="none" w:sz="0" w:space="0" w:color="auto"/>
        <w:right w:val="none" w:sz="0" w:space="0" w:color="auto"/>
      </w:divBdr>
    </w:div>
    <w:div w:id="483476312">
      <w:bodyDiv w:val="1"/>
      <w:marLeft w:val="0"/>
      <w:marRight w:val="0"/>
      <w:marTop w:val="0"/>
      <w:marBottom w:val="0"/>
      <w:divBdr>
        <w:top w:val="none" w:sz="0" w:space="0" w:color="auto"/>
        <w:left w:val="none" w:sz="0" w:space="0" w:color="auto"/>
        <w:bottom w:val="none" w:sz="0" w:space="0" w:color="auto"/>
        <w:right w:val="none" w:sz="0" w:space="0" w:color="auto"/>
      </w:divBdr>
    </w:div>
    <w:div w:id="491455712">
      <w:bodyDiv w:val="1"/>
      <w:marLeft w:val="0"/>
      <w:marRight w:val="0"/>
      <w:marTop w:val="0"/>
      <w:marBottom w:val="0"/>
      <w:divBdr>
        <w:top w:val="none" w:sz="0" w:space="0" w:color="auto"/>
        <w:left w:val="none" w:sz="0" w:space="0" w:color="auto"/>
        <w:bottom w:val="none" w:sz="0" w:space="0" w:color="auto"/>
        <w:right w:val="none" w:sz="0" w:space="0" w:color="auto"/>
      </w:divBdr>
    </w:div>
    <w:div w:id="595214238">
      <w:bodyDiv w:val="1"/>
      <w:marLeft w:val="0"/>
      <w:marRight w:val="0"/>
      <w:marTop w:val="0"/>
      <w:marBottom w:val="0"/>
      <w:divBdr>
        <w:top w:val="none" w:sz="0" w:space="0" w:color="auto"/>
        <w:left w:val="none" w:sz="0" w:space="0" w:color="auto"/>
        <w:bottom w:val="none" w:sz="0" w:space="0" w:color="auto"/>
        <w:right w:val="none" w:sz="0" w:space="0" w:color="auto"/>
      </w:divBdr>
    </w:div>
    <w:div w:id="598295707">
      <w:bodyDiv w:val="1"/>
      <w:marLeft w:val="0"/>
      <w:marRight w:val="0"/>
      <w:marTop w:val="0"/>
      <w:marBottom w:val="0"/>
      <w:divBdr>
        <w:top w:val="none" w:sz="0" w:space="0" w:color="auto"/>
        <w:left w:val="none" w:sz="0" w:space="0" w:color="auto"/>
        <w:bottom w:val="none" w:sz="0" w:space="0" w:color="auto"/>
        <w:right w:val="none" w:sz="0" w:space="0" w:color="auto"/>
      </w:divBdr>
    </w:div>
    <w:div w:id="635836257">
      <w:bodyDiv w:val="1"/>
      <w:marLeft w:val="0"/>
      <w:marRight w:val="0"/>
      <w:marTop w:val="0"/>
      <w:marBottom w:val="0"/>
      <w:divBdr>
        <w:top w:val="none" w:sz="0" w:space="0" w:color="auto"/>
        <w:left w:val="none" w:sz="0" w:space="0" w:color="auto"/>
        <w:bottom w:val="none" w:sz="0" w:space="0" w:color="auto"/>
        <w:right w:val="none" w:sz="0" w:space="0" w:color="auto"/>
      </w:divBdr>
    </w:div>
    <w:div w:id="699479183">
      <w:bodyDiv w:val="1"/>
      <w:marLeft w:val="0"/>
      <w:marRight w:val="0"/>
      <w:marTop w:val="0"/>
      <w:marBottom w:val="0"/>
      <w:divBdr>
        <w:top w:val="none" w:sz="0" w:space="0" w:color="auto"/>
        <w:left w:val="none" w:sz="0" w:space="0" w:color="auto"/>
        <w:bottom w:val="none" w:sz="0" w:space="0" w:color="auto"/>
        <w:right w:val="none" w:sz="0" w:space="0" w:color="auto"/>
      </w:divBdr>
    </w:div>
    <w:div w:id="826240312">
      <w:bodyDiv w:val="1"/>
      <w:marLeft w:val="0"/>
      <w:marRight w:val="0"/>
      <w:marTop w:val="0"/>
      <w:marBottom w:val="0"/>
      <w:divBdr>
        <w:top w:val="none" w:sz="0" w:space="0" w:color="auto"/>
        <w:left w:val="none" w:sz="0" w:space="0" w:color="auto"/>
        <w:bottom w:val="none" w:sz="0" w:space="0" w:color="auto"/>
        <w:right w:val="none" w:sz="0" w:space="0" w:color="auto"/>
      </w:divBdr>
    </w:div>
    <w:div w:id="856888223">
      <w:bodyDiv w:val="1"/>
      <w:marLeft w:val="0"/>
      <w:marRight w:val="0"/>
      <w:marTop w:val="0"/>
      <w:marBottom w:val="0"/>
      <w:divBdr>
        <w:top w:val="none" w:sz="0" w:space="0" w:color="auto"/>
        <w:left w:val="none" w:sz="0" w:space="0" w:color="auto"/>
        <w:bottom w:val="none" w:sz="0" w:space="0" w:color="auto"/>
        <w:right w:val="none" w:sz="0" w:space="0" w:color="auto"/>
      </w:divBdr>
    </w:div>
    <w:div w:id="939340974">
      <w:bodyDiv w:val="1"/>
      <w:marLeft w:val="0"/>
      <w:marRight w:val="0"/>
      <w:marTop w:val="0"/>
      <w:marBottom w:val="0"/>
      <w:divBdr>
        <w:top w:val="none" w:sz="0" w:space="0" w:color="auto"/>
        <w:left w:val="none" w:sz="0" w:space="0" w:color="auto"/>
        <w:bottom w:val="none" w:sz="0" w:space="0" w:color="auto"/>
        <w:right w:val="none" w:sz="0" w:space="0" w:color="auto"/>
      </w:divBdr>
    </w:div>
    <w:div w:id="961497232">
      <w:bodyDiv w:val="1"/>
      <w:marLeft w:val="0"/>
      <w:marRight w:val="0"/>
      <w:marTop w:val="0"/>
      <w:marBottom w:val="0"/>
      <w:divBdr>
        <w:top w:val="none" w:sz="0" w:space="0" w:color="auto"/>
        <w:left w:val="none" w:sz="0" w:space="0" w:color="auto"/>
        <w:bottom w:val="none" w:sz="0" w:space="0" w:color="auto"/>
        <w:right w:val="none" w:sz="0" w:space="0" w:color="auto"/>
      </w:divBdr>
    </w:div>
    <w:div w:id="1017536820">
      <w:bodyDiv w:val="1"/>
      <w:marLeft w:val="0"/>
      <w:marRight w:val="0"/>
      <w:marTop w:val="0"/>
      <w:marBottom w:val="0"/>
      <w:divBdr>
        <w:top w:val="none" w:sz="0" w:space="0" w:color="auto"/>
        <w:left w:val="none" w:sz="0" w:space="0" w:color="auto"/>
        <w:bottom w:val="none" w:sz="0" w:space="0" w:color="auto"/>
        <w:right w:val="none" w:sz="0" w:space="0" w:color="auto"/>
      </w:divBdr>
    </w:div>
    <w:div w:id="1058170560">
      <w:bodyDiv w:val="1"/>
      <w:marLeft w:val="0"/>
      <w:marRight w:val="0"/>
      <w:marTop w:val="0"/>
      <w:marBottom w:val="0"/>
      <w:divBdr>
        <w:top w:val="none" w:sz="0" w:space="0" w:color="auto"/>
        <w:left w:val="none" w:sz="0" w:space="0" w:color="auto"/>
        <w:bottom w:val="none" w:sz="0" w:space="0" w:color="auto"/>
        <w:right w:val="none" w:sz="0" w:space="0" w:color="auto"/>
      </w:divBdr>
    </w:div>
    <w:div w:id="1087338949">
      <w:bodyDiv w:val="1"/>
      <w:marLeft w:val="0"/>
      <w:marRight w:val="0"/>
      <w:marTop w:val="0"/>
      <w:marBottom w:val="0"/>
      <w:divBdr>
        <w:top w:val="none" w:sz="0" w:space="0" w:color="auto"/>
        <w:left w:val="none" w:sz="0" w:space="0" w:color="auto"/>
        <w:bottom w:val="none" w:sz="0" w:space="0" w:color="auto"/>
        <w:right w:val="none" w:sz="0" w:space="0" w:color="auto"/>
      </w:divBdr>
    </w:div>
    <w:div w:id="1106118648">
      <w:bodyDiv w:val="1"/>
      <w:marLeft w:val="0"/>
      <w:marRight w:val="0"/>
      <w:marTop w:val="0"/>
      <w:marBottom w:val="0"/>
      <w:divBdr>
        <w:top w:val="none" w:sz="0" w:space="0" w:color="auto"/>
        <w:left w:val="none" w:sz="0" w:space="0" w:color="auto"/>
        <w:bottom w:val="none" w:sz="0" w:space="0" w:color="auto"/>
        <w:right w:val="none" w:sz="0" w:space="0" w:color="auto"/>
      </w:divBdr>
    </w:div>
    <w:div w:id="1193492928">
      <w:bodyDiv w:val="1"/>
      <w:marLeft w:val="0"/>
      <w:marRight w:val="0"/>
      <w:marTop w:val="0"/>
      <w:marBottom w:val="0"/>
      <w:divBdr>
        <w:top w:val="none" w:sz="0" w:space="0" w:color="auto"/>
        <w:left w:val="none" w:sz="0" w:space="0" w:color="auto"/>
        <w:bottom w:val="none" w:sz="0" w:space="0" w:color="auto"/>
        <w:right w:val="none" w:sz="0" w:space="0" w:color="auto"/>
      </w:divBdr>
    </w:div>
    <w:div w:id="1204488186">
      <w:bodyDiv w:val="1"/>
      <w:marLeft w:val="0"/>
      <w:marRight w:val="0"/>
      <w:marTop w:val="0"/>
      <w:marBottom w:val="0"/>
      <w:divBdr>
        <w:top w:val="none" w:sz="0" w:space="0" w:color="auto"/>
        <w:left w:val="none" w:sz="0" w:space="0" w:color="auto"/>
        <w:bottom w:val="none" w:sz="0" w:space="0" w:color="auto"/>
        <w:right w:val="none" w:sz="0" w:space="0" w:color="auto"/>
      </w:divBdr>
    </w:div>
    <w:div w:id="1209685398">
      <w:bodyDiv w:val="1"/>
      <w:marLeft w:val="0"/>
      <w:marRight w:val="0"/>
      <w:marTop w:val="0"/>
      <w:marBottom w:val="0"/>
      <w:divBdr>
        <w:top w:val="none" w:sz="0" w:space="0" w:color="auto"/>
        <w:left w:val="none" w:sz="0" w:space="0" w:color="auto"/>
        <w:bottom w:val="none" w:sz="0" w:space="0" w:color="auto"/>
        <w:right w:val="none" w:sz="0" w:space="0" w:color="auto"/>
      </w:divBdr>
    </w:div>
    <w:div w:id="1240600755">
      <w:bodyDiv w:val="1"/>
      <w:marLeft w:val="0"/>
      <w:marRight w:val="0"/>
      <w:marTop w:val="0"/>
      <w:marBottom w:val="0"/>
      <w:divBdr>
        <w:top w:val="none" w:sz="0" w:space="0" w:color="auto"/>
        <w:left w:val="none" w:sz="0" w:space="0" w:color="auto"/>
        <w:bottom w:val="none" w:sz="0" w:space="0" w:color="auto"/>
        <w:right w:val="none" w:sz="0" w:space="0" w:color="auto"/>
      </w:divBdr>
    </w:div>
    <w:div w:id="1278440829">
      <w:bodyDiv w:val="1"/>
      <w:marLeft w:val="0"/>
      <w:marRight w:val="0"/>
      <w:marTop w:val="0"/>
      <w:marBottom w:val="0"/>
      <w:divBdr>
        <w:top w:val="none" w:sz="0" w:space="0" w:color="auto"/>
        <w:left w:val="none" w:sz="0" w:space="0" w:color="auto"/>
        <w:bottom w:val="none" w:sz="0" w:space="0" w:color="auto"/>
        <w:right w:val="none" w:sz="0" w:space="0" w:color="auto"/>
      </w:divBdr>
    </w:div>
    <w:div w:id="1295066343">
      <w:bodyDiv w:val="1"/>
      <w:marLeft w:val="0"/>
      <w:marRight w:val="0"/>
      <w:marTop w:val="0"/>
      <w:marBottom w:val="0"/>
      <w:divBdr>
        <w:top w:val="none" w:sz="0" w:space="0" w:color="auto"/>
        <w:left w:val="none" w:sz="0" w:space="0" w:color="auto"/>
        <w:bottom w:val="none" w:sz="0" w:space="0" w:color="auto"/>
        <w:right w:val="none" w:sz="0" w:space="0" w:color="auto"/>
      </w:divBdr>
    </w:div>
    <w:div w:id="1316447102">
      <w:bodyDiv w:val="1"/>
      <w:marLeft w:val="0"/>
      <w:marRight w:val="0"/>
      <w:marTop w:val="0"/>
      <w:marBottom w:val="0"/>
      <w:divBdr>
        <w:top w:val="none" w:sz="0" w:space="0" w:color="auto"/>
        <w:left w:val="none" w:sz="0" w:space="0" w:color="auto"/>
        <w:bottom w:val="none" w:sz="0" w:space="0" w:color="auto"/>
        <w:right w:val="none" w:sz="0" w:space="0" w:color="auto"/>
      </w:divBdr>
    </w:div>
    <w:div w:id="1345937312">
      <w:bodyDiv w:val="1"/>
      <w:marLeft w:val="0"/>
      <w:marRight w:val="0"/>
      <w:marTop w:val="0"/>
      <w:marBottom w:val="0"/>
      <w:divBdr>
        <w:top w:val="none" w:sz="0" w:space="0" w:color="auto"/>
        <w:left w:val="none" w:sz="0" w:space="0" w:color="auto"/>
        <w:bottom w:val="none" w:sz="0" w:space="0" w:color="auto"/>
        <w:right w:val="none" w:sz="0" w:space="0" w:color="auto"/>
      </w:divBdr>
    </w:div>
    <w:div w:id="1353262896">
      <w:bodyDiv w:val="1"/>
      <w:marLeft w:val="0"/>
      <w:marRight w:val="0"/>
      <w:marTop w:val="0"/>
      <w:marBottom w:val="0"/>
      <w:divBdr>
        <w:top w:val="none" w:sz="0" w:space="0" w:color="auto"/>
        <w:left w:val="none" w:sz="0" w:space="0" w:color="auto"/>
        <w:bottom w:val="none" w:sz="0" w:space="0" w:color="auto"/>
        <w:right w:val="none" w:sz="0" w:space="0" w:color="auto"/>
      </w:divBdr>
    </w:div>
    <w:div w:id="1462991742">
      <w:bodyDiv w:val="1"/>
      <w:marLeft w:val="0"/>
      <w:marRight w:val="0"/>
      <w:marTop w:val="0"/>
      <w:marBottom w:val="0"/>
      <w:divBdr>
        <w:top w:val="none" w:sz="0" w:space="0" w:color="auto"/>
        <w:left w:val="none" w:sz="0" w:space="0" w:color="auto"/>
        <w:bottom w:val="none" w:sz="0" w:space="0" w:color="auto"/>
        <w:right w:val="none" w:sz="0" w:space="0" w:color="auto"/>
      </w:divBdr>
    </w:div>
    <w:div w:id="1477795534">
      <w:bodyDiv w:val="1"/>
      <w:marLeft w:val="0"/>
      <w:marRight w:val="0"/>
      <w:marTop w:val="0"/>
      <w:marBottom w:val="0"/>
      <w:divBdr>
        <w:top w:val="none" w:sz="0" w:space="0" w:color="auto"/>
        <w:left w:val="none" w:sz="0" w:space="0" w:color="auto"/>
        <w:bottom w:val="none" w:sz="0" w:space="0" w:color="auto"/>
        <w:right w:val="none" w:sz="0" w:space="0" w:color="auto"/>
      </w:divBdr>
    </w:div>
    <w:div w:id="1496334551">
      <w:bodyDiv w:val="1"/>
      <w:marLeft w:val="0"/>
      <w:marRight w:val="0"/>
      <w:marTop w:val="0"/>
      <w:marBottom w:val="0"/>
      <w:divBdr>
        <w:top w:val="none" w:sz="0" w:space="0" w:color="auto"/>
        <w:left w:val="none" w:sz="0" w:space="0" w:color="auto"/>
        <w:bottom w:val="none" w:sz="0" w:space="0" w:color="auto"/>
        <w:right w:val="none" w:sz="0" w:space="0" w:color="auto"/>
      </w:divBdr>
    </w:div>
    <w:div w:id="1525635453">
      <w:bodyDiv w:val="1"/>
      <w:marLeft w:val="0"/>
      <w:marRight w:val="0"/>
      <w:marTop w:val="0"/>
      <w:marBottom w:val="0"/>
      <w:divBdr>
        <w:top w:val="none" w:sz="0" w:space="0" w:color="auto"/>
        <w:left w:val="none" w:sz="0" w:space="0" w:color="auto"/>
        <w:bottom w:val="none" w:sz="0" w:space="0" w:color="auto"/>
        <w:right w:val="none" w:sz="0" w:space="0" w:color="auto"/>
      </w:divBdr>
    </w:div>
    <w:div w:id="1579091914">
      <w:bodyDiv w:val="1"/>
      <w:marLeft w:val="0"/>
      <w:marRight w:val="0"/>
      <w:marTop w:val="0"/>
      <w:marBottom w:val="0"/>
      <w:divBdr>
        <w:top w:val="none" w:sz="0" w:space="0" w:color="auto"/>
        <w:left w:val="none" w:sz="0" w:space="0" w:color="auto"/>
        <w:bottom w:val="none" w:sz="0" w:space="0" w:color="auto"/>
        <w:right w:val="none" w:sz="0" w:space="0" w:color="auto"/>
      </w:divBdr>
    </w:div>
    <w:div w:id="1580291895">
      <w:bodyDiv w:val="1"/>
      <w:marLeft w:val="0"/>
      <w:marRight w:val="0"/>
      <w:marTop w:val="0"/>
      <w:marBottom w:val="0"/>
      <w:divBdr>
        <w:top w:val="none" w:sz="0" w:space="0" w:color="auto"/>
        <w:left w:val="none" w:sz="0" w:space="0" w:color="auto"/>
        <w:bottom w:val="none" w:sz="0" w:space="0" w:color="auto"/>
        <w:right w:val="none" w:sz="0" w:space="0" w:color="auto"/>
      </w:divBdr>
    </w:div>
    <w:div w:id="1584949377">
      <w:bodyDiv w:val="1"/>
      <w:marLeft w:val="0"/>
      <w:marRight w:val="0"/>
      <w:marTop w:val="0"/>
      <w:marBottom w:val="0"/>
      <w:divBdr>
        <w:top w:val="none" w:sz="0" w:space="0" w:color="auto"/>
        <w:left w:val="none" w:sz="0" w:space="0" w:color="auto"/>
        <w:bottom w:val="none" w:sz="0" w:space="0" w:color="auto"/>
        <w:right w:val="none" w:sz="0" w:space="0" w:color="auto"/>
      </w:divBdr>
    </w:div>
    <w:div w:id="1605574974">
      <w:bodyDiv w:val="1"/>
      <w:marLeft w:val="0"/>
      <w:marRight w:val="0"/>
      <w:marTop w:val="0"/>
      <w:marBottom w:val="0"/>
      <w:divBdr>
        <w:top w:val="none" w:sz="0" w:space="0" w:color="auto"/>
        <w:left w:val="none" w:sz="0" w:space="0" w:color="auto"/>
        <w:bottom w:val="none" w:sz="0" w:space="0" w:color="auto"/>
        <w:right w:val="none" w:sz="0" w:space="0" w:color="auto"/>
      </w:divBdr>
      <w:divsChild>
        <w:div w:id="1688360989">
          <w:marLeft w:val="0"/>
          <w:marRight w:val="0"/>
          <w:marTop w:val="0"/>
          <w:marBottom w:val="0"/>
          <w:divBdr>
            <w:top w:val="none" w:sz="0" w:space="0" w:color="auto"/>
            <w:left w:val="none" w:sz="0" w:space="0" w:color="auto"/>
            <w:bottom w:val="none" w:sz="0" w:space="0" w:color="auto"/>
            <w:right w:val="none" w:sz="0" w:space="0" w:color="auto"/>
          </w:divBdr>
          <w:divsChild>
            <w:div w:id="1397897166">
              <w:marLeft w:val="0"/>
              <w:marRight w:val="0"/>
              <w:marTop w:val="0"/>
              <w:marBottom w:val="150"/>
              <w:divBdr>
                <w:top w:val="none" w:sz="0" w:space="0" w:color="auto"/>
                <w:left w:val="none" w:sz="0" w:space="0" w:color="auto"/>
                <w:bottom w:val="none" w:sz="0" w:space="0" w:color="auto"/>
                <w:right w:val="none" w:sz="0" w:space="0" w:color="auto"/>
              </w:divBdr>
              <w:divsChild>
                <w:div w:id="117072274">
                  <w:marLeft w:val="0"/>
                  <w:marRight w:val="0"/>
                  <w:marTop w:val="0"/>
                  <w:marBottom w:val="0"/>
                  <w:divBdr>
                    <w:top w:val="none" w:sz="0" w:space="0" w:color="auto"/>
                    <w:left w:val="none" w:sz="0" w:space="0" w:color="auto"/>
                    <w:bottom w:val="none" w:sz="0" w:space="0" w:color="auto"/>
                    <w:right w:val="none" w:sz="0" w:space="0" w:color="auto"/>
                  </w:divBdr>
                  <w:divsChild>
                    <w:div w:id="1882984155">
                      <w:marLeft w:val="0"/>
                      <w:marRight w:val="0"/>
                      <w:marTop w:val="0"/>
                      <w:marBottom w:val="0"/>
                      <w:divBdr>
                        <w:top w:val="none" w:sz="0" w:space="0" w:color="auto"/>
                        <w:left w:val="none" w:sz="0" w:space="0" w:color="auto"/>
                        <w:bottom w:val="none" w:sz="0" w:space="0" w:color="auto"/>
                        <w:right w:val="none" w:sz="0" w:space="0" w:color="auto"/>
                      </w:divBdr>
                      <w:divsChild>
                        <w:div w:id="186413614">
                          <w:marLeft w:val="0"/>
                          <w:marRight w:val="0"/>
                          <w:marTop w:val="0"/>
                          <w:marBottom w:val="0"/>
                          <w:divBdr>
                            <w:top w:val="none" w:sz="0" w:space="0" w:color="auto"/>
                            <w:left w:val="none" w:sz="0" w:space="0" w:color="auto"/>
                            <w:bottom w:val="none" w:sz="0" w:space="0" w:color="auto"/>
                            <w:right w:val="none" w:sz="0" w:space="0" w:color="auto"/>
                          </w:divBdr>
                          <w:divsChild>
                            <w:div w:id="855771707">
                              <w:marLeft w:val="0"/>
                              <w:marRight w:val="0"/>
                              <w:marTop w:val="0"/>
                              <w:marBottom w:val="0"/>
                              <w:divBdr>
                                <w:top w:val="none" w:sz="0" w:space="0" w:color="auto"/>
                                <w:left w:val="none" w:sz="0" w:space="0" w:color="auto"/>
                                <w:bottom w:val="none" w:sz="0" w:space="0" w:color="auto"/>
                                <w:right w:val="none" w:sz="0" w:space="0" w:color="auto"/>
                              </w:divBdr>
                              <w:divsChild>
                                <w:div w:id="84766138">
                                  <w:marLeft w:val="0"/>
                                  <w:marRight w:val="-3600"/>
                                  <w:marTop w:val="150"/>
                                  <w:marBottom w:val="0"/>
                                  <w:divBdr>
                                    <w:top w:val="none" w:sz="0" w:space="0" w:color="auto"/>
                                    <w:left w:val="none" w:sz="0" w:space="0" w:color="auto"/>
                                    <w:bottom w:val="none" w:sz="0" w:space="0" w:color="auto"/>
                                    <w:right w:val="none" w:sz="0" w:space="0" w:color="auto"/>
                                  </w:divBdr>
                                  <w:divsChild>
                                    <w:div w:id="1238707316">
                                      <w:marLeft w:val="0"/>
                                      <w:marRight w:val="3600"/>
                                      <w:marTop w:val="0"/>
                                      <w:marBottom w:val="0"/>
                                      <w:divBdr>
                                        <w:top w:val="none" w:sz="0" w:space="0" w:color="auto"/>
                                        <w:left w:val="none" w:sz="0" w:space="0" w:color="auto"/>
                                        <w:bottom w:val="none" w:sz="0" w:space="0" w:color="auto"/>
                                        <w:right w:val="none" w:sz="0" w:space="0" w:color="auto"/>
                                      </w:divBdr>
                                      <w:divsChild>
                                        <w:div w:id="1085104864">
                                          <w:marLeft w:val="0"/>
                                          <w:marRight w:val="0"/>
                                          <w:marTop w:val="0"/>
                                          <w:marBottom w:val="0"/>
                                          <w:divBdr>
                                            <w:top w:val="none" w:sz="0" w:space="0" w:color="auto"/>
                                            <w:left w:val="none" w:sz="0" w:space="0" w:color="auto"/>
                                            <w:bottom w:val="none" w:sz="0" w:space="0" w:color="auto"/>
                                            <w:right w:val="none" w:sz="0" w:space="0" w:color="auto"/>
                                          </w:divBdr>
                                          <w:divsChild>
                                            <w:div w:id="2027751543">
                                              <w:marLeft w:val="0"/>
                                              <w:marRight w:val="0"/>
                                              <w:marTop w:val="0"/>
                                              <w:marBottom w:val="0"/>
                                              <w:divBdr>
                                                <w:top w:val="none" w:sz="0" w:space="0" w:color="auto"/>
                                                <w:left w:val="none" w:sz="0" w:space="0" w:color="auto"/>
                                                <w:bottom w:val="none" w:sz="0" w:space="0" w:color="auto"/>
                                                <w:right w:val="none" w:sz="0" w:space="0" w:color="auto"/>
                                              </w:divBdr>
                                              <w:divsChild>
                                                <w:div w:id="938367319">
                                                  <w:marLeft w:val="0"/>
                                                  <w:marRight w:val="0"/>
                                                  <w:marTop w:val="0"/>
                                                  <w:marBottom w:val="0"/>
                                                  <w:divBdr>
                                                    <w:top w:val="none" w:sz="0" w:space="0" w:color="auto"/>
                                                    <w:left w:val="none" w:sz="0" w:space="0" w:color="auto"/>
                                                    <w:bottom w:val="none" w:sz="0" w:space="0" w:color="auto"/>
                                                    <w:right w:val="none" w:sz="0" w:space="0" w:color="auto"/>
                                                  </w:divBdr>
                                                  <w:divsChild>
                                                    <w:div w:id="1431700131">
                                                      <w:marLeft w:val="0"/>
                                                      <w:marRight w:val="0"/>
                                                      <w:marTop w:val="0"/>
                                                      <w:marBottom w:val="0"/>
                                                      <w:divBdr>
                                                        <w:top w:val="none" w:sz="0" w:space="0" w:color="auto"/>
                                                        <w:left w:val="none" w:sz="0" w:space="0" w:color="auto"/>
                                                        <w:bottom w:val="none" w:sz="0" w:space="0" w:color="auto"/>
                                                        <w:right w:val="none" w:sz="0" w:space="0" w:color="auto"/>
                                                      </w:divBdr>
                                                      <w:divsChild>
                                                        <w:div w:id="10178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13756">
      <w:bodyDiv w:val="1"/>
      <w:marLeft w:val="0"/>
      <w:marRight w:val="0"/>
      <w:marTop w:val="0"/>
      <w:marBottom w:val="0"/>
      <w:divBdr>
        <w:top w:val="none" w:sz="0" w:space="0" w:color="auto"/>
        <w:left w:val="none" w:sz="0" w:space="0" w:color="auto"/>
        <w:bottom w:val="none" w:sz="0" w:space="0" w:color="auto"/>
        <w:right w:val="none" w:sz="0" w:space="0" w:color="auto"/>
      </w:divBdr>
    </w:div>
    <w:div w:id="1657565204">
      <w:bodyDiv w:val="1"/>
      <w:marLeft w:val="0"/>
      <w:marRight w:val="0"/>
      <w:marTop w:val="0"/>
      <w:marBottom w:val="0"/>
      <w:divBdr>
        <w:top w:val="none" w:sz="0" w:space="0" w:color="auto"/>
        <w:left w:val="none" w:sz="0" w:space="0" w:color="auto"/>
        <w:bottom w:val="none" w:sz="0" w:space="0" w:color="auto"/>
        <w:right w:val="none" w:sz="0" w:space="0" w:color="auto"/>
      </w:divBdr>
    </w:div>
    <w:div w:id="1674843012">
      <w:bodyDiv w:val="1"/>
      <w:marLeft w:val="0"/>
      <w:marRight w:val="0"/>
      <w:marTop w:val="0"/>
      <w:marBottom w:val="0"/>
      <w:divBdr>
        <w:top w:val="none" w:sz="0" w:space="0" w:color="auto"/>
        <w:left w:val="none" w:sz="0" w:space="0" w:color="auto"/>
        <w:bottom w:val="none" w:sz="0" w:space="0" w:color="auto"/>
        <w:right w:val="none" w:sz="0" w:space="0" w:color="auto"/>
      </w:divBdr>
    </w:div>
    <w:div w:id="1682272175">
      <w:bodyDiv w:val="1"/>
      <w:marLeft w:val="0"/>
      <w:marRight w:val="0"/>
      <w:marTop w:val="0"/>
      <w:marBottom w:val="0"/>
      <w:divBdr>
        <w:top w:val="none" w:sz="0" w:space="0" w:color="auto"/>
        <w:left w:val="none" w:sz="0" w:space="0" w:color="auto"/>
        <w:bottom w:val="none" w:sz="0" w:space="0" w:color="auto"/>
        <w:right w:val="none" w:sz="0" w:space="0" w:color="auto"/>
      </w:divBdr>
    </w:div>
    <w:div w:id="1823809677">
      <w:bodyDiv w:val="1"/>
      <w:marLeft w:val="0"/>
      <w:marRight w:val="0"/>
      <w:marTop w:val="0"/>
      <w:marBottom w:val="0"/>
      <w:divBdr>
        <w:top w:val="none" w:sz="0" w:space="0" w:color="auto"/>
        <w:left w:val="none" w:sz="0" w:space="0" w:color="auto"/>
        <w:bottom w:val="none" w:sz="0" w:space="0" w:color="auto"/>
        <w:right w:val="none" w:sz="0" w:space="0" w:color="auto"/>
      </w:divBdr>
    </w:div>
    <w:div w:id="1834107951">
      <w:bodyDiv w:val="1"/>
      <w:marLeft w:val="0"/>
      <w:marRight w:val="0"/>
      <w:marTop w:val="0"/>
      <w:marBottom w:val="0"/>
      <w:divBdr>
        <w:top w:val="none" w:sz="0" w:space="0" w:color="auto"/>
        <w:left w:val="none" w:sz="0" w:space="0" w:color="auto"/>
        <w:bottom w:val="none" w:sz="0" w:space="0" w:color="auto"/>
        <w:right w:val="none" w:sz="0" w:space="0" w:color="auto"/>
      </w:divBdr>
    </w:div>
    <w:div w:id="1915431258">
      <w:bodyDiv w:val="1"/>
      <w:marLeft w:val="0"/>
      <w:marRight w:val="0"/>
      <w:marTop w:val="0"/>
      <w:marBottom w:val="0"/>
      <w:divBdr>
        <w:top w:val="none" w:sz="0" w:space="0" w:color="auto"/>
        <w:left w:val="none" w:sz="0" w:space="0" w:color="auto"/>
        <w:bottom w:val="none" w:sz="0" w:space="0" w:color="auto"/>
        <w:right w:val="none" w:sz="0" w:space="0" w:color="auto"/>
      </w:divBdr>
    </w:div>
    <w:div w:id="1916239547">
      <w:bodyDiv w:val="1"/>
      <w:marLeft w:val="0"/>
      <w:marRight w:val="0"/>
      <w:marTop w:val="0"/>
      <w:marBottom w:val="0"/>
      <w:divBdr>
        <w:top w:val="none" w:sz="0" w:space="0" w:color="auto"/>
        <w:left w:val="none" w:sz="0" w:space="0" w:color="auto"/>
        <w:bottom w:val="none" w:sz="0" w:space="0" w:color="auto"/>
        <w:right w:val="none" w:sz="0" w:space="0" w:color="auto"/>
      </w:divBdr>
    </w:div>
    <w:div w:id="1926112066">
      <w:bodyDiv w:val="1"/>
      <w:marLeft w:val="0"/>
      <w:marRight w:val="0"/>
      <w:marTop w:val="0"/>
      <w:marBottom w:val="0"/>
      <w:divBdr>
        <w:top w:val="none" w:sz="0" w:space="0" w:color="auto"/>
        <w:left w:val="none" w:sz="0" w:space="0" w:color="auto"/>
        <w:bottom w:val="none" w:sz="0" w:space="0" w:color="auto"/>
        <w:right w:val="none" w:sz="0" w:space="0" w:color="auto"/>
      </w:divBdr>
    </w:div>
    <w:div w:id="1979454868">
      <w:bodyDiv w:val="1"/>
      <w:marLeft w:val="0"/>
      <w:marRight w:val="0"/>
      <w:marTop w:val="0"/>
      <w:marBottom w:val="0"/>
      <w:divBdr>
        <w:top w:val="none" w:sz="0" w:space="0" w:color="auto"/>
        <w:left w:val="none" w:sz="0" w:space="0" w:color="auto"/>
        <w:bottom w:val="none" w:sz="0" w:space="0" w:color="auto"/>
        <w:right w:val="none" w:sz="0" w:space="0" w:color="auto"/>
      </w:divBdr>
    </w:div>
    <w:div w:id="2052684085">
      <w:bodyDiv w:val="1"/>
      <w:marLeft w:val="0"/>
      <w:marRight w:val="0"/>
      <w:marTop w:val="0"/>
      <w:marBottom w:val="0"/>
      <w:divBdr>
        <w:top w:val="none" w:sz="0" w:space="0" w:color="auto"/>
        <w:left w:val="none" w:sz="0" w:space="0" w:color="auto"/>
        <w:bottom w:val="none" w:sz="0" w:space="0" w:color="auto"/>
        <w:right w:val="none" w:sz="0" w:space="0" w:color="auto"/>
      </w:divBdr>
    </w:div>
    <w:div w:id="2082408397">
      <w:bodyDiv w:val="1"/>
      <w:marLeft w:val="0"/>
      <w:marRight w:val="0"/>
      <w:marTop w:val="0"/>
      <w:marBottom w:val="0"/>
      <w:divBdr>
        <w:top w:val="none" w:sz="0" w:space="0" w:color="auto"/>
        <w:left w:val="none" w:sz="0" w:space="0" w:color="auto"/>
        <w:bottom w:val="none" w:sz="0" w:space="0" w:color="auto"/>
        <w:right w:val="none" w:sz="0" w:space="0" w:color="auto"/>
      </w:divBdr>
    </w:div>
    <w:div w:id="2132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D77F1-0FD5-4A5F-976D-F7846B57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4200</Words>
  <Characters>23581</Characters>
  <Application>Microsoft Office Word</Application>
  <DocSecurity>4</DocSecurity>
  <PresentationFormat>Microsoft Word 14.0</PresentationFormat>
  <Lines>365</Lines>
  <Paragraphs>55</Paragraphs>
  <ScaleCrop>false</ScaleCrop>
  <HeadingPairs>
    <vt:vector size="6" baseType="variant">
      <vt:variant>
        <vt:lpstr>Title</vt:lpstr>
      </vt:variant>
      <vt:variant>
        <vt:i4>1</vt:i4>
      </vt:variant>
      <vt:variant>
        <vt:lpstr>Titre</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27764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2016-12-21T13:54:00Z</dcterms:created>
  <dcterms:modified xsi:type="dcterms:W3CDTF">2016-12-21T13:54:00Z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