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B35D9AF96EE462FA4B1D6623DD49C74" style="width:450.8pt;height:348.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keepNext/>
        <w:numPr>
          <w:ilvl w:val="0"/>
          <w:numId w:val="4"/>
        </w:numPr>
        <w:spacing w:before="240" w:line="240" w:lineRule="auto"/>
        <w:jc w:val="both"/>
        <w:rPr>
          <w:rFonts w:ascii="Times New Roman" w:hAnsi="Times New Roman" w:cs="Times New Roman"/>
          <w:b/>
          <w:smallCaps/>
          <w:noProof/>
          <w:sz w:val="24"/>
          <w:szCs w:val="24"/>
        </w:rPr>
      </w:pPr>
      <w:bookmarkStart w:id="1" w:name="_GoBack"/>
      <w:bookmarkEnd w:id="1"/>
      <w:r>
        <w:rPr>
          <w:rFonts w:ascii="Times New Roman" w:hAnsi="Times New Roman"/>
          <w:b/>
          <w:smallCaps/>
          <w:noProof/>
          <w:sz w:val="24"/>
        </w:rPr>
        <w:lastRenderedPageBreak/>
        <w:t>Въведение</w:t>
      </w:r>
    </w:p>
    <w:p>
      <w:pPr>
        <w:spacing w:line="240" w:lineRule="auto"/>
        <w:jc w:val="both"/>
        <w:rPr>
          <w:rFonts w:ascii="Times New Roman" w:hAnsi="Times New Roman" w:cs="Times New Roman"/>
          <w:noProof/>
          <w:sz w:val="24"/>
          <w:szCs w:val="24"/>
        </w:rPr>
      </w:pPr>
      <w:r>
        <w:rPr>
          <w:rFonts w:ascii="Times New Roman" w:hAnsi="Times New Roman"/>
          <w:noProof/>
          <w:sz w:val="24"/>
        </w:rPr>
        <w:t>Секторът на транспорта е изправен пред дълбоки промени както в Европа, така и в други части на света. Вълна от технологични иновации и революционни бизнес модели доведе до нарастващо търсене на нови услуги за мобилност. Същевременно секторът откликва на належащата нужда от по-безопасен, ефективен и устойчив транспорт. Произтичащите от това промени разкриват огромни социални и икономически възможности, от които Европа трябва да се възползва незабавно, за да извлече ползи за своите граждани и предприятията.</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Цифровите технологии са може би най-силният двигател на този процес и фактор за него. Обменът на данни между различните участници в транспортната система означава, че може да се постигне съответствие между предлагането и търсенето в реално време, което да доведе до по-ефективно използване на ресурсите, независимо дали става дума за споделено използване на автомобил, контейнер или железопътна мрежа. Цифровите технологии спомагат за ограничаване на човешките грешки, които са най-значителната причина за транспортни произшествия. Те могат също да създадат действително мултимодална транспортна система, която обединява всички видове транспорт в една услуга за мобилност и позволява хора и товари да се придвижват безпроблемно от врата до врата. Те могат да стимулират и социалните иновации и да гарантират мобилност за всички с появата на нови участници и нови форми на създаване на стойност, като например икономиката на споделянето.</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Потенциалът на цифровите технологии и свързаните с тях бизнес модели в автомобилния транспорт е значителен, а това важи и за необходимостта да се предприемат действия в тази посока. Трайната положителна тенденция в областта на пътната безопасност в ЕС през последното десетилетие бележи забавяне. На автомобилния транспорт все още се дължи основната част от емисиите на парникови газове и замърсители на въздуха от целия сектор</w:t>
      </w:r>
      <w:r>
        <w:rPr>
          <w:rStyle w:val="FootnoteReference"/>
          <w:rFonts w:ascii="Times New Roman" w:hAnsi="Times New Roman"/>
          <w:noProof/>
          <w:sz w:val="24"/>
        </w:rPr>
        <w:footnoteReference w:id="1"/>
      </w:r>
      <w:r>
        <w:rPr>
          <w:rFonts w:ascii="Times New Roman" w:hAnsi="Times New Roman"/>
          <w:noProof/>
          <w:sz w:val="24"/>
          <w:vertAlign w:val="superscript"/>
        </w:rPr>
        <w:t>,</w:t>
      </w:r>
      <w:bookmarkStart w:id="2" w:name="_Ref464146642"/>
      <w:r>
        <w:rPr>
          <w:rStyle w:val="FootnoteReference"/>
          <w:rFonts w:ascii="Times New Roman" w:hAnsi="Times New Roman"/>
          <w:noProof/>
          <w:sz w:val="24"/>
        </w:rPr>
        <w:footnoteReference w:id="2"/>
      </w:r>
      <w:bookmarkEnd w:id="2"/>
      <w:r>
        <w:rPr>
          <w:rFonts w:ascii="Times New Roman" w:hAnsi="Times New Roman"/>
          <w:noProof/>
          <w:sz w:val="24"/>
        </w:rPr>
        <w:t>. Задръстванията по пътищата всекидневно пораждат огромни разходи за икономиката на ЕС</w:t>
      </w:r>
      <w:r>
        <w:rPr>
          <w:rStyle w:val="FootnoteReference"/>
          <w:rFonts w:ascii="Times New Roman" w:hAnsi="Times New Roman"/>
          <w:noProof/>
          <w:sz w:val="24"/>
        </w:rPr>
        <w:footnoteReference w:id="3"/>
      </w:r>
      <w:r>
        <w:rPr>
          <w:rFonts w:ascii="Times New Roman" w:hAnsi="Times New Roman"/>
          <w:noProof/>
          <w:sz w:val="24"/>
        </w:rPr>
        <w:t>. Тъй като работните места на милиони европейци зависят пряко или непряко от автомобилостроенето и транспорта, особено важно е на сектора да се осигурят условия да запази водещата си позиция в световен мащаб.</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Поради това настоящото съобщение е тясно свързано с политическите приоритети на Комисията, особено с програмата за работни места, растеж и инвестиции, цифровия единен пазар и стратегията за енергиен съюз</w:t>
      </w:r>
      <w:r>
        <w:rPr>
          <w:rStyle w:val="FootnoteReference"/>
          <w:rFonts w:ascii="Times New Roman" w:hAnsi="Times New Roman"/>
          <w:noProof/>
        </w:rPr>
        <w:footnoteReference w:id="4"/>
      </w:r>
      <w:r>
        <w:rPr>
          <w:rFonts w:ascii="Times New Roman" w:hAnsi="Times New Roman"/>
          <w:noProof/>
          <w:sz w:val="24"/>
        </w:rPr>
        <w:t>.  Европейската стратегия за мобилност с ниски емисии</w:t>
      </w:r>
      <w:r>
        <w:rPr>
          <w:rFonts w:ascii="Times New Roman" w:eastAsia="Times New Roman" w:hAnsi="Times New Roman" w:cs="Times New Roman"/>
          <w:noProof/>
          <w:sz w:val="24"/>
          <w:szCs w:val="24"/>
          <w:vertAlign w:val="superscript"/>
        </w:rPr>
        <w:fldChar w:fldCharType="begin"/>
      </w:r>
      <w:r>
        <w:rPr>
          <w:rFonts w:ascii="Times New Roman" w:eastAsia="Times New Roman" w:hAnsi="Times New Roman" w:cs="Times New Roman"/>
          <w:noProof/>
          <w:sz w:val="24"/>
          <w:szCs w:val="24"/>
          <w:vertAlign w:val="superscript"/>
        </w:rPr>
        <w:instrText xml:space="preserve"> NOTEREF _Ref464146642 \h  \* MERGEFORMAT </w:instrText>
      </w:r>
      <w:r>
        <w:rPr>
          <w:rFonts w:ascii="Times New Roman" w:eastAsia="Times New Roman" w:hAnsi="Times New Roman" w:cs="Times New Roman"/>
          <w:noProof/>
          <w:sz w:val="24"/>
          <w:szCs w:val="24"/>
          <w:vertAlign w:val="superscript"/>
        </w:rPr>
      </w:r>
      <w:r>
        <w:rPr>
          <w:rFonts w:ascii="Times New Roman" w:eastAsia="Times New Roman" w:hAnsi="Times New Roman" w:cs="Times New Roman"/>
          <w:noProof/>
          <w:sz w:val="24"/>
          <w:szCs w:val="24"/>
          <w:vertAlign w:val="superscript"/>
        </w:rPr>
        <w:fldChar w:fldCharType="separate"/>
      </w:r>
      <w:r>
        <w:rPr>
          <w:rFonts w:ascii="Times New Roman" w:eastAsia="Times New Roman" w:hAnsi="Times New Roman" w:cs="Times New Roman"/>
          <w:noProof/>
          <w:sz w:val="24"/>
          <w:szCs w:val="24"/>
          <w:vertAlign w:val="superscript"/>
        </w:rPr>
        <w:t>2</w:t>
      </w:r>
      <w:r>
        <w:rPr>
          <w:rFonts w:ascii="Times New Roman" w:eastAsia="Times New Roman" w:hAnsi="Times New Roman" w:cs="Times New Roman"/>
          <w:noProof/>
          <w:sz w:val="24"/>
          <w:szCs w:val="24"/>
          <w:vertAlign w:val="superscript"/>
        </w:rPr>
        <w:fldChar w:fldCharType="end"/>
      </w:r>
      <w:r>
        <w:rPr>
          <w:rFonts w:ascii="Times New Roman" w:hAnsi="Times New Roman"/>
          <w:noProof/>
          <w:sz w:val="24"/>
        </w:rPr>
        <w:t>, приета през юли 2016 г., подчертава потенциала на съвместно използвани, свързани и автоматизирани превозни средства за намаляване на потреблението на енергия и на емисиите от транспорта. Стратегията на цифровизирането на европейската промишленост</w:t>
      </w:r>
      <w:r>
        <w:rPr>
          <w:rStyle w:val="FootnoteReference"/>
          <w:rFonts w:ascii="Times New Roman" w:hAnsi="Times New Roman"/>
          <w:noProof/>
        </w:rPr>
        <w:footnoteReference w:id="5"/>
      </w:r>
      <w:r>
        <w:rPr>
          <w:rFonts w:ascii="Times New Roman" w:hAnsi="Times New Roman"/>
          <w:noProof/>
          <w:sz w:val="24"/>
        </w:rPr>
        <w:t xml:space="preserve"> определя съвместно използваните, свързани и автоматизирани превозни средства като приоритетна тема за повишаване на конкурентоспособността на европейската промишленост. Съгласно проучванията пазарният потенциал на съвместно използваните, свързани и автоматизирани превозни средства се оценява на десетки милиарди евро годишно, а броят на създадените работни места може да достигне стотици хиляди</w:t>
      </w:r>
      <w:r>
        <w:rPr>
          <w:rStyle w:val="FootnoteReference"/>
          <w:rFonts w:ascii="Times New Roman" w:hAnsi="Times New Roman"/>
          <w:noProof/>
        </w:rPr>
        <w:footnoteReference w:id="6"/>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В много отношения съвременните превозни средства са вече свързани устройства. В много близко бъдеще обаче те ще взаимодействат пряко помежду си и с пътната инфраструктура. Това взаимодействие е областта на съвместните интелигентни транспортни системи (СИТС), позволяващи на участниците в движението и управляващите движението да споделят и използват информация, с която преди това не са разполагали, и да координират действията си. Очаква се този елемент на сътрудничество</w:t>
      </w:r>
      <w:r>
        <w:rPr>
          <w:rStyle w:val="FootnoteReference"/>
          <w:rFonts w:ascii="Times New Roman" w:hAnsi="Times New Roman"/>
          <w:noProof/>
          <w:sz w:val="24"/>
        </w:rPr>
        <w:footnoteReference w:id="7"/>
      </w:r>
      <w:r>
        <w:rPr>
          <w:rFonts w:ascii="Times New Roman" w:hAnsi="Times New Roman"/>
          <w:noProof/>
          <w:sz w:val="24"/>
        </w:rPr>
        <w:t xml:space="preserve"> — улеснен от цифровата свързаност — значително да подобри пътната безопасност, ефективността на движението и комфорта на шофиране, като помага на водача да вземе правилното решение и да се адаптира към ситуацията на пътя.</w:t>
      </w:r>
    </w:p>
    <w:p>
      <w:pPr>
        <w:spacing w:line="240" w:lineRule="auto"/>
        <w:jc w:val="both"/>
        <w:rPr>
          <w:rFonts w:ascii="Times New Roman" w:hAnsi="Times New Roman" w:cs="Times New Roman"/>
          <w:noProof/>
          <w:sz w:val="24"/>
          <w:szCs w:val="24"/>
        </w:rPr>
      </w:pPr>
      <w:r>
        <w:rPr>
          <w:rFonts w:ascii="Times New Roman" w:hAnsi="Times New Roman"/>
          <w:noProof/>
          <w:sz w:val="24"/>
        </w:rPr>
        <w:t>Връзката между превозните средства, инфраструктурата и другите участници в движението е от съществено значение за повишаване на безопасността на автоматизираните превозни средства и тяхната пълна интеграция в цялостната транспортна система. Сътрудничеството, свързаността и автоматизацията не са само допълващи се технологии, те се укрепват взаимно и с течение на времето ще се слеят напълно. Добър пример за това е организирането на конвои от камиони, които чрез комуникация се движат автоматично и безопасно един след друг на малка дистанция: свързаността, сътрудничеството и автоматизацията се съчетават, за да го реализират. Но сътрудничеството ще бъде още по-необходимо занапред, когато автоматизираните превозни средства ще трябва да се справят безопасно и ефективно в далеч по-сложни пътни ситуации.</w:t>
      </w:r>
    </w:p>
    <w:p>
      <w:pPr>
        <w:spacing w:line="240" w:lineRule="auto"/>
        <w:jc w:val="both"/>
        <w:rPr>
          <w:rFonts w:ascii="Times New Roman" w:hAnsi="Times New Roman" w:cs="Times New Roman"/>
          <w:noProof/>
          <w:sz w:val="24"/>
          <w:szCs w:val="24"/>
        </w:rPr>
      </w:pPr>
      <w:r>
        <w:rPr>
          <w:rFonts w:ascii="Times New Roman" w:hAnsi="Times New Roman"/>
          <w:noProof/>
          <w:sz w:val="24"/>
        </w:rPr>
        <w:t>Много страни по света (например САЩ, Австралия, Япония, Корея и Китай) напредват бързо към внедряването на цифрови технологии, а в някои държави превозните средства и услугите във връзка със СИТС („СИТС услугите“) вече се предлагат на пазара. Министрите на транспорта от Г-7</w:t>
      </w:r>
      <w:r>
        <w:rPr>
          <w:rStyle w:val="FootnoteReference"/>
          <w:rFonts w:ascii="Times New Roman" w:hAnsi="Times New Roman"/>
          <w:noProof/>
          <w:sz w:val="24"/>
        </w:rPr>
        <w:footnoteReference w:id="8"/>
      </w:r>
      <w:r>
        <w:rPr>
          <w:rFonts w:ascii="Times New Roman" w:hAnsi="Times New Roman"/>
          <w:noProof/>
          <w:sz w:val="24"/>
        </w:rPr>
        <w:t xml:space="preserve"> нееднократно подчертаваха нуждата от действия. Няколко държави членки са започнали дейности за внедряване на СИТС в реални условия чрез стратегически партньорства, като например съвместния коридор на ЕС</w:t>
      </w:r>
      <w:r>
        <w:rPr>
          <w:rStyle w:val="FootnoteReference"/>
          <w:rFonts w:ascii="Times New Roman" w:hAnsi="Times New Roman"/>
          <w:noProof/>
          <w:sz w:val="24"/>
        </w:rPr>
        <w:footnoteReference w:id="9"/>
      </w:r>
      <w:r>
        <w:rPr>
          <w:rFonts w:ascii="Times New Roman" w:hAnsi="Times New Roman"/>
          <w:noProof/>
          <w:sz w:val="24"/>
        </w:rPr>
        <w:t>, свързващ Ротердам с Франкфурт и Виена, или Амстердамската група</w:t>
      </w:r>
      <w:r>
        <w:rPr>
          <w:rStyle w:val="FootnoteReference"/>
          <w:rFonts w:ascii="Times New Roman" w:hAnsi="Times New Roman"/>
          <w:noProof/>
          <w:sz w:val="24"/>
        </w:rPr>
        <w:footnoteReference w:id="10"/>
      </w:r>
      <w:r>
        <w:rPr>
          <w:rFonts w:ascii="Times New Roman" w:hAnsi="Times New Roman"/>
          <w:noProof/>
          <w:sz w:val="24"/>
        </w:rPr>
        <w:t xml:space="preserve">. </w:t>
      </w:r>
      <w:r>
        <w:rPr>
          <w:rStyle w:val="s1"/>
          <w:rFonts w:ascii="Times New Roman" w:hAnsi="Times New Roman"/>
          <w:noProof/>
          <w:sz w:val="24"/>
        </w:rPr>
        <w:t>Космическата стратегия за Европа</w:t>
      </w:r>
      <w:bookmarkStart w:id="3" w:name="_Ref465865070"/>
      <w:r>
        <w:rPr>
          <w:rStyle w:val="FootnoteReference"/>
          <w:rFonts w:ascii="Times New Roman" w:hAnsi="Times New Roman"/>
          <w:noProof/>
          <w:sz w:val="24"/>
        </w:rPr>
        <w:footnoteReference w:id="11"/>
      </w:r>
      <w:bookmarkEnd w:id="3"/>
      <w:r>
        <w:rPr>
          <w:rStyle w:val="s1"/>
          <w:rFonts w:ascii="Times New Roman" w:hAnsi="Times New Roman"/>
          <w:noProof/>
          <w:sz w:val="24"/>
        </w:rPr>
        <w:t xml:space="preserve"> подчертава необходимостта да се насърчава интегрирането на космическите технологии в стратегии за свързаните автомобили</w:t>
      </w:r>
      <w:r>
        <w:rPr>
          <w:rFonts w:ascii="Times New Roman" w:hAnsi="Times New Roman"/>
          <w:noProof/>
          <w:sz w:val="24"/>
        </w:rPr>
        <w:t>, като същевременно се ползват по-специално от предимствата, предоставяни от GALILEO и EGNOS.</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В декларацията от Амстердам</w:t>
      </w:r>
      <w:r>
        <w:rPr>
          <w:rStyle w:val="FootnoteReference"/>
          <w:rFonts w:ascii="Times New Roman" w:hAnsi="Times New Roman"/>
          <w:noProof/>
          <w:sz w:val="24"/>
        </w:rPr>
        <w:footnoteReference w:id="12"/>
      </w:r>
      <w:r>
        <w:rPr>
          <w:rFonts w:ascii="Times New Roman" w:hAnsi="Times New Roman"/>
          <w:noProof/>
          <w:sz w:val="24"/>
        </w:rPr>
        <w:t xml:space="preserve"> от април 2016 г. европейските министри на транспорта приканиха Комисията да разработи европейска стратегия за съвместно използвани, свързани и автоматизирани превозни средства. Не по-малко важно беше и изявеното от страна на сектора намерение да се започне мащабно внедряване на превозни средства със СИТС през 2019 г.</w:t>
      </w:r>
      <w:r>
        <w:rPr>
          <w:rFonts w:ascii="Times New Roman" w:hAnsi="Times New Roman"/>
          <w:noProof/>
          <w:sz w:val="24"/>
          <w:vertAlign w:val="superscript"/>
        </w:rPr>
        <w:footnoteReference w:id="13"/>
      </w:r>
      <w:r>
        <w:rPr>
          <w:rFonts w:ascii="Times New Roman" w:hAnsi="Times New Roman"/>
          <w:noProof/>
          <w:sz w:val="24"/>
        </w:rPr>
        <w:t xml:space="preserve"> За да се осъществи обаче това, спешно е необходима координация на европейско равнище.</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Технологиите се развиват толкова бързо, а публичният и частният сектори инвестират такива значителни средства за разработването и изпитването на технологии за СИТС, че съществува риск да не се постигне своевременно общоевропейска оперативна съвместимост, ако не се установи рамка на европейско равнище. Това би поставило европейската промишленост в неизгодно положение спрямо нейните конкуренти и би забавило внедряването на СИТС в Европа с всичките преимущества, които то носи за транспорта и за обществото като цяло.</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Настоящото съобщение представя стратегия на ЕС за координирано внедряване на СИТС, за да се избегне фрагментирането на вътрешния пазар в областта на СИТС и да се породят полезни взаимодействия между различните инициативи. То засяга най-важните въпроси, включително киберсигурността и защитата на данните (особено важни за общественото доверие към технологията) и оперативната съвместимост и препоръчва действия на различни равнища с цел постигане на набелязания срок през 2019 г. Ето защо настоящото съобщение представлява важен етап от стратегията на ЕС за съвместно използвани, свързани и автоматизирани превозни средства. </w:t>
      </w:r>
    </w:p>
    <w:p>
      <w:pPr>
        <w:pStyle w:val="ListParagraph"/>
        <w:keepNext/>
        <w:numPr>
          <w:ilvl w:val="0"/>
          <w:numId w:val="4"/>
        </w:numPr>
        <w:spacing w:line="240" w:lineRule="auto"/>
        <w:jc w:val="both"/>
        <w:rPr>
          <w:rFonts w:ascii="Times New Roman" w:hAnsi="Times New Roman" w:cs="Times New Roman"/>
          <w:b/>
          <w:smallCaps/>
          <w:noProof/>
          <w:sz w:val="24"/>
          <w:szCs w:val="24"/>
        </w:rPr>
      </w:pPr>
      <w:r>
        <w:rPr>
          <w:rFonts w:ascii="Times New Roman" w:hAnsi="Times New Roman"/>
          <w:b/>
          <w:smallCaps/>
          <w:noProof/>
          <w:sz w:val="24"/>
        </w:rPr>
        <w:t>Европейски дейности за подпомагане на внедряването на съвместна, свързана и автоматизирана мобилност</w:t>
      </w:r>
    </w:p>
    <w:p>
      <w:pPr>
        <w:spacing w:line="240" w:lineRule="auto"/>
        <w:jc w:val="both"/>
        <w:rPr>
          <w:rFonts w:ascii="Times New Roman" w:hAnsi="Times New Roman" w:cs="Times New Roman"/>
          <w:noProof/>
          <w:sz w:val="24"/>
          <w:szCs w:val="24"/>
        </w:rPr>
      </w:pPr>
      <w:r>
        <w:rPr>
          <w:rFonts w:ascii="Times New Roman" w:hAnsi="Times New Roman"/>
          <w:noProof/>
          <w:sz w:val="24"/>
        </w:rPr>
        <w:t>Настоящото съобщение е резултат от интензивна работа с експерти от публичния и частния сектор. От ноември 2014 г. Комисията поддържа платформа за СИТС</w:t>
      </w:r>
      <w:r>
        <w:rPr>
          <w:rStyle w:val="FootnoteReference"/>
          <w:rFonts w:ascii="Times New Roman" w:hAnsi="Times New Roman"/>
          <w:noProof/>
          <w:sz w:val="24"/>
        </w:rPr>
        <w:footnoteReference w:id="14"/>
      </w:r>
      <w:r>
        <w:rPr>
          <w:rFonts w:ascii="Times New Roman" w:hAnsi="Times New Roman"/>
          <w:noProof/>
          <w:sz w:val="24"/>
        </w:rPr>
        <w:t>, с помощта на която да установи оставащите пречки и да предложи решения за внедряването на СИТС в Европа. Първият етап от тази платформа за СИТС приключи с експертен доклад</w:t>
      </w:r>
      <w:r>
        <w:rPr>
          <w:rStyle w:val="FootnoteReference"/>
          <w:rFonts w:ascii="Times New Roman" w:hAnsi="Times New Roman"/>
          <w:noProof/>
          <w:sz w:val="24"/>
        </w:rPr>
        <w:footnoteReference w:id="15"/>
      </w:r>
      <w:r>
        <w:rPr>
          <w:rFonts w:ascii="Times New Roman" w:hAnsi="Times New Roman"/>
          <w:noProof/>
          <w:sz w:val="24"/>
        </w:rPr>
        <w:t>, единодушно одобрен от участниците в платформата през януари 2016 г. Експертният доклад беше допълнен от анализ на разходите и ползите</w:t>
      </w:r>
      <w:bookmarkStart w:id="4" w:name="_Ref465896810"/>
      <w:r>
        <w:rPr>
          <w:rStyle w:val="FootnoteReference"/>
          <w:rFonts w:ascii="Times New Roman" w:hAnsi="Times New Roman"/>
          <w:noProof/>
          <w:sz w:val="24"/>
        </w:rPr>
        <w:footnoteReference w:id="16"/>
      </w:r>
      <w:bookmarkEnd w:id="4"/>
      <w:r>
        <w:rPr>
          <w:rStyle w:val="FootnoteReference"/>
          <w:rFonts w:ascii="Times New Roman" w:hAnsi="Times New Roman"/>
          <w:noProof/>
          <w:sz w:val="24"/>
        </w:rPr>
        <w:t xml:space="preserve"> </w:t>
      </w:r>
      <w:r>
        <w:rPr>
          <w:rFonts w:ascii="Times New Roman" w:hAnsi="Times New Roman"/>
          <w:noProof/>
          <w:sz w:val="24"/>
        </w:rPr>
        <w:t xml:space="preserve"> и обществена консултация</w:t>
      </w:r>
      <w:r>
        <w:rPr>
          <w:rStyle w:val="FootnoteReference"/>
          <w:rFonts w:ascii="Times New Roman" w:hAnsi="Times New Roman"/>
          <w:noProof/>
          <w:sz w:val="24"/>
        </w:rPr>
        <w:footnoteReference w:id="17"/>
      </w:r>
      <w:r>
        <w:rPr>
          <w:rFonts w:ascii="Times New Roman" w:hAnsi="Times New Roman"/>
          <w:noProof/>
          <w:sz w:val="24"/>
        </w:rPr>
        <w:t>, които заедно са в основата на настоящото съобщение. Междувременно платформата за СИТС навлезе във втория си етап през юли 2016 г.</w:t>
      </w:r>
    </w:p>
    <w:p>
      <w:pPr>
        <w:spacing w:line="240" w:lineRule="auto"/>
        <w:jc w:val="both"/>
        <w:rPr>
          <w:rFonts w:ascii="Times New Roman" w:hAnsi="Times New Roman" w:cs="Times New Roman"/>
          <w:noProof/>
          <w:sz w:val="24"/>
          <w:szCs w:val="24"/>
        </w:rPr>
      </w:pPr>
      <w:r>
        <w:rPr>
          <w:rFonts w:ascii="Times New Roman" w:hAnsi="Times New Roman"/>
          <w:noProof/>
          <w:sz w:val="24"/>
        </w:rPr>
        <w:t>ЕС вече осигури значително финансиране</w:t>
      </w:r>
      <w:r>
        <w:rPr>
          <w:rStyle w:val="FootnoteReference"/>
          <w:rFonts w:ascii="Times New Roman" w:hAnsi="Times New Roman"/>
          <w:noProof/>
          <w:sz w:val="24"/>
        </w:rPr>
        <w:footnoteReference w:id="18"/>
      </w:r>
      <w:r>
        <w:rPr>
          <w:rFonts w:ascii="Times New Roman" w:hAnsi="Times New Roman"/>
          <w:noProof/>
          <w:sz w:val="24"/>
        </w:rPr>
        <w:t xml:space="preserve"> за съвместно използвани, свързани и автоматизирани превозни средства. От над 15 години научните изследвания и проектите за внедряване доказват приложимостта на СИТС услугите.  Напоследък научни изследвания в рамките на „Хоризонт 2020“ в областта на интелигентните транспортни системи насочиха вниманието към интегриране на различните видове транспорт и връзките с автоматизацията. През 2016 г. беше публикувана специална покана за представяне на предложения за проекти за автоматизиран автомобилен транспорт. В контекста на стратегическата програма за изследвания и иновации в областта на транспорта, Комисията разработва пътна карта за свързания и автоматизиран транспорт с цел да управлява и координира бъдещата научноизследователска и иновационна дейност в Европа. Тази работа се допълва от широкомащабни проекти за внедряване, насочени към разработване на съвместни системи по трансевропейската транспортна мрежа в 13 държави</w:t>
      </w:r>
      <w:r>
        <w:rPr>
          <w:rStyle w:val="FootnoteReference"/>
          <w:rFonts w:ascii="Times New Roman" w:hAnsi="Times New Roman"/>
          <w:noProof/>
          <w:sz w:val="24"/>
        </w:rPr>
        <w:footnoteReference w:id="19"/>
      </w:r>
      <w:r>
        <w:rPr>
          <w:rFonts w:ascii="Times New Roman" w:hAnsi="Times New Roman"/>
          <w:noProof/>
          <w:sz w:val="24"/>
        </w:rPr>
        <w:t>, които използват програми за финансиране на ЕС като например Механизма за свързване на Европа.</w:t>
      </w:r>
    </w:p>
    <w:p>
      <w:pPr>
        <w:spacing w:line="240" w:lineRule="auto"/>
        <w:jc w:val="both"/>
        <w:rPr>
          <w:rFonts w:ascii="Times New Roman" w:hAnsi="Times New Roman" w:cs="Times New Roman"/>
          <w:noProof/>
          <w:sz w:val="24"/>
          <w:szCs w:val="24"/>
        </w:rPr>
      </w:pPr>
      <w:r>
        <w:rPr>
          <w:rFonts w:ascii="Times New Roman" w:hAnsi="Times New Roman"/>
          <w:noProof/>
          <w:sz w:val="24"/>
        </w:rPr>
        <w:t>По въпросите на високоавтоматизираните и свързани превозни средства редица органи на държави членки, неправителствени организации и заинтересовани страни от промишлеността си сътрудничат със съответните комисари в рамките на GEAR 2030 — група на високо равнище, създадена през октомври 2015 г., за да прогнозират бъдещето на автомобилния сектор. Резултатите от платформата за СИТС ще бъдат включени в GEAR 2030, за да представят перспективата на транспортните системи. Целта на групата е да представи първите си препоръки до края на 2016 г. и окончателни препоръки до средата на 2017 г.</w:t>
      </w:r>
    </w:p>
    <w:p>
      <w:pPr>
        <w:spacing w:line="240" w:lineRule="auto"/>
        <w:jc w:val="both"/>
        <w:rPr>
          <w:rFonts w:ascii="Times New Roman" w:hAnsi="Times New Roman" w:cs="Times New Roman"/>
          <w:noProof/>
          <w:sz w:val="24"/>
          <w:szCs w:val="24"/>
        </w:rPr>
      </w:pPr>
      <w:r>
        <w:rPr>
          <w:rFonts w:ascii="Times New Roman" w:hAnsi="Times New Roman"/>
          <w:noProof/>
          <w:sz w:val="24"/>
        </w:rPr>
        <w:t>През есента на 2015 г. стартира диалог на високо равнище под формата на кръгли маси с участието на представители на секторите на далекосъобщенията и автомобилостроенето, за да се развият полезни взаимодействия в областта на свързаните и автоматизирани превозни средства. Очаква се този диалог да помогне на сектора на автомобилостроенето да се възползва от развитието на цифровите технологии, като например интернет на предметите, технологията на големите информационни масиви, политиката в областта на далекосъобщенията и цифровизацията на промишлеността; той вече доведе до ангажимент и от двата сектора да създадат нови партньорства и да започнат да експериментират с технологии от пето поколение (5G).</w:t>
      </w:r>
    </w:p>
    <w:p>
      <w:pPr>
        <w:spacing w:line="240" w:lineRule="auto"/>
        <w:jc w:val="both"/>
        <w:rPr>
          <w:rFonts w:ascii="Times New Roman" w:hAnsi="Times New Roman" w:cs="Times New Roman"/>
          <w:noProof/>
          <w:sz w:val="24"/>
          <w:szCs w:val="24"/>
        </w:rPr>
      </w:pPr>
      <w:r>
        <w:rPr>
          <w:rFonts w:ascii="Times New Roman" w:hAnsi="Times New Roman"/>
          <w:noProof/>
          <w:sz w:val="24"/>
        </w:rPr>
        <w:t>Както е посочено в</w:t>
      </w:r>
      <w:r>
        <w:rPr>
          <w:noProof/>
        </w:rPr>
        <w:t xml:space="preserve"> </w:t>
      </w:r>
      <w:r>
        <w:rPr>
          <w:rFonts w:ascii="Times New Roman" w:hAnsi="Times New Roman"/>
          <w:noProof/>
        </w:rPr>
        <w:t>работната програма на Комисията за 2017 г., Комисията ще продължи да работи върху регулаторната среда, изграждането на екосистеми, ресурсната ефективност и стандартизацията, за да улесни въвеждането на пазара на все по-ефективни съвместно използвани, свързани и автоматизирани превозни средства.</w:t>
      </w:r>
    </w:p>
    <w:p>
      <w:pPr>
        <w:spacing w:line="240" w:lineRule="auto"/>
        <w:jc w:val="both"/>
        <w:rPr>
          <w:rFonts w:ascii="Times New Roman" w:hAnsi="Times New Roman" w:cs="Times New Roman"/>
          <w:noProof/>
          <w:sz w:val="24"/>
          <w:szCs w:val="24"/>
        </w:rPr>
      </w:pPr>
      <w:r>
        <w:rPr>
          <w:rFonts w:ascii="Times New Roman" w:hAnsi="Times New Roman"/>
          <w:noProof/>
          <w:sz w:val="24"/>
        </w:rPr>
        <w:t>На основата на тези инициативи е нужно безпрецедентно равнище на сътрудничество в много сектори, за да бъде внедряването на СИТС успешно. Ролите и задълженията по веригата на стойността се размиват, което поставя под въпрос съществуващите концепции. За да се избегне евентуален „ефект на бумеранга“, например нетно увеличение на трафика и емисиите, е необходимо тясно сътрудничество с местните власти. Например, да се интегрират съвместно използваните, свързани и автоматизирани превозни средства в устойчивото планиране на мобилността или концепцията за „Мобилността като услуга“, включително обществения транспорт и активни начини на пътуване като ходенето пеша и колоезденето. За да се гарантира широкото приемане на СИТС технологиите и да се използва максимално тяхното икономическо и социално въздействие, основен фактор е приобщаването на гражданите и затова внедряването на СИТС следва да се съсредоточи върху потребителя.</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За цифровите транспортни системи се изисква мислене в хоризонтални слоеве, които имат пресечни точки с различни видове транспорт и промишлени сектори, а не вертикални модели (например транспорт, енергетика или далекосъобщения). Вече не е възможно в центъра на вниманието да остане единствено инфраструктурният слой (например пътища и превозни средства). Цифровите технологии надграждат също така върху слой от данни, който съдържа както статични данни (като цифрови карти или правила за движение), така и динамични данни (например информация в реално време за движението). Тези данни се използват за разработване на слой от иновативни услуги и приложения, които се предоставят чрез слой от мрежи. </w:t>
      </w:r>
      <w:r>
        <w:rPr>
          <w:noProof/>
        </w:rPr>
        <w:t>За да се извлече максимална полза от цифровите технологии, необходимо е да се гарантира достъп до пазара и лоялна конкуренция на всеки от тези слоеве, както се препоръчва в съобщението на Комисията относно онлайн платформите</w:t>
      </w:r>
      <w:r>
        <w:rPr>
          <w:rStyle w:val="FootnoteReference"/>
          <w:rFonts w:ascii="Times New Roman" w:hAnsi="Times New Roman"/>
          <w:noProof/>
          <w:sz w:val="24"/>
        </w:rPr>
        <w:footnoteReference w:id="20"/>
      </w:r>
      <w:r>
        <w:rPr>
          <w:noProof/>
        </w:rPr>
        <w:t>.</w:t>
      </w:r>
    </w:p>
    <w:p>
      <w:pPr>
        <w:pStyle w:val="ListParagraph"/>
        <w:keepNext/>
        <w:numPr>
          <w:ilvl w:val="0"/>
          <w:numId w:val="4"/>
        </w:numPr>
        <w:spacing w:before="240" w:line="240" w:lineRule="auto"/>
        <w:ind w:left="357" w:hanging="357"/>
        <w:contextualSpacing w:val="0"/>
        <w:jc w:val="both"/>
        <w:rPr>
          <w:rFonts w:ascii="Times New Roman" w:hAnsi="Times New Roman" w:cs="Times New Roman"/>
          <w:b/>
          <w:smallCaps/>
          <w:noProof/>
          <w:sz w:val="24"/>
          <w:szCs w:val="24"/>
        </w:rPr>
      </w:pPr>
      <w:r>
        <w:rPr>
          <w:rFonts w:ascii="Times New Roman" w:hAnsi="Times New Roman"/>
          <w:b/>
          <w:smallCaps/>
          <w:noProof/>
          <w:sz w:val="24"/>
        </w:rPr>
        <w:t>Пътят към внедряването на СИТС през 2019 г.</w:t>
      </w:r>
    </w:p>
    <w:p>
      <w:pPr>
        <w:spacing w:line="240" w:lineRule="auto"/>
        <w:jc w:val="both"/>
        <w:rPr>
          <w:rFonts w:ascii="Times New Roman" w:hAnsi="Times New Roman" w:cs="Times New Roman"/>
          <w:noProof/>
          <w:sz w:val="24"/>
          <w:szCs w:val="24"/>
        </w:rPr>
      </w:pPr>
      <w:r>
        <w:rPr>
          <w:rFonts w:ascii="Times New Roman" w:hAnsi="Times New Roman"/>
          <w:noProof/>
          <w:sz w:val="24"/>
        </w:rPr>
        <w:t>Следвайки препоръките на доклада на платформата за СИТС</w:t>
      </w:r>
      <w:r>
        <w:rPr>
          <w:rStyle w:val="FootnoteReference"/>
          <w:rFonts w:ascii="Times New Roman" w:hAnsi="Times New Roman"/>
          <w:noProof/>
          <w:sz w:val="24"/>
        </w:rPr>
        <w:footnoteReference w:id="21"/>
      </w:r>
      <w:r>
        <w:rPr>
          <w:rFonts w:ascii="Times New Roman" w:hAnsi="Times New Roman"/>
          <w:noProof/>
          <w:sz w:val="24"/>
        </w:rPr>
        <w:t>, Комисията определи теми, които следва да бъдат разгледани на равнище ЕС, за да се гарантира координираното внедряване на СИТС услугите през 2019 г. В следващите глави се предлагат конкретни действия по всеки въпрос, включително осигуряване на благоприятни условия на равнище ЕС, държави членки, публични органи и промишлен сектор.</w:t>
      </w:r>
    </w:p>
    <w:p>
      <w:pPr>
        <w:pStyle w:val="ListParagraph"/>
        <w:keepNext/>
        <w:numPr>
          <w:ilvl w:val="1"/>
          <w:numId w:val="12"/>
        </w:numPr>
        <w:spacing w:before="240" w:line="240" w:lineRule="auto"/>
        <w:contextualSpacing w:val="0"/>
        <w:jc w:val="both"/>
        <w:rPr>
          <w:rFonts w:ascii="Times New Roman" w:hAnsi="Times New Roman" w:cs="Times New Roman"/>
          <w:b/>
          <w:noProof/>
          <w:sz w:val="24"/>
          <w:szCs w:val="24"/>
        </w:rPr>
      </w:pPr>
      <w:r>
        <w:rPr>
          <w:rFonts w:ascii="Times New Roman" w:hAnsi="Times New Roman"/>
          <w:b/>
          <w:noProof/>
          <w:sz w:val="24"/>
        </w:rPr>
        <w:t>Приоритети при внедряването на СИТС услугите</w:t>
      </w:r>
    </w:p>
    <w:p>
      <w:pPr>
        <w:spacing w:line="240" w:lineRule="auto"/>
        <w:jc w:val="both"/>
        <w:rPr>
          <w:rFonts w:ascii="Times New Roman" w:hAnsi="Times New Roman" w:cs="Times New Roman"/>
          <w:noProof/>
          <w:sz w:val="24"/>
          <w:szCs w:val="24"/>
        </w:rPr>
      </w:pPr>
      <w:r>
        <w:rPr>
          <w:rFonts w:ascii="Times New Roman" w:hAnsi="Times New Roman"/>
          <w:noProof/>
          <w:sz w:val="24"/>
        </w:rPr>
        <w:t>Непрекъснатостта на СИТС услугата, т.е. наличието на услуги за крайни потребители в целия ЕС, е най-важният фактор за бързо внедряване на СИТС в Европа. От самото начало внедряваните услуги следва да бъдат възможно най-широко достъпни както по протежение на инфраструктурата, така и в превозните средства. Поради това настоящото съобщение определя приоритетите за координирано внедряване на СИТС услуги от държавите членки и промишлеността.</w:t>
      </w:r>
    </w:p>
    <w:p>
      <w:pPr>
        <w:spacing w:line="240" w:lineRule="auto"/>
        <w:jc w:val="both"/>
        <w:rPr>
          <w:rFonts w:ascii="Times New Roman" w:hAnsi="Times New Roman" w:cs="Times New Roman"/>
          <w:noProof/>
          <w:sz w:val="24"/>
          <w:szCs w:val="24"/>
        </w:rPr>
      </w:pPr>
      <w:r>
        <w:rPr>
          <w:rFonts w:ascii="Times New Roman" w:hAnsi="Times New Roman"/>
          <w:noProof/>
          <w:sz w:val="24"/>
        </w:rPr>
        <w:t>По молба на Комисията платформата за СИТС анализира разходите за и ползите от внедряването на СИТС услугите за пътния транспорт в държавите членки</w:t>
      </w:r>
      <w:r>
        <w:rPr>
          <w:rStyle w:val="FootnoteReference"/>
          <w:rFonts w:ascii="Times New Roman" w:hAnsi="Times New Roman" w:cs="Times New Roman"/>
          <w:noProof/>
        </w:rPr>
        <w:fldChar w:fldCharType="begin"/>
      </w:r>
      <w:r>
        <w:rPr>
          <w:rStyle w:val="FootnoteReference"/>
          <w:rFonts w:ascii="Times New Roman" w:hAnsi="Times New Roman" w:cs="Times New Roman"/>
          <w:noProof/>
        </w:rPr>
        <w:instrText xml:space="preserve"> NOTEREF _Ref465896810 \h  \* MERGEFORMAT </w:instrText>
      </w:r>
      <w:r>
        <w:rPr>
          <w:rStyle w:val="FootnoteReference"/>
          <w:rFonts w:ascii="Times New Roman" w:hAnsi="Times New Roman" w:cs="Times New Roman"/>
          <w:noProof/>
        </w:rPr>
      </w:r>
      <w:r>
        <w:rPr>
          <w:rStyle w:val="FootnoteReference"/>
          <w:rFonts w:ascii="Times New Roman" w:hAnsi="Times New Roman" w:cs="Times New Roman"/>
          <w:noProof/>
        </w:rPr>
        <w:fldChar w:fldCharType="separate"/>
      </w:r>
      <w:r>
        <w:rPr>
          <w:rStyle w:val="FootnoteReference"/>
          <w:rFonts w:ascii="Times New Roman" w:hAnsi="Times New Roman" w:cs="Times New Roman"/>
          <w:noProof/>
          <w:sz w:val="24"/>
          <w:szCs w:val="24"/>
        </w:rPr>
        <w:t>16</w:t>
      </w:r>
      <w:r>
        <w:rPr>
          <w:rStyle w:val="FootnoteReference"/>
          <w:rFonts w:ascii="Times New Roman" w:hAnsi="Times New Roman" w:cs="Times New Roman"/>
          <w:noProof/>
        </w:rPr>
        <w:fldChar w:fldCharType="end"/>
      </w:r>
      <w:r>
        <w:rPr>
          <w:rFonts w:ascii="Times New Roman" w:hAnsi="Times New Roman"/>
          <w:noProof/>
          <w:sz w:val="24"/>
        </w:rPr>
        <w:t>. За целта платформата разгледа най-перспективните сценарии за внедряване от гледна точка на скорост и обхват.</w:t>
      </w:r>
    </w:p>
    <w:p>
      <w:pPr>
        <w:spacing w:line="240" w:lineRule="auto"/>
        <w:jc w:val="both"/>
        <w:rPr>
          <w:rFonts w:ascii="Times New Roman" w:hAnsi="Times New Roman" w:cs="Times New Roman"/>
          <w:noProof/>
          <w:sz w:val="24"/>
          <w:szCs w:val="24"/>
        </w:rPr>
      </w:pPr>
      <w:r>
        <w:rPr>
          <w:rFonts w:ascii="Times New Roman" w:hAnsi="Times New Roman"/>
          <w:noProof/>
          <w:sz w:val="24"/>
        </w:rPr>
        <w:t>Заключението гласи, че за СИТС услугите от ден 1 — стига да се внедрят по оперативно съвместим начин в цяла Европа — ще съотношението ползи/разходи ще бъде 3:1 въз основа на кумулативните разходи и ползи от 2018 до 2030 г. Това означава, че всяко евро, инвестирано в СИТС услугите от ден 1, следва да генерира ползи с парично измерение до три евро. Бързото внедряване на възможно най-много услуги ще значи също така, че те ще достигнат точката на рентабилност дори по-бързо и ще доведат до по-големи цялостни ползи, главно поради мрежовия ефект (което означава, че бавните първоначални темпове на навлизане ще доведат до сравнително дълги периоди с малко ползи).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Опирайки се на този доклад, Комисията смята, че следва бързо да се внедри набор от технологично развити и много полезни СИТС услуги, за да могат крайните потребители и обществото като цяло да се възползват от тях възможно най-скоро. Този списък за ранно внедряване е посочен по-долу като </w:t>
      </w:r>
      <w:r>
        <w:rPr>
          <w:rFonts w:ascii="Times New Roman" w:hAnsi="Times New Roman"/>
          <w:i/>
          <w:noProof/>
          <w:sz w:val="24"/>
        </w:rPr>
        <w:t>списък на СИТС услугите от ден 1.</w:t>
      </w:r>
    </w:p>
    <w:p>
      <w:pPr>
        <w:spacing w:line="240" w:lineRule="auto"/>
        <w:jc w:val="both"/>
        <w:rPr>
          <w:rFonts w:ascii="Times New Roman" w:hAnsi="Times New Roman" w:cs="Times New Roman"/>
          <w:noProof/>
          <w:sz w:val="24"/>
          <w:szCs w:val="24"/>
        </w:rPr>
      </w:pPr>
      <w:r>
        <w:rPr>
          <w:rFonts w:ascii="Times New Roman" w:hAnsi="Times New Roman"/>
          <w:noProof/>
          <w:sz w:val="24"/>
        </w:rPr>
        <w:t>След него ще бъде определен</w:t>
      </w:r>
      <w:r>
        <w:rPr>
          <w:rFonts w:ascii="Times New Roman" w:hAnsi="Times New Roman"/>
          <w:noProof/>
          <w:sz w:val="24"/>
          <w:lang w:val="en-GB"/>
        </w:rPr>
        <w:t xml:space="preserve"> </w:t>
      </w:r>
      <w:r>
        <w:rPr>
          <w:rFonts w:ascii="Times New Roman" w:hAnsi="Times New Roman"/>
          <w:i/>
          <w:noProof/>
          <w:sz w:val="24"/>
        </w:rPr>
        <w:t>списък на СИТС услугите от ден 1,5</w:t>
      </w:r>
      <w:r>
        <w:rPr>
          <w:rFonts w:ascii="Times New Roman" w:hAnsi="Times New Roman"/>
          <w:noProof/>
          <w:sz w:val="24"/>
        </w:rPr>
        <w:t>. Това е списък на услугите, чиито пълни спецификации или стандарти може да не са изцяло разработени за широкомащабно внедряване от 2019 г., макар че като цяло се смятат за технологично зрели.</w:t>
      </w:r>
    </w:p>
    <w:p>
      <w:pPr>
        <w:spacing w:line="240" w:lineRule="auto"/>
        <w:jc w:val="both"/>
        <w:rPr>
          <w:rFonts w:ascii="Times New Roman" w:hAnsi="Times New Roman" w:cs="Times New Roman"/>
          <w:noProof/>
          <w:sz w:val="24"/>
          <w:szCs w:val="24"/>
        </w:rPr>
      </w:pPr>
      <w:r>
        <w:rPr>
          <w:rFonts w:ascii="Times New Roman" w:hAnsi="Times New Roman"/>
          <w:noProof/>
          <w:sz w:val="24"/>
        </w:rPr>
        <w:t>Отговорилите на обществената консултация са съгласни, че всички услуги (от двата списъка) следва да се включат в ранното внедряване.</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rPr>
            </w:pPr>
            <w:r>
              <w:rPr>
                <w:rFonts w:ascii="Times New Roman" w:hAnsi="Times New Roman"/>
                <w:b/>
                <w:noProof/>
                <w:sz w:val="24"/>
              </w:rPr>
              <w:t>Списък на СИТС услугите от ден 1</w:t>
            </w:r>
          </w:p>
        </w:tc>
      </w:tr>
      <w:tr>
        <w:trPr>
          <w:trHeight w:val="282"/>
          <w:jc w:val="center"/>
        </w:trPr>
        <w:tc>
          <w:tcPr>
            <w:tcW w:w="9042" w:type="dxa"/>
            <w:tcBorders>
              <w:bottom w:val="single" w:sz="4" w:space="0" w:color="auto"/>
            </w:tcBorders>
          </w:tcPr>
          <w:p>
            <w:pPr>
              <w:rPr>
                <w:rFonts w:ascii="Times New Roman" w:hAnsi="Times New Roman" w:cs="Times New Roman"/>
                <w:noProof/>
                <w:sz w:val="24"/>
                <w:szCs w:val="24"/>
              </w:rPr>
            </w:pPr>
            <w:r>
              <w:rPr>
                <w:rFonts w:ascii="Times New Roman" w:hAnsi="Times New Roman"/>
                <w:b/>
                <w:noProof/>
                <w:sz w:val="24"/>
              </w:rPr>
              <w:t>Уведомления за опасни места:</w:t>
            </w:r>
          </w:p>
          <w:p>
            <w:pPr>
              <w:pStyle w:val="ListParagraph"/>
              <w:numPr>
                <w:ilvl w:val="0"/>
                <w:numId w:val="51"/>
              </w:numPr>
              <w:rPr>
                <w:rFonts w:ascii="Times New Roman" w:hAnsi="Times New Roman" w:cs="Times New Roman"/>
                <w:noProof/>
                <w:sz w:val="24"/>
                <w:szCs w:val="24"/>
              </w:rPr>
            </w:pPr>
            <w:r>
              <w:rPr>
                <w:rFonts w:ascii="Times New Roman" w:hAnsi="Times New Roman"/>
                <w:noProof/>
                <w:sz w:val="24"/>
              </w:rPr>
              <w:t>предупреждение за бавно движещи се или спрели превозни средства отпред в посоката на движение:</w:t>
            </w:r>
          </w:p>
          <w:p>
            <w:pPr>
              <w:pStyle w:val="ListParagraph"/>
              <w:numPr>
                <w:ilvl w:val="0"/>
                <w:numId w:val="51"/>
              </w:numPr>
              <w:rPr>
                <w:rFonts w:ascii="Times New Roman" w:hAnsi="Times New Roman" w:cs="Times New Roman"/>
                <w:noProof/>
                <w:sz w:val="24"/>
                <w:szCs w:val="24"/>
              </w:rPr>
            </w:pPr>
            <w:r>
              <w:rPr>
                <w:rFonts w:ascii="Times New Roman" w:hAnsi="Times New Roman"/>
                <w:noProof/>
                <w:sz w:val="24"/>
              </w:rPr>
              <w:t>предупреждение за участък в ремонт;</w:t>
            </w:r>
          </w:p>
          <w:p>
            <w:pPr>
              <w:pStyle w:val="ListParagraph"/>
              <w:numPr>
                <w:ilvl w:val="0"/>
                <w:numId w:val="51"/>
              </w:numPr>
              <w:rPr>
                <w:rFonts w:ascii="Times New Roman" w:hAnsi="Times New Roman" w:cs="Times New Roman"/>
                <w:noProof/>
                <w:sz w:val="24"/>
                <w:szCs w:val="24"/>
              </w:rPr>
            </w:pPr>
            <w:r>
              <w:rPr>
                <w:rFonts w:ascii="Times New Roman" w:hAnsi="Times New Roman"/>
                <w:noProof/>
                <w:sz w:val="24"/>
              </w:rPr>
              <w:t>предупреждение за опасни метеорологични условия;</w:t>
            </w:r>
          </w:p>
          <w:p>
            <w:pPr>
              <w:pStyle w:val="ListParagraph"/>
              <w:numPr>
                <w:ilvl w:val="0"/>
                <w:numId w:val="51"/>
              </w:numPr>
              <w:rPr>
                <w:rFonts w:ascii="Times New Roman" w:hAnsi="Times New Roman" w:cs="Times New Roman"/>
                <w:noProof/>
                <w:sz w:val="24"/>
                <w:szCs w:val="24"/>
              </w:rPr>
            </w:pPr>
            <w:r>
              <w:rPr>
                <w:rFonts w:ascii="Times New Roman" w:hAnsi="Times New Roman"/>
                <w:noProof/>
                <w:sz w:val="24"/>
              </w:rPr>
              <w:t>предупредителни светлини за аварийно спиране;</w:t>
            </w:r>
          </w:p>
          <w:p>
            <w:pPr>
              <w:pStyle w:val="ListParagraph"/>
              <w:numPr>
                <w:ilvl w:val="0"/>
                <w:numId w:val="51"/>
              </w:numPr>
              <w:rPr>
                <w:rFonts w:ascii="Times New Roman" w:hAnsi="Times New Roman" w:cs="Times New Roman"/>
                <w:noProof/>
                <w:sz w:val="24"/>
                <w:szCs w:val="24"/>
              </w:rPr>
            </w:pPr>
            <w:r>
              <w:rPr>
                <w:rFonts w:ascii="Times New Roman" w:hAnsi="Times New Roman"/>
                <w:noProof/>
                <w:sz w:val="24"/>
              </w:rPr>
              <w:t>приближаващо се превозно средство за спешна помощ;</w:t>
            </w:r>
          </w:p>
          <w:p>
            <w:pPr>
              <w:pStyle w:val="ListParagraph"/>
              <w:numPr>
                <w:ilvl w:val="0"/>
                <w:numId w:val="51"/>
              </w:numPr>
              <w:rPr>
                <w:rFonts w:ascii="Times New Roman" w:hAnsi="Times New Roman" w:cs="Times New Roman"/>
                <w:noProof/>
                <w:sz w:val="24"/>
                <w:szCs w:val="24"/>
              </w:rPr>
            </w:pPr>
            <w:r>
              <w:rPr>
                <w:rFonts w:ascii="Times New Roman" w:hAnsi="Times New Roman"/>
                <w:noProof/>
                <w:sz w:val="24"/>
              </w:rPr>
              <w:t>Други опасности.</w:t>
            </w:r>
          </w:p>
          <w:p>
            <w:pPr>
              <w:jc w:val="both"/>
              <w:rPr>
                <w:rFonts w:ascii="Times New Roman" w:hAnsi="Times New Roman" w:cs="Times New Roman"/>
                <w:noProof/>
                <w:sz w:val="24"/>
                <w:szCs w:val="24"/>
              </w:rPr>
            </w:pPr>
            <w:r>
              <w:rPr>
                <w:rFonts w:ascii="Times New Roman" w:hAnsi="Times New Roman"/>
                <w:b/>
                <w:noProof/>
                <w:sz w:val="24"/>
              </w:rPr>
              <w:t>Приложения за сигнализация</w:t>
            </w:r>
            <w:r>
              <w:rPr>
                <w:rFonts w:ascii="Times New Roman" w:hAnsi="Times New Roman"/>
                <w:noProof/>
                <w:sz w:val="24"/>
              </w:rPr>
              <w:t>:</w:t>
            </w:r>
          </w:p>
          <w:p>
            <w:pPr>
              <w:pStyle w:val="ListParagraph"/>
              <w:numPr>
                <w:ilvl w:val="0"/>
                <w:numId w:val="52"/>
              </w:numPr>
              <w:jc w:val="both"/>
              <w:rPr>
                <w:rFonts w:ascii="Times New Roman" w:hAnsi="Times New Roman" w:cs="Times New Roman"/>
                <w:noProof/>
                <w:sz w:val="24"/>
                <w:szCs w:val="24"/>
              </w:rPr>
            </w:pPr>
            <w:r>
              <w:rPr>
                <w:rFonts w:ascii="Times New Roman" w:hAnsi="Times New Roman"/>
                <w:noProof/>
                <w:sz w:val="24"/>
              </w:rPr>
              <w:t>сигнализация в превозното средство;</w:t>
            </w:r>
          </w:p>
          <w:p>
            <w:pPr>
              <w:pStyle w:val="ListParagraph"/>
              <w:numPr>
                <w:ilvl w:val="0"/>
                <w:numId w:val="52"/>
              </w:numPr>
              <w:jc w:val="both"/>
              <w:rPr>
                <w:rFonts w:ascii="Times New Roman" w:hAnsi="Times New Roman" w:cs="Times New Roman"/>
                <w:noProof/>
                <w:sz w:val="24"/>
                <w:szCs w:val="24"/>
              </w:rPr>
            </w:pPr>
            <w:r>
              <w:rPr>
                <w:rFonts w:ascii="Times New Roman" w:hAnsi="Times New Roman"/>
                <w:noProof/>
                <w:sz w:val="24"/>
              </w:rPr>
              <w:t>сигнализиране в превозните средства за ограничения в скоростта;</w:t>
            </w:r>
          </w:p>
          <w:p>
            <w:pPr>
              <w:pStyle w:val="ListParagraph"/>
              <w:numPr>
                <w:ilvl w:val="0"/>
                <w:numId w:val="52"/>
              </w:numPr>
              <w:jc w:val="both"/>
              <w:rPr>
                <w:rFonts w:ascii="Times New Roman" w:hAnsi="Times New Roman" w:cs="Times New Roman"/>
                <w:noProof/>
                <w:sz w:val="24"/>
                <w:szCs w:val="24"/>
              </w:rPr>
            </w:pPr>
            <w:r>
              <w:rPr>
                <w:rFonts w:ascii="Times New Roman" w:hAnsi="Times New Roman"/>
                <w:noProof/>
                <w:sz w:val="24"/>
              </w:rPr>
              <w:t>нарушение на  светофарни сигнали / безопасност на кръстовищата;</w:t>
            </w:r>
          </w:p>
          <w:p>
            <w:pPr>
              <w:pStyle w:val="ListParagraph"/>
              <w:numPr>
                <w:ilvl w:val="0"/>
                <w:numId w:val="52"/>
              </w:numPr>
              <w:jc w:val="both"/>
              <w:rPr>
                <w:rFonts w:ascii="Times New Roman" w:hAnsi="Times New Roman" w:cs="Times New Roman"/>
                <w:noProof/>
                <w:sz w:val="24"/>
                <w:szCs w:val="24"/>
              </w:rPr>
            </w:pPr>
            <w:r>
              <w:rPr>
                <w:rFonts w:ascii="Times New Roman" w:hAnsi="Times New Roman"/>
                <w:noProof/>
                <w:sz w:val="24"/>
              </w:rPr>
              <w:t>искане от превозни средства със специален режим за приоритетно пропускане от светофарните уредби;</w:t>
            </w:r>
          </w:p>
          <w:p>
            <w:pPr>
              <w:pStyle w:val="ListParagraph"/>
              <w:numPr>
                <w:ilvl w:val="0"/>
                <w:numId w:val="52"/>
              </w:numPr>
              <w:jc w:val="both"/>
              <w:rPr>
                <w:rFonts w:ascii="Times New Roman" w:hAnsi="Times New Roman" w:cs="Times New Roman"/>
                <w:noProof/>
                <w:sz w:val="24"/>
                <w:szCs w:val="24"/>
              </w:rPr>
            </w:pPr>
            <w:r>
              <w:rPr>
                <w:rFonts w:ascii="Times New Roman" w:hAnsi="Times New Roman"/>
                <w:noProof/>
                <w:sz w:val="24"/>
              </w:rPr>
              <w:t>препоръки за оптимална скорост за постигане на зелена вълна;</w:t>
            </w:r>
          </w:p>
          <w:p>
            <w:pPr>
              <w:pStyle w:val="ListParagraph"/>
              <w:numPr>
                <w:ilvl w:val="0"/>
                <w:numId w:val="52"/>
              </w:numPr>
              <w:jc w:val="both"/>
              <w:rPr>
                <w:rFonts w:ascii="Times New Roman" w:hAnsi="Times New Roman" w:cs="Times New Roman"/>
                <w:noProof/>
                <w:sz w:val="24"/>
                <w:szCs w:val="24"/>
              </w:rPr>
            </w:pPr>
            <w:r>
              <w:rPr>
                <w:rFonts w:ascii="Times New Roman" w:hAnsi="Times New Roman"/>
                <w:noProof/>
                <w:sz w:val="24"/>
              </w:rPr>
              <w:t>данни от тестови превозни средства;</w:t>
            </w:r>
          </w:p>
          <w:p>
            <w:pPr>
              <w:pStyle w:val="ListParagraph"/>
              <w:numPr>
                <w:ilvl w:val="0"/>
                <w:numId w:val="52"/>
              </w:numPr>
              <w:jc w:val="both"/>
              <w:rPr>
                <w:rFonts w:ascii="Times New Roman" w:hAnsi="Times New Roman" w:cs="Times New Roman"/>
                <w:noProof/>
                <w:sz w:val="24"/>
                <w:szCs w:val="24"/>
              </w:rPr>
            </w:pPr>
            <w:r>
              <w:rPr>
                <w:rFonts w:ascii="Times New Roman" w:hAnsi="Times New Roman"/>
                <w:noProof/>
                <w:sz w:val="24"/>
              </w:rPr>
              <w:t>смекчаване на вълни от задръствания (попада в категория „предупреждения за местни опасности“ на Европейския институт за стандарти в далекосъобщенията (ETSI))</w:t>
            </w:r>
          </w:p>
        </w:tc>
      </w:tr>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rPr>
            </w:pPr>
            <w:r>
              <w:rPr>
                <w:rFonts w:ascii="Times New Roman" w:hAnsi="Times New Roman"/>
                <w:b/>
                <w:noProof/>
                <w:sz w:val="24"/>
              </w:rPr>
              <w:t>Списък на СИТС услугите от ден 1,5</w:t>
            </w:r>
          </w:p>
        </w:tc>
      </w:tr>
      <w:tr>
        <w:trPr>
          <w:trHeight w:val="282"/>
          <w:jc w:val="center"/>
        </w:trPr>
        <w:tc>
          <w:tcPr>
            <w:tcW w:w="9042" w:type="dxa"/>
          </w:tcPr>
          <w:p>
            <w:pPr>
              <w:pStyle w:val="ListParagraph"/>
              <w:numPr>
                <w:ilvl w:val="0"/>
                <w:numId w:val="53"/>
              </w:numPr>
              <w:jc w:val="both"/>
              <w:rPr>
                <w:rFonts w:ascii="Times New Roman" w:hAnsi="Times New Roman" w:cs="Times New Roman"/>
                <w:noProof/>
                <w:sz w:val="24"/>
                <w:szCs w:val="24"/>
              </w:rPr>
            </w:pPr>
            <w:r>
              <w:rPr>
                <w:rFonts w:ascii="Times New Roman" w:hAnsi="Times New Roman"/>
                <w:noProof/>
                <w:sz w:val="24"/>
              </w:rPr>
              <w:t>информация за станциите за гориво и зареждане за превозни средства на алтернативни горива;</w:t>
            </w:r>
          </w:p>
          <w:p>
            <w:pPr>
              <w:pStyle w:val="ListParagraph"/>
              <w:numPr>
                <w:ilvl w:val="0"/>
                <w:numId w:val="53"/>
              </w:numPr>
              <w:jc w:val="both"/>
              <w:rPr>
                <w:rFonts w:ascii="Times New Roman" w:hAnsi="Times New Roman" w:cs="Times New Roman"/>
                <w:noProof/>
                <w:sz w:val="24"/>
                <w:szCs w:val="24"/>
              </w:rPr>
            </w:pPr>
            <w:r>
              <w:rPr>
                <w:rFonts w:ascii="Times New Roman" w:hAnsi="Times New Roman"/>
                <w:noProof/>
                <w:sz w:val="24"/>
              </w:rPr>
              <w:t>защита на уязвимите участници в пътното движение;</w:t>
            </w:r>
          </w:p>
          <w:p>
            <w:pPr>
              <w:pStyle w:val="ListParagraph"/>
              <w:numPr>
                <w:ilvl w:val="0"/>
                <w:numId w:val="53"/>
              </w:numPr>
              <w:jc w:val="both"/>
              <w:rPr>
                <w:rFonts w:ascii="Times New Roman" w:hAnsi="Times New Roman" w:cs="Times New Roman"/>
                <w:noProof/>
                <w:sz w:val="24"/>
                <w:szCs w:val="24"/>
              </w:rPr>
            </w:pPr>
            <w:r>
              <w:rPr>
                <w:rFonts w:ascii="Times New Roman" w:hAnsi="Times New Roman"/>
                <w:noProof/>
                <w:sz w:val="24"/>
              </w:rPr>
              <w:t>управление и информация за местата за паркиране на улицата;</w:t>
            </w:r>
          </w:p>
          <w:p>
            <w:pPr>
              <w:pStyle w:val="ListParagraph"/>
              <w:numPr>
                <w:ilvl w:val="0"/>
                <w:numId w:val="53"/>
              </w:numPr>
              <w:jc w:val="both"/>
              <w:rPr>
                <w:rFonts w:ascii="Times New Roman" w:hAnsi="Times New Roman" w:cs="Times New Roman"/>
                <w:noProof/>
                <w:sz w:val="24"/>
                <w:szCs w:val="24"/>
              </w:rPr>
            </w:pPr>
            <w:r>
              <w:rPr>
                <w:rFonts w:ascii="Times New Roman" w:hAnsi="Times New Roman"/>
                <w:noProof/>
                <w:sz w:val="24"/>
              </w:rPr>
              <w:t>информация за местата за паркиране встрани от улицата;</w:t>
            </w:r>
          </w:p>
          <w:p>
            <w:pPr>
              <w:pStyle w:val="ListParagraph"/>
              <w:numPr>
                <w:ilvl w:val="0"/>
                <w:numId w:val="53"/>
              </w:numPr>
              <w:jc w:val="both"/>
              <w:rPr>
                <w:rFonts w:ascii="Times New Roman" w:hAnsi="Times New Roman" w:cs="Times New Roman"/>
                <w:noProof/>
                <w:sz w:val="24"/>
                <w:szCs w:val="24"/>
              </w:rPr>
            </w:pPr>
            <w:r>
              <w:rPr>
                <w:rFonts w:ascii="Times New Roman" w:hAnsi="Times New Roman"/>
                <w:noProof/>
                <w:sz w:val="24"/>
              </w:rPr>
              <w:t>информация за паркинги с връзка с обществен транспорт (Park &amp; Ride);</w:t>
            </w:r>
          </w:p>
          <w:p>
            <w:pPr>
              <w:pStyle w:val="ListParagraph"/>
              <w:numPr>
                <w:ilvl w:val="0"/>
                <w:numId w:val="53"/>
              </w:numPr>
              <w:jc w:val="both"/>
              <w:rPr>
                <w:rFonts w:ascii="Times New Roman" w:hAnsi="Times New Roman" w:cs="Times New Roman"/>
                <w:noProof/>
                <w:sz w:val="24"/>
                <w:szCs w:val="24"/>
              </w:rPr>
            </w:pPr>
            <w:r>
              <w:rPr>
                <w:rFonts w:ascii="Times New Roman" w:hAnsi="Times New Roman"/>
                <w:noProof/>
                <w:sz w:val="24"/>
              </w:rPr>
              <w:t>съвместно използвана и свързана навигация за влизане и излизане от града (първи и последен километър, паркиране, препоръки за маршрута, координирани светофари);</w:t>
            </w:r>
          </w:p>
          <w:p>
            <w:pPr>
              <w:pStyle w:val="ListParagraph"/>
              <w:numPr>
                <w:ilvl w:val="0"/>
                <w:numId w:val="53"/>
              </w:numPr>
              <w:jc w:val="both"/>
              <w:rPr>
                <w:rFonts w:ascii="Times New Roman" w:hAnsi="Times New Roman" w:cs="Times New Roman"/>
                <w:noProof/>
                <w:sz w:val="24"/>
                <w:szCs w:val="24"/>
              </w:rPr>
            </w:pPr>
            <w:r>
              <w:rPr>
                <w:rFonts w:ascii="Times New Roman" w:hAnsi="Times New Roman"/>
                <w:noProof/>
                <w:sz w:val="24"/>
              </w:rPr>
              <w:t>информация за движението и интелигентна маршрутизация.</w:t>
            </w:r>
          </w:p>
        </w:tc>
      </w:tr>
    </w:tbl>
    <w:p>
      <w:pPr>
        <w:spacing w:after="0" w:line="240" w:lineRule="auto"/>
        <w:jc w:val="both"/>
        <w:rPr>
          <w:rFonts w:ascii="Times New Roman" w:hAnsi="Times New Roman" w:cs="Times New Roman"/>
          <w:noProof/>
          <w:sz w:val="24"/>
          <w:szCs w:val="24"/>
        </w:rPr>
      </w:pP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rPr>
            </w:pPr>
            <w:r>
              <w:rPr>
                <w:rFonts w:ascii="Times New Roman" w:hAnsi="Times New Roman"/>
                <w:b/>
                <w:noProof/>
                <w:sz w:val="24"/>
              </w:rPr>
              <w:t>Конкретни действия</w:t>
            </w:r>
          </w:p>
          <w:p>
            <w:pPr>
              <w:pStyle w:val="ListParagraph"/>
              <w:numPr>
                <w:ilvl w:val="0"/>
                <w:numId w:val="43"/>
              </w:numPr>
              <w:jc w:val="both"/>
              <w:rPr>
                <w:rFonts w:ascii="Times New Roman" w:hAnsi="Times New Roman" w:cs="Times New Roman"/>
                <w:noProof/>
                <w:sz w:val="24"/>
                <w:szCs w:val="24"/>
              </w:rPr>
            </w:pPr>
            <w:r>
              <w:rPr>
                <w:rFonts w:ascii="Times New Roman" w:hAnsi="Times New Roman"/>
                <w:noProof/>
                <w:sz w:val="24"/>
              </w:rPr>
              <w:t>Държавите членки и местните власти, автомобилопроизводителите, пътните оператори и сектора на ITS следва да въведат СИТС и да гарантират, че поне СИТС услугите от списъка от ден 1 се поддържат напълно.</w:t>
            </w:r>
          </w:p>
          <w:p>
            <w:pPr>
              <w:pStyle w:val="ListParagraph"/>
              <w:numPr>
                <w:ilvl w:val="0"/>
                <w:numId w:val="43"/>
              </w:numPr>
              <w:jc w:val="both"/>
              <w:rPr>
                <w:rFonts w:ascii="Times New Roman" w:hAnsi="Times New Roman" w:cs="Times New Roman"/>
                <w:noProof/>
                <w:sz w:val="24"/>
                <w:szCs w:val="24"/>
              </w:rPr>
            </w:pPr>
            <w:r>
              <w:rPr>
                <w:rFonts w:ascii="Times New Roman" w:hAnsi="Times New Roman"/>
                <w:noProof/>
                <w:sz w:val="24"/>
              </w:rPr>
              <w:t>Комисията ще подкрепи държавите членки и промишлеността при внедряването на СИТС услугите от ден 1, по-специално чрез Механизма за свързване на Европа, Европейските структурни и инвестиционни фондове и Европейския фонд за стратегически инвестиции.</w:t>
            </w:r>
          </w:p>
          <w:p>
            <w:pPr>
              <w:pStyle w:val="ListParagraph"/>
              <w:numPr>
                <w:ilvl w:val="0"/>
                <w:numId w:val="43"/>
              </w:numPr>
              <w:jc w:val="both"/>
              <w:rPr>
                <w:rFonts w:ascii="Times New Roman" w:hAnsi="Times New Roman" w:cs="Times New Roman"/>
                <w:noProof/>
                <w:sz w:val="24"/>
                <w:szCs w:val="24"/>
              </w:rPr>
            </w:pPr>
            <w:r>
              <w:rPr>
                <w:rFonts w:ascii="Times New Roman" w:hAnsi="Times New Roman"/>
                <w:noProof/>
                <w:sz w:val="24"/>
              </w:rPr>
              <w:t>Комисията ще осигури финансиране за научни изследвания и иновации по програмата „Хоризонт 2020“ и вероятно чрез Европейските структурни и инвестиционни фондове за СИТС услугите от ден 1,5 и по-нататък, включително високите нива на автоматизация.</w:t>
            </w:r>
          </w:p>
          <w:p>
            <w:pPr>
              <w:pStyle w:val="ListParagraph"/>
              <w:numPr>
                <w:ilvl w:val="0"/>
                <w:numId w:val="43"/>
              </w:numPr>
              <w:jc w:val="both"/>
              <w:rPr>
                <w:rFonts w:ascii="Times New Roman" w:hAnsi="Times New Roman" w:cs="Times New Roman"/>
                <w:b/>
                <w:noProof/>
                <w:sz w:val="24"/>
                <w:szCs w:val="24"/>
              </w:rPr>
            </w:pPr>
            <w:r>
              <w:rPr>
                <w:rFonts w:ascii="Times New Roman" w:hAnsi="Times New Roman"/>
                <w:noProof/>
                <w:sz w:val="24"/>
              </w:rPr>
              <w:t>Комисията ще насърчава актуализирането на списъка на услугите от ден 1,5 и бъдещите списъци на СИТС услуги чрез продължаване на процеса на платформата за СИТС.</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rPr>
      </w:pPr>
      <w:r>
        <w:rPr>
          <w:rFonts w:ascii="Times New Roman" w:hAnsi="Times New Roman"/>
          <w:b/>
          <w:noProof/>
          <w:sz w:val="24"/>
        </w:rPr>
        <w:t>Сигурност на СИТС комуникациите</w:t>
      </w:r>
    </w:p>
    <w:p>
      <w:pPr>
        <w:spacing w:line="240" w:lineRule="auto"/>
        <w:jc w:val="both"/>
        <w:rPr>
          <w:rFonts w:ascii="Times New Roman" w:hAnsi="Times New Roman" w:cs="Times New Roman"/>
          <w:noProof/>
          <w:sz w:val="24"/>
          <w:szCs w:val="24"/>
        </w:rPr>
      </w:pPr>
      <w:r>
        <w:rPr>
          <w:rFonts w:ascii="Times New Roman" w:hAnsi="Times New Roman"/>
          <w:noProof/>
          <w:sz w:val="24"/>
        </w:rPr>
        <w:t>Транспортната система се цифровизира все повече, което я прави по-уязвима на хакерски атаки и кибератаки. Поради това киберсигурността на СИТС комуникациите е от решаващо значение и изисква действие на европейско равнище. Без ясни правила, приети на равнището на Съюза, внедряването на СИТС в ЕС ще се отложи, тъй като инвеститорите търсят общ подход за вътрешния пазар. Освен това фрагментарните решения в областта на сигурността ще изложат на риск оперативната съвместимост и безопасността на крайните потребители.</w:t>
      </w:r>
    </w:p>
    <w:p>
      <w:pPr>
        <w:spacing w:line="240" w:lineRule="auto"/>
        <w:jc w:val="both"/>
        <w:rPr>
          <w:rFonts w:ascii="Times New Roman" w:hAnsi="Times New Roman" w:cs="Times New Roman"/>
          <w:noProof/>
          <w:sz w:val="24"/>
          <w:szCs w:val="24"/>
        </w:rPr>
      </w:pPr>
      <w:r>
        <w:rPr>
          <w:rFonts w:ascii="Times New Roman" w:hAnsi="Times New Roman"/>
          <w:noProof/>
          <w:sz w:val="24"/>
        </w:rPr>
        <w:t>Ето защо Комисията счита, че трябва да се разработи обща политика за сигурността и сертификатите</w:t>
      </w:r>
      <w:r>
        <w:rPr>
          <w:rStyle w:val="FootnoteReference"/>
          <w:rFonts w:ascii="Times New Roman" w:hAnsi="Times New Roman"/>
          <w:noProof/>
          <w:sz w:val="24"/>
        </w:rPr>
        <w:footnoteReference w:id="22"/>
      </w:r>
      <w:r>
        <w:rPr>
          <w:rFonts w:ascii="Times New Roman" w:hAnsi="Times New Roman"/>
          <w:noProof/>
          <w:sz w:val="24"/>
        </w:rPr>
        <w:t xml:space="preserve"> във връзка с внедряването на СИТС в Европа. Това становище се подкрепя и от препоръките на Европейската платформа за СИТС и обществената консултация. Разработването на тази политика зависи от политическата подкрепа за единно и широко прието решение в областта на сигурността за съвместно използваните и свързани превозни средства и съответните елементи на публичната инфраструктура.</w:t>
      </w:r>
    </w:p>
    <w:p>
      <w:pPr>
        <w:spacing w:line="240" w:lineRule="auto"/>
        <w:jc w:val="both"/>
        <w:rPr>
          <w:rFonts w:ascii="Times New Roman" w:hAnsi="Times New Roman" w:cs="Times New Roman"/>
          <w:noProof/>
          <w:sz w:val="24"/>
          <w:szCs w:val="24"/>
        </w:rPr>
      </w:pPr>
      <w:r>
        <w:rPr>
          <w:rFonts w:ascii="Times New Roman" w:hAnsi="Times New Roman"/>
          <w:noProof/>
          <w:sz w:val="24"/>
        </w:rPr>
        <w:t>За да се разработи и установи рамка за сигурността в целия ЕС на базата на инфраструктура</w:t>
      </w:r>
      <w:r>
        <w:rPr>
          <w:rFonts w:ascii="Times New Roman" w:hAnsi="Times New Roman"/>
          <w:noProof/>
          <w:sz w:val="24"/>
          <w:lang w:val="en-GB"/>
        </w:rPr>
        <w:t xml:space="preserve"> </w:t>
      </w:r>
      <w:r>
        <w:rPr>
          <w:rFonts w:ascii="Times New Roman" w:hAnsi="Times New Roman"/>
          <w:noProof/>
          <w:sz w:val="24"/>
        </w:rPr>
        <w:t>за публичен ключ</w:t>
      </w:r>
      <w:r>
        <w:rPr>
          <w:rStyle w:val="FootnoteReference"/>
          <w:rFonts w:ascii="Times New Roman" w:hAnsi="Times New Roman"/>
          <w:noProof/>
          <w:sz w:val="24"/>
        </w:rPr>
        <w:footnoteReference w:id="23"/>
      </w:r>
      <w:r>
        <w:rPr>
          <w:rFonts w:ascii="Times New Roman" w:hAnsi="Times New Roman"/>
          <w:noProof/>
          <w:sz w:val="24"/>
        </w:rPr>
        <w:t xml:space="preserve"> за превозни средства и инфраструктурни елементи, включително процедура за оценка на съответствието, е необходимо участието на всички заинтересовани страни. Поради това основно предизвикателство ще бъде изграждането на необходимата уредба за управление на европейско, национално и индустриално равнище с участието на всички основни заинтересовани страни, включително публичните органи (напр. министерствата на транспорта и отговорните сдружения за национална сигурност), пътните оператори, производителите на превозни средства, доставчиците на СИТС услуги и операторите. Разработването на общо решение за сигурността при внедряването и експлоатацията на СИТС в Европа от своя страна ще положи основите на по-голяма сигурност и по-високи нива на автоматизация (включително комуникация между превозните средства или между превозното средство и инфраструктурата).</w:t>
      </w:r>
    </w:p>
    <w:tbl>
      <w:tblPr>
        <w:tblStyle w:val="TableGrid"/>
        <w:tblW w:w="9042" w:type="dxa"/>
        <w:jc w:val="center"/>
        <w:tblLook w:val="04A0" w:firstRow="1" w:lastRow="0" w:firstColumn="1" w:lastColumn="0" w:noHBand="0" w:noVBand="1"/>
      </w:tblPr>
      <w:tblGrid>
        <w:gridCol w:w="9042"/>
      </w:tblGrid>
      <w:tr>
        <w:trPr>
          <w:jc w:val="center"/>
        </w:trPr>
        <w:tc>
          <w:tcPr>
            <w:tcW w:w="9042" w:type="dxa"/>
            <w:tcBorders>
              <w:bottom w:val="nil"/>
            </w:tcBorders>
            <w:shd w:val="clear" w:color="auto" w:fill="D9D9D9" w:themeFill="background1" w:themeFillShade="D9"/>
            <w:vAlign w:val="center"/>
          </w:tcPr>
          <w:p>
            <w:pPr>
              <w:rPr>
                <w:rFonts w:ascii="Times New Roman" w:hAnsi="Times New Roman" w:cs="Times New Roman"/>
                <w:b/>
                <w:noProof/>
                <w:sz w:val="24"/>
                <w:szCs w:val="24"/>
              </w:rPr>
            </w:pPr>
            <w:r>
              <w:rPr>
                <w:rFonts w:ascii="Times New Roman" w:hAnsi="Times New Roman"/>
                <w:b/>
                <w:noProof/>
                <w:sz w:val="24"/>
              </w:rPr>
              <w:t>Конкретни действия</w:t>
            </w:r>
          </w:p>
          <w:p>
            <w:pPr>
              <w:pStyle w:val="ListParagraph"/>
              <w:numPr>
                <w:ilvl w:val="0"/>
                <w:numId w:val="44"/>
              </w:numPr>
              <w:jc w:val="both"/>
              <w:rPr>
                <w:rFonts w:ascii="Times New Roman" w:hAnsi="Times New Roman" w:cs="Times New Roman"/>
                <w:noProof/>
                <w:sz w:val="24"/>
                <w:szCs w:val="24"/>
              </w:rPr>
            </w:pPr>
            <w:r>
              <w:rPr>
                <w:rFonts w:ascii="Times New Roman" w:hAnsi="Times New Roman"/>
                <w:noProof/>
                <w:sz w:val="24"/>
              </w:rPr>
              <w:t>Комисията ще работи заедно с всички заинтересовани страни в областта на СИТС, за да направлява разработването на обща политика за сигурност и за сертификати във връзка с внедряването и експлоатацията на СИТС в Европа. Тя ще публикува насоки относно европейската политика за сигурност и за сертификати в областта на СИТС през 2017 г.</w:t>
            </w:r>
          </w:p>
          <w:p>
            <w:pPr>
              <w:pStyle w:val="ListParagraph"/>
              <w:numPr>
                <w:ilvl w:val="0"/>
                <w:numId w:val="44"/>
              </w:numPr>
              <w:jc w:val="both"/>
              <w:rPr>
                <w:rFonts w:ascii="Times New Roman" w:hAnsi="Times New Roman" w:cs="Times New Roman"/>
                <w:b/>
                <w:noProof/>
                <w:sz w:val="24"/>
                <w:szCs w:val="24"/>
              </w:rPr>
            </w:pPr>
            <w:r>
              <w:rPr>
                <w:rFonts w:ascii="Times New Roman" w:hAnsi="Times New Roman"/>
                <w:noProof/>
                <w:sz w:val="24"/>
              </w:rPr>
              <w:t>Всички инициативи за внедряването на СИТС следва да участват в разработването на тази обща политика за сигурност, като се ангажират от самото начало да въведат съобразени с бъдещето СИТС услуги в Европа.</w:t>
            </w:r>
          </w:p>
        </w:tc>
      </w:tr>
      <w:tr>
        <w:trPr>
          <w:jc w:val="center"/>
        </w:trPr>
        <w:tc>
          <w:tcPr>
            <w:tcW w:w="9042" w:type="dxa"/>
            <w:tcBorders>
              <w:top w:val="nil"/>
            </w:tcBorders>
            <w:shd w:val="clear" w:color="auto" w:fill="D9D9D9" w:themeFill="background1" w:themeFillShade="D9"/>
            <w:vAlign w:val="center"/>
          </w:tcPr>
          <w:p>
            <w:pPr>
              <w:pStyle w:val="ListParagraph"/>
              <w:numPr>
                <w:ilvl w:val="0"/>
                <w:numId w:val="55"/>
              </w:numPr>
              <w:rPr>
                <w:rFonts w:ascii="Times New Roman" w:hAnsi="Times New Roman" w:cs="Times New Roman"/>
                <w:b/>
                <w:noProof/>
                <w:sz w:val="24"/>
                <w:szCs w:val="24"/>
              </w:rPr>
            </w:pPr>
            <w:r>
              <w:rPr>
                <w:rFonts w:ascii="Times New Roman" w:hAnsi="Times New Roman"/>
                <w:noProof/>
                <w:sz w:val="24"/>
              </w:rPr>
              <w:t>Комисията ще анализира ролята и отговорностите на Европейския модел на доверие за СИТС и ще проучи дали някои оперативни функции и ролите в управлението следва да бъдат поети от Комисията (както например в случая с интелигентния тахограф</w:t>
            </w:r>
            <w:r>
              <w:rPr>
                <w:rFonts w:ascii="Times New Roman" w:hAnsi="Times New Roman"/>
                <w:noProof/>
                <w:vertAlign w:val="superscript"/>
              </w:rPr>
              <w:footnoteReference w:id="24"/>
            </w:r>
            <w:r>
              <w:rPr>
                <w:rFonts w:ascii="Times New Roman" w:hAnsi="Times New Roman"/>
                <w:noProof/>
                <w:sz w:val="24"/>
              </w:rPr>
              <w:t>).</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rPr>
      </w:pPr>
      <w:r>
        <w:rPr>
          <w:rFonts w:ascii="Times New Roman" w:hAnsi="Times New Roman"/>
          <w:b/>
          <w:noProof/>
          <w:sz w:val="24"/>
        </w:rPr>
        <w:t>Гаранции за неприкосновеността на личния живот и защитата на личните данни</w:t>
      </w:r>
    </w:p>
    <w:p>
      <w:pPr>
        <w:spacing w:line="240" w:lineRule="auto"/>
        <w:jc w:val="both"/>
        <w:rPr>
          <w:rFonts w:ascii="Times New Roman" w:hAnsi="Times New Roman" w:cs="Times New Roman"/>
          <w:noProof/>
          <w:sz w:val="24"/>
          <w:szCs w:val="24"/>
        </w:rPr>
      </w:pPr>
      <w:r>
        <w:rPr>
          <w:rFonts w:ascii="Times New Roman" w:hAnsi="Times New Roman"/>
          <w:noProof/>
          <w:sz w:val="24"/>
        </w:rPr>
        <w:t>Защитата на личните данни и неприкосновеността на личния живот са решаващ фактор за успешното внедряване на съвместно използваните, свързани и автоматизирани превозни средства. На потребителите е нужно да са сигурни, че личните данни не са стока, и да знаят, че могат действително да контролират как и за какви цели се използват данните им.</w:t>
      </w:r>
    </w:p>
    <w:p>
      <w:pPr>
        <w:spacing w:line="240" w:lineRule="auto"/>
        <w:jc w:val="both"/>
        <w:rPr>
          <w:rFonts w:ascii="Times New Roman" w:hAnsi="Times New Roman" w:cs="Times New Roman"/>
          <w:noProof/>
          <w:sz w:val="24"/>
          <w:szCs w:val="24"/>
        </w:rPr>
      </w:pPr>
      <w:r>
        <w:rPr>
          <w:rFonts w:ascii="Times New Roman" w:hAnsi="Times New Roman"/>
          <w:noProof/>
          <w:sz w:val="24"/>
        </w:rPr>
        <w:t>Данните, изпращани чрез СИТС от превозните средства по принцип се определят като лични данни, тъй като са свързани с физическо лице, което е идентифицирано или може да бъде идентифицирано. Следователно за въвеждането на СИТС се изисква спазването на приложимата правна уредба в областта на защитата на данните</w:t>
      </w:r>
      <w:r>
        <w:rPr>
          <w:rStyle w:val="FootnoteReference"/>
          <w:rFonts w:ascii="Times New Roman" w:hAnsi="Times New Roman"/>
          <w:noProof/>
          <w:sz w:val="24"/>
        </w:rPr>
        <w:footnoteReference w:id="25"/>
      </w:r>
      <w:r>
        <w:rPr>
          <w:rFonts w:ascii="Times New Roman" w:hAnsi="Times New Roman"/>
          <w:noProof/>
          <w:sz w:val="24"/>
        </w:rPr>
        <w:t>. Тези правила определят, че обработката на такива данни е законосъобразна само ако е на някое от основанията, посочени там, например съгласието на потребителите.</w:t>
      </w:r>
    </w:p>
    <w:p>
      <w:pPr>
        <w:spacing w:line="240" w:lineRule="auto"/>
        <w:jc w:val="both"/>
        <w:rPr>
          <w:rFonts w:ascii="Times New Roman" w:hAnsi="Times New Roman" w:cs="Times New Roman"/>
          <w:noProof/>
          <w:sz w:val="24"/>
          <w:szCs w:val="24"/>
        </w:rPr>
      </w:pPr>
      <w:r>
        <w:rPr>
          <w:rFonts w:ascii="Times New Roman" w:hAnsi="Times New Roman"/>
          <w:noProof/>
          <w:sz w:val="24"/>
        </w:rPr>
        <w:t>Защитата на личните данни още в проектното решение и по подразбиране и оценките на въздействието на защитата на личните данни са от решаващо значение в основната архитектура и изграждането на СИТС системата, особено в контекста на прилаганата схема за сигурност на комуникациите. Отговорите в рамките на обществената консултация показват, че когато тези условия са изпълнени, крайните потребители са склонни да дадат съгласието си за предаването на данните, особено когато тези данни ще се използват за увеличаване на безопасността по пътищата и подобряване на управлението на движението.</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rPr>
            </w:pPr>
            <w:r>
              <w:rPr>
                <w:rFonts w:ascii="Times New Roman" w:hAnsi="Times New Roman"/>
                <w:b/>
                <w:noProof/>
                <w:sz w:val="24"/>
              </w:rPr>
              <w:t>Конкретни действия</w:t>
            </w:r>
          </w:p>
          <w:p>
            <w:pPr>
              <w:pStyle w:val="ListParagraph"/>
              <w:numPr>
                <w:ilvl w:val="0"/>
                <w:numId w:val="45"/>
              </w:numPr>
              <w:jc w:val="both"/>
              <w:rPr>
                <w:rFonts w:ascii="Times New Roman" w:hAnsi="Times New Roman" w:cs="Times New Roman"/>
                <w:noProof/>
                <w:sz w:val="24"/>
                <w:szCs w:val="24"/>
              </w:rPr>
            </w:pPr>
            <w:r>
              <w:rPr>
                <w:rFonts w:ascii="Times New Roman" w:hAnsi="Times New Roman"/>
                <w:noProof/>
                <w:sz w:val="24"/>
              </w:rPr>
              <w:t>Доставчиците на СИТС услуги следва да предлагат прозрачни условия на крайните потребители, като използват ясен и разбираем език в лесно достъпна форма, за да им дадат възможност да дадат съгласие за обработването на личните им данни.</w:t>
            </w:r>
          </w:p>
          <w:p>
            <w:pPr>
              <w:pStyle w:val="ListParagraph"/>
              <w:numPr>
                <w:ilvl w:val="0"/>
                <w:numId w:val="45"/>
              </w:numPr>
              <w:jc w:val="both"/>
              <w:rPr>
                <w:rFonts w:ascii="Times New Roman" w:hAnsi="Times New Roman" w:cs="Times New Roman"/>
                <w:noProof/>
                <w:sz w:val="24"/>
                <w:szCs w:val="24"/>
              </w:rPr>
            </w:pPr>
            <w:r>
              <w:rPr>
                <w:rFonts w:ascii="Times New Roman" w:hAnsi="Times New Roman"/>
                <w:noProof/>
                <w:sz w:val="24"/>
              </w:rPr>
              <w:t>Комисията ще публикува първите насоки за защита на личните данни още при проектирането и по подразбиране, конкретно свързани със СИТС, през 2018 г.</w:t>
            </w:r>
          </w:p>
          <w:p>
            <w:pPr>
              <w:pStyle w:val="ListParagraph"/>
              <w:numPr>
                <w:ilvl w:val="0"/>
                <w:numId w:val="45"/>
              </w:numPr>
              <w:jc w:val="both"/>
              <w:rPr>
                <w:rFonts w:ascii="Times New Roman" w:hAnsi="Times New Roman" w:cs="Times New Roman"/>
                <w:noProof/>
                <w:sz w:val="24"/>
                <w:szCs w:val="24"/>
              </w:rPr>
            </w:pPr>
            <w:r>
              <w:rPr>
                <w:rFonts w:ascii="Times New Roman" w:hAnsi="Times New Roman"/>
                <w:noProof/>
                <w:sz w:val="24"/>
              </w:rPr>
              <w:t>Инициативите за внедряване на СИТС следва да:</w:t>
            </w:r>
          </w:p>
          <w:p>
            <w:pPr>
              <w:pStyle w:val="ListParagraph"/>
              <w:numPr>
                <w:ilvl w:val="1"/>
                <w:numId w:val="45"/>
              </w:numPr>
              <w:ind w:left="586"/>
              <w:jc w:val="both"/>
              <w:rPr>
                <w:rFonts w:ascii="Times New Roman" w:hAnsi="Times New Roman" w:cs="Times New Roman"/>
                <w:noProof/>
                <w:sz w:val="24"/>
                <w:szCs w:val="24"/>
              </w:rPr>
            </w:pPr>
            <w:r>
              <w:rPr>
                <w:rFonts w:ascii="Times New Roman" w:hAnsi="Times New Roman"/>
                <w:noProof/>
                <w:sz w:val="24"/>
              </w:rPr>
              <w:t>работят по информационни кампании, за да се изгради необходимото доверие сред крайните потребители и да се постигне приемане от страна обществеността;</w:t>
            </w:r>
          </w:p>
          <w:p>
            <w:pPr>
              <w:pStyle w:val="ListParagraph"/>
              <w:numPr>
                <w:ilvl w:val="1"/>
                <w:numId w:val="45"/>
              </w:numPr>
              <w:ind w:left="586"/>
              <w:jc w:val="both"/>
              <w:rPr>
                <w:rFonts w:ascii="Times New Roman" w:hAnsi="Times New Roman" w:cs="Times New Roman"/>
                <w:noProof/>
                <w:sz w:val="24"/>
                <w:szCs w:val="24"/>
              </w:rPr>
            </w:pPr>
            <w:r>
              <w:rPr>
                <w:rFonts w:ascii="Times New Roman" w:hAnsi="Times New Roman"/>
                <w:noProof/>
                <w:sz w:val="24"/>
              </w:rPr>
              <w:t>показват как може да се подобри безопасността и ефективността на транспортната система чрез използване на лични данни, като същевременно се гарантира спазването на правилата за защита на данните и неприкосновеността на личния живот;</w:t>
            </w:r>
          </w:p>
          <w:p>
            <w:pPr>
              <w:pStyle w:val="ListParagraph"/>
              <w:numPr>
                <w:ilvl w:val="1"/>
                <w:numId w:val="45"/>
              </w:numPr>
              <w:ind w:left="586"/>
              <w:jc w:val="both"/>
              <w:rPr>
                <w:rFonts w:ascii="Times New Roman" w:hAnsi="Times New Roman" w:cs="Times New Roman"/>
                <w:b/>
                <w:noProof/>
                <w:sz w:val="24"/>
                <w:szCs w:val="24"/>
              </w:rPr>
            </w:pPr>
            <w:r>
              <w:rPr>
                <w:rFonts w:ascii="Times New Roman" w:hAnsi="Times New Roman"/>
                <w:noProof/>
                <w:sz w:val="24"/>
              </w:rPr>
              <w:t>се консултират с европейските органи за защита на данните по разработването на секторни образци за оценка на въздействието върху защитата на личните данни, които да се използват при въвеждането на нови СИТС услуги.</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rPr>
      </w:pPr>
      <w:r>
        <w:rPr>
          <w:rFonts w:ascii="Times New Roman" w:hAnsi="Times New Roman"/>
          <w:b/>
          <w:noProof/>
          <w:sz w:val="24"/>
        </w:rPr>
        <w:t>Комуникационни технологии и честоти</w:t>
      </w:r>
    </w:p>
    <w:p>
      <w:pPr>
        <w:spacing w:line="240" w:lineRule="auto"/>
        <w:jc w:val="both"/>
        <w:rPr>
          <w:rFonts w:ascii="Times New Roman" w:hAnsi="Times New Roman" w:cs="Times New Roman"/>
          <w:noProof/>
          <w:sz w:val="24"/>
          <w:szCs w:val="24"/>
        </w:rPr>
      </w:pPr>
      <w:r>
        <w:rPr>
          <w:rFonts w:ascii="Times New Roman" w:hAnsi="Times New Roman"/>
          <w:noProof/>
          <w:sz w:val="24"/>
        </w:rPr>
        <w:t>СИТС съобщенията се предават за широк набор от услуги, в различни транспортни ситуации и между различни участници. По принцип, шофьорите не се интересуват каква комуникационни технологии се използват за предаване на СИТС съобщения, но все по-често ще очакват да получат цялата информация за пътното движение и условията на безопасност без прекъсване в цяла Европа. Това може да бъде постигнато единствено чрез хибриден комуникационен подход, т.е. чрез съчетаване на допълващи се комуникационни технологии.</w:t>
      </w:r>
    </w:p>
    <w:p>
      <w:pPr>
        <w:spacing w:line="240" w:lineRule="auto"/>
        <w:jc w:val="both"/>
        <w:rPr>
          <w:rFonts w:ascii="Times New Roman" w:hAnsi="Times New Roman" w:cs="Times New Roman"/>
          <w:noProof/>
          <w:sz w:val="24"/>
          <w:szCs w:val="24"/>
        </w:rPr>
      </w:pPr>
      <w:r>
        <w:rPr>
          <w:rFonts w:ascii="Times New Roman" w:hAnsi="Times New Roman"/>
          <w:noProof/>
          <w:sz w:val="24"/>
        </w:rPr>
        <w:t>За да поддържа всички СИТС услуги в превозното средство, пълният хибриден комуникационен микс трябва да бъде на борда</w:t>
      </w:r>
      <w:r>
        <w:rPr>
          <w:rStyle w:val="FootnoteReference"/>
          <w:rFonts w:ascii="Times New Roman" w:hAnsi="Times New Roman"/>
          <w:noProof/>
          <w:sz w:val="24"/>
        </w:rPr>
        <w:footnoteReference w:id="26"/>
      </w:r>
      <w:r>
        <w:rPr>
          <w:rFonts w:ascii="Times New Roman" w:hAnsi="Times New Roman"/>
          <w:noProof/>
          <w:sz w:val="24"/>
        </w:rPr>
        <w:t>. По отношение на инфраструктурата изборът на комуникационни технологии зависи от местоположението, вида на услугата и разходната ефективност. СИТС съобщенията следва да не зависят от използваната комуникационна технология, което ще им придаде гъвкавост в това отношение и ще улесни включването на бъдещи технологии (напр. 5G</w:t>
      </w:r>
      <w:r>
        <w:rPr>
          <w:rStyle w:val="FootnoteReference"/>
          <w:rFonts w:ascii="Times New Roman" w:hAnsi="Times New Roman"/>
          <w:noProof/>
          <w:sz w:val="24"/>
        </w:rPr>
        <w:footnoteReference w:id="27"/>
      </w:r>
      <w:r>
        <w:rPr>
          <w:rFonts w:ascii="Times New Roman" w:hAnsi="Times New Roman"/>
          <w:noProof/>
          <w:sz w:val="24"/>
        </w:rPr>
        <w:t xml:space="preserve"> и сателитни комуникации</w:t>
      </w:r>
      <w:r>
        <w:rPr>
          <w:rStyle w:val="FootnoteReference"/>
          <w:rFonts w:ascii="Times New Roman" w:hAnsi="Times New Roman" w:cs="Times New Roman"/>
          <w:noProof/>
          <w:sz w:val="24"/>
          <w:szCs w:val="24"/>
        </w:rPr>
        <w:fldChar w:fldCharType="begin"/>
      </w:r>
      <w:r>
        <w:rPr>
          <w:rStyle w:val="FootnoteReference"/>
          <w:rFonts w:ascii="Times New Roman" w:hAnsi="Times New Roman" w:cs="Times New Roman"/>
          <w:noProof/>
          <w:sz w:val="24"/>
          <w:szCs w:val="24"/>
        </w:rPr>
        <w:instrText xml:space="preserve"> NOTEREF _Ref465865070 \h  \* MERGEFORMAT </w:instrText>
      </w:r>
      <w:r>
        <w:rPr>
          <w:rStyle w:val="FootnoteReference"/>
          <w:rFonts w:ascii="Times New Roman" w:hAnsi="Times New Roman" w:cs="Times New Roman"/>
          <w:noProof/>
          <w:sz w:val="24"/>
          <w:szCs w:val="24"/>
        </w:rPr>
      </w:r>
      <w:r>
        <w:rPr>
          <w:rStyle w:val="FootnoteReference"/>
          <w:rFonts w:ascii="Times New Roman" w:hAnsi="Times New Roman" w:cs="Times New Roman"/>
          <w:noProof/>
          <w:sz w:val="24"/>
          <w:szCs w:val="24"/>
        </w:rPr>
        <w:fldChar w:fldCharType="separate"/>
      </w:r>
      <w:r>
        <w:rPr>
          <w:rStyle w:val="FootnoteReference"/>
          <w:rFonts w:ascii="Times New Roman" w:hAnsi="Times New Roman" w:cs="Times New Roman"/>
          <w:noProof/>
          <w:sz w:val="24"/>
          <w:szCs w:val="24"/>
        </w:rPr>
        <w:t>11</w:t>
      </w:r>
      <w:r>
        <w:rPr>
          <w:rStyle w:val="FootnoteReference"/>
          <w:rFonts w:ascii="Times New Roman" w:hAnsi="Times New Roman" w:cs="Times New Roman"/>
          <w:noProof/>
          <w:sz w:val="24"/>
          <w:szCs w:val="24"/>
        </w:rPr>
        <w:fldChar w:fldCharType="end"/>
      </w:r>
      <w:r>
        <w:rPr>
          <w:rFonts w:ascii="Times New Roman" w:hAnsi="Times New Roman"/>
          <w:noProof/>
          <w:sz w:val="24"/>
        </w:rPr>
        <w:t>) в хибридния комуникационен микс.</w:t>
      </w:r>
    </w:p>
    <w:p>
      <w:pPr>
        <w:spacing w:line="240" w:lineRule="auto"/>
        <w:jc w:val="both"/>
        <w:rPr>
          <w:rFonts w:ascii="Times New Roman" w:hAnsi="Times New Roman" w:cs="Times New Roman"/>
          <w:noProof/>
          <w:sz w:val="24"/>
          <w:szCs w:val="24"/>
        </w:rPr>
      </w:pPr>
      <w:r>
        <w:rPr>
          <w:rFonts w:ascii="Times New Roman" w:hAnsi="Times New Roman"/>
          <w:noProof/>
          <w:sz w:val="24"/>
        </w:rPr>
        <w:t>Понастоящем най-обещаващият хибриден комуникационен микс е комбинация от ETSI ITS-G5 и съществуващи клетъчни мрежи.  Това осигурява възможно най-добрата подкрепа за внедряването на СИТС услугите от ден 1. Миксът съчетава малкото закъснение на ETSI ITS-G5 за особено спешни СИТС съобщения, свързани със сигурността, с широкия географски обхват и достъпа до големи потребителски групи на съществуващите клетъчни мрежи.</w:t>
      </w:r>
    </w:p>
    <w:p>
      <w:pPr>
        <w:spacing w:line="240" w:lineRule="auto"/>
        <w:jc w:val="both"/>
        <w:rPr>
          <w:rFonts w:ascii="Times New Roman" w:hAnsi="Times New Roman" w:cs="Times New Roman"/>
          <w:noProof/>
          <w:sz w:val="24"/>
          <w:szCs w:val="24"/>
        </w:rPr>
      </w:pPr>
      <w:r>
        <w:rPr>
          <w:rFonts w:ascii="Times New Roman" w:hAnsi="Times New Roman"/>
          <w:noProof/>
          <w:sz w:val="24"/>
        </w:rPr>
        <w:t>През 2008 г. Комисията определи специална радиочестотна лента за приложения, свързани с безопасността</w:t>
      </w:r>
      <w:r>
        <w:rPr>
          <w:rStyle w:val="FootnoteReference"/>
          <w:rFonts w:ascii="Times New Roman" w:hAnsi="Times New Roman"/>
          <w:noProof/>
          <w:sz w:val="24"/>
        </w:rPr>
        <w:footnoteReference w:id="28"/>
      </w:r>
      <w:r>
        <w:rPr>
          <w:rFonts w:ascii="Times New Roman" w:hAnsi="Times New Roman"/>
          <w:noProof/>
          <w:sz w:val="24"/>
        </w:rPr>
        <w:t>. Първоначалното внедряване за комуникация с малък обхват между превозни средства или между превозно средство и инфраструктура ще се основава на вече наличните технологии, използващи тази лента и, където е целесъобразно, ще функционират безпрепятствено паралелно с 5G системи на принципа на допълняемостта. За да се опазят съществуващите и бъдещите приложения от вредни смущения, необходимо е да се гарантира паралелно функциониране с приложения, които използват съседни радиочестотни ленти или един и същи радиочестотен спектър. Необходимо е да се определят и въведат подходящи техники за намаляване на радиосмущенията (например поради паралелното функциониране със системите за таксуване), и разпределянето на радиочестотния спектър следва внимателно да се оцени (например въздействието на предложеното разширяване на локални мрежи с достъп чрез радиовръзка в тази радиочестотна лента).</w:t>
      </w:r>
    </w:p>
    <w:p>
      <w:pPr>
        <w:spacing w:line="240" w:lineRule="auto"/>
        <w:jc w:val="both"/>
        <w:rPr>
          <w:rFonts w:ascii="Times New Roman" w:hAnsi="Times New Roman" w:cs="Times New Roman"/>
          <w:noProof/>
          <w:sz w:val="24"/>
          <w:szCs w:val="24"/>
        </w:rPr>
      </w:pPr>
      <w:r>
        <w:rPr>
          <w:rFonts w:ascii="Times New Roman" w:hAnsi="Times New Roman"/>
          <w:noProof/>
          <w:sz w:val="24"/>
        </w:rPr>
        <w:t>Отговорилите в обществената консултация подкрепят широко хибридния подход към комуникацията.  По-малко от 5 % изразяват несъгласие с първоначално внедряване на базата на ETSI ITS-G5, а огромното мнозинство счита, че в дългосрочен план 5G ще играе важна роля.</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jc w:val="both"/>
              <w:rPr>
                <w:rFonts w:ascii="Times New Roman" w:hAnsi="Times New Roman" w:cs="Times New Roman"/>
                <w:b/>
                <w:noProof/>
                <w:sz w:val="24"/>
                <w:szCs w:val="24"/>
              </w:rPr>
            </w:pPr>
            <w:r>
              <w:rPr>
                <w:rFonts w:ascii="Times New Roman" w:hAnsi="Times New Roman"/>
                <w:b/>
                <w:noProof/>
                <w:sz w:val="24"/>
              </w:rPr>
              <w:t>Конкретни действия</w:t>
            </w:r>
          </w:p>
          <w:p>
            <w:pPr>
              <w:pStyle w:val="ListParagraph"/>
              <w:numPr>
                <w:ilvl w:val="0"/>
                <w:numId w:val="46"/>
              </w:numPr>
              <w:jc w:val="both"/>
              <w:rPr>
                <w:rFonts w:ascii="Times New Roman" w:hAnsi="Times New Roman" w:cs="Times New Roman"/>
                <w:noProof/>
                <w:sz w:val="24"/>
                <w:szCs w:val="24"/>
              </w:rPr>
            </w:pPr>
            <w:r>
              <w:rPr>
                <w:rFonts w:ascii="Times New Roman" w:hAnsi="Times New Roman"/>
                <w:noProof/>
                <w:sz w:val="24"/>
              </w:rPr>
              <w:t>Пътните органи, доставчиците на услуги, производителите на автомобили и радиооборудване и други участници от промишления сектор следва да приемат стратегия за хибридна комуникация за обществените поръчки и серийното производство с цел поддържане на пълния списък на СИТС услугите от ден 1.</w:t>
            </w:r>
          </w:p>
          <w:p>
            <w:pPr>
              <w:pStyle w:val="ListParagraph"/>
              <w:numPr>
                <w:ilvl w:val="0"/>
                <w:numId w:val="46"/>
              </w:numPr>
              <w:jc w:val="both"/>
              <w:rPr>
                <w:rFonts w:ascii="Times New Roman" w:hAnsi="Times New Roman" w:cs="Times New Roman"/>
                <w:noProof/>
                <w:sz w:val="24"/>
                <w:szCs w:val="24"/>
              </w:rPr>
            </w:pPr>
            <w:r>
              <w:rPr>
                <w:rFonts w:ascii="Times New Roman" w:hAnsi="Times New Roman"/>
                <w:noProof/>
                <w:sz w:val="24"/>
              </w:rPr>
              <w:t>Операторите в областта на далекосъобщенията, които поддържат СИТС услуги, следва да управляват правилно натоварването на мрежата за СИТС услуги, свързани с безопасността по пътищата.</w:t>
            </w:r>
          </w:p>
          <w:p>
            <w:pPr>
              <w:pStyle w:val="ListParagraph"/>
              <w:numPr>
                <w:ilvl w:val="0"/>
                <w:numId w:val="46"/>
              </w:numPr>
              <w:jc w:val="both"/>
              <w:rPr>
                <w:rFonts w:ascii="Times New Roman" w:hAnsi="Times New Roman" w:cs="Times New Roman"/>
                <w:noProof/>
                <w:sz w:val="24"/>
                <w:szCs w:val="24"/>
              </w:rPr>
            </w:pPr>
            <w:r>
              <w:rPr>
                <w:rFonts w:ascii="Times New Roman" w:hAnsi="Times New Roman"/>
                <w:noProof/>
                <w:sz w:val="24"/>
              </w:rPr>
              <w:t>Комисията ще отстоява заделянето на радиочестотния спектър, използван от ETSI ITS-G5 за ИТС услуги, свързани с безопасността, и ще поддържа мерки за защита на честотната лента от вредни смущения, както на европейско, така и на международно равнище (Международния съюз по далекосъобщения (МСД) на ООН и Европейската конференция по пощи и далекосъобщения).</w:t>
            </w:r>
          </w:p>
          <w:p>
            <w:pPr>
              <w:pStyle w:val="ListParagraph"/>
              <w:numPr>
                <w:ilvl w:val="0"/>
                <w:numId w:val="46"/>
              </w:numPr>
              <w:jc w:val="both"/>
              <w:rPr>
                <w:rFonts w:ascii="Times New Roman" w:hAnsi="Times New Roman" w:cs="Times New Roman"/>
                <w:b/>
                <w:noProof/>
                <w:sz w:val="24"/>
                <w:szCs w:val="24"/>
              </w:rPr>
            </w:pPr>
            <w:r>
              <w:rPr>
                <w:rFonts w:ascii="Times New Roman" w:hAnsi="Times New Roman"/>
                <w:noProof/>
                <w:sz w:val="24"/>
              </w:rPr>
              <w:t>В рамките на инициативите за внедряване на СИТС следва да се въведат съответните техники за ограничаване на радиосмущенията за паралелно функциониране съгласно стандартите и процедурите на ETSI.</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rPr>
      </w:pPr>
      <w:r>
        <w:rPr>
          <w:rFonts w:ascii="Times New Roman" w:hAnsi="Times New Roman"/>
          <w:b/>
          <w:noProof/>
          <w:sz w:val="24"/>
        </w:rPr>
        <w:t>Оперативна съвместимост на всички нива</w:t>
      </w:r>
    </w:p>
    <w:p>
      <w:pPr>
        <w:tabs>
          <w:tab w:val="left" w:pos="1866"/>
        </w:tabs>
        <w:spacing w:line="240" w:lineRule="auto"/>
        <w:jc w:val="both"/>
        <w:rPr>
          <w:rFonts w:ascii="Times New Roman" w:hAnsi="Times New Roman" w:cs="Times New Roman"/>
          <w:noProof/>
          <w:sz w:val="24"/>
          <w:szCs w:val="24"/>
        </w:rPr>
      </w:pPr>
      <w:bookmarkStart w:id="5" w:name="_Ref460306791"/>
      <w:r>
        <w:rPr>
          <w:rFonts w:ascii="Times New Roman" w:hAnsi="Times New Roman"/>
          <w:noProof/>
          <w:sz w:val="24"/>
        </w:rPr>
        <w:t>Интегрираната транспортна система се основава на оперативната съвместимост на своите компоненти. Това означава, че системите трябва да могат да си взаимодействат при прекосяване на границите и промяна на видовете транспорт, на всички равнища: инфраструктура, данни, услуги, приложения и мрежи. Стандартизационните дейности са необходими, но сами по себе си те не са достатъчни, за да осигурят оперативна съвместимост. Поради това е необходимо да се определят и договорят спецификации за внедряване за целия ЕС. Това включва гаранции, че приложимите стандарти на ЕС</w:t>
      </w:r>
      <w:r>
        <w:rPr>
          <w:rStyle w:val="FootnoteReference"/>
          <w:rFonts w:ascii="Times New Roman" w:hAnsi="Times New Roman"/>
          <w:noProof/>
          <w:sz w:val="24"/>
        </w:rPr>
        <w:footnoteReference w:id="29"/>
      </w:r>
      <w:r>
        <w:rPr>
          <w:rFonts w:ascii="Times New Roman" w:hAnsi="Times New Roman"/>
          <w:noProof/>
          <w:sz w:val="24"/>
        </w:rPr>
        <w:t xml:space="preserve"> се разбират и прилагат последователно.</w:t>
      </w:r>
    </w:p>
    <w:p>
      <w:pPr>
        <w:tabs>
          <w:tab w:val="left" w:pos="1866"/>
        </w:tabs>
        <w:spacing w:line="240" w:lineRule="auto"/>
        <w:jc w:val="both"/>
        <w:rPr>
          <w:rFonts w:ascii="Times New Roman" w:hAnsi="Times New Roman" w:cs="Times New Roman"/>
          <w:noProof/>
          <w:sz w:val="24"/>
          <w:szCs w:val="24"/>
        </w:rPr>
      </w:pPr>
      <w:r>
        <w:rPr>
          <w:rFonts w:ascii="Times New Roman" w:hAnsi="Times New Roman"/>
          <w:noProof/>
          <w:sz w:val="24"/>
        </w:rPr>
        <w:t>За целта по инициативите за внедряване на СИТС в рамките на ЕС следва да се определят и публикуват технически профили за СИТС съобщения, нужни за гарантиране на оперативната съвместимост на СИТС услугите от ден 1. Те следва също така да разработят изпитвателни процедури за проверка на оперативната съвместимост на тези профили. Гарантирането на взаимен достъп до комуникационните профили ще осигури споделянето на най-добрите практики и извлечените поуки от реалната експлоатация. То следва да доведе до постепенното сближаване на профилите и създаване на условия за оперативна съвместимост в целия ЕС. Целта е да се даде възможност за единен пазар за СИТС услуги на основата на общи комуникационни профили, които обаче оставят място за бъдещи иновативни услуги.</w:t>
      </w:r>
    </w:p>
    <w:p>
      <w:pPr>
        <w:tabs>
          <w:tab w:val="left" w:pos="1866"/>
        </w:tabs>
        <w:spacing w:line="240" w:lineRule="auto"/>
        <w:jc w:val="both"/>
        <w:rPr>
          <w:rFonts w:ascii="Times New Roman" w:hAnsi="Times New Roman" w:cs="Times New Roman"/>
          <w:noProof/>
          <w:sz w:val="24"/>
          <w:szCs w:val="24"/>
        </w:rPr>
      </w:pPr>
      <w:r>
        <w:rPr>
          <w:rFonts w:ascii="Times New Roman" w:hAnsi="Times New Roman"/>
          <w:noProof/>
          <w:sz w:val="24"/>
        </w:rPr>
        <w:t>През 2016 г. държавите членки и Комисията стартираха платформата C-Roads</w:t>
      </w:r>
      <w:r>
        <w:rPr>
          <w:rStyle w:val="FootnoteReference"/>
          <w:rFonts w:ascii="Times New Roman" w:hAnsi="Times New Roman"/>
          <w:noProof/>
          <w:sz w:val="24"/>
        </w:rPr>
        <w:footnoteReference w:id="30"/>
      </w:r>
      <w:r>
        <w:rPr>
          <w:rFonts w:ascii="Times New Roman" w:hAnsi="Times New Roman"/>
          <w:noProof/>
          <w:sz w:val="24"/>
        </w:rPr>
        <w:t>, за да свържат дейностите по внедряване на СИТС, да разработят съвместно и да споделят техническите спецификации и да потвърдят оперативната съвместимост чрез изпитване в различни сайтове. Първоначално създадена за инициативите за внедряване на СИТС, съфинансирани от ЕС, C-Roads е отворена за всички внедрителски дейности за изпитване на оперативната съвместимост.</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rPr>
            </w:pPr>
            <w:r>
              <w:rPr>
                <w:rFonts w:ascii="Times New Roman" w:hAnsi="Times New Roman"/>
                <w:b/>
                <w:noProof/>
                <w:sz w:val="24"/>
              </w:rPr>
              <w:t>Конкретни действия</w:t>
            </w:r>
          </w:p>
          <w:p>
            <w:pPr>
              <w:pStyle w:val="ListParagraph"/>
              <w:numPr>
                <w:ilvl w:val="0"/>
                <w:numId w:val="47"/>
              </w:numPr>
              <w:jc w:val="both"/>
              <w:rPr>
                <w:rFonts w:ascii="Times New Roman" w:hAnsi="Times New Roman" w:cs="Times New Roman"/>
                <w:noProof/>
                <w:sz w:val="24"/>
                <w:szCs w:val="24"/>
              </w:rPr>
            </w:pPr>
            <w:r>
              <w:rPr>
                <w:rFonts w:ascii="Times New Roman" w:hAnsi="Times New Roman"/>
                <w:noProof/>
                <w:sz w:val="24"/>
              </w:rPr>
              <w:t>Комисията ще използва пълноценно платформата C-Roads като координационен механизъм за внедряване на СИТС на оперативно ниво.</w:t>
            </w:r>
          </w:p>
          <w:p>
            <w:pPr>
              <w:pStyle w:val="ListParagraph"/>
              <w:numPr>
                <w:ilvl w:val="0"/>
                <w:numId w:val="47"/>
              </w:numPr>
              <w:jc w:val="both"/>
              <w:rPr>
                <w:rFonts w:ascii="Times New Roman" w:hAnsi="Times New Roman" w:cs="Times New Roman"/>
                <w:noProof/>
                <w:sz w:val="24"/>
                <w:szCs w:val="24"/>
              </w:rPr>
            </w:pPr>
            <w:r>
              <w:rPr>
                <w:rFonts w:ascii="Times New Roman" w:hAnsi="Times New Roman"/>
                <w:noProof/>
                <w:sz w:val="24"/>
              </w:rPr>
              <w:t>Държавите членки следва да се присъединят към платформата за изпитване и валидиране, което ще гарантира оперативната съвместимост на СИТС услугите от ден 1 в целия ЕС.</w:t>
            </w:r>
          </w:p>
          <w:p>
            <w:pPr>
              <w:pStyle w:val="ListParagraph"/>
              <w:numPr>
                <w:ilvl w:val="0"/>
                <w:numId w:val="47"/>
              </w:numPr>
              <w:jc w:val="both"/>
              <w:rPr>
                <w:rFonts w:ascii="Times New Roman" w:hAnsi="Times New Roman" w:cs="Times New Roman"/>
                <w:noProof/>
                <w:sz w:val="24"/>
                <w:szCs w:val="24"/>
              </w:rPr>
            </w:pPr>
            <w:r>
              <w:rPr>
                <w:rFonts w:ascii="Times New Roman" w:hAnsi="Times New Roman"/>
                <w:noProof/>
                <w:sz w:val="24"/>
              </w:rPr>
              <w:t>Инициативите за внедряване на СИТС следва да завършат своите комуникационни профили и да ги публикуват заедно със стандартите за изпитване и валидиране.</w:t>
            </w:r>
          </w:p>
          <w:p>
            <w:pPr>
              <w:pStyle w:val="ListParagraph"/>
              <w:numPr>
                <w:ilvl w:val="0"/>
                <w:numId w:val="47"/>
              </w:numPr>
              <w:jc w:val="both"/>
              <w:rPr>
                <w:rFonts w:ascii="Times New Roman" w:hAnsi="Times New Roman" w:cs="Times New Roman"/>
                <w:b/>
                <w:noProof/>
                <w:sz w:val="24"/>
                <w:szCs w:val="24"/>
              </w:rPr>
            </w:pPr>
            <w:r>
              <w:rPr>
                <w:rFonts w:ascii="Times New Roman" w:hAnsi="Times New Roman"/>
                <w:noProof/>
                <w:sz w:val="24"/>
              </w:rPr>
              <w:t>Платформата C-Roads следва да започне разработването на изпитвания за системата въз основа на общите комуникационни профили в рамките на една година от стартирането на проекта и да даде пълен достъп до тези профили на трети страни и заинтересовани страни от сектора, които следва да използват тези възможности за валидиране.</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rPr>
      </w:pPr>
      <w:r>
        <w:rPr>
          <w:rFonts w:ascii="Times New Roman" w:hAnsi="Times New Roman"/>
          <w:b/>
          <w:noProof/>
          <w:sz w:val="24"/>
        </w:rPr>
        <w:t>Оценка на съответствието</w:t>
      </w:r>
      <w:bookmarkEnd w:id="5"/>
    </w:p>
    <w:p>
      <w:pPr>
        <w:spacing w:line="240" w:lineRule="auto"/>
        <w:jc w:val="both"/>
        <w:rPr>
          <w:rFonts w:ascii="Times New Roman" w:hAnsi="Times New Roman" w:cs="Times New Roman"/>
          <w:noProof/>
          <w:sz w:val="24"/>
          <w:szCs w:val="24"/>
        </w:rPr>
      </w:pPr>
      <w:r>
        <w:rPr>
          <w:rFonts w:ascii="Times New Roman" w:hAnsi="Times New Roman"/>
          <w:noProof/>
          <w:sz w:val="24"/>
        </w:rPr>
        <w:t>За успешното внедряване на СИТС услуги от ден 1 се изисква ефективна рамка за оценка на съответствието, която да дава възможност услугите да бъдат сравнени с общоевропейски системни изисквания. Особено за приложенията, свързани с пътната безопасност, е налице засилен обществен интерес към разработването на такава рамка за ключови елементи на СИТС мрежата като сигурност, защита на данните или оперативна съвместимост, за да се гарантира, че шофьорите получават последователни предупреждения в различни транспортни среди в целия ЕС.</w:t>
      </w:r>
    </w:p>
    <w:p>
      <w:pPr>
        <w:spacing w:line="240" w:lineRule="auto"/>
        <w:jc w:val="both"/>
        <w:rPr>
          <w:rFonts w:ascii="Times New Roman" w:hAnsi="Times New Roman" w:cs="Times New Roman"/>
          <w:noProof/>
          <w:sz w:val="24"/>
          <w:szCs w:val="24"/>
        </w:rPr>
      </w:pPr>
      <w:r>
        <w:rPr>
          <w:rFonts w:ascii="Times New Roman" w:hAnsi="Times New Roman"/>
          <w:noProof/>
          <w:sz w:val="24"/>
        </w:rPr>
        <w:t>Първата стъпка към установяването на такава рамка ще бъде да се определят общи минимални изисквания за внедряването на СИТС услуги от ден 1, валидирани от всички засегнати заинтересовани страни. Това ще осигури основата, нужна за съвместно разработване на цялостна процедура за оценка на съответствието за СИТС услугите от ден 1. Това е и предварително условие за въвеждането на нови услуги (напр. от ден 2) или разширяване на съществуващите услуги в нови области на приложение (напр. напълно автоматизирани превозни средства и техните комуникации). Важен ръководен принцип за всички бъдещи дейности по изпълнението е че те трябва да съответстват както по отношение на инфраструктурата, така и на превозните средства на пълния списък със СИТС услугите от ден 1.</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jc w:val="both"/>
              <w:rPr>
                <w:rFonts w:ascii="Times New Roman" w:hAnsi="Times New Roman" w:cs="Times New Roman"/>
                <w:b/>
                <w:noProof/>
                <w:sz w:val="24"/>
                <w:szCs w:val="24"/>
              </w:rPr>
            </w:pPr>
            <w:r>
              <w:rPr>
                <w:rFonts w:ascii="Times New Roman" w:hAnsi="Times New Roman"/>
                <w:b/>
                <w:noProof/>
                <w:sz w:val="24"/>
              </w:rPr>
              <w:t>Конкретни действия</w:t>
            </w:r>
          </w:p>
          <w:p>
            <w:pPr>
              <w:pStyle w:val="ListParagraph"/>
              <w:numPr>
                <w:ilvl w:val="0"/>
                <w:numId w:val="47"/>
              </w:numPr>
              <w:jc w:val="both"/>
              <w:rPr>
                <w:rFonts w:ascii="Times New Roman" w:hAnsi="Times New Roman" w:cs="Times New Roman"/>
                <w:noProof/>
                <w:sz w:val="24"/>
                <w:szCs w:val="24"/>
              </w:rPr>
            </w:pPr>
            <w:r>
              <w:rPr>
                <w:rFonts w:ascii="Times New Roman" w:hAnsi="Times New Roman"/>
                <w:noProof/>
                <w:sz w:val="24"/>
              </w:rPr>
              <w:t>Инициативите за внедряването на СИТС следва да спомогнат за определянето на процедура за оценка на съответствието за СИТС услугите от ден 1, която да се публикува, за да се гарантира пълния достъп на трети страни.</w:t>
            </w:r>
          </w:p>
          <w:p>
            <w:pPr>
              <w:pStyle w:val="ListParagraph"/>
              <w:numPr>
                <w:ilvl w:val="0"/>
                <w:numId w:val="47"/>
              </w:numPr>
              <w:jc w:val="both"/>
              <w:rPr>
                <w:rFonts w:ascii="Times New Roman" w:hAnsi="Times New Roman" w:cs="Times New Roman"/>
                <w:b/>
                <w:noProof/>
                <w:sz w:val="24"/>
                <w:szCs w:val="24"/>
              </w:rPr>
            </w:pPr>
            <w:r>
              <w:rPr>
                <w:rFonts w:ascii="Times New Roman" w:hAnsi="Times New Roman"/>
                <w:noProof/>
                <w:sz w:val="24"/>
              </w:rPr>
              <w:t>Комисията ще подпомогне инициативите за внедряване, като разработи цялостна обща процедура за оценка на съответствието за всички основни елементи за осигуряване на непрекъснатост на СИТС услугите и вземе предвид възможните разширения на тези услуги.</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rPr>
      </w:pPr>
      <w:r>
        <w:rPr>
          <w:rFonts w:ascii="Times New Roman" w:hAnsi="Times New Roman"/>
          <w:b/>
          <w:noProof/>
          <w:sz w:val="24"/>
        </w:rPr>
        <w:t>Правна уредба</w:t>
      </w:r>
    </w:p>
    <w:p>
      <w:pPr>
        <w:spacing w:line="240" w:lineRule="auto"/>
        <w:jc w:val="both"/>
        <w:rPr>
          <w:rFonts w:ascii="Times New Roman" w:hAnsi="Times New Roman" w:cs="Times New Roman"/>
          <w:noProof/>
          <w:sz w:val="24"/>
          <w:szCs w:val="24"/>
        </w:rPr>
      </w:pPr>
      <w:r>
        <w:rPr>
          <w:rFonts w:ascii="Times New Roman" w:hAnsi="Times New Roman"/>
          <w:noProof/>
          <w:sz w:val="24"/>
        </w:rPr>
        <w:t>Ако ЕС иска да въведе СИТС услугите от ден 1 през 2019 г., инвестициите и регулаторните рамки в цяла Европа трябва да се сближат. Бързото технологично развитие и сложността на разглежданите въпроси означават, че е необходима подходяща правна уредба. Комисията смята, че тази уредба трябва да се разработва посредством учене чрез опит, като се използват обратната връзка и взаимодействието между инициативите за внедряване на СИТС и платформата за СИТС.</w:t>
      </w:r>
    </w:p>
    <w:p>
      <w:pPr>
        <w:spacing w:line="240" w:lineRule="auto"/>
        <w:jc w:val="both"/>
        <w:rPr>
          <w:rFonts w:ascii="Times New Roman" w:hAnsi="Times New Roman" w:cs="Times New Roman"/>
          <w:noProof/>
          <w:sz w:val="24"/>
          <w:szCs w:val="24"/>
        </w:rPr>
      </w:pPr>
      <w:r>
        <w:rPr>
          <w:rFonts w:ascii="Times New Roman" w:hAnsi="Times New Roman"/>
          <w:noProof/>
          <w:sz w:val="24"/>
        </w:rPr>
        <w:t>В резултат на този процес и в тясно сътрудничество с всички заинтересовани страни Комисията ще обмисли използването на Директива 2010/40/ЕС (Директивата за ИТС)</w:t>
      </w:r>
      <w:r>
        <w:rPr>
          <w:rStyle w:val="FootnoteReference"/>
          <w:rFonts w:ascii="Times New Roman" w:hAnsi="Times New Roman"/>
          <w:noProof/>
          <w:sz w:val="24"/>
        </w:rPr>
        <w:footnoteReference w:id="31"/>
      </w:r>
      <w:r>
        <w:rPr>
          <w:rFonts w:ascii="Times New Roman" w:hAnsi="Times New Roman"/>
          <w:noProof/>
          <w:sz w:val="24"/>
        </w:rPr>
        <w:t>. Може да бъдат разгледани и други правни инструменти, например за процедури за оценка на съответствието. Обществената консултация показа, че 70 % от отговорилите поддържат действията на Комисията за подкрепа както на бордовото съобщително оборудване, така и на внедряването на определени СИТС услуги.</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rPr>
            </w:pPr>
            <w:r>
              <w:rPr>
                <w:rFonts w:ascii="Times New Roman" w:hAnsi="Times New Roman"/>
                <w:b/>
                <w:noProof/>
                <w:sz w:val="24"/>
              </w:rPr>
              <w:t>Конкретни действия</w:t>
            </w:r>
          </w:p>
          <w:p>
            <w:pPr>
              <w:rPr>
                <w:rFonts w:ascii="Times New Roman" w:hAnsi="Times New Roman" w:cs="Times New Roman"/>
                <w:noProof/>
                <w:sz w:val="24"/>
                <w:szCs w:val="24"/>
              </w:rPr>
            </w:pPr>
            <w:r>
              <w:rPr>
                <w:rFonts w:ascii="Times New Roman" w:hAnsi="Times New Roman"/>
                <w:noProof/>
                <w:sz w:val="24"/>
              </w:rPr>
              <w:t>Комисията ще обмисли по целесъобразност използването на мандата си съгласно Директивата за ИТС да приема делегирани актове до 2018 г. относно:</w:t>
            </w:r>
          </w:p>
          <w:p>
            <w:pPr>
              <w:pStyle w:val="ListParagraph"/>
              <w:numPr>
                <w:ilvl w:val="0"/>
                <w:numId w:val="47"/>
              </w:numPr>
              <w:jc w:val="both"/>
              <w:rPr>
                <w:rFonts w:ascii="Times New Roman" w:hAnsi="Times New Roman" w:cs="Times New Roman"/>
                <w:noProof/>
                <w:sz w:val="24"/>
                <w:szCs w:val="24"/>
              </w:rPr>
            </w:pPr>
            <w:r>
              <w:rPr>
                <w:rFonts w:ascii="Times New Roman" w:hAnsi="Times New Roman"/>
                <w:noProof/>
                <w:sz w:val="24"/>
              </w:rPr>
              <w:t>осигуряване на непрекъснатост на СИТС услугите</w:t>
            </w:r>
          </w:p>
          <w:p>
            <w:pPr>
              <w:pStyle w:val="ListParagraph"/>
              <w:numPr>
                <w:ilvl w:val="0"/>
                <w:numId w:val="47"/>
              </w:numPr>
              <w:jc w:val="both"/>
              <w:rPr>
                <w:rFonts w:ascii="Times New Roman" w:hAnsi="Times New Roman" w:cs="Times New Roman"/>
                <w:noProof/>
                <w:sz w:val="24"/>
                <w:szCs w:val="24"/>
              </w:rPr>
            </w:pPr>
            <w:r>
              <w:rPr>
                <w:rFonts w:ascii="Times New Roman" w:hAnsi="Times New Roman"/>
                <w:noProof/>
                <w:sz w:val="24"/>
              </w:rPr>
              <w:t>определяне на правила за гарантиране на сигурността на СИТС комуникациите</w:t>
            </w:r>
          </w:p>
          <w:p>
            <w:pPr>
              <w:pStyle w:val="ListParagraph"/>
              <w:numPr>
                <w:ilvl w:val="0"/>
                <w:numId w:val="47"/>
              </w:numPr>
              <w:jc w:val="both"/>
              <w:rPr>
                <w:rFonts w:ascii="Times New Roman" w:hAnsi="Times New Roman" w:cs="Times New Roman"/>
                <w:noProof/>
                <w:sz w:val="24"/>
                <w:szCs w:val="24"/>
              </w:rPr>
            </w:pPr>
            <w:r>
              <w:rPr>
                <w:rFonts w:ascii="Times New Roman" w:hAnsi="Times New Roman"/>
                <w:noProof/>
                <w:sz w:val="24"/>
              </w:rPr>
              <w:t>осигуряване на практическото прилагане на Общия регламент относно защитата на данните в областта на СИТС</w:t>
            </w:r>
          </w:p>
          <w:p>
            <w:pPr>
              <w:pStyle w:val="ListParagraph"/>
              <w:numPr>
                <w:ilvl w:val="0"/>
                <w:numId w:val="47"/>
              </w:numPr>
              <w:jc w:val="both"/>
              <w:rPr>
                <w:rFonts w:ascii="Times New Roman" w:hAnsi="Times New Roman" w:cs="Times New Roman"/>
                <w:noProof/>
                <w:sz w:val="24"/>
                <w:szCs w:val="24"/>
              </w:rPr>
            </w:pPr>
            <w:r>
              <w:rPr>
                <w:rFonts w:ascii="Times New Roman" w:hAnsi="Times New Roman"/>
                <w:noProof/>
                <w:sz w:val="24"/>
              </w:rPr>
              <w:t>гарантиране на ориентиран към бъдещето хибриден комуникационен подход</w:t>
            </w:r>
          </w:p>
          <w:p>
            <w:pPr>
              <w:pStyle w:val="ListParagraph"/>
              <w:numPr>
                <w:ilvl w:val="0"/>
                <w:numId w:val="47"/>
              </w:numPr>
              <w:jc w:val="both"/>
              <w:rPr>
                <w:rFonts w:ascii="Times New Roman" w:hAnsi="Times New Roman" w:cs="Times New Roman"/>
                <w:noProof/>
                <w:sz w:val="24"/>
                <w:szCs w:val="24"/>
              </w:rPr>
            </w:pPr>
            <w:r>
              <w:rPr>
                <w:rFonts w:ascii="Times New Roman" w:hAnsi="Times New Roman"/>
                <w:noProof/>
                <w:sz w:val="24"/>
              </w:rPr>
              <w:t>определяне на правила за оперативна съвместимост</w:t>
            </w:r>
          </w:p>
          <w:p>
            <w:pPr>
              <w:pStyle w:val="ListParagraph"/>
              <w:numPr>
                <w:ilvl w:val="0"/>
                <w:numId w:val="47"/>
              </w:numPr>
              <w:jc w:val="both"/>
              <w:rPr>
                <w:rFonts w:ascii="Times New Roman" w:hAnsi="Times New Roman" w:cs="Times New Roman"/>
                <w:noProof/>
                <w:sz w:val="24"/>
                <w:szCs w:val="24"/>
              </w:rPr>
            </w:pPr>
            <w:r>
              <w:rPr>
                <w:rFonts w:ascii="Times New Roman" w:hAnsi="Times New Roman"/>
                <w:noProof/>
                <w:sz w:val="24"/>
              </w:rPr>
              <w:t xml:space="preserve">определяне на правила относно процедурите за оценка на съответствието </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rPr>
      </w:pPr>
      <w:r>
        <w:rPr>
          <w:rFonts w:ascii="Times New Roman" w:hAnsi="Times New Roman"/>
          <w:b/>
          <w:noProof/>
          <w:sz w:val="24"/>
        </w:rPr>
        <w:t>Международно сътрудничество</w:t>
      </w:r>
    </w:p>
    <w:p>
      <w:pPr>
        <w:spacing w:line="240" w:lineRule="auto"/>
        <w:jc w:val="both"/>
        <w:rPr>
          <w:rFonts w:ascii="Times New Roman" w:hAnsi="Times New Roman" w:cs="Times New Roman"/>
          <w:noProof/>
          <w:sz w:val="24"/>
          <w:szCs w:val="24"/>
        </w:rPr>
      </w:pPr>
      <w:r>
        <w:rPr>
          <w:rFonts w:ascii="Times New Roman" w:hAnsi="Times New Roman"/>
          <w:noProof/>
          <w:sz w:val="24"/>
        </w:rPr>
        <w:t>Международното сътрудничество в областта на съвместно използваните, свързани и автоматизирани превозни средства е от основно значение, тъй като пазарите се развиват в световен мащаб. Публичните органи са заинтересовани да се учат едни от други и да гарантират бързото внедряване на нови технологии. Промишлеността също има значителен интерес от международното сътрудничество, тъй като при разработването на оборудване, услуги и бизнес модели е в търсене на световни пазари.</w:t>
      </w:r>
    </w:p>
    <w:p>
      <w:pPr>
        <w:spacing w:line="240" w:lineRule="auto"/>
        <w:jc w:val="both"/>
        <w:rPr>
          <w:rFonts w:ascii="Times New Roman" w:hAnsi="Times New Roman" w:cs="Times New Roman"/>
          <w:noProof/>
          <w:sz w:val="24"/>
          <w:szCs w:val="24"/>
        </w:rPr>
      </w:pPr>
      <w:r>
        <w:rPr>
          <w:rFonts w:ascii="Times New Roman" w:hAnsi="Times New Roman"/>
          <w:noProof/>
          <w:sz w:val="24"/>
        </w:rPr>
        <w:t>ЕС вече се възползва от сътрудничеството с Австралия, Япония, Сингапур и САЩ в области като научните изследвания, сигурността и хармонизирането на стандартите. Съюзът трябва да продължи да се ангажира с международни партньори и да се възползва от техния опит, особено този, придобит в широкомащабни инициативи за внедряване.</w:t>
      </w:r>
    </w:p>
    <w:p>
      <w:pPr>
        <w:spacing w:line="240" w:lineRule="auto"/>
        <w:jc w:val="both"/>
        <w:rPr>
          <w:rFonts w:ascii="Times New Roman" w:hAnsi="Times New Roman" w:cs="Times New Roman"/>
          <w:noProof/>
          <w:sz w:val="24"/>
          <w:szCs w:val="24"/>
        </w:rPr>
      </w:pPr>
      <w:r>
        <w:rPr>
          <w:rFonts w:ascii="Times New Roman" w:hAnsi="Times New Roman"/>
          <w:noProof/>
          <w:sz w:val="24"/>
        </w:rPr>
        <w:t>Това включва насърчаването на международната стандартизация (напр. регулиране на превозните средства и правила за движение в Икономическата комисия за Европа на ООН), защитата на неприкосновеността на личния живот на гражданите и техните лични данни и киберсигурността, разглеждането на правните аспекти и предоставянето на възможност за координиране на научните изследвания.</w:t>
      </w:r>
    </w:p>
    <w:p>
      <w:pPr>
        <w:spacing w:line="240" w:lineRule="auto"/>
        <w:jc w:val="both"/>
        <w:rPr>
          <w:rFonts w:ascii="Times New Roman" w:hAnsi="Times New Roman" w:cs="Times New Roman"/>
          <w:noProof/>
          <w:sz w:val="24"/>
          <w:szCs w:val="24"/>
        </w:rPr>
      </w:pPr>
      <w:r>
        <w:rPr>
          <w:rFonts w:ascii="Times New Roman" w:hAnsi="Times New Roman"/>
          <w:noProof/>
          <w:sz w:val="24"/>
        </w:rPr>
        <w:t>G7 също се разрасна до важна платформа за координиране на политиката и сближаване на международно равнище Неотдавна министрите на транспорта на G7 постигнаха съгласие по две декларации в подкрепа на безопасната и ефективна ранна търговска реализация на технологиите за съвместно използвани, свързани и автоматизирани превозни средства.</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rPr>
            </w:pPr>
            <w:r>
              <w:rPr>
                <w:rFonts w:ascii="Times New Roman" w:hAnsi="Times New Roman"/>
                <w:b/>
                <w:noProof/>
                <w:sz w:val="24"/>
              </w:rPr>
              <w:t>Конкретни действия</w:t>
            </w:r>
          </w:p>
          <w:p>
            <w:pPr>
              <w:rPr>
                <w:rFonts w:ascii="Times New Roman" w:hAnsi="Times New Roman" w:cs="Times New Roman"/>
                <w:b/>
                <w:noProof/>
                <w:sz w:val="24"/>
                <w:szCs w:val="24"/>
              </w:rPr>
            </w:pPr>
            <w:r>
              <w:rPr>
                <w:rFonts w:ascii="Times New Roman" w:hAnsi="Times New Roman"/>
                <w:noProof/>
                <w:sz w:val="24"/>
              </w:rPr>
              <w:t>Комисията ще:</w:t>
            </w:r>
          </w:p>
          <w:p>
            <w:pPr>
              <w:pStyle w:val="ListParagraph"/>
              <w:numPr>
                <w:ilvl w:val="0"/>
                <w:numId w:val="49"/>
              </w:numPr>
              <w:rPr>
                <w:rFonts w:ascii="Times New Roman" w:hAnsi="Times New Roman" w:cs="Times New Roman"/>
                <w:noProof/>
                <w:sz w:val="24"/>
                <w:szCs w:val="24"/>
              </w:rPr>
            </w:pPr>
            <w:r>
              <w:rPr>
                <w:rFonts w:ascii="Times New Roman" w:hAnsi="Times New Roman"/>
                <w:noProof/>
                <w:sz w:val="24"/>
              </w:rPr>
              <w:t>продължи да насърчава сближаването и координирането на дейностите по разработване и внедряване на СИТС съвместно със своите международни партньори и инициативи;</w:t>
            </w:r>
          </w:p>
          <w:p>
            <w:pPr>
              <w:pStyle w:val="ListParagraph"/>
              <w:numPr>
                <w:ilvl w:val="0"/>
                <w:numId w:val="49"/>
              </w:numPr>
              <w:rPr>
                <w:rFonts w:ascii="Times New Roman" w:hAnsi="Times New Roman" w:cs="Times New Roman"/>
                <w:b/>
                <w:noProof/>
                <w:sz w:val="24"/>
                <w:szCs w:val="24"/>
              </w:rPr>
            </w:pPr>
            <w:r>
              <w:rPr>
                <w:rFonts w:ascii="Times New Roman" w:hAnsi="Times New Roman"/>
                <w:noProof/>
                <w:sz w:val="24"/>
              </w:rPr>
              <w:t>продължи да участва в туининга на научноизследователски и иновационни проекти по „Хоризонт 2020“ в областта на ITS със сходни проекти в трети държави.</w:t>
            </w:r>
          </w:p>
        </w:tc>
      </w:tr>
    </w:tbl>
    <w:p>
      <w:pPr>
        <w:pStyle w:val="ListParagraph"/>
        <w:keepNext/>
        <w:numPr>
          <w:ilvl w:val="0"/>
          <w:numId w:val="4"/>
        </w:numPr>
        <w:spacing w:before="240" w:line="240" w:lineRule="auto"/>
        <w:ind w:left="357" w:hanging="357"/>
        <w:contextualSpacing w:val="0"/>
        <w:jc w:val="both"/>
        <w:rPr>
          <w:rFonts w:ascii="Times New Roman" w:hAnsi="Times New Roman" w:cs="Times New Roman"/>
          <w:b/>
          <w:smallCaps/>
          <w:noProof/>
          <w:sz w:val="24"/>
          <w:szCs w:val="24"/>
        </w:rPr>
      </w:pPr>
      <w:r>
        <w:rPr>
          <w:rFonts w:ascii="Times New Roman" w:hAnsi="Times New Roman"/>
          <w:b/>
          <w:smallCaps/>
          <w:noProof/>
          <w:sz w:val="24"/>
        </w:rPr>
        <w:t>Заключение</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Координираното и бързо внедряване на съвместно използвани, свързани и автоматизирани превозни средства в пътния транспорт спешно налага действие от страна на ЕС. Ако внедряването на тези превозни средства бъде успешно, то ще има важен принос за подобряването на пътната безопасност, увеличаването на ефективността на автомобилния транспорт и гарантирането на конкурентоспособността на европейската промишленост.</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С настоящото съобщение Комисията достига до първия важен крайъгълен камък по пътя към формирането на европейска стратегия за внедряването на съвместно използвани, свързани и автоматизирани превозни средства, в отговор на призива на декларацията от Амстердам. Заедно с други инициативи за пътния транспорт, които Комисията възнамерява да приеме през 2017 г., настоящото съобщение следва да допринесе за изграждането на европейска система за пътен транспорт на бъдещето и за преодоляване на основните предизвикателства, пред които тя е изправена днес. Нужните за постигането на тази цел действия и графикът за тях са определени и изискват съвместни усилия от страна на всички участници.</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Комисията ще се стреми да гарантира високо равнище на полезно взаимодействие и съгласуваност между текущите и бъдещите инициативи и да подпомага водещата позиция на Съюза в областта на съвместно използваните, свързани и автоматизирани превозни средства. Тя приканва всички заинтересовани страни, особено държавите членки и промишлеността, да подкрепят подхода, изложен в настоящото съобщение, и да си сътрудничат на всички равнища и във всички сектори, за да започне успешното внедряване на съвместно използваните интелигенти транспортни системи през 2019 г.</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FUIText-Regular">
    <w:charset w:val="00"/>
    <w:family w:val="auto"/>
    <w:pitch w:val="variable"/>
    <w:sig w:usb0="E00002FF" w:usb1="5000785B"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17274871"/>
      <w:docPartObj>
        <w:docPartGallery w:val="Page Numbers (Bottom of Page)"/>
        <w:docPartUnique/>
      </w:docPartObj>
    </w:sdtPr>
    <w:sdtEndPr>
      <w:rPr>
        <w:noProof/>
      </w:rPr>
    </w:sdtEndPr>
    <w:sdtContent>
      <w:p>
        <w:pPr>
          <w:pStyle w:val="Footer"/>
          <w:jc w:val="center"/>
          <w:rPr>
            <w:rFonts w:ascii="Times New Roman" w:hAnsi="Times New Roman" w:cs="Times New Roman"/>
            <w:noProof/>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Над 70 % от емисиите на парникови газове от транспорта, 39 % от емисиите на NO</w:t>
      </w:r>
      <w:r>
        <w:rPr>
          <w:rFonts w:ascii="Times New Roman" w:hAnsi="Times New Roman"/>
          <w:vertAlign w:val="subscript"/>
        </w:rPr>
        <w:t>x</w:t>
      </w:r>
      <w:r>
        <w:rPr>
          <w:rFonts w:ascii="Times New Roman" w:hAnsi="Times New Roman"/>
        </w:rPr>
        <w:t xml:space="preserve"> и 13 % от емисиите на фини прахови частици</w:t>
      </w: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Европейска стратегия за мобилност с ниски емисии</w:t>
      </w:r>
      <w:r>
        <w:t xml:space="preserve">, </w:t>
      </w:r>
      <w:hyperlink r:id="rId1">
        <w:r>
          <w:rPr>
            <w:rStyle w:val="Hyperlink"/>
            <w:rFonts w:ascii="Times New Roman" w:hAnsi="Times New Roman"/>
          </w:rPr>
          <w:t>COM(2016) 501 final</w:t>
        </w:r>
      </w:hyperlink>
    </w:p>
  </w:footnote>
  <w:footnote w:id="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Общите разходи, причинени от задръстванията, към момента се оценяват на 1 % от БВП (</w:t>
      </w:r>
      <w:hyperlink r:id="rId2">
        <w:r>
          <w:rPr>
            <w:rStyle w:val="Hyperlink"/>
            <w:rFonts w:ascii="Times New Roman" w:hAnsi="Times New Roman"/>
          </w:rPr>
          <w:t>EC JRC</w:t>
        </w:r>
      </w:hyperlink>
      <w:r>
        <w:rPr>
          <w:rFonts w:ascii="Times New Roman" w:hAnsi="Times New Roman"/>
        </w:rPr>
        <w:t>, 2012)</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Рамкова стратегия за устойчив енергиен съюз с ориентирана към бъдещето политика по въпросите на изменението на климата</w:t>
      </w:r>
      <w:r>
        <w:t xml:space="preserve">, </w:t>
      </w:r>
      <w:hyperlink r:id="rId3">
        <w:r>
          <w:rPr>
            <w:rStyle w:val="Hyperlink"/>
            <w:rFonts w:ascii="Times New Roman" w:hAnsi="Times New Roman"/>
          </w:rPr>
          <w:t>COM(2015)80 final</w:t>
        </w:r>
      </w:hyperlink>
      <w:r>
        <w:t xml:space="preserve">, </w:t>
      </w:r>
      <w:r>
        <w:rPr>
          <w:rFonts w:ascii="Times New Roman" w:hAnsi="Times New Roman"/>
        </w:rPr>
        <w:t>приложение 1</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Цифровизиране на европейската промишленост —  </w:t>
      </w:r>
      <w:hyperlink r:id="rId4">
        <w:r>
          <w:rPr>
            <w:rStyle w:val="Hyperlink"/>
            <w:rFonts w:ascii="Times New Roman" w:hAnsi="Times New Roman"/>
          </w:rPr>
          <w:t>COM(2016) 180</w:t>
        </w:r>
      </w:hyperlink>
      <w:r>
        <w:rPr>
          <w:rFonts w:ascii="Times New Roman" w:hAnsi="Times New Roman"/>
        </w:rPr>
        <w:t xml:space="preserve">, </w:t>
      </w:r>
      <w:hyperlink r:id="rId5">
        <w:r>
          <w:rPr>
            <w:rStyle w:val="Hyperlink"/>
            <w:rFonts w:ascii="Times New Roman" w:hAnsi="Times New Roman"/>
          </w:rPr>
          <w:t>SWD(2016) 110</w:t>
        </w:r>
      </w:hyperlink>
    </w:p>
  </w:footnote>
  <w:footnote w:id="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Roland Berger, autonomous driving, Think:Act, декември 2014 г.</w:t>
      </w:r>
    </w:p>
    <w:p>
      <w:pPr>
        <w:pStyle w:val="FootnoteText"/>
        <w:ind w:firstLine="142"/>
        <w:rPr>
          <w:rFonts w:ascii="Times New Roman" w:hAnsi="Times New Roman" w:cs="Times New Roman"/>
        </w:rPr>
      </w:pPr>
      <w:r>
        <w:rPr>
          <w:rFonts w:ascii="Times New Roman" w:hAnsi="Times New Roman"/>
        </w:rPr>
        <w:t>AT Kearney, Roadmap towards Autonomous Driving, септември 2015 г.</w:t>
      </w:r>
    </w:p>
    <w:p>
      <w:pPr>
        <w:pStyle w:val="FootnoteText"/>
        <w:ind w:firstLine="142"/>
        <w:rPr>
          <w:rFonts w:ascii="Times New Roman" w:hAnsi="Times New Roman" w:cs="Times New Roman"/>
        </w:rPr>
      </w:pPr>
      <w:r>
        <w:rPr>
          <w:rFonts w:ascii="Times New Roman" w:hAnsi="Times New Roman"/>
        </w:rPr>
        <w:t>KPMG, Connected and autonomous vehicles - the UK economic opportunity, март 2015 г.</w:t>
      </w:r>
    </w:p>
    <w:p>
      <w:pPr>
        <w:pStyle w:val="FootnoteText"/>
        <w:ind w:firstLine="142"/>
        <w:rPr>
          <w:rFonts w:ascii="Times New Roman" w:hAnsi="Times New Roman" w:cs="Times New Roman"/>
        </w:rPr>
      </w:pPr>
      <w:r>
        <w:rPr>
          <w:rFonts w:ascii="Times New Roman" w:hAnsi="Times New Roman"/>
        </w:rPr>
        <w:t>Strategy&amp;, Connected car report 2016: Opportunities, risk, and turmoil on the road to autonomous vehicles,</w:t>
      </w:r>
    </w:p>
    <w:p>
      <w:pPr>
        <w:pStyle w:val="FootnoteText"/>
        <w:ind w:firstLine="142"/>
        <w:rPr>
          <w:rFonts w:ascii="Times New Roman" w:hAnsi="Times New Roman" w:cs="Times New Roman"/>
        </w:rPr>
      </w:pPr>
      <w:r>
        <w:rPr>
          <w:rFonts w:ascii="Times New Roman" w:hAnsi="Times New Roman"/>
        </w:rPr>
        <w:t>септември 2016 г.</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Сътрудничество означава, че превозните средства се предупреждават взаимно за потенциално опасни ситуации (напр. внезапно спиране или край на опашката при задръстване) и се свързват с местната пътна инфраструктура (напр. светофари,  за  препоръка за оптимална скорост). Освен това, двупосочната комуникация между превозните средства и центровете за контрол на движението позволява проблемите да се установяват по-бързо (например задръствания или поледица) и да се смекчава въздействието им, като на ползвателите на пътя се предоставя по-бързо по-добър съвет.</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Среща на върха на Г-7 в Германия, септември 2015 г.: </w:t>
      </w:r>
      <w:hyperlink r:id="rId6">
        <w:r>
          <w:rPr>
            <w:rStyle w:val="Hyperlink"/>
            <w:rFonts w:ascii="Times New Roman" w:hAnsi="Times New Roman"/>
          </w:rPr>
          <w:t>Декларация на Г-7</w:t>
        </w:r>
      </w:hyperlink>
      <w:r>
        <w:rPr>
          <w:rFonts w:ascii="Times New Roman" w:hAnsi="Times New Roman"/>
        </w:rPr>
        <w:t xml:space="preserve"> относно автоматизираното и свързаното шофиране</w:t>
      </w:r>
    </w:p>
    <w:p>
      <w:pPr>
        <w:pStyle w:val="FootnoteText"/>
        <w:ind w:firstLine="142"/>
        <w:jc w:val="both"/>
        <w:rPr>
          <w:rFonts w:ascii="Times New Roman" w:hAnsi="Times New Roman" w:cs="Times New Roman"/>
        </w:rPr>
      </w:pPr>
      <w:r>
        <w:rPr>
          <w:rFonts w:ascii="Times New Roman" w:hAnsi="Times New Roman"/>
        </w:rPr>
        <w:t xml:space="preserve">Среща на върха на Г-7 в Япония, септември 2016 г.: </w:t>
      </w:r>
      <w:hyperlink r:id="rId7">
        <w:r>
          <w:rPr>
            <w:rStyle w:val="Hyperlink"/>
            <w:rFonts w:ascii="Times New Roman" w:hAnsi="Times New Roman"/>
          </w:rPr>
          <w:t>Декларация на Г-7</w:t>
        </w:r>
      </w:hyperlink>
      <w:r>
        <w:rPr>
          <w:rFonts w:ascii="Times New Roman" w:hAnsi="Times New Roman"/>
        </w:rPr>
        <w:t xml:space="preserve"> относно разработването и широкото използване на </w:t>
      </w:r>
    </w:p>
    <w:p>
      <w:pPr>
        <w:pStyle w:val="FootnoteText"/>
        <w:ind w:firstLine="142"/>
        <w:jc w:val="both"/>
        <w:rPr>
          <w:rFonts w:ascii="Times New Roman" w:hAnsi="Times New Roman" w:cs="Times New Roman"/>
        </w:rPr>
      </w:pPr>
      <w:r>
        <w:rPr>
          <w:rFonts w:ascii="Times New Roman" w:hAnsi="Times New Roman"/>
        </w:rPr>
        <w:t>напреднали технологии за превозните средства и пътищата</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rPr>
          <w:t>Коридор за ИТС</w:t>
        </w:r>
      </w:hyperlink>
      <w:r>
        <w:rPr>
          <w:rFonts w:ascii="Times New Roman" w:hAnsi="Times New Roman"/>
        </w:rPr>
        <w:t xml:space="preserve"> Ротердам – Франкфурт на Майн – Виена </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9">
        <w:r>
          <w:rPr>
            <w:rStyle w:val="Hyperlink"/>
            <w:rFonts w:ascii="Times New Roman" w:hAnsi="Times New Roman"/>
          </w:rPr>
          <w:t>Амстердамска група</w:t>
        </w:r>
      </w:hyperlink>
      <w:r>
        <w:rPr>
          <w:rFonts w:ascii="Times New Roman" w:hAnsi="Times New Roman"/>
        </w:rPr>
        <w:t>: обединение на компетентните органи в областта на пътния транспорт (Европейска асоциация на операторите на платени пътни инфраструктури, Европейската конференция на дирекциите по автомобилен транспорт), градовете, активни в POLIS (Мрежа на европейските градове и региони) и автомобилната промишленост, организирана в консорциума Car2Car.</w:t>
      </w:r>
    </w:p>
  </w:footnote>
  <w:footnote w:id="11">
    <w:p>
      <w:pPr>
        <w:pStyle w:val="Default"/>
      </w:pPr>
      <w:r>
        <w:rPr>
          <w:rStyle w:val="FootnoteReference"/>
          <w:sz w:val="20"/>
        </w:rPr>
        <w:footnoteRef/>
      </w:r>
      <w:r>
        <w:rPr>
          <w:sz w:val="20"/>
        </w:rPr>
        <w:t xml:space="preserve"> </w:t>
      </w:r>
      <w:r>
        <w:rPr>
          <w:color w:val="auto"/>
          <w:sz w:val="20"/>
        </w:rPr>
        <w:t xml:space="preserve">Космическа стратегия за Европа, </w:t>
      </w:r>
      <w:hyperlink r:id="rId10">
        <w:r>
          <w:rPr>
            <w:rStyle w:val="Hyperlink"/>
            <w:sz w:val="20"/>
          </w:rPr>
          <w:t>COM(2016)705</w:t>
        </w:r>
      </w:hyperlink>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1">
        <w:r>
          <w:rPr>
            <w:rStyle w:val="Hyperlink"/>
            <w:rFonts w:ascii="Times New Roman" w:hAnsi="Times New Roman"/>
          </w:rPr>
          <w:t>Декларация от Амстердам</w:t>
        </w:r>
      </w:hyperlink>
      <w:r>
        <w:rPr>
          <w:rFonts w:ascii="Times New Roman" w:hAnsi="Times New Roman"/>
        </w:rPr>
        <w:t xml:space="preserve"> относно сътрудничеството в областта на свързаното и автоматизирано управление на МПС, 14 април 2016 г.</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Комуникационен консорциум Car2Car </w:t>
      </w:r>
      <w:hyperlink r:id="rId12">
        <w:r>
          <w:rPr>
            <w:rStyle w:val="Hyperlink"/>
            <w:rFonts w:ascii="Times New Roman" w:hAnsi="Times New Roman"/>
          </w:rPr>
          <w:t>Съобщения за медиите</w:t>
        </w:r>
      </w:hyperlink>
      <w:r>
        <w:rPr>
          <w:rFonts w:ascii="Times New Roman" w:hAnsi="Times New Roman"/>
        </w:rPr>
        <w:t>, октомври 2015 г.</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Платформата за внедряването на СИТС  в Европейския съюз (C-ITS Platform - стартирана през ноември 2014 г. като експертна група на Комисията) предоставя работещ инструмент за диалог, обмен на технически познания и сътрудничество между Комисията, заинтересовани страни от публичния сектор в държавите членки, местни/регионални органи и заинтересовани страни от частния сектор, напр. производители на превозни средства, производителите на оборудване, оператори в далекосъобщенията и доставчици на услуги.</w:t>
      </w:r>
    </w:p>
  </w:footnote>
  <w:footnote w:id="15">
    <w:p>
      <w:pPr>
        <w:pStyle w:val="FootnoteText"/>
        <w:jc w:val="both"/>
        <w:rPr>
          <w:rFonts w:ascii="Times New Roman" w:hAnsi="Times New Roman" w:cs="Times New Roman"/>
          <w:highlight w:val="yellow"/>
        </w:rPr>
      </w:pPr>
      <w:r>
        <w:rPr>
          <w:rStyle w:val="FootnoteReference"/>
          <w:rFonts w:ascii="Times New Roman" w:hAnsi="Times New Roman"/>
        </w:rPr>
        <w:footnoteRef/>
      </w:r>
      <w:r>
        <w:rPr>
          <w:rFonts w:ascii="Times New Roman" w:hAnsi="Times New Roman"/>
        </w:rPr>
        <w:t xml:space="preserve"> </w:t>
      </w:r>
      <w:hyperlink r:id="rId13">
        <w:r>
          <w:rPr>
            <w:rStyle w:val="Hyperlink"/>
            <w:rFonts w:ascii="Times New Roman" w:hAnsi="Times New Roman"/>
          </w:rPr>
          <w:t>Окончателен доклад на платформата за СИТС</w:t>
        </w:r>
      </w:hyperlink>
      <w:r>
        <w:rPr>
          <w:rFonts w:ascii="Times New Roman" w:hAnsi="Times New Roman"/>
        </w:rPr>
        <w:t>, януари 2016 г.</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4">
        <w:r>
          <w:rPr>
            <w:rStyle w:val="Hyperlink"/>
            <w:rFonts w:ascii="Times New Roman" w:hAnsi="Times New Roman"/>
          </w:rPr>
          <w:t>Проучване на въвеждането на СИТС в Европа: окончателен доклад</w:t>
        </w:r>
      </w:hyperlink>
      <w:r>
        <w:rPr>
          <w:rFonts w:ascii="Times New Roman" w:hAnsi="Times New Roman"/>
        </w:rPr>
        <w:t>, февруари 2016 г.</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5">
        <w:r>
          <w:rPr>
            <w:rStyle w:val="Hyperlink"/>
            <w:rFonts w:ascii="Times New Roman" w:hAnsi="Times New Roman"/>
          </w:rPr>
          <w:t>Анализ на отговорите в обществената консултация относно СИТС</w:t>
        </w:r>
      </w:hyperlink>
      <w:r>
        <w:rPr>
          <w:rFonts w:ascii="Times New Roman" w:hAnsi="Times New Roman"/>
        </w:rPr>
        <w:t xml:space="preserve"> (ГД „Мобилност и транспорт “, проведена от юни до септември 2016 г.)</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Съфинансиране от ЕС в размер на над 130 милиона евро само от 2014 г. насам по линия на Механизма за свързване на Европа и „Хоризонт 2020“ на тема съвместно използвани, свързани и автоматизирани превозни средства.</w:t>
      </w:r>
    </w:p>
  </w:footnote>
  <w:footnote w:id="19">
    <w:p>
      <w:pPr>
        <w:pStyle w:val="FootnoteText"/>
        <w:jc w:val="both"/>
        <w:rPr>
          <w:rFonts w:ascii="Times New Roman" w:hAnsi="Times New Roman" w:cs="Times New Roman"/>
          <w:lang w:val="es-ES"/>
        </w:rPr>
      </w:pPr>
      <w:r>
        <w:rPr>
          <w:rStyle w:val="FootnoteReference"/>
          <w:rFonts w:ascii="Times New Roman" w:hAnsi="Times New Roman"/>
        </w:rPr>
        <w:footnoteRef/>
      </w:r>
      <w:r>
        <w:rPr>
          <w:rFonts w:ascii="Times New Roman" w:hAnsi="Times New Roman"/>
        </w:rPr>
        <w:t xml:space="preserve"> AT, BE, CZ, DE, DK, ES, FI, FR, NL, NO, SE, SI, UK</w:t>
      </w:r>
    </w:p>
  </w:footnote>
  <w:footnote w:id="20">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Онлайн платформите и цифровият единен пазар Възможности и предизвикателства пред Европа, </w:t>
      </w:r>
      <w:hyperlink r:id="rId16">
        <w:r>
          <w:rPr>
            <w:rStyle w:val="Hyperlink"/>
            <w:rFonts w:ascii="Times New Roman" w:hAnsi="Times New Roman"/>
          </w:rPr>
          <w:t>COM(2016) 288</w:t>
        </w:r>
      </w:hyperlink>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Съгласно окончателния доклад на платформата за СИТС, това са:</w:t>
      </w:r>
    </w:p>
    <w:p>
      <w:pPr>
        <w:pStyle w:val="FootnoteText"/>
        <w:jc w:val="both"/>
        <w:rPr>
          <w:rFonts w:ascii="Times New Roman" w:hAnsi="Times New Roman" w:cs="Times New Roman"/>
        </w:rPr>
      </w:pPr>
      <w:r>
        <w:rPr>
          <w:rFonts w:ascii="Times New Roman" w:hAnsi="Times New Roman"/>
        </w:rPr>
        <w:t>- списък на общо договорените СИТС услуги от ден 1 на внедряване в ЕС;</w:t>
      </w:r>
    </w:p>
    <w:p>
      <w:pPr>
        <w:pStyle w:val="FootnoteText"/>
        <w:jc w:val="both"/>
        <w:rPr>
          <w:rFonts w:ascii="Times New Roman" w:hAnsi="Times New Roman" w:cs="Times New Roman"/>
        </w:rPr>
      </w:pPr>
      <w:r>
        <w:rPr>
          <w:rFonts w:ascii="Times New Roman" w:hAnsi="Times New Roman"/>
        </w:rPr>
        <w:t>- обща визия по въпросите на киберсигурността, представена в договорен модел на доверие;</w:t>
      </w:r>
    </w:p>
    <w:p>
      <w:pPr>
        <w:pStyle w:val="FootnoteText"/>
        <w:jc w:val="both"/>
        <w:rPr>
          <w:rFonts w:ascii="Times New Roman" w:hAnsi="Times New Roman" w:cs="Times New Roman"/>
        </w:rPr>
      </w:pPr>
      <w:r>
        <w:rPr>
          <w:rFonts w:ascii="Times New Roman" w:hAnsi="Times New Roman"/>
        </w:rPr>
        <w:t>- оценка на ползите от СИТС в цяла Европа въз основа на хибриден подход за комуникациите;</w:t>
      </w:r>
    </w:p>
    <w:p>
      <w:pPr>
        <w:pStyle w:val="FootnoteText"/>
        <w:jc w:val="both"/>
        <w:rPr>
          <w:rFonts w:ascii="Times New Roman" w:hAnsi="Times New Roman" w:cs="Times New Roman"/>
        </w:rPr>
      </w:pPr>
      <w:r>
        <w:rPr>
          <w:rFonts w:ascii="Times New Roman" w:hAnsi="Times New Roman"/>
        </w:rPr>
        <w:t>- ръководни принципи за достъп до бордовите данни на превозните средства. Необходими са допълнителни правни и технически анализи и разработването на сценарии въз основа на оценката на разходите и ползите на различните възможни технически решения. Резултатите от специално проучване на Комисията ще бъдат налични в средата на 2017 г.;</w:t>
      </w:r>
    </w:p>
    <w:p>
      <w:pPr>
        <w:pStyle w:val="FootnoteText"/>
        <w:jc w:val="both"/>
        <w:rPr>
          <w:rFonts w:ascii="Times New Roman" w:hAnsi="Times New Roman" w:cs="Times New Roman"/>
        </w:rPr>
      </w:pPr>
      <w:r>
        <w:rPr>
          <w:rFonts w:ascii="Times New Roman" w:hAnsi="Times New Roman"/>
        </w:rPr>
        <w:t>- подробен анализ на правото на неприкосновеност на личния живот и защитата на данните, който представлява стабилна основа за по-нататъшна работа по прилагането на новите изисквания, произтичащи от новия Общ регламент относно защитата на данните.</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Документите на общата политика за сигурността и сертификатите например ще определят европейския модел на доверие за СИТС на основата на инфраструктура за публичен ключ. Наред с другото, те ще определят правните, организационните и техническите изисквания за управлението на сертификатите за публичен ключ за СИТС услугите въз основа на структурите, определени в (IETF) RFC 3647.</w:t>
      </w:r>
    </w:p>
  </w:footnote>
  <w:footnote w:id="2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този контекст инфраструктурата за публичен ключ е комбинацията от софтуер, асиметрични криптографски технологии, процеси и услуги, които позволяват на дадена организация да постигне сигурност на СИТС комуникациите.</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Цифровият тахограф записва дейностите (почивка и часове на шофиране) на професионалните шофьори. Той осигурява надеждна информация на правоприлагащите органи в ЕС, които проверяват съответствието със Социалния регламент (ЕО) № 561/2006: </w:t>
      </w:r>
      <w:hyperlink r:id="rId17">
        <w:r>
          <w:rPr>
            <w:rStyle w:val="Hyperlink"/>
            <w:rFonts w:ascii="Times New Roman" w:hAnsi="Times New Roman"/>
          </w:rPr>
          <w:t>https://dtc.jrc.ec.europa.eu/</w:t>
        </w:r>
      </w:hyperlink>
      <w:r>
        <w:rPr>
          <w:rFonts w:ascii="Times New Roman" w:hAnsi="Times New Roman"/>
        </w:rPr>
        <w:t>. В Регламент (ЕС) № 165/2014 е определена нова версия на цифровите тахографи („интелигентни тахографи“).</w:t>
      </w:r>
    </w:p>
  </w:footnote>
  <w:footnote w:id="2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95/46/ЕО се прилага до 24 май 2018 г. Тя е отменена с </w:t>
      </w:r>
      <w:hyperlink r:id="rId18">
        <w:r>
          <w:rPr>
            <w:rStyle w:val="Hyperlink"/>
            <w:rFonts w:ascii="Times New Roman" w:hAnsi="Times New Roman"/>
          </w:rPr>
          <w:t>Регламент (ЕС) 2016/679</w:t>
        </w:r>
      </w:hyperlink>
      <w:r>
        <w:rPr>
          <w:rFonts w:ascii="Times New Roman" w:hAnsi="Times New Roman"/>
        </w:rPr>
        <w:t xml:space="preserve"> — Общ регламент относно защитата на данните, приложим от 25 май 2018 г. Директива 2002/58/ЕО на Европейския парламент и на Съвета от 12 юли 2002 година относно обработката на лични данни и защита на правото на неприкосновеност на личния живот в сектора на електронните комуникации понастоящем е в процес на оценка по програмата REFIT от Комисията.</w:t>
      </w:r>
    </w:p>
  </w:footnote>
  <w:footnote w:id="26">
    <w:p>
      <w:pPr>
        <w:pStyle w:val="FootnoteText"/>
        <w:rPr>
          <w:rStyle w:val="Hyperlink"/>
          <w:rFonts w:ascii="Times" w:hAnsi="Times" w:cs="Times New Roman"/>
        </w:rPr>
      </w:pPr>
      <w:r>
        <w:rPr>
          <w:rStyle w:val="FootnoteReference"/>
          <w:rFonts w:ascii="Times" w:hAnsi="Times"/>
        </w:rPr>
        <w:footnoteRef/>
      </w:r>
      <w:r>
        <w:rPr>
          <w:rFonts w:ascii="Times" w:hAnsi="Times"/>
        </w:rPr>
        <w:t xml:space="preserve"> Спазвайки Директивата за радиосъоръженията </w:t>
      </w:r>
      <w:hyperlink r:id="rId19">
        <w:r>
          <w:rPr>
            <w:rStyle w:val="Hyperlink"/>
            <w:rFonts w:ascii="Times" w:hAnsi="Times"/>
          </w:rPr>
          <w:t>2014/53/EС</w:t>
        </w:r>
      </w:hyperlink>
    </w:p>
  </w:footnote>
  <w:footnote w:id="27">
    <w:p>
      <w:pPr>
        <w:pStyle w:val="FootnoteText"/>
        <w:jc w:val="both"/>
        <w:rPr>
          <w:rFonts w:ascii="Times New Roman" w:hAnsi="Times New Roman" w:cs="Times New Roman"/>
        </w:rPr>
      </w:pPr>
      <w:r>
        <w:rPr>
          <w:rStyle w:val="FootnoteReference"/>
          <w:rFonts w:ascii="Times" w:hAnsi="Times"/>
        </w:rPr>
        <w:footnoteRef/>
      </w:r>
      <w:r>
        <w:rPr>
          <w:rFonts w:ascii="Times" w:hAnsi="Times"/>
        </w:rPr>
        <w:t xml:space="preserve"> </w:t>
      </w:r>
      <w:hyperlink r:id="rId20">
        <w:r>
          <w:rPr>
            <w:rStyle w:val="Hyperlink"/>
            <w:rFonts w:ascii="Times" w:hAnsi="Times"/>
          </w:rPr>
          <w:t>COM(2016)588</w:t>
        </w:r>
      </w:hyperlink>
      <w:r>
        <w:rPr>
          <w:rFonts w:ascii="Times" w:hAnsi="Times"/>
        </w:rPr>
        <w:t>: 5G за Европа: План за действие и придружаващ</w:t>
      </w:r>
      <w:r>
        <w:rPr>
          <w:rFonts w:ascii="Times New Roman" w:hAnsi="Times New Roman"/>
        </w:rPr>
        <w:t xml:space="preserve"> работен документ на службите на Комисията </w:t>
      </w:r>
      <w:hyperlink r:id="rId21">
        <w:r>
          <w:rPr>
            <w:rStyle w:val="Hyperlink"/>
            <w:rFonts w:ascii="Times New Roman" w:hAnsi="Times New Roman"/>
          </w:rPr>
          <w:t>SWD(2016)306</w:t>
        </w:r>
      </w:hyperlink>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2">
        <w:r>
          <w:rPr>
            <w:rStyle w:val="Hyperlink"/>
            <w:rFonts w:ascii="Times New Roman" w:hAnsi="Times New Roman"/>
          </w:rPr>
          <w:t>Решение 2008/671/ЕО</w:t>
        </w:r>
      </w:hyperlink>
    </w:p>
  </w:footnote>
  <w:footnote w:id="2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M/453 (2009): Мандат на CEN, CENELEC и ETSI за стандартизация в областта на информационните и комуникационните технологии в подкрепа на оперативната съвместимост на съвместно използваните системи за интелигентен транспорт в Европейската общност;</w:t>
      </w:r>
    </w:p>
    <w:p>
      <w:pPr>
        <w:pStyle w:val="FootnoteText"/>
        <w:jc w:val="both"/>
        <w:rPr>
          <w:rFonts w:ascii="Times New Roman" w:hAnsi="Times New Roman" w:cs="Times New Roman"/>
        </w:rPr>
      </w:pPr>
      <w:r>
        <w:rPr>
          <w:rFonts w:ascii="Times New Roman" w:hAnsi="Times New Roman"/>
        </w:rPr>
        <w:t>M/284, 329, 358, 363 по Директивата относно радионавигационното оборудване и далекосъобщителното крайно оборудване  (1999/5/EО), сега консолидирани под M/536 по Директивата за радиосъоръженията.</w:t>
      </w:r>
    </w:p>
  </w:footnote>
  <w:footnote w:id="3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Платформата </w:t>
      </w:r>
      <w:hyperlink r:id="rId23">
        <w:r>
          <w:rPr>
            <w:rStyle w:val="Hyperlink"/>
            <w:rFonts w:ascii="Times New Roman" w:hAnsi="Times New Roman"/>
          </w:rPr>
          <w:t>C-Roads</w:t>
        </w:r>
      </w:hyperlink>
      <w:r>
        <w:rPr>
          <w:rFonts w:ascii="Times New Roman" w:hAnsi="Times New Roman"/>
        </w:rPr>
        <w:t xml:space="preserve"> се съфинансира по линия на Механизма за свързване на Европа (МСЕ)</w:t>
      </w:r>
    </w:p>
  </w:footnote>
  <w:footnote w:id="3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2010/40/ЕС за ИТС може да се използва като основа за приемането на последователен набор от правила на равнище ЕС, за да се създаде единен пазар за съвместно използвани, свързани и автоматизирани превозни средства. В член 2 от директивата се определят приоритетни области за разработването и използването на спецификации и стандарти, сред които и областта на свързването на превозното средство с транспортната инфраструктура. Действията, които трябва да бъдат предприети в тази приоритетна област, са подробно описани в приложение 1 към нея и включват, наред с другото, определянето на необходимите мерки за интегриране на различни ИТС приложения в отворена бордова платформа и по-нататъшен напредък в разработването и въвеждането на съвместно използвани системи (между превозните средства, между превозните средства и инфраструктурата, и между инфраструктурите). В член 6 от същата директива на Комисията се предоставя правомощието да приема спецификации, които да осигуряват съответствието, оперативната съвместимост и непрекъснатостта за внедряването и експлоатацията на ИТС за други действия в приоритетните области, посочени в член 2. Тези спецификации следва да бъдат приети чрез делегиран акт. Освен това, Комисията може също така да използва правомощията, дадени ѝ в приоритетна област III, свързана с ИТС приложения за пътна безопасност и сигурност, които са по-подробно разгледани в точка 4 от приложение I към Директивата за ИТС. Комисията подготвя разширяване на срока на мандата за приемане на делегирани актове съгласно Директива 2010/40/ЕС (Директивата за ИТС).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33E7"/>
    <w:multiLevelType w:val="hybridMultilevel"/>
    <w:tmpl w:val="E02C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D704F"/>
    <w:multiLevelType w:val="hybridMultilevel"/>
    <w:tmpl w:val="AF1E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650291"/>
    <w:multiLevelType w:val="hybridMultilevel"/>
    <w:tmpl w:val="48DE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159DD"/>
    <w:multiLevelType w:val="hybridMultilevel"/>
    <w:tmpl w:val="7D7CA0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FB017CF"/>
    <w:multiLevelType w:val="hybridMultilevel"/>
    <w:tmpl w:val="22349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5E67AC"/>
    <w:multiLevelType w:val="hybridMultilevel"/>
    <w:tmpl w:val="FF6A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1A3223"/>
    <w:multiLevelType w:val="hybridMultilevel"/>
    <w:tmpl w:val="65725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22590A"/>
    <w:multiLevelType w:val="hybridMultilevel"/>
    <w:tmpl w:val="5B706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68B1A8A"/>
    <w:multiLevelType w:val="hybridMultilevel"/>
    <w:tmpl w:val="4DF8A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165357"/>
    <w:multiLevelType w:val="hybridMultilevel"/>
    <w:tmpl w:val="EFF89F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BC80F0C"/>
    <w:multiLevelType w:val="hybridMultilevel"/>
    <w:tmpl w:val="CF5C7EB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nsid w:val="1C5B75CF"/>
    <w:multiLevelType w:val="hybridMultilevel"/>
    <w:tmpl w:val="4C04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E47FDC"/>
    <w:multiLevelType w:val="hybridMultilevel"/>
    <w:tmpl w:val="C8808E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1CFB056F"/>
    <w:multiLevelType w:val="hybridMultilevel"/>
    <w:tmpl w:val="295A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640EDC"/>
    <w:multiLevelType w:val="hybridMultilevel"/>
    <w:tmpl w:val="6B46CD9C"/>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1F997651"/>
    <w:multiLevelType w:val="hybridMultilevel"/>
    <w:tmpl w:val="B878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E8033B"/>
    <w:multiLevelType w:val="hybridMultilevel"/>
    <w:tmpl w:val="42BCB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2C478D8"/>
    <w:multiLevelType w:val="hybridMultilevel"/>
    <w:tmpl w:val="575A823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23BB66E0"/>
    <w:multiLevelType w:val="hybridMultilevel"/>
    <w:tmpl w:val="E8DCC3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285B6810"/>
    <w:multiLevelType w:val="hybridMultilevel"/>
    <w:tmpl w:val="1C7E7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9431EEC"/>
    <w:multiLevelType w:val="hybridMultilevel"/>
    <w:tmpl w:val="0768A33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2BA0562F"/>
    <w:multiLevelType w:val="hybridMultilevel"/>
    <w:tmpl w:val="FA9611C0"/>
    <w:lvl w:ilvl="0" w:tplc="84BE0974">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2BC61537"/>
    <w:multiLevelType w:val="hybridMultilevel"/>
    <w:tmpl w:val="2276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C574F7D"/>
    <w:multiLevelType w:val="hybridMultilevel"/>
    <w:tmpl w:val="4594C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06A18D3"/>
    <w:multiLevelType w:val="multilevel"/>
    <w:tmpl w:val="754AF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17640C2"/>
    <w:multiLevelType w:val="hybridMultilevel"/>
    <w:tmpl w:val="3664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7CB1976"/>
    <w:multiLevelType w:val="hybridMultilevel"/>
    <w:tmpl w:val="EE724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BD76C01"/>
    <w:multiLevelType w:val="hybridMultilevel"/>
    <w:tmpl w:val="4E12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E675A1"/>
    <w:multiLevelType w:val="hybridMultilevel"/>
    <w:tmpl w:val="EA7A0A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3CEF655F"/>
    <w:multiLevelType w:val="hybridMultilevel"/>
    <w:tmpl w:val="54B4DD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nsid w:val="3D7F6DFA"/>
    <w:multiLevelType w:val="hybridMultilevel"/>
    <w:tmpl w:val="99805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E590BF0"/>
    <w:multiLevelType w:val="hybridMultilevel"/>
    <w:tmpl w:val="5DC0F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41E05FF"/>
    <w:multiLevelType w:val="hybridMultilevel"/>
    <w:tmpl w:val="4EDEFC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C300E7E"/>
    <w:multiLevelType w:val="hybridMultilevel"/>
    <w:tmpl w:val="E4461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9D100B"/>
    <w:multiLevelType w:val="hybridMultilevel"/>
    <w:tmpl w:val="5332FC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505C1DB9"/>
    <w:multiLevelType w:val="hybridMultilevel"/>
    <w:tmpl w:val="08DE69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59B52AD8"/>
    <w:multiLevelType w:val="hybridMultilevel"/>
    <w:tmpl w:val="9D58BE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nsid w:val="5D3165CF"/>
    <w:multiLevelType w:val="hybridMultilevel"/>
    <w:tmpl w:val="E82220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0766A96"/>
    <w:multiLevelType w:val="hybridMultilevel"/>
    <w:tmpl w:val="B746A71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9">
    <w:nsid w:val="6389405B"/>
    <w:multiLevelType w:val="hybridMultilevel"/>
    <w:tmpl w:val="23802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75E45E1"/>
    <w:multiLevelType w:val="hybridMultilevel"/>
    <w:tmpl w:val="1108B01E"/>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83D45A5"/>
    <w:multiLevelType w:val="hybridMultilevel"/>
    <w:tmpl w:val="8028FE9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nsid w:val="719B1959"/>
    <w:multiLevelType w:val="hybridMultilevel"/>
    <w:tmpl w:val="52B4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322C6F"/>
    <w:multiLevelType w:val="hybridMultilevel"/>
    <w:tmpl w:val="856E74D2"/>
    <w:lvl w:ilvl="0" w:tplc="1FEAC93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4">
    <w:nsid w:val="733C0D99"/>
    <w:multiLevelType w:val="hybridMultilevel"/>
    <w:tmpl w:val="9B74310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5">
    <w:nsid w:val="762541DC"/>
    <w:multiLevelType w:val="hybridMultilevel"/>
    <w:tmpl w:val="C5E0A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9255BCD"/>
    <w:multiLevelType w:val="hybridMultilevel"/>
    <w:tmpl w:val="011E4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9A1741A"/>
    <w:multiLevelType w:val="hybridMultilevel"/>
    <w:tmpl w:val="BB38E3D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8">
    <w:nsid w:val="7BAB1C06"/>
    <w:multiLevelType w:val="hybridMultilevel"/>
    <w:tmpl w:val="702C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7C7F641C"/>
    <w:multiLevelType w:val="hybridMultilevel"/>
    <w:tmpl w:val="A3BA8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7DD63FED"/>
    <w:multiLevelType w:val="hybridMultilevel"/>
    <w:tmpl w:val="356A7A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41"/>
  </w:num>
  <w:num w:numId="4">
    <w:abstractNumId w:val="24"/>
  </w:num>
  <w:num w:numId="5">
    <w:abstractNumId w:val="20"/>
  </w:num>
  <w:num w:numId="6">
    <w:abstractNumId w:val="50"/>
  </w:num>
  <w:num w:numId="7">
    <w:abstractNumId w:val="28"/>
  </w:num>
  <w:num w:numId="8">
    <w:abstractNumId w:val="14"/>
  </w:num>
  <w:num w:numId="9">
    <w:abstractNumId w:val="47"/>
  </w:num>
  <w:num w:numId="10">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4" w:hanging="79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1">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3">
    <w:abstractNumId w:val="25"/>
  </w:num>
  <w:num w:numId="14">
    <w:abstractNumId w:val="6"/>
  </w:num>
  <w:num w:numId="15">
    <w:abstractNumId w:val="29"/>
  </w:num>
  <w:num w:numId="16">
    <w:abstractNumId w:val="35"/>
  </w:num>
  <w:num w:numId="17">
    <w:abstractNumId w:val="3"/>
  </w:num>
  <w:num w:numId="18">
    <w:abstractNumId w:val="34"/>
  </w:num>
  <w:num w:numId="19">
    <w:abstractNumId w:val="18"/>
  </w:num>
  <w:num w:numId="20">
    <w:abstractNumId w:val="33"/>
  </w:num>
  <w:num w:numId="21">
    <w:abstractNumId w:val="1"/>
  </w:num>
  <w:num w:numId="22">
    <w:abstractNumId w:val="42"/>
  </w:num>
  <w:num w:numId="23">
    <w:abstractNumId w:val="30"/>
  </w:num>
  <w:num w:numId="24">
    <w:abstractNumId w:val="12"/>
  </w:num>
  <w:num w:numId="25">
    <w:abstractNumId w:val="36"/>
  </w:num>
  <w:num w:numId="26">
    <w:abstractNumId w:val="46"/>
  </w:num>
  <w:num w:numId="27">
    <w:abstractNumId w:val="26"/>
  </w:num>
  <w:num w:numId="28">
    <w:abstractNumId w:val="32"/>
  </w:num>
  <w:num w:numId="29">
    <w:abstractNumId w:val="22"/>
  </w:num>
  <w:num w:numId="30">
    <w:abstractNumId w:val="21"/>
  </w:num>
  <w:num w:numId="31">
    <w:abstractNumId w:val="40"/>
  </w:num>
  <w:num w:numId="32">
    <w:abstractNumId w:val="44"/>
  </w:num>
  <w:num w:numId="33">
    <w:abstractNumId w:val="43"/>
  </w:num>
  <w:num w:numId="34">
    <w:abstractNumId w:val="8"/>
  </w:num>
  <w:num w:numId="35">
    <w:abstractNumId w:val="11"/>
  </w:num>
  <w:num w:numId="36">
    <w:abstractNumId w:val="5"/>
  </w:num>
  <w:num w:numId="37">
    <w:abstractNumId w:val="15"/>
  </w:num>
  <w:num w:numId="38">
    <w:abstractNumId w:val="38"/>
  </w:num>
  <w:num w:numId="39">
    <w:abstractNumId w:val="16"/>
  </w:num>
  <w:num w:numId="40">
    <w:abstractNumId w:val="23"/>
  </w:num>
  <w:num w:numId="41">
    <w:abstractNumId w:val="31"/>
  </w:num>
  <w:num w:numId="42">
    <w:abstractNumId w:val="9"/>
  </w:num>
  <w:num w:numId="43">
    <w:abstractNumId w:val="4"/>
  </w:num>
  <w:num w:numId="44">
    <w:abstractNumId w:val="39"/>
  </w:num>
  <w:num w:numId="45">
    <w:abstractNumId w:val="37"/>
  </w:num>
  <w:num w:numId="46">
    <w:abstractNumId w:val="19"/>
  </w:num>
  <w:num w:numId="47">
    <w:abstractNumId w:val="48"/>
  </w:num>
  <w:num w:numId="48">
    <w:abstractNumId w:val="13"/>
  </w:num>
  <w:num w:numId="49">
    <w:abstractNumId w:val="49"/>
  </w:num>
  <w:num w:numId="50">
    <w:abstractNumId w:val="7"/>
  </w:num>
  <w:num w:numId="51">
    <w:abstractNumId w:val="2"/>
  </w:num>
  <w:num w:numId="52">
    <w:abstractNumId w:val="27"/>
  </w:num>
  <w:num w:numId="53">
    <w:abstractNumId w:val="0"/>
  </w:num>
  <w:num w:numId="54">
    <w:abstractNumId w:val="10"/>
  </w:num>
  <w:num w:numId="55">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B35D9AF96EE462FA4B1D6623DD49C74"/>
    <w:docVar w:name="LW_CROSSREFERENCE" w:val="&lt;UNUSED&gt;"/>
    <w:docVar w:name="LW_DocType" w:val="NORMAL"/>
    <w:docVar w:name="LW_EMISSION" w:val="30.11.2016"/>
    <w:docVar w:name="LW_EMISSION_ISODATE" w:val="2016-11-30"/>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66"/>
    <w:docVar w:name="LW_REF.INTERNE" w:val="&lt;UNUSED&gt;"/>
    <w:docVar w:name="LW_SOUS.TITRE.OBJ" w:val="The first European milestone towards cooperative, connected and automated mobility"/>
    <w:docVar w:name="LW_SOUS.TITRE.OBJ.CP" w:val="&lt;UNUSED&gt;"/>
    <w:docVar w:name="LW_SUPERTITRE" w:val="&lt;UNUSED&gt;"/>
    <w:docVar w:name="LW_TITRE.OBJ.CP" w:val="\u1045?\u1074?\u1088?\u1086?\u1087?\u1077?\u1081?\u1089?\u1082?\u1072?\u1090?\u1072? \u1089?\u1090?\u1088?\u1072?\u1090?\u1077?\u1075?\u1080?\u1103? \u1079?\u1072? \u1089?\u1098?\u1074?\u1084?\u1077?\u1089?\u1090?\u1085?\u1080? \u1080?\u1085?\u1090?\u1077?\u1083?\u1080?\u1075?\u1077?\u1085?\u1090?\u1085?\u1080? \u1090?\u1088?\u1072?\u1085?\u1089?\u1087?\u1086?\u1088?\u1090?\u1085?\u1080? \u1089?\u1080?\u1089?\u1090?\u1077?\u1084?\u1080? \u8212? \u1082?\u1088?\u1072?\u1081?\u1098?\u1075?\u1098?\u1083?\u1077?\u1085? \u1082?\u1072?\u1084?\u1098?\u1082? \u1087?\u1086? \u1087?\u1098?\u1090?\u1103? \u1082?\u1098?\u1084? \u1089?\u1098?\u1074?\u1084?\u1077?\u1089?\u1090?\u1085?\u1072?\u1090?\u1072?, \u1089?\u1074?\u1098?\u1088?\u1079?\u1072?\u1085?\u1072? \u1080? \u1072?\u1074?\u1090?\u1086?\u1084?\u1072?\u1090?\u1080?\u1079?\u1080?\u1088?\u1072?\u1085?\u1072? \u1084?\u1086?\u1073?\u1080?\u1083?\u1085?\u1086?\u1089?\u1090?"/>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mainbidtable">
    <w:name w:val="main bid table"/>
    <w:basedOn w:val="TableNormal"/>
    <w:uiPriority w:val="99"/>
    <w:pPr>
      <w:spacing w:before="60" w:after="0" w:line="240" w:lineRule="auto"/>
    </w:pPr>
    <w:rPr>
      <w:rFonts w:ascii="Arial" w:eastAsia="Times New Roman" w:hAnsi="Arial" w:cs="Times New Roman"/>
      <w:sz w:val="20"/>
      <w:szCs w:val="20"/>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paragraph" w:styleId="Caption">
    <w:name w:val="caption"/>
    <w:aliases w:val="cap,cap1"/>
    <w:basedOn w:val="Normal"/>
    <w:next w:val="Normal"/>
    <w:unhideWhenUsed/>
    <w:qFormat/>
    <w:pPr>
      <w:pBdr>
        <w:top w:val="nil"/>
        <w:left w:val="nil"/>
        <w:bottom w:val="nil"/>
        <w:right w:val="nil"/>
        <w:between w:val="nil"/>
        <w:bar w:val="nil"/>
      </w:pBdr>
      <w:spacing w:line="240" w:lineRule="auto"/>
    </w:pPr>
    <w:rPr>
      <w:rFonts w:ascii="Times New Roman" w:eastAsia="Arial Unicode MS" w:hAnsi="Times New Roman" w:cs="Times New Roman"/>
      <w:b/>
      <w:bCs/>
      <w:color w:val="4F81BD" w:themeColor="accent1"/>
      <w:sz w:val="18"/>
      <w:szCs w:val="18"/>
      <w:bdr w:val="nil"/>
    </w:rPr>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character" w:customStyle="1" w:styleId="s1">
    <w:name w:val="s1"/>
    <w:basedOn w:val="DefaultParagraphFont"/>
    <w:rPr>
      <w:rFonts w:ascii=".SFUIText-Regular" w:hAnsi=".SFUIText-Regular" w:hint="default"/>
      <w:b w:val="0"/>
      <w:bCs w:val="0"/>
      <w:i w:val="0"/>
      <w:iCs w:val="0"/>
      <w:sz w:val="34"/>
      <w:szCs w:val="3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mainbidtable">
    <w:name w:val="main bid table"/>
    <w:basedOn w:val="TableNormal"/>
    <w:uiPriority w:val="99"/>
    <w:pPr>
      <w:spacing w:before="60" w:after="0" w:line="240" w:lineRule="auto"/>
    </w:pPr>
    <w:rPr>
      <w:rFonts w:ascii="Arial" w:eastAsia="Times New Roman" w:hAnsi="Arial" w:cs="Times New Roman"/>
      <w:sz w:val="20"/>
      <w:szCs w:val="20"/>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paragraph" w:styleId="Caption">
    <w:name w:val="caption"/>
    <w:aliases w:val="cap,cap1"/>
    <w:basedOn w:val="Normal"/>
    <w:next w:val="Normal"/>
    <w:unhideWhenUsed/>
    <w:qFormat/>
    <w:pPr>
      <w:pBdr>
        <w:top w:val="nil"/>
        <w:left w:val="nil"/>
        <w:bottom w:val="nil"/>
        <w:right w:val="nil"/>
        <w:between w:val="nil"/>
        <w:bar w:val="nil"/>
      </w:pBdr>
      <w:spacing w:line="240" w:lineRule="auto"/>
    </w:pPr>
    <w:rPr>
      <w:rFonts w:ascii="Times New Roman" w:eastAsia="Arial Unicode MS" w:hAnsi="Times New Roman" w:cs="Times New Roman"/>
      <w:b/>
      <w:bCs/>
      <w:color w:val="4F81BD" w:themeColor="accent1"/>
      <w:sz w:val="18"/>
      <w:szCs w:val="18"/>
      <w:bdr w:val="nil"/>
    </w:rPr>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character" w:customStyle="1" w:styleId="s1">
    <w:name w:val="s1"/>
    <w:basedOn w:val="DefaultParagraphFont"/>
    <w:rPr>
      <w:rFonts w:ascii=".SFUIText-Regular" w:hAnsi=".SFUIText-Regular" w:hint="default"/>
      <w:b w:val="0"/>
      <w:bCs w:val="0"/>
      <w:i w:val="0"/>
      <w:iCs w:val="0"/>
      <w:sz w:val="34"/>
      <w:szCs w:val="3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280">
      <w:bodyDiv w:val="1"/>
      <w:marLeft w:val="0"/>
      <w:marRight w:val="0"/>
      <w:marTop w:val="0"/>
      <w:marBottom w:val="0"/>
      <w:divBdr>
        <w:top w:val="none" w:sz="0" w:space="0" w:color="auto"/>
        <w:left w:val="none" w:sz="0" w:space="0" w:color="auto"/>
        <w:bottom w:val="none" w:sz="0" w:space="0" w:color="auto"/>
        <w:right w:val="none" w:sz="0" w:space="0" w:color="auto"/>
      </w:divBdr>
    </w:div>
    <w:div w:id="292638809">
      <w:bodyDiv w:val="1"/>
      <w:marLeft w:val="0"/>
      <w:marRight w:val="0"/>
      <w:marTop w:val="0"/>
      <w:marBottom w:val="0"/>
      <w:divBdr>
        <w:top w:val="none" w:sz="0" w:space="0" w:color="auto"/>
        <w:left w:val="none" w:sz="0" w:space="0" w:color="auto"/>
        <w:bottom w:val="none" w:sz="0" w:space="0" w:color="auto"/>
        <w:right w:val="none" w:sz="0" w:space="0" w:color="auto"/>
      </w:divBdr>
    </w:div>
    <w:div w:id="444424638">
      <w:bodyDiv w:val="1"/>
      <w:marLeft w:val="0"/>
      <w:marRight w:val="0"/>
      <w:marTop w:val="0"/>
      <w:marBottom w:val="0"/>
      <w:divBdr>
        <w:top w:val="none" w:sz="0" w:space="0" w:color="auto"/>
        <w:left w:val="none" w:sz="0" w:space="0" w:color="auto"/>
        <w:bottom w:val="none" w:sz="0" w:space="0" w:color="auto"/>
        <w:right w:val="none" w:sz="0" w:space="0" w:color="auto"/>
      </w:divBdr>
    </w:div>
    <w:div w:id="630330970">
      <w:bodyDiv w:val="1"/>
      <w:marLeft w:val="0"/>
      <w:marRight w:val="0"/>
      <w:marTop w:val="0"/>
      <w:marBottom w:val="0"/>
      <w:divBdr>
        <w:top w:val="none" w:sz="0" w:space="0" w:color="auto"/>
        <w:left w:val="none" w:sz="0" w:space="0" w:color="auto"/>
        <w:bottom w:val="none" w:sz="0" w:space="0" w:color="auto"/>
        <w:right w:val="none" w:sz="0" w:space="0" w:color="auto"/>
      </w:divBdr>
    </w:div>
    <w:div w:id="661810332">
      <w:bodyDiv w:val="1"/>
      <w:marLeft w:val="0"/>
      <w:marRight w:val="0"/>
      <w:marTop w:val="0"/>
      <w:marBottom w:val="0"/>
      <w:divBdr>
        <w:top w:val="none" w:sz="0" w:space="0" w:color="auto"/>
        <w:left w:val="none" w:sz="0" w:space="0" w:color="auto"/>
        <w:bottom w:val="none" w:sz="0" w:space="0" w:color="auto"/>
        <w:right w:val="none" w:sz="0" w:space="0" w:color="auto"/>
      </w:divBdr>
    </w:div>
    <w:div w:id="744687257">
      <w:bodyDiv w:val="1"/>
      <w:marLeft w:val="0"/>
      <w:marRight w:val="0"/>
      <w:marTop w:val="0"/>
      <w:marBottom w:val="0"/>
      <w:divBdr>
        <w:top w:val="none" w:sz="0" w:space="0" w:color="auto"/>
        <w:left w:val="none" w:sz="0" w:space="0" w:color="auto"/>
        <w:bottom w:val="none" w:sz="0" w:space="0" w:color="auto"/>
        <w:right w:val="none" w:sz="0" w:space="0" w:color="auto"/>
      </w:divBdr>
    </w:div>
    <w:div w:id="1113137014">
      <w:bodyDiv w:val="1"/>
      <w:marLeft w:val="0"/>
      <w:marRight w:val="0"/>
      <w:marTop w:val="0"/>
      <w:marBottom w:val="0"/>
      <w:divBdr>
        <w:top w:val="none" w:sz="0" w:space="0" w:color="auto"/>
        <w:left w:val="none" w:sz="0" w:space="0" w:color="auto"/>
        <w:bottom w:val="none" w:sz="0" w:space="0" w:color="auto"/>
        <w:right w:val="none" w:sz="0" w:space="0" w:color="auto"/>
      </w:divBdr>
    </w:div>
    <w:div w:id="1145243532">
      <w:bodyDiv w:val="1"/>
      <w:marLeft w:val="0"/>
      <w:marRight w:val="0"/>
      <w:marTop w:val="0"/>
      <w:marBottom w:val="0"/>
      <w:divBdr>
        <w:top w:val="none" w:sz="0" w:space="0" w:color="auto"/>
        <w:left w:val="none" w:sz="0" w:space="0" w:color="auto"/>
        <w:bottom w:val="none" w:sz="0" w:space="0" w:color="auto"/>
        <w:right w:val="none" w:sz="0" w:space="0" w:color="auto"/>
      </w:divBdr>
    </w:div>
    <w:div w:id="1259405724">
      <w:bodyDiv w:val="1"/>
      <w:marLeft w:val="0"/>
      <w:marRight w:val="0"/>
      <w:marTop w:val="0"/>
      <w:marBottom w:val="0"/>
      <w:divBdr>
        <w:top w:val="none" w:sz="0" w:space="0" w:color="auto"/>
        <w:left w:val="none" w:sz="0" w:space="0" w:color="auto"/>
        <w:bottom w:val="none" w:sz="0" w:space="0" w:color="auto"/>
        <w:right w:val="none" w:sz="0" w:space="0" w:color="auto"/>
      </w:divBdr>
    </w:div>
    <w:div w:id="1323198526">
      <w:bodyDiv w:val="1"/>
      <w:marLeft w:val="0"/>
      <w:marRight w:val="0"/>
      <w:marTop w:val="0"/>
      <w:marBottom w:val="0"/>
      <w:divBdr>
        <w:top w:val="none" w:sz="0" w:space="0" w:color="auto"/>
        <w:left w:val="none" w:sz="0" w:space="0" w:color="auto"/>
        <w:bottom w:val="none" w:sz="0" w:space="0" w:color="auto"/>
        <w:right w:val="none" w:sz="0" w:space="0" w:color="auto"/>
      </w:divBdr>
    </w:div>
    <w:div w:id="1564870154">
      <w:bodyDiv w:val="1"/>
      <w:marLeft w:val="0"/>
      <w:marRight w:val="0"/>
      <w:marTop w:val="0"/>
      <w:marBottom w:val="0"/>
      <w:divBdr>
        <w:top w:val="none" w:sz="0" w:space="0" w:color="auto"/>
        <w:left w:val="none" w:sz="0" w:space="0" w:color="auto"/>
        <w:bottom w:val="none" w:sz="0" w:space="0" w:color="auto"/>
        <w:right w:val="none" w:sz="0" w:space="0" w:color="auto"/>
      </w:divBdr>
    </w:div>
    <w:div w:id="1638604956">
      <w:bodyDiv w:val="1"/>
      <w:marLeft w:val="0"/>
      <w:marRight w:val="0"/>
      <w:marTop w:val="0"/>
      <w:marBottom w:val="0"/>
      <w:divBdr>
        <w:top w:val="none" w:sz="0" w:space="0" w:color="auto"/>
        <w:left w:val="none" w:sz="0" w:space="0" w:color="auto"/>
        <w:bottom w:val="none" w:sz="0" w:space="0" w:color="auto"/>
        <w:right w:val="none" w:sz="0" w:space="0" w:color="auto"/>
      </w:divBdr>
    </w:div>
    <w:div w:id="1715613244">
      <w:bodyDiv w:val="1"/>
      <w:marLeft w:val="0"/>
      <w:marRight w:val="0"/>
      <w:marTop w:val="0"/>
      <w:marBottom w:val="0"/>
      <w:divBdr>
        <w:top w:val="none" w:sz="0" w:space="0" w:color="auto"/>
        <w:left w:val="none" w:sz="0" w:space="0" w:color="auto"/>
        <w:bottom w:val="none" w:sz="0" w:space="0" w:color="auto"/>
        <w:right w:val="none" w:sz="0" w:space="0" w:color="auto"/>
      </w:divBdr>
    </w:div>
    <w:div w:id="1716999908">
      <w:bodyDiv w:val="1"/>
      <w:marLeft w:val="0"/>
      <w:marRight w:val="0"/>
      <w:marTop w:val="0"/>
      <w:marBottom w:val="0"/>
      <w:divBdr>
        <w:top w:val="none" w:sz="0" w:space="0" w:color="auto"/>
        <w:left w:val="none" w:sz="0" w:space="0" w:color="auto"/>
        <w:bottom w:val="none" w:sz="0" w:space="0" w:color="auto"/>
        <w:right w:val="none" w:sz="0" w:space="0" w:color="auto"/>
      </w:divBdr>
    </w:div>
    <w:div w:id="1718889454">
      <w:bodyDiv w:val="1"/>
      <w:marLeft w:val="0"/>
      <w:marRight w:val="0"/>
      <w:marTop w:val="0"/>
      <w:marBottom w:val="0"/>
      <w:divBdr>
        <w:top w:val="none" w:sz="0" w:space="0" w:color="auto"/>
        <w:left w:val="none" w:sz="0" w:space="0" w:color="auto"/>
        <w:bottom w:val="none" w:sz="0" w:space="0" w:color="auto"/>
        <w:right w:val="none" w:sz="0" w:space="0" w:color="auto"/>
      </w:divBdr>
    </w:div>
    <w:div w:id="1932465361">
      <w:bodyDiv w:val="1"/>
      <w:marLeft w:val="0"/>
      <w:marRight w:val="0"/>
      <w:marTop w:val="0"/>
      <w:marBottom w:val="0"/>
      <w:divBdr>
        <w:top w:val="none" w:sz="0" w:space="0" w:color="auto"/>
        <w:left w:val="none" w:sz="0" w:space="0" w:color="auto"/>
        <w:bottom w:val="none" w:sz="0" w:space="0" w:color="auto"/>
        <w:right w:val="none" w:sz="0" w:space="0" w:color="auto"/>
      </w:divBdr>
    </w:div>
    <w:div w:id="1957102523">
      <w:bodyDiv w:val="1"/>
      <w:marLeft w:val="0"/>
      <w:marRight w:val="0"/>
      <w:marTop w:val="0"/>
      <w:marBottom w:val="0"/>
      <w:divBdr>
        <w:top w:val="none" w:sz="0" w:space="0" w:color="auto"/>
        <w:left w:val="none" w:sz="0" w:space="0" w:color="auto"/>
        <w:bottom w:val="none" w:sz="0" w:space="0" w:color="auto"/>
        <w:right w:val="none" w:sz="0" w:space="0" w:color="auto"/>
      </w:divBdr>
    </w:div>
    <w:div w:id="2018343576">
      <w:bodyDiv w:val="1"/>
      <w:marLeft w:val="0"/>
      <w:marRight w:val="0"/>
      <w:marTop w:val="0"/>
      <w:marBottom w:val="0"/>
      <w:divBdr>
        <w:top w:val="none" w:sz="0" w:space="0" w:color="auto"/>
        <w:left w:val="none" w:sz="0" w:space="0" w:color="auto"/>
        <w:bottom w:val="none" w:sz="0" w:space="0" w:color="auto"/>
        <w:right w:val="none" w:sz="0" w:space="0" w:color="auto"/>
      </w:divBdr>
    </w:div>
    <w:div w:id="2021197290">
      <w:bodyDiv w:val="1"/>
      <w:marLeft w:val="0"/>
      <w:marRight w:val="0"/>
      <w:marTop w:val="0"/>
      <w:marBottom w:val="0"/>
      <w:divBdr>
        <w:top w:val="none" w:sz="0" w:space="0" w:color="auto"/>
        <w:left w:val="none" w:sz="0" w:space="0" w:color="auto"/>
        <w:bottom w:val="none" w:sz="0" w:space="0" w:color="auto"/>
        <w:right w:val="none" w:sz="0" w:space="0" w:color="auto"/>
      </w:divBdr>
    </w:div>
    <w:div w:id="2077702668">
      <w:bodyDiv w:val="1"/>
      <w:marLeft w:val="0"/>
      <w:marRight w:val="0"/>
      <w:marTop w:val="0"/>
      <w:marBottom w:val="0"/>
      <w:divBdr>
        <w:top w:val="none" w:sz="0" w:space="0" w:color="auto"/>
        <w:left w:val="none" w:sz="0" w:space="0" w:color="auto"/>
        <w:bottom w:val="none" w:sz="0" w:space="0" w:color="auto"/>
        <w:right w:val="none" w:sz="0" w:space="0" w:color="auto"/>
      </w:divBdr>
    </w:div>
    <w:div w:id="2078698928">
      <w:bodyDiv w:val="1"/>
      <w:marLeft w:val="0"/>
      <w:marRight w:val="0"/>
      <w:marTop w:val="0"/>
      <w:marBottom w:val="0"/>
      <w:divBdr>
        <w:top w:val="none" w:sz="0" w:space="0" w:color="auto"/>
        <w:left w:val="none" w:sz="0" w:space="0" w:color="auto"/>
        <w:bottom w:val="none" w:sz="0" w:space="0" w:color="auto"/>
        <w:right w:val="none" w:sz="0" w:space="0" w:color="auto"/>
      </w:divBdr>
    </w:div>
    <w:div w:id="2088768460">
      <w:bodyDiv w:val="1"/>
      <w:marLeft w:val="0"/>
      <w:marRight w:val="0"/>
      <w:marTop w:val="0"/>
      <w:marBottom w:val="0"/>
      <w:divBdr>
        <w:top w:val="none" w:sz="0" w:space="0" w:color="auto"/>
        <w:left w:val="none" w:sz="0" w:space="0" w:color="auto"/>
        <w:bottom w:val="none" w:sz="0" w:space="0" w:color="auto"/>
        <w:right w:val="none" w:sz="0" w:space="0" w:color="auto"/>
      </w:divBdr>
    </w:div>
    <w:div w:id="214704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its-korridor.de/" TargetMode="External"/><Relationship Id="rId13" Type="http://schemas.openxmlformats.org/officeDocument/2006/relationships/hyperlink" Target="http://ec.europa.eu/transport/themes/its/c-its_en.htm" TargetMode="External"/><Relationship Id="rId18" Type="http://schemas.openxmlformats.org/officeDocument/2006/relationships/hyperlink" Target="http://eur-lex.europa.eu/legal-content/en/TXT/?uri=CELEX:32016R0679" TargetMode="External"/><Relationship Id="rId3" Type="http://schemas.openxmlformats.org/officeDocument/2006/relationships/hyperlink" Target="http://eur-lex.europa.eu/legal-content/EN/TXT/?uri=COM:2015:80:FIN" TargetMode="External"/><Relationship Id="rId21" Type="http://schemas.openxmlformats.org/officeDocument/2006/relationships/hyperlink" Target="http://eur-lex.europa.eu/legal-content/EN/TXT/?qid=1479301730611&amp;uri=CELEX:52016SC0306" TargetMode="External"/><Relationship Id="rId7" Type="http://schemas.openxmlformats.org/officeDocument/2006/relationships/hyperlink" Target="http://www.mlit.go.jp/common/001146631.pdf" TargetMode="External"/><Relationship Id="rId12" Type="http://schemas.openxmlformats.org/officeDocument/2006/relationships/hyperlink" Target="https://www.car-2-car.org/index.php?id=214" TargetMode="External"/><Relationship Id="rId17" Type="http://schemas.openxmlformats.org/officeDocument/2006/relationships/hyperlink" Target="https://dtc.jrc.ec.europa.eu/" TargetMode="External"/><Relationship Id="rId2" Type="http://schemas.openxmlformats.org/officeDocument/2006/relationships/hyperlink" Target="http://ftp.jrc.es/EURdoc/JRC69961.pdf" TargetMode="External"/><Relationship Id="rId16" Type="http://schemas.openxmlformats.org/officeDocument/2006/relationships/hyperlink" Target="http://eur-lex.europa.eu/legal-content/BG/TXT/?qid=1479300918497&amp;uri=CELEX:52016DC0288" TargetMode="External"/><Relationship Id="rId20" Type="http://schemas.openxmlformats.org/officeDocument/2006/relationships/hyperlink" Target="http://eur-lex.europa.eu/legal-content/BG/TXT/?qid=1479301654220&amp;uri=CELEX:52016DC0588" TargetMode="External"/><Relationship Id="rId1" Type="http://schemas.openxmlformats.org/officeDocument/2006/relationships/hyperlink" Target="http://eur-lex.europa.eu/legal-content/EN/TXT/?qid=1476374593053&amp;uri=CELEX:52016DC0501" TargetMode="External"/><Relationship Id="rId6" Type="http://schemas.openxmlformats.org/officeDocument/2006/relationships/hyperlink" Target="http://www.bmvi.de/SharedDocs/EN/Artikel/K/G7/g7-dokumente.html" TargetMode="External"/><Relationship Id="rId11" Type="http://schemas.openxmlformats.org/officeDocument/2006/relationships/hyperlink" Target="https://english.eu2016.nl/documents/publications/2016/04/14/declaration-of-amsterdam" TargetMode="External"/><Relationship Id="rId5" Type="http://schemas.openxmlformats.org/officeDocument/2006/relationships/hyperlink" Target="http://eur-lex.europa.eu/legal-content/de/TXT/?uri=CELEX:52016SC0110" TargetMode="External"/><Relationship Id="rId15" Type="http://schemas.openxmlformats.org/officeDocument/2006/relationships/hyperlink" Target="http://ec.europa.eu/transport/sites/transport/files/2016-c-its-deployment-study-public-consultation.pdf" TargetMode="External"/><Relationship Id="rId23" Type="http://schemas.openxmlformats.org/officeDocument/2006/relationships/hyperlink" Target="http://www.c-roads.eu/" TargetMode="External"/><Relationship Id="rId10" Type="http://schemas.openxmlformats.org/officeDocument/2006/relationships/hyperlink" Target="http://eur-lex.europa.eu/legal-content/EN/TXT/?qid=1479300756981&amp;uri=CELEX:52016DC0705" TargetMode="External"/><Relationship Id="rId19" Type="http://schemas.openxmlformats.org/officeDocument/2006/relationships/hyperlink" Target="http://eur-lex.europa.eu/legal-content/BG/TXT/?uri=celex:32014L0053" TargetMode="External"/><Relationship Id="rId4" Type="http://schemas.openxmlformats.org/officeDocument/2006/relationships/hyperlink" Target="http://eur-lex.europa.eu/legal-content/EN/TXT/?qid=1479300554594&amp;uri=CELEX:52016DC0180" TargetMode="External"/><Relationship Id="rId9" Type="http://schemas.openxmlformats.org/officeDocument/2006/relationships/hyperlink" Target="https://amsterdamgroup.mett.nl/" TargetMode="External"/><Relationship Id="rId14" Type="http://schemas.openxmlformats.org/officeDocument/2006/relationships/hyperlink" Target="http://ec.europa.eu/transport/sites/transport/files/2016-c-its-deployment-study-final-report.pdf" TargetMode="External"/><Relationship Id="rId22" Type="http://schemas.openxmlformats.org/officeDocument/2006/relationships/hyperlink" Target="http://eur-lex.europa.eu/legal-content/BG/TXT/?uri=CELEX:32008D0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3ADC5-1196-4D69-8812-A8C2254F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5114</Words>
  <Characters>30736</Characters>
  <Application>Microsoft Office Word</Application>
  <DocSecurity>0</DocSecurity>
  <Lines>529</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2016-11-03T14:43:00Z</cp:lastPrinted>
  <dcterms:created xsi:type="dcterms:W3CDTF">2016-11-22T11:01:00Z</dcterms:created>
  <dcterms:modified xsi:type="dcterms:W3CDTF">2016-12-16T13:17:00Z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