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37FC19407254DDFA239AF1D62C3185B"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0" w:name="_GoBack"/>
      <w:bookmarkEnd w:id="0"/>
    </w:p>
    <w:p>
      <w:pPr>
        <w:pStyle w:val="Annexetitre"/>
        <w:rPr>
          <w:noProof/>
        </w:rPr>
      </w:pPr>
      <w:r>
        <w:rPr>
          <w:noProof/>
        </w:rPr>
        <w:t>ANNEX</w:t>
      </w:r>
    </w:p>
    <w:p>
      <w:pPr>
        <w:pStyle w:val="Annexetitreexpos"/>
        <w:rPr>
          <w:noProof/>
        </w:rPr>
      </w:pPr>
      <w:r>
        <w:rPr>
          <w:noProof/>
        </w:rPr>
        <w:t>Template for risk-preparedness plan</w:t>
      </w:r>
    </w:p>
    <w:p>
      <w:pPr>
        <w:rPr>
          <w:noProof/>
        </w:rPr>
      </w:pPr>
      <w:r>
        <w:rPr>
          <w:noProof/>
        </w:rPr>
        <w:t>The following templates shall be completed in English.</w:t>
      </w:r>
    </w:p>
    <w:p>
      <w:pPr>
        <w:pStyle w:val="ManualHeading1"/>
        <w:rPr>
          <w:rStyle w:val="Strong"/>
          <w:b/>
          <w:bCs w:val="0"/>
          <w:noProof/>
        </w:rPr>
      </w:pPr>
      <w:r>
        <w:rPr>
          <w:rStyle w:val="Strong"/>
          <w:noProof/>
        </w:rPr>
        <w:t>General information</w:t>
      </w:r>
    </w:p>
    <w:p>
      <w:pPr>
        <w:pStyle w:val="Tiret0"/>
        <w:numPr>
          <w:ilvl w:val="0"/>
          <w:numId w:val="3"/>
        </w:numPr>
        <w:rPr>
          <w:noProof/>
        </w:rPr>
      </w:pPr>
      <w:r>
        <w:rPr>
          <w:noProof/>
        </w:rPr>
        <w:t>Name of the Competent Authority responsible for the preparation of this Plan</w:t>
      </w:r>
    </w:p>
    <w:p>
      <w:pPr>
        <w:pStyle w:val="Tiret0"/>
        <w:numPr>
          <w:ilvl w:val="0"/>
          <w:numId w:val="3"/>
        </w:numPr>
        <w:rPr>
          <w:noProof/>
        </w:rPr>
      </w:pPr>
      <w:r>
        <w:rPr>
          <w:noProof/>
        </w:rPr>
        <w:t>Member States in the region</w:t>
      </w:r>
    </w:p>
    <w:p>
      <w:pPr>
        <w:pStyle w:val="Heading1"/>
        <w:numPr>
          <w:ilvl w:val="0"/>
          <w:numId w:val="1"/>
        </w:numPr>
        <w:rPr>
          <w:noProof/>
        </w:rPr>
      </w:pPr>
      <w:r>
        <w:rPr>
          <w:noProof/>
        </w:rPr>
        <w:t>Summary of the electricity crisis scenarios</w:t>
      </w:r>
    </w:p>
    <w:p>
      <w:pPr>
        <w:pStyle w:val="Text1"/>
        <w:rPr>
          <w:noProof/>
        </w:rPr>
      </w:pPr>
      <w:r>
        <w:rPr>
          <w:noProof/>
        </w:rPr>
        <w:t>Describe briefly the risk scenarios identified at regional and national level in accordance with Article 6 and 7, including the description of the assumptions applied.</w:t>
      </w:r>
    </w:p>
    <w:p>
      <w:pPr>
        <w:pStyle w:val="Heading1"/>
        <w:numPr>
          <w:ilvl w:val="0"/>
          <w:numId w:val="1"/>
        </w:numPr>
        <w:rPr>
          <w:noProof/>
        </w:rPr>
      </w:pPr>
      <w:r>
        <w:rPr>
          <w:noProof/>
        </w:rPr>
        <w:t>Roles and responsibilities of the Competent Authority</w:t>
      </w:r>
    </w:p>
    <w:p>
      <w:pPr>
        <w:pStyle w:val="Text1"/>
        <w:rPr>
          <w:noProof/>
        </w:rPr>
      </w:pPr>
      <w:r>
        <w:rPr>
          <w:noProof/>
        </w:rPr>
        <w:t>Define the role and responsibilities of the Competent Authorities and the bodies to which tasks have been delegated.</w:t>
      </w:r>
    </w:p>
    <w:p>
      <w:pPr>
        <w:pStyle w:val="Heading1"/>
        <w:numPr>
          <w:ilvl w:val="0"/>
          <w:numId w:val="1"/>
        </w:numPr>
        <w:rPr>
          <w:noProof/>
        </w:rPr>
      </w:pPr>
      <w:r>
        <w:rPr>
          <w:noProof/>
        </w:rPr>
        <w:t>Procedures and measures in the electricity crisis</w:t>
      </w:r>
    </w:p>
    <w:p>
      <w:pPr>
        <w:pStyle w:val="Heading2"/>
        <w:numPr>
          <w:ilvl w:val="1"/>
          <w:numId w:val="2"/>
        </w:numPr>
        <w:rPr>
          <w:noProof/>
        </w:rPr>
      </w:pPr>
      <w:r>
        <w:rPr>
          <w:noProof/>
        </w:rPr>
        <w:t>National procedures and measures</w:t>
      </w:r>
    </w:p>
    <w:p>
      <w:pPr>
        <w:pStyle w:val="Point1letter"/>
        <w:numPr>
          <w:ilvl w:val="3"/>
          <w:numId w:val="12"/>
        </w:numPr>
        <w:rPr>
          <w:noProof/>
        </w:rPr>
      </w:pPr>
      <w:r>
        <w:rPr>
          <w:noProof/>
        </w:rPr>
        <w:t>Describe procedures to be followed in the cases of an electricity crisis, including the corresponding schemes on information flows;</w:t>
      </w:r>
    </w:p>
    <w:p>
      <w:pPr>
        <w:pStyle w:val="Point1letter"/>
        <w:numPr>
          <w:ilvl w:val="3"/>
          <w:numId w:val="12"/>
        </w:numPr>
        <w:rPr>
          <w:noProof/>
        </w:rPr>
      </w:pPr>
      <w:r>
        <w:rPr>
          <w:noProof/>
        </w:rPr>
        <w:t>Describe preventive and preparatory measures;</w:t>
      </w:r>
    </w:p>
    <w:p>
      <w:pPr>
        <w:pStyle w:val="Point1letter"/>
        <w:numPr>
          <w:ilvl w:val="3"/>
          <w:numId w:val="12"/>
        </w:numPr>
        <w:rPr>
          <w:noProof/>
        </w:rPr>
      </w:pPr>
      <w:r>
        <w:rPr>
          <w:noProof/>
        </w:rPr>
        <w:t>Describe measures to mitigate electricity crisis situations, notably demand-side and supply-side measures, whilst indicating in which circumstances these measures can be used especially the trigger of each measure. Where non-market measures are considered, they must be duly justified in light of the requirements set forth in Article 15;</w:t>
      </w:r>
    </w:p>
    <w:p>
      <w:pPr>
        <w:pStyle w:val="Point1letter"/>
        <w:numPr>
          <w:ilvl w:val="3"/>
          <w:numId w:val="12"/>
        </w:numPr>
        <w:rPr>
          <w:noProof/>
        </w:rPr>
      </w:pPr>
      <w:r>
        <w:rPr>
          <w:noProof/>
        </w:rPr>
        <w:t xml:space="preserve">Provide a detailed load shedding plan, including when loads shall be shed, in what circumstances, values of load to be shed and to whom. Specify which categories of electricity users should receive special protection against disconnection, and </w:t>
      </w:r>
      <w:r>
        <w:rPr>
          <w:noProof/>
          <w:szCs w:val="24"/>
        </w:rPr>
        <w:t>explain why their protection is necessary in order to protect personal safety;</w:t>
      </w:r>
    </w:p>
    <w:p>
      <w:pPr>
        <w:pStyle w:val="Point1letter"/>
        <w:numPr>
          <w:ilvl w:val="3"/>
          <w:numId w:val="12"/>
        </w:numPr>
        <w:rPr>
          <w:noProof/>
        </w:rPr>
      </w:pPr>
      <w:r>
        <w:rPr>
          <w:noProof/>
        </w:rPr>
        <w:t>Describe the mechanisms used to inform the public about the electricity crisis.</w:t>
      </w:r>
    </w:p>
    <w:p>
      <w:pPr>
        <w:pStyle w:val="Heading2"/>
        <w:numPr>
          <w:ilvl w:val="1"/>
          <w:numId w:val="2"/>
        </w:numPr>
        <w:rPr>
          <w:noProof/>
        </w:rPr>
      </w:pPr>
      <w:r>
        <w:rPr>
          <w:noProof/>
        </w:rPr>
        <w:t>Regional procedures and measures</w:t>
      </w:r>
    </w:p>
    <w:p>
      <w:pPr>
        <w:pStyle w:val="Point1letter"/>
        <w:numPr>
          <w:ilvl w:val="3"/>
          <w:numId w:val="13"/>
        </w:numPr>
        <w:rPr>
          <w:noProof/>
        </w:rPr>
      </w:pPr>
      <w:r>
        <w:rPr>
          <w:noProof/>
        </w:rPr>
        <w:t>Describe the agreed mechanisms to cooperate within the region and to ensure appropriate coordination before and during the electricity crisis, including the decision-making procedures for appropriate reaction at regional level;</w:t>
      </w:r>
    </w:p>
    <w:p>
      <w:pPr>
        <w:pStyle w:val="Point1letter"/>
        <w:numPr>
          <w:ilvl w:val="3"/>
          <w:numId w:val="12"/>
        </w:numPr>
        <w:rPr>
          <w:noProof/>
        </w:rPr>
      </w:pPr>
      <w:r>
        <w:rPr>
          <w:noProof/>
        </w:rPr>
        <w:t xml:space="preserve">Describe agreed measures to be used in simultaneous crisis situations, including the prioritisation of customers and regional load-shedding plans as well as financial arrangements for assistance in order to prevent or mitigate an electricity crisis. </w:t>
      </w:r>
      <w:r>
        <w:rPr>
          <w:noProof/>
          <w:szCs w:val="24"/>
        </w:rPr>
        <w:t>When describing such</w:t>
      </w:r>
      <w:r>
        <w:rPr>
          <w:noProof/>
        </w:rPr>
        <w:t xml:space="preserve"> arrangements </w:t>
      </w:r>
      <w:r>
        <w:rPr>
          <w:noProof/>
          <w:szCs w:val="24"/>
        </w:rPr>
        <w:t xml:space="preserve">include elements such as a definition of a trigger of the assistance, calculation formula or amount, paying and receiving parties and the rules for arbitration. </w:t>
      </w:r>
      <w:r>
        <w:rPr>
          <w:noProof/>
        </w:rPr>
        <w:t>Specify when and how the regional load shedding plans shall be triggered;</w:t>
      </w:r>
    </w:p>
    <w:p>
      <w:pPr>
        <w:pStyle w:val="Point1letter"/>
        <w:numPr>
          <w:ilvl w:val="3"/>
          <w:numId w:val="12"/>
        </w:numPr>
        <w:rPr>
          <w:noProof/>
        </w:rPr>
      </w:pPr>
      <w:r>
        <w:rPr>
          <w:noProof/>
        </w:rPr>
        <w:t>Describe the mechanisms in place to cooperate and to coordinate actions before and during the electricity crisis with other Member States outside of the region as well as with third countries within the relevant synchronous area.</w:t>
      </w:r>
    </w:p>
    <w:p>
      <w:pPr>
        <w:pStyle w:val="Heading1"/>
        <w:numPr>
          <w:ilvl w:val="0"/>
          <w:numId w:val="1"/>
        </w:numPr>
        <w:rPr>
          <w:noProof/>
        </w:rPr>
      </w:pPr>
      <w:r>
        <w:rPr>
          <w:noProof/>
        </w:rPr>
        <w:t>Crisis manager or team</w:t>
      </w:r>
    </w:p>
    <w:p>
      <w:pPr>
        <w:pStyle w:val="Text1"/>
        <w:rPr>
          <w:noProof/>
        </w:rPr>
      </w:pPr>
      <w:r>
        <w:rPr>
          <w:noProof/>
        </w:rPr>
        <w:t>Indicate who the crisis manager or team is and define its role. Specify the contact details.</w:t>
      </w:r>
    </w:p>
    <w:p>
      <w:pPr>
        <w:pStyle w:val="Heading1"/>
        <w:numPr>
          <w:ilvl w:val="0"/>
          <w:numId w:val="1"/>
        </w:numPr>
        <w:rPr>
          <w:noProof/>
        </w:rPr>
      </w:pPr>
      <w:r>
        <w:rPr>
          <w:noProof/>
        </w:rPr>
        <w:t>Stakeholder consultations</w:t>
      </w:r>
    </w:p>
    <w:p>
      <w:pPr>
        <w:pStyle w:val="Text1"/>
        <w:rPr>
          <w:noProof/>
        </w:rPr>
      </w:pPr>
      <w:r>
        <w:rPr>
          <w:noProof/>
        </w:rPr>
        <w:t>In accordance with Article 10(1), please describe the mechanism used for and the results of the consultations carried out, for the development of this Plan, with:</w:t>
      </w:r>
    </w:p>
    <w:p>
      <w:pPr>
        <w:pStyle w:val="Point1letter"/>
        <w:numPr>
          <w:ilvl w:val="3"/>
          <w:numId w:val="14"/>
        </w:numPr>
        <w:rPr>
          <w:noProof/>
        </w:rPr>
      </w:pPr>
      <w:r>
        <w:rPr>
          <w:noProof/>
        </w:rPr>
        <w:t>electricity and gas undertakings;</w:t>
      </w:r>
    </w:p>
    <w:p>
      <w:pPr>
        <w:pStyle w:val="Point1letter"/>
        <w:numPr>
          <w:ilvl w:val="3"/>
          <w:numId w:val="14"/>
        </w:numPr>
        <w:rPr>
          <w:noProof/>
        </w:rPr>
      </w:pPr>
      <w:r>
        <w:rPr>
          <w:noProof/>
        </w:rPr>
        <w:t>relevant organisations representing the interests of households;</w:t>
      </w:r>
    </w:p>
    <w:p>
      <w:pPr>
        <w:pStyle w:val="Point1letter"/>
        <w:numPr>
          <w:ilvl w:val="3"/>
          <w:numId w:val="14"/>
        </w:numPr>
        <w:rPr>
          <w:noProof/>
        </w:rPr>
      </w:pPr>
      <w:r>
        <w:rPr>
          <w:noProof/>
        </w:rPr>
        <w:t>relevant organisations representing the interests of industrial  electricity customers, including gas undertakings;</w:t>
      </w:r>
    </w:p>
    <w:p>
      <w:pPr>
        <w:pStyle w:val="Point1letter"/>
        <w:numPr>
          <w:ilvl w:val="3"/>
          <w:numId w:val="14"/>
        </w:numPr>
        <w:rPr>
          <w:noProof/>
        </w:rPr>
      </w:pPr>
      <w:r>
        <w:rPr>
          <w:noProof/>
        </w:rPr>
        <w:t>national regulatory authorities.</w:t>
      </w:r>
    </w:p>
    <w:p>
      <w:pPr>
        <w:pStyle w:val="Heading1"/>
        <w:numPr>
          <w:ilvl w:val="0"/>
          <w:numId w:val="1"/>
        </w:numPr>
        <w:rPr>
          <w:noProof/>
        </w:rPr>
      </w:pPr>
      <w:r>
        <w:rPr>
          <w:noProof/>
        </w:rPr>
        <w:t>Emergency tests</w:t>
      </w:r>
    </w:p>
    <w:p>
      <w:pPr>
        <w:pStyle w:val="Point1letter"/>
        <w:numPr>
          <w:ilvl w:val="3"/>
          <w:numId w:val="15"/>
        </w:numPr>
        <w:rPr>
          <w:noProof/>
        </w:rPr>
      </w:pPr>
      <w:r>
        <w:rPr>
          <w:noProof/>
        </w:rPr>
        <w:t>Indicate the calendar for the yearly regional (if aplicable also national) real time response simulations of electricity crisis situations;</w:t>
      </w:r>
    </w:p>
    <w:p>
      <w:pPr>
        <w:pStyle w:val="Point1letter"/>
        <w:numPr>
          <w:ilvl w:val="3"/>
          <w:numId w:val="12"/>
        </w:numPr>
        <w:rPr>
          <w:noProof/>
        </w:rPr>
      </w:pPr>
      <w:r>
        <w:rPr>
          <w:noProof/>
        </w:rPr>
        <w:t>In accordance with Article 12(1) d) indicate procedures agreed and the actors involved.</w:t>
      </w:r>
    </w:p>
    <w:p>
      <w:pPr>
        <w:pStyle w:val="Text1"/>
        <w:rPr>
          <w:noProof/>
        </w:rPr>
      </w:pPr>
      <w:r>
        <w:rPr>
          <w:noProof/>
        </w:rPr>
        <w:t>For the updates of the Plan: describe briefly the tests carried out since the last Plan was adopted and the main results. Indicate which measures have been adopted as a result of these tests.</w:t>
      </w:r>
    </w:p>
    <w:p>
      <w:pPr>
        <w:rPr>
          <w:noProof/>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A98AA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1E0D8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BAA1F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42E1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0040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012A9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0EC77D0"/>
    <w:lvl w:ilvl="0">
      <w:start w:val="1"/>
      <w:numFmt w:val="decimal"/>
      <w:pStyle w:val="ListNumber"/>
      <w:lvlText w:val="%1."/>
      <w:lvlJc w:val="left"/>
      <w:pPr>
        <w:tabs>
          <w:tab w:val="num" w:pos="360"/>
        </w:tabs>
        <w:ind w:left="360" w:hanging="360"/>
      </w:pPr>
    </w:lvl>
  </w:abstractNum>
  <w:abstractNum w:abstractNumId="7">
    <w:nsid w:val="FFFFFF89"/>
    <w:multiLevelType w:val="singleLevel"/>
    <w:tmpl w:val="669CD2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21 15:41: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537FC19407254DDFA239AF1D62C3185B"/>
    <w:docVar w:name="LW_CROSSREFERENCE" w:val="{SWD(2016) 410}_x000a_{SWD(2016) 411}_x000a_{SWD(2016) 412}_x000a_{SWD(2016) 413}"/>
    <w:docVar w:name="LW_DocType" w:val="ANNEX"/>
    <w:docVar w:name="LW_EMISSION" w:val="30.11.2016"/>
    <w:docVar w:name="LW_EMISSION_ISODATE" w:val="2016-11-30"/>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risk-preparedness in the electricity sector and repealing Directive 2005/89/EC"/>
    <w:docVar w:name="LW_PART_NBR" w:val="1"/>
    <w:docVar w:name="LW_PART_NBR_TOTAL" w:val="1"/>
    <w:docVar w:name="LW_REF.INST.NEW" w:val="COM"/>
    <w:docVar w:name="LW_REF.INST.NEW_ADOPTED" w:val="final"/>
    <w:docVar w:name="LW_REF.INST.NEW_TEXT" w:val="(2016) 862"/>
    <w:docVar w:name="LW_REF.INTERNE" w:val="&lt;UNUSED&gt;"/>
    <w:docVar w:name="LW_SUPERTITRE" w:val="&lt;UNUSED&gt;"/>
    <w:docVar w:name="LW_TITRE.OBJ.CP" w:val="&lt;UNUSED&gt;"/>
    <w:docVar w:name="LW_TYPE.DOC.CP" w:val="ANNEX"/>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9790">
      <w:bodyDiv w:val="1"/>
      <w:marLeft w:val="0"/>
      <w:marRight w:val="0"/>
      <w:marTop w:val="0"/>
      <w:marBottom w:val="0"/>
      <w:divBdr>
        <w:top w:val="none" w:sz="0" w:space="0" w:color="auto"/>
        <w:left w:val="none" w:sz="0" w:space="0" w:color="auto"/>
        <w:bottom w:val="none" w:sz="0" w:space="0" w:color="auto"/>
        <w:right w:val="none" w:sz="0" w:space="0" w:color="auto"/>
      </w:divBdr>
    </w:div>
    <w:div w:id="1745646498">
      <w:bodyDiv w:val="1"/>
      <w:marLeft w:val="0"/>
      <w:marRight w:val="0"/>
      <w:marTop w:val="0"/>
      <w:marBottom w:val="0"/>
      <w:divBdr>
        <w:top w:val="none" w:sz="0" w:space="0" w:color="auto"/>
        <w:left w:val="none" w:sz="0" w:space="0" w:color="auto"/>
        <w:bottom w:val="none" w:sz="0" w:space="0" w:color="auto"/>
        <w:right w:val="none" w:sz="0" w:space="0" w:color="auto"/>
      </w:divBdr>
    </w:div>
    <w:div w:id="181744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0CC43-FF02-4F43-A593-7248C352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3</Pages>
  <Words>530</Words>
  <Characters>3083</Characters>
  <Application>Microsoft Office Word</Application>
  <DocSecurity>0</DocSecurity>
  <Lines>65</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VIKSNE Olgerts (ENER)</dc:creator>
  <cp:lastModifiedBy>DIGIT/A3</cp:lastModifiedBy>
  <cp:revision>9</cp:revision>
  <cp:lastPrinted>2016-11-29T11:14:00Z</cp:lastPrinted>
  <dcterms:created xsi:type="dcterms:W3CDTF">2016-11-27T17:21:00Z</dcterms:created>
  <dcterms:modified xsi:type="dcterms:W3CDTF">2016-11-29T15:02:00Z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