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84" w:rsidRDefault="000C21FF" w:rsidP="000C21F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D038133ED5747388BAFDCB4C5BA47E2" style="width:450.85pt;height:307.4pt">
            <v:imagedata r:id="rId8" o:title=""/>
          </v:shape>
        </w:pict>
      </w:r>
    </w:p>
    <w:bookmarkEnd w:id="0"/>
    <w:p w:rsidR="00C84484" w:rsidRDefault="00C84484">
      <w:pPr>
        <w:rPr>
          <w:noProof/>
        </w:rPr>
        <w:sectPr w:rsidR="00C84484" w:rsidSect="000C21F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C84484" w:rsidRDefault="00C72F39">
      <w:pPr>
        <w:pStyle w:val="ManualHeading1"/>
        <w:spacing w:after="360"/>
        <w:ind w:left="851" w:hanging="851"/>
        <w:rPr>
          <w:noProof/>
          <w:szCs w:val="24"/>
        </w:rPr>
      </w:pPr>
      <w:r>
        <w:rPr>
          <w:noProof/>
        </w:rPr>
        <w:lastRenderedPageBreak/>
        <w:t>1.</w:t>
      </w:r>
      <w:r>
        <w:rPr>
          <w:noProof/>
        </w:rPr>
        <w:tab/>
        <w:t>Introduction</w:t>
      </w:r>
    </w:p>
    <w:p w:rsidR="00C84484" w:rsidRDefault="000C0694">
      <w:pPr>
        <w:tabs>
          <w:tab w:val="left" w:pos="540"/>
        </w:tabs>
        <w:jc w:val="both"/>
        <w:rPr>
          <w:rFonts w:ascii="Times New Roman" w:hAnsi="Times New Roman"/>
          <w:noProof/>
          <w:color w:val="000000"/>
          <w:sz w:val="24"/>
          <w:szCs w:val="24"/>
        </w:rPr>
      </w:pPr>
      <w:r>
        <w:rPr>
          <w:rFonts w:ascii="Times New Roman" w:hAnsi="Times New Roman"/>
          <w:noProof/>
          <w:sz w:val="24"/>
        </w:rPr>
        <w:t xml:space="preserve">Le règlement (CE) nº </w:t>
      </w:r>
      <w:r w:rsidR="00C72F39">
        <w:rPr>
          <w:rFonts w:ascii="Times New Roman" w:hAnsi="Times New Roman"/>
          <w:noProof/>
          <w:sz w:val="24"/>
        </w:rPr>
        <w:t>450/2003 du Parleme</w:t>
      </w:r>
      <w:r>
        <w:rPr>
          <w:rFonts w:ascii="Times New Roman" w:hAnsi="Times New Roman"/>
          <w:noProof/>
          <w:sz w:val="24"/>
        </w:rPr>
        <w:t xml:space="preserve">nt européen et du Conseil du 27 février </w:t>
      </w:r>
      <w:r w:rsidR="00C72F39">
        <w:rPr>
          <w:rFonts w:ascii="Times New Roman" w:hAnsi="Times New Roman"/>
          <w:noProof/>
          <w:sz w:val="24"/>
        </w:rPr>
        <w:t xml:space="preserve">2003 relatif à l’indice du coût de la main-d’œuvre (ICM) </w:t>
      </w:r>
      <w:r w:rsidR="00C72F39">
        <w:rPr>
          <w:rFonts w:ascii="Times New Roman" w:hAnsi="Times New Roman"/>
          <w:noProof/>
          <w:sz w:val="24"/>
          <w:vertAlign w:val="superscript"/>
        </w:rPr>
        <w:t>(</w:t>
      </w:r>
      <w:r w:rsidR="00C72F39">
        <w:rPr>
          <w:rStyle w:val="FootnoteReference"/>
          <w:rFonts w:ascii="Times New Roman" w:hAnsi="Times New Roman"/>
          <w:noProof/>
          <w:sz w:val="24"/>
        </w:rPr>
        <w:footnoteReference w:id="2"/>
      </w:r>
      <w:r w:rsidR="00C72F39">
        <w:rPr>
          <w:rFonts w:ascii="Times New Roman" w:hAnsi="Times New Roman"/>
          <w:noProof/>
          <w:sz w:val="24"/>
          <w:vertAlign w:val="superscript"/>
        </w:rPr>
        <w:t>)</w:t>
      </w:r>
      <w:r w:rsidR="00C72F39">
        <w:rPr>
          <w:rFonts w:ascii="Times New Roman" w:hAnsi="Times New Roman"/>
          <w:noProof/>
          <w:sz w:val="24"/>
        </w:rPr>
        <w:t xml:space="preserve"> établit un cadre commun destiné aux États membres pour l’élaboration d’indices comparables et pour leur transmissio</w:t>
      </w:r>
      <w:r w:rsidR="00C72F39">
        <w:rPr>
          <w:rFonts w:ascii="Times New Roman" w:hAnsi="Times New Roman"/>
          <w:noProof/>
          <w:sz w:val="24"/>
        </w:rPr>
        <w:t xml:space="preserve">n à la Commission. La Commission (Eurostat) publie un communiqué de presse trimestriel sur l’indice du coût horaire de la main-d’œuvre sur son site web </w:t>
      </w:r>
      <w:r w:rsidR="00C72F39">
        <w:rPr>
          <w:rFonts w:ascii="Times New Roman" w:hAnsi="Times New Roman"/>
          <w:noProof/>
          <w:sz w:val="24"/>
          <w:vertAlign w:val="superscript"/>
        </w:rPr>
        <w:t>(</w:t>
      </w:r>
      <w:r w:rsidR="00C72F39">
        <w:rPr>
          <w:rStyle w:val="FootnoteReference"/>
          <w:rFonts w:ascii="Times New Roman" w:hAnsi="Times New Roman"/>
          <w:noProof/>
          <w:sz w:val="24"/>
        </w:rPr>
        <w:footnoteReference w:id="3"/>
      </w:r>
      <w:r w:rsidR="00C72F39">
        <w:rPr>
          <w:rFonts w:ascii="Times New Roman" w:hAnsi="Times New Roman"/>
          <w:noProof/>
          <w:sz w:val="24"/>
          <w:vertAlign w:val="superscript"/>
        </w:rPr>
        <w:t>)</w:t>
      </w:r>
      <w:r w:rsidR="00C72F39">
        <w:rPr>
          <w:rFonts w:ascii="Times New Roman" w:hAnsi="Times New Roman"/>
          <w:noProof/>
          <w:sz w:val="24"/>
        </w:rPr>
        <w:t>, lequel contient une série complète de données, ventilées par activité économique et d’après les com</w:t>
      </w:r>
      <w:r w:rsidR="00C72F39">
        <w:rPr>
          <w:rFonts w:ascii="Times New Roman" w:hAnsi="Times New Roman"/>
          <w:noProof/>
          <w:sz w:val="24"/>
        </w:rPr>
        <w:t>posantes du coût de la main-d’œuvre. Ce site comprend aussi des taux de croissance trimestriels et annuels.</w:t>
      </w:r>
    </w:p>
    <w:p w:rsidR="00C84484" w:rsidRDefault="000C0694">
      <w:pPr>
        <w:jc w:val="both"/>
        <w:rPr>
          <w:rFonts w:ascii="Times New Roman" w:hAnsi="Times New Roman"/>
          <w:b/>
          <w:bCs/>
          <w:noProof/>
          <w:sz w:val="24"/>
          <w:szCs w:val="24"/>
        </w:rPr>
      </w:pPr>
      <w:r>
        <w:rPr>
          <w:rFonts w:ascii="Times New Roman" w:hAnsi="Times New Roman"/>
          <w:noProof/>
          <w:sz w:val="24"/>
        </w:rPr>
        <w:t xml:space="preserve">En juillet </w:t>
      </w:r>
      <w:r w:rsidR="00C72F39">
        <w:rPr>
          <w:rFonts w:ascii="Times New Roman" w:hAnsi="Times New Roman"/>
          <w:noProof/>
          <w:sz w:val="24"/>
        </w:rPr>
        <w:t>2003, la Commissio</w:t>
      </w:r>
      <w:r>
        <w:rPr>
          <w:rFonts w:ascii="Times New Roman" w:hAnsi="Times New Roman"/>
          <w:noProof/>
          <w:sz w:val="24"/>
        </w:rPr>
        <w:t>n a adopté le règlement (CE) nº</w:t>
      </w:r>
      <w:bookmarkStart w:id="1" w:name="_GoBack"/>
      <w:bookmarkEnd w:id="1"/>
      <w:r>
        <w:rPr>
          <w:rFonts w:ascii="Times New Roman" w:hAnsi="Times New Roman"/>
          <w:noProof/>
          <w:sz w:val="24"/>
        </w:rPr>
        <w:t xml:space="preserve"> </w:t>
      </w:r>
      <w:r w:rsidR="00C72F39">
        <w:rPr>
          <w:rFonts w:ascii="Times New Roman" w:hAnsi="Times New Roman"/>
          <w:noProof/>
          <w:sz w:val="24"/>
        </w:rPr>
        <w:t>1216/2003</w:t>
      </w:r>
      <w:r w:rsidR="00C72F39">
        <w:rPr>
          <w:rFonts w:ascii="Times New Roman" w:hAnsi="Times New Roman"/>
          <w:noProof/>
          <w:sz w:val="24"/>
          <w:vertAlign w:val="superscript"/>
        </w:rPr>
        <w:t>(</w:t>
      </w:r>
      <w:r w:rsidR="00C72F39">
        <w:rPr>
          <w:rStyle w:val="FootnoteReference"/>
          <w:rFonts w:ascii="Times New Roman" w:hAnsi="Times New Roman"/>
          <w:noProof/>
          <w:sz w:val="24"/>
        </w:rPr>
        <w:footnoteReference w:id="4"/>
      </w:r>
      <w:r w:rsidR="00C72F39">
        <w:rPr>
          <w:rFonts w:ascii="Times New Roman" w:hAnsi="Times New Roman"/>
          <w:noProof/>
          <w:sz w:val="24"/>
          <w:vertAlign w:val="superscript"/>
        </w:rPr>
        <w:t>)</w:t>
      </w:r>
      <w:r w:rsidR="00C72F39">
        <w:rPr>
          <w:rFonts w:ascii="Times New Roman" w:hAnsi="Times New Roman"/>
          <w:noProof/>
          <w:sz w:val="24"/>
        </w:rPr>
        <w:t>, qui expose plus en détail les procédures à suivre par les États membres p</w:t>
      </w:r>
      <w:r w:rsidR="00C72F39">
        <w:rPr>
          <w:rFonts w:ascii="Times New Roman" w:hAnsi="Times New Roman"/>
          <w:noProof/>
          <w:sz w:val="24"/>
        </w:rPr>
        <w:t>our la transmission de leurs indices à la Commission, les corrections des variations saisonnières à apporter aux indices et le contenu des rapports na</w:t>
      </w:r>
      <w:r>
        <w:rPr>
          <w:rFonts w:ascii="Times New Roman" w:hAnsi="Times New Roman"/>
          <w:noProof/>
          <w:sz w:val="24"/>
        </w:rPr>
        <w:t xml:space="preserve">tionaux sur la qualité. En mars </w:t>
      </w:r>
      <w:r w:rsidR="00C72F39">
        <w:rPr>
          <w:rFonts w:ascii="Times New Roman" w:hAnsi="Times New Roman"/>
          <w:noProof/>
          <w:sz w:val="24"/>
        </w:rPr>
        <w:t>2007, ell</w:t>
      </w:r>
      <w:r>
        <w:rPr>
          <w:rFonts w:ascii="Times New Roman" w:hAnsi="Times New Roman"/>
          <w:noProof/>
          <w:sz w:val="24"/>
        </w:rPr>
        <w:t xml:space="preserve">e a adopté le règlement (CE) nº </w:t>
      </w:r>
      <w:r w:rsidR="00C72F39">
        <w:rPr>
          <w:rFonts w:ascii="Times New Roman" w:hAnsi="Times New Roman"/>
          <w:noProof/>
          <w:sz w:val="24"/>
        </w:rPr>
        <w:t>224/2007</w:t>
      </w:r>
      <w:r w:rsidR="00C72F39">
        <w:rPr>
          <w:rFonts w:ascii="Times New Roman" w:hAnsi="Times New Roman"/>
          <w:noProof/>
          <w:sz w:val="24"/>
          <w:vertAlign w:val="superscript"/>
        </w:rPr>
        <w:t>(</w:t>
      </w:r>
      <w:r w:rsidR="00C72F39">
        <w:rPr>
          <w:rStyle w:val="FootnoteReference"/>
          <w:rFonts w:ascii="Times New Roman" w:hAnsi="Times New Roman"/>
          <w:noProof/>
          <w:sz w:val="24"/>
        </w:rPr>
        <w:footnoteReference w:id="5"/>
      </w:r>
      <w:r w:rsidR="00C72F39">
        <w:rPr>
          <w:rFonts w:ascii="Times New Roman" w:hAnsi="Times New Roman"/>
          <w:noProof/>
          <w:sz w:val="24"/>
          <w:vertAlign w:val="superscript"/>
        </w:rPr>
        <w:t>)</w:t>
      </w:r>
      <w:r w:rsidR="00C72F39">
        <w:rPr>
          <w:rFonts w:ascii="Times New Roman" w:hAnsi="Times New Roman"/>
          <w:noProof/>
          <w:sz w:val="24"/>
        </w:rPr>
        <w:t>, qui modifie le règle</w:t>
      </w:r>
      <w:r>
        <w:rPr>
          <w:rFonts w:ascii="Times New Roman" w:hAnsi="Times New Roman"/>
          <w:noProof/>
          <w:sz w:val="24"/>
        </w:rPr>
        <w:t xml:space="preserve">ment (CE) nº </w:t>
      </w:r>
      <w:r w:rsidR="00C72F39">
        <w:rPr>
          <w:rFonts w:ascii="Times New Roman" w:hAnsi="Times New Roman"/>
          <w:noProof/>
          <w:sz w:val="24"/>
        </w:rPr>
        <w:t xml:space="preserve">1216/2003 et étend le champ d’application de l’indice du coût de la main-d’œuvre aux activités économiques définies dans les sections L, M, N et O de la NACE Rév. 1. Cette extension signifie que les services non marchands, qui représentent la </w:t>
      </w:r>
      <w:r w:rsidR="00C72F39">
        <w:rPr>
          <w:rFonts w:ascii="Times New Roman" w:hAnsi="Times New Roman"/>
          <w:noProof/>
          <w:sz w:val="24"/>
        </w:rPr>
        <w:t>majeure partie des activités économiques définies dans ces sections, et dont la dynamique peut être différente de celle des services marchands, s</w:t>
      </w:r>
      <w:r w:rsidR="00D46ECF">
        <w:rPr>
          <w:rFonts w:ascii="Times New Roman" w:hAnsi="Times New Roman"/>
          <w:noProof/>
          <w:sz w:val="24"/>
        </w:rPr>
        <w:t xml:space="preserve">ont également couverts. En août </w:t>
      </w:r>
      <w:r w:rsidR="00C72F39">
        <w:rPr>
          <w:rFonts w:ascii="Times New Roman" w:hAnsi="Times New Roman"/>
          <w:noProof/>
          <w:sz w:val="24"/>
        </w:rPr>
        <w:t xml:space="preserve">2007, la Commission a adopté le règlement (CE) n </w:t>
      </w:r>
      <w:r w:rsidR="00C72F39">
        <w:rPr>
          <w:rFonts w:ascii="Times New Roman" w:hAnsi="Times New Roman"/>
          <w:noProof/>
          <w:sz w:val="24"/>
        </w:rPr>
        <w:t>973/2007</w:t>
      </w:r>
      <w:r w:rsidR="00C72F39">
        <w:rPr>
          <w:rFonts w:ascii="Times New Roman" w:hAnsi="Times New Roman"/>
          <w:noProof/>
          <w:sz w:val="24"/>
          <w:vertAlign w:val="superscript"/>
        </w:rPr>
        <w:t>(</w:t>
      </w:r>
      <w:r w:rsidR="00C72F39">
        <w:rPr>
          <w:rStyle w:val="FootnoteReference"/>
          <w:rFonts w:ascii="Times New Roman" w:hAnsi="Times New Roman"/>
          <w:noProof/>
          <w:sz w:val="24"/>
        </w:rPr>
        <w:footnoteReference w:id="6"/>
      </w:r>
      <w:r w:rsidR="00C72F39">
        <w:rPr>
          <w:rFonts w:ascii="Times New Roman" w:hAnsi="Times New Roman"/>
          <w:noProof/>
          <w:sz w:val="24"/>
          <w:vertAlign w:val="superscript"/>
        </w:rPr>
        <w:t>)</w:t>
      </w:r>
      <w:r w:rsidR="00C72F39">
        <w:rPr>
          <w:rFonts w:ascii="Times New Roman" w:hAnsi="Times New Roman"/>
          <w:noProof/>
          <w:sz w:val="24"/>
        </w:rPr>
        <w:t>, qui porte modifi</w:t>
      </w:r>
      <w:r w:rsidR="00C72F39">
        <w:rPr>
          <w:rFonts w:ascii="Times New Roman" w:hAnsi="Times New Roman"/>
          <w:noProof/>
          <w:sz w:val="24"/>
        </w:rPr>
        <w:t>cation de plusieurs règlements concernant des domaines statistiques particuliers, dont l’indice du coût de la main-d’œuvre, en vue de la mise en œuvre de la nomenclature statistique des activités économi</w:t>
      </w:r>
      <w:r w:rsidR="00D46ECF">
        <w:rPr>
          <w:rFonts w:ascii="Times New Roman" w:hAnsi="Times New Roman"/>
          <w:noProof/>
          <w:sz w:val="24"/>
        </w:rPr>
        <w:t xml:space="preserve">ques définies dans la NACE Rév. </w:t>
      </w:r>
      <w:r w:rsidR="00C72F39">
        <w:rPr>
          <w:rFonts w:ascii="Times New Roman" w:hAnsi="Times New Roman"/>
          <w:noProof/>
          <w:sz w:val="24"/>
        </w:rPr>
        <w:t>2.</w:t>
      </w:r>
    </w:p>
    <w:p w:rsidR="00C84484" w:rsidRDefault="00C72F39">
      <w:pPr>
        <w:pStyle w:val="F"/>
        <w:spacing w:before="0" w:after="200" w:line="276" w:lineRule="auto"/>
        <w:rPr>
          <w:szCs w:val="24"/>
        </w:rPr>
      </w:pPr>
      <w:r>
        <w:t xml:space="preserve">En application de </w:t>
      </w:r>
      <w:r w:rsidR="00D46ECF">
        <w:t xml:space="preserve">l’article 13 du règlement (CE) nº </w:t>
      </w:r>
      <w:r>
        <w:t>450/2003, la Commission présente un rapport au Parlement européen et au Conseil tous les deux ans. Dans la mesure où les séries rétrospectives ont été analysées dans les rapports précédents, le présent rapport porte sur la</w:t>
      </w:r>
      <w:r>
        <w:t xml:space="preserve"> qualité des données relatives à l’indice du coût de la main-d’œuvre pour les trimestres de référence a</w:t>
      </w:r>
      <w:r w:rsidR="00D46ECF">
        <w:t xml:space="preserve">llant du troisième trimestre de 2014 au deuxième trimestre de </w:t>
      </w:r>
      <w:r>
        <w:t>2016.</w:t>
      </w:r>
    </w:p>
    <w:p w:rsidR="00C84484" w:rsidRDefault="00C72F39">
      <w:pPr>
        <w:jc w:val="both"/>
        <w:rPr>
          <w:rFonts w:ascii="Times New Roman" w:hAnsi="Times New Roman"/>
          <w:noProof/>
          <w:sz w:val="24"/>
          <w:szCs w:val="24"/>
        </w:rPr>
      </w:pPr>
      <w:r>
        <w:rPr>
          <w:rFonts w:ascii="Times New Roman" w:hAnsi="Times New Roman"/>
          <w:noProof/>
          <w:sz w:val="24"/>
        </w:rPr>
        <w:t xml:space="preserve">L’annexe </w:t>
      </w:r>
      <w:r w:rsidR="00D46ECF">
        <w:rPr>
          <w:rFonts w:ascii="Times New Roman" w:hAnsi="Times New Roman"/>
          <w:noProof/>
          <w:sz w:val="24"/>
        </w:rPr>
        <w:t xml:space="preserve">I du règlement (CE) nº </w:t>
      </w:r>
      <w:r>
        <w:rPr>
          <w:rFonts w:ascii="Times New Roman" w:hAnsi="Times New Roman"/>
          <w:noProof/>
          <w:sz w:val="24"/>
        </w:rPr>
        <w:t xml:space="preserve">1216/2003 définit la qualité de l’indice du coût de </w:t>
      </w:r>
      <w:r>
        <w:rPr>
          <w:rFonts w:ascii="Times New Roman" w:hAnsi="Times New Roman"/>
          <w:noProof/>
          <w:sz w:val="24"/>
        </w:rPr>
        <w:t>la main-d’œuvre en fonction des critères suivants: pertinence, précision, ponctualité de la fourniture des données, accessibilité et clarté, comparabilité, cohérence et exhaustivité.</w:t>
      </w:r>
    </w:p>
    <w:p w:rsidR="00C84484" w:rsidRDefault="00C72F39">
      <w:pPr>
        <w:tabs>
          <w:tab w:val="left" w:pos="540"/>
        </w:tabs>
        <w:jc w:val="both"/>
        <w:rPr>
          <w:rFonts w:ascii="Times New Roman" w:hAnsi="Times New Roman"/>
          <w:noProof/>
          <w:sz w:val="24"/>
          <w:szCs w:val="24"/>
        </w:rPr>
      </w:pPr>
      <w:r>
        <w:rPr>
          <w:rFonts w:ascii="Times New Roman" w:hAnsi="Times New Roman"/>
          <w:noProof/>
          <w:sz w:val="24"/>
        </w:rPr>
        <w:lastRenderedPageBreak/>
        <w:t xml:space="preserve">Le rapport précédent </w:t>
      </w:r>
      <w:r>
        <w:rPr>
          <w:rFonts w:ascii="Times New Roman" w:hAnsi="Times New Roman"/>
          <w:noProof/>
          <w:sz w:val="24"/>
          <w:vertAlign w:val="superscript"/>
        </w:rPr>
        <w:t>(</w:t>
      </w:r>
      <w:r>
        <w:rPr>
          <w:rStyle w:val="FootnoteReference"/>
          <w:rFonts w:ascii="Times New Roman" w:hAnsi="Times New Roman"/>
          <w:noProof/>
          <w:sz w:val="24"/>
        </w:rPr>
        <w:footnoteReference w:id="7"/>
      </w:r>
      <w:r>
        <w:rPr>
          <w:rFonts w:ascii="Times New Roman" w:hAnsi="Times New Roman"/>
          <w:noProof/>
          <w:sz w:val="24"/>
          <w:vertAlign w:val="superscript"/>
        </w:rPr>
        <w:t>)</w:t>
      </w:r>
      <w:r>
        <w:rPr>
          <w:rFonts w:ascii="Times New Roman" w:hAnsi="Times New Roman"/>
          <w:noProof/>
          <w:sz w:val="24"/>
        </w:rPr>
        <w:t xml:space="preserve"> traitait des progrès en matière d’accessibilité </w:t>
      </w:r>
      <w:r>
        <w:rPr>
          <w:rFonts w:ascii="Times New Roman" w:hAnsi="Times New Roman"/>
          <w:noProof/>
          <w:sz w:val="24"/>
        </w:rPr>
        <w:t xml:space="preserve">et de clarté et les a jugés satisfaisants. Le présent rapport met donc l’accent sur les améliorations apportées en matière de pertinence, d’exhaustivité, de ponctualité, de précision et de comparabilité, et examine la cohérence entre les données relatives </w:t>
      </w:r>
      <w:r>
        <w:rPr>
          <w:rFonts w:ascii="Times New Roman" w:hAnsi="Times New Roman"/>
          <w:noProof/>
          <w:sz w:val="24"/>
        </w:rPr>
        <w:t>à l’indice du coût de la main-d’œuvre et les comptes nationaux.</w:t>
      </w:r>
    </w:p>
    <w:p w:rsidR="00C84484" w:rsidRDefault="00C72F39">
      <w:pPr>
        <w:tabs>
          <w:tab w:val="left" w:pos="540"/>
        </w:tabs>
        <w:jc w:val="both"/>
        <w:rPr>
          <w:rFonts w:ascii="Times New Roman" w:hAnsi="Times New Roman"/>
          <w:noProof/>
          <w:sz w:val="24"/>
          <w:szCs w:val="24"/>
        </w:rPr>
      </w:pPr>
      <w:r>
        <w:rPr>
          <w:rFonts w:ascii="Times New Roman" w:hAnsi="Times New Roman"/>
          <w:noProof/>
          <w:sz w:val="24"/>
        </w:rPr>
        <w:t xml:space="preserve">Une attention particulière est accordée au problème des données qui ne sont pas fournies par les États membres dans les délais fixés, ainsi qu’à l’incidence de cette négligence sur la qualité </w:t>
      </w:r>
      <w:r>
        <w:rPr>
          <w:rFonts w:ascii="Times New Roman" w:hAnsi="Times New Roman"/>
          <w:noProof/>
          <w:sz w:val="24"/>
        </w:rPr>
        <w:t>des agrégats européens publiés.</w:t>
      </w:r>
    </w:p>
    <w:p w:rsidR="00C84484" w:rsidRDefault="00C72F39">
      <w:pPr>
        <w:pStyle w:val="ManualHeading1"/>
        <w:spacing w:after="360"/>
        <w:ind w:left="851" w:hanging="851"/>
        <w:rPr>
          <w:noProof/>
          <w:szCs w:val="24"/>
        </w:rPr>
      </w:pPr>
      <w:r>
        <w:rPr>
          <w:noProof/>
        </w:rPr>
        <w:t>2.</w:t>
      </w:r>
      <w:r>
        <w:rPr>
          <w:noProof/>
        </w:rPr>
        <w:tab/>
        <w:t>Progrès d’ordre général enregistrés depuis le dernier rapport</w:t>
      </w:r>
    </w:p>
    <w:p w:rsidR="00C84484" w:rsidRDefault="00C72F39">
      <w:pPr>
        <w:jc w:val="both"/>
        <w:rPr>
          <w:rFonts w:ascii="Times New Roman" w:hAnsi="Times New Roman"/>
          <w:noProof/>
          <w:sz w:val="24"/>
          <w:szCs w:val="24"/>
        </w:rPr>
      </w:pPr>
      <w:r>
        <w:rPr>
          <w:rFonts w:ascii="Times New Roman" w:hAnsi="Times New Roman"/>
          <w:noProof/>
          <w:sz w:val="24"/>
        </w:rPr>
        <w:t>D’un point de vue législatif, aucune modification n’a été apportée depuis la publication du dernier rapport en</w:t>
      </w:r>
      <w:r w:rsidR="00D60505">
        <w:rPr>
          <w:rFonts w:ascii="Times New Roman" w:hAnsi="Times New Roman"/>
          <w:noProof/>
          <w:sz w:val="24"/>
        </w:rPr>
        <w:t xml:space="preserve"> </w:t>
      </w:r>
      <w:r>
        <w:rPr>
          <w:rFonts w:ascii="Times New Roman" w:hAnsi="Times New Roman"/>
          <w:noProof/>
          <w:sz w:val="24"/>
        </w:rPr>
        <w:t xml:space="preserve">2015. </w:t>
      </w:r>
    </w:p>
    <w:p w:rsidR="00C84484" w:rsidRDefault="00C72F39">
      <w:pPr>
        <w:jc w:val="both"/>
        <w:rPr>
          <w:rFonts w:ascii="Times New Roman" w:hAnsi="Times New Roman"/>
          <w:noProof/>
          <w:sz w:val="24"/>
          <w:szCs w:val="24"/>
        </w:rPr>
      </w:pPr>
      <w:r>
        <w:rPr>
          <w:rFonts w:ascii="Times New Roman" w:hAnsi="Times New Roman"/>
          <w:noProof/>
          <w:sz w:val="24"/>
        </w:rPr>
        <w:t xml:space="preserve">Au cours de la période couverte par le </w:t>
      </w:r>
      <w:r>
        <w:rPr>
          <w:rFonts w:ascii="Times New Roman" w:hAnsi="Times New Roman"/>
          <w:noProof/>
          <w:sz w:val="24"/>
        </w:rPr>
        <w:t xml:space="preserve">présent rapport, Eurostat a œuvré à la simplification et à l’harmonisation des normes relatives à la fois aux données et aux métadonnées (rapports sur la qualité) transmises par les États membres à la Commission. Tous les États membres utilisent désormais </w:t>
      </w:r>
      <w:r>
        <w:rPr>
          <w:rFonts w:ascii="Times New Roman" w:hAnsi="Times New Roman"/>
          <w:noProof/>
          <w:sz w:val="24"/>
        </w:rPr>
        <w:t>la norme SDMX</w:t>
      </w:r>
      <w:r>
        <w:rPr>
          <w:rFonts w:ascii="Times New Roman" w:hAnsi="Times New Roman"/>
          <w:noProof/>
          <w:sz w:val="24"/>
          <w:vertAlign w:val="superscript"/>
        </w:rPr>
        <w:t>(</w:t>
      </w:r>
      <w:r>
        <w:rPr>
          <w:rStyle w:val="FootnoteReference"/>
          <w:rFonts w:ascii="Times New Roman" w:hAnsi="Times New Roman"/>
          <w:noProof/>
          <w:sz w:val="24"/>
        </w:rPr>
        <w:footnoteReference w:id="8"/>
      </w:r>
      <w:r>
        <w:rPr>
          <w:rFonts w:ascii="Times New Roman" w:hAnsi="Times New Roman"/>
          <w:noProof/>
          <w:sz w:val="24"/>
          <w:vertAlign w:val="superscript"/>
        </w:rPr>
        <w:t>)</w:t>
      </w:r>
      <w:r>
        <w:rPr>
          <w:rFonts w:ascii="Times New Roman" w:hAnsi="Times New Roman"/>
          <w:noProof/>
          <w:sz w:val="24"/>
        </w:rPr>
        <w:t xml:space="preserve"> (format d’échange de données et de métadonnées statistiques, référence mondiale pour le partage des informations statistiques) pour les nomenclatures et les variables utilisées dans les données relatives à l’indice du coût de la main-d’œuv</w:t>
      </w:r>
      <w:r>
        <w:rPr>
          <w:rFonts w:ascii="Times New Roman" w:hAnsi="Times New Roman"/>
          <w:noProof/>
          <w:sz w:val="24"/>
        </w:rPr>
        <w:t>re. Eurostat a commencé à mettre au point une nouvelle version de la définition de la structure de données SDMX afin de permettre la collecte de variables facultatives supplémentaires et d’harmoniser la méthode de collecte des données relatives à l’ICM ave</w:t>
      </w:r>
      <w:r>
        <w:rPr>
          <w:rFonts w:ascii="Times New Roman" w:hAnsi="Times New Roman"/>
          <w:noProof/>
          <w:sz w:val="24"/>
        </w:rPr>
        <w:t xml:space="preserve">c celle appliquée dans d’autres domaines statistiques. Douze </w:t>
      </w:r>
      <w:r>
        <w:rPr>
          <w:rFonts w:ascii="Times New Roman" w:hAnsi="Times New Roman"/>
          <w:noProof/>
          <w:sz w:val="24"/>
        </w:rPr>
        <w:t>États membres ont utilisé les normes mises à jour dans le cadre d’une phase de test, et le déploiement de la nouvelle version en cours de production devrait avoir lieu, après de plus amples tests</w:t>
      </w:r>
      <w:r>
        <w:rPr>
          <w:rFonts w:ascii="Times New Roman" w:hAnsi="Times New Roman"/>
          <w:noProof/>
          <w:sz w:val="24"/>
        </w:rPr>
        <w:t>, au cours du prochain trimestre de référence. En outre, du point de vue de la production, la transmission à la Banque centrale européenne (BCE) des données relatives à l’ICM au format SDMX a fait l’objet de tests concluants. Ces deux initiatives ont contr</w:t>
      </w:r>
      <w:r>
        <w:rPr>
          <w:rFonts w:ascii="Times New Roman" w:hAnsi="Times New Roman"/>
          <w:noProof/>
          <w:sz w:val="24"/>
        </w:rPr>
        <w:t>ibué à simplifier le processus de production.</w:t>
      </w:r>
    </w:p>
    <w:p w:rsidR="00C84484" w:rsidRDefault="00C72F39">
      <w:pPr>
        <w:jc w:val="both"/>
        <w:rPr>
          <w:rFonts w:ascii="Times New Roman" w:hAnsi="Times New Roman"/>
          <w:noProof/>
          <w:sz w:val="24"/>
          <w:szCs w:val="24"/>
        </w:rPr>
      </w:pPr>
      <w:r>
        <w:rPr>
          <w:rFonts w:ascii="Times New Roman" w:hAnsi="Times New Roman"/>
          <w:noProof/>
          <w:sz w:val="24"/>
        </w:rPr>
        <w:t>Les rapports sur la qualité présentés par les États membres ont été déplacés vers une nouvelle version du gestionnaire de métadonnées du système statistique européen (v2.13), l’outil informatique qui permet à c</w:t>
      </w:r>
      <w:r>
        <w:rPr>
          <w:rFonts w:ascii="Times New Roman" w:hAnsi="Times New Roman"/>
          <w:noProof/>
          <w:sz w:val="24"/>
        </w:rPr>
        <w:t>haque État membre de charger ses rapports sur la qualité à distance et de mettre à jour les parties qui ont changé au cours de l’année précédente, sans avoir à les soumettre une nouvelle fois dans leur intégralité. En outre, cet outil informatique permet d</w:t>
      </w:r>
      <w:r>
        <w:rPr>
          <w:rFonts w:ascii="Times New Roman" w:hAnsi="Times New Roman"/>
          <w:noProof/>
          <w:sz w:val="24"/>
        </w:rPr>
        <w:t>e placer les rapports nationaux sur la qualité dans la base de données de référence d’Eurostat, ce qui les rend accessibles à tous les utilisateurs.</w:t>
      </w:r>
    </w:p>
    <w:p w:rsidR="00C84484" w:rsidRDefault="00C72F39">
      <w:pPr>
        <w:tabs>
          <w:tab w:val="left" w:pos="600"/>
        </w:tabs>
        <w:jc w:val="both"/>
        <w:rPr>
          <w:rFonts w:ascii="Times New Roman" w:hAnsi="Times New Roman"/>
          <w:noProof/>
          <w:sz w:val="24"/>
          <w:szCs w:val="24"/>
        </w:rPr>
      </w:pPr>
      <w:r>
        <w:rPr>
          <w:rFonts w:ascii="Times New Roman" w:hAnsi="Times New Roman"/>
          <w:noProof/>
          <w:sz w:val="24"/>
        </w:rPr>
        <w:t xml:space="preserve">L’un des points qui continue de faire l’objet d’une attention particulière est la cohérence entre l’ICM et </w:t>
      </w:r>
      <w:r>
        <w:rPr>
          <w:rFonts w:ascii="Times New Roman" w:hAnsi="Times New Roman"/>
          <w:noProof/>
          <w:sz w:val="24"/>
        </w:rPr>
        <w:t xml:space="preserve">d’autres statistiques relatives au coût de la main-d’œuvre, en particulier les données </w:t>
      </w:r>
      <w:r>
        <w:rPr>
          <w:rFonts w:ascii="Times New Roman" w:hAnsi="Times New Roman"/>
          <w:noProof/>
          <w:sz w:val="24"/>
        </w:rPr>
        <w:lastRenderedPageBreak/>
        <w:t>concernant les comptes nat</w:t>
      </w:r>
      <w:r w:rsidR="00027A08">
        <w:rPr>
          <w:rFonts w:ascii="Times New Roman" w:hAnsi="Times New Roman"/>
          <w:noProof/>
          <w:sz w:val="24"/>
        </w:rPr>
        <w:t xml:space="preserve">ionaux trimestriels (voir point </w:t>
      </w:r>
      <w:r>
        <w:rPr>
          <w:rFonts w:ascii="Times New Roman" w:hAnsi="Times New Roman"/>
          <w:noProof/>
          <w:sz w:val="24"/>
        </w:rPr>
        <w:t>3.6). Ce point a été analysé sur le plan théorique et empirique.</w:t>
      </w:r>
    </w:p>
    <w:p w:rsidR="00C84484" w:rsidRDefault="00027A08">
      <w:pPr>
        <w:tabs>
          <w:tab w:val="left" w:pos="540"/>
        </w:tabs>
        <w:jc w:val="both"/>
        <w:rPr>
          <w:rFonts w:ascii="Times New Roman" w:hAnsi="Times New Roman"/>
          <w:noProof/>
          <w:sz w:val="24"/>
          <w:szCs w:val="24"/>
        </w:rPr>
      </w:pPr>
      <w:r>
        <w:rPr>
          <w:rFonts w:ascii="Times New Roman" w:hAnsi="Times New Roman"/>
          <w:noProof/>
          <w:sz w:val="24"/>
        </w:rPr>
        <w:t xml:space="preserve">En mai </w:t>
      </w:r>
      <w:r w:rsidR="00C72F39">
        <w:rPr>
          <w:rFonts w:ascii="Times New Roman" w:hAnsi="Times New Roman"/>
          <w:noProof/>
          <w:sz w:val="24"/>
        </w:rPr>
        <w:t>2015, Eurostat a organisé un atelier av</w:t>
      </w:r>
      <w:r w:rsidR="00C72F39">
        <w:rPr>
          <w:rFonts w:ascii="Times New Roman" w:hAnsi="Times New Roman"/>
          <w:noProof/>
          <w:sz w:val="24"/>
        </w:rPr>
        <w:t>ec les États membres afin d’examiner la qualité des statistiques relatives au coût de la main-d’œuvre. Des sujets tels que la collecte de données (sources et techniques d’échantillonnage), les questions d’ordre méthodologique, la plausibilité et la cohéren</w:t>
      </w:r>
      <w:r w:rsidR="00C72F39">
        <w:rPr>
          <w:rFonts w:ascii="Times New Roman" w:hAnsi="Times New Roman"/>
          <w:noProof/>
          <w:sz w:val="24"/>
        </w:rPr>
        <w:t>ce, les processus statistiques (correction du nombre de jours travaillés), les besoins des utilisateurs et les futures évolutions ont été évalués, et des propositions d’améliorations ont été adoptées.</w:t>
      </w:r>
    </w:p>
    <w:p w:rsidR="00C84484" w:rsidRDefault="00C72F39">
      <w:pPr>
        <w:tabs>
          <w:tab w:val="left" w:pos="540"/>
        </w:tabs>
        <w:jc w:val="both"/>
        <w:rPr>
          <w:rFonts w:ascii="Times New Roman" w:hAnsi="Times New Roman"/>
          <w:noProof/>
          <w:sz w:val="24"/>
          <w:szCs w:val="24"/>
        </w:rPr>
      </w:pPr>
      <w:r>
        <w:rPr>
          <w:rFonts w:ascii="Times New Roman" w:hAnsi="Times New Roman"/>
          <w:noProof/>
          <w:sz w:val="24"/>
        </w:rPr>
        <w:t>En janvier</w:t>
      </w:r>
      <w:r w:rsidR="00146A12">
        <w:rPr>
          <w:rFonts w:ascii="Times New Roman" w:hAnsi="Times New Roman"/>
          <w:noProof/>
          <w:sz w:val="24"/>
        </w:rPr>
        <w:t xml:space="preserve"> </w:t>
      </w:r>
      <w:r>
        <w:rPr>
          <w:rFonts w:ascii="Times New Roman" w:hAnsi="Times New Roman"/>
          <w:noProof/>
          <w:sz w:val="24"/>
        </w:rPr>
        <w:t>2016, au sein du groupe de travail sur les s</w:t>
      </w:r>
      <w:r>
        <w:rPr>
          <w:rFonts w:ascii="Times New Roman" w:hAnsi="Times New Roman"/>
          <w:noProof/>
          <w:sz w:val="24"/>
        </w:rPr>
        <w:t>tatistiques du marché du travail, Eurostat a présenté les résultats de nouveaux contrôles portant sur la plausibilité des données relatives à l’indice du coût de la main-d’œuvre.</w:t>
      </w:r>
      <w:r>
        <w:rPr>
          <w:noProof/>
        </w:rPr>
        <w:t xml:space="preserve"> </w:t>
      </w:r>
      <w:r>
        <w:rPr>
          <w:rFonts w:ascii="Times New Roman" w:hAnsi="Times New Roman"/>
          <w:noProof/>
          <w:sz w:val="24"/>
        </w:rPr>
        <w:t>Le groupe de travail a pleinement soutenu ces nouveaux contrôles de qualité e</w:t>
      </w:r>
      <w:r>
        <w:rPr>
          <w:rFonts w:ascii="Times New Roman" w:hAnsi="Times New Roman"/>
          <w:noProof/>
          <w:sz w:val="24"/>
        </w:rPr>
        <w:t>t a convenu de les mettre en œuvre au niveau national dans la mesure du possible. Les pays qui n’utilisent pas la méthode indirecte de correction des variations saisonnières (salaires/coûts non salariaux et agrégats de la NACE) ont accepté, lors de la réun</w:t>
      </w:r>
      <w:r>
        <w:rPr>
          <w:rFonts w:ascii="Times New Roman" w:hAnsi="Times New Roman"/>
          <w:noProof/>
          <w:sz w:val="24"/>
        </w:rPr>
        <w:t>ion</w:t>
      </w:r>
      <w:r w:rsidR="00146A12">
        <w:rPr>
          <w:rFonts w:ascii="Times New Roman" w:hAnsi="Times New Roman"/>
          <w:noProof/>
          <w:sz w:val="24"/>
        </w:rPr>
        <w:t xml:space="preserve"> du groupe de travail d’octobre </w:t>
      </w:r>
      <w:r>
        <w:rPr>
          <w:rFonts w:ascii="Times New Roman" w:hAnsi="Times New Roman"/>
          <w:noProof/>
          <w:sz w:val="24"/>
        </w:rPr>
        <w:t>2016, d’adopter cette procédure au cours des deux prochains trimestres.</w:t>
      </w:r>
    </w:p>
    <w:p w:rsidR="00C84484" w:rsidRDefault="00C72F39">
      <w:pPr>
        <w:tabs>
          <w:tab w:val="left" w:pos="540"/>
        </w:tabs>
        <w:jc w:val="both"/>
        <w:rPr>
          <w:rFonts w:ascii="Times New Roman" w:hAnsi="Times New Roman"/>
          <w:noProof/>
          <w:sz w:val="24"/>
          <w:szCs w:val="24"/>
        </w:rPr>
      </w:pPr>
      <w:r>
        <w:rPr>
          <w:rFonts w:ascii="Times New Roman" w:hAnsi="Times New Roman"/>
          <w:noProof/>
          <w:sz w:val="24"/>
        </w:rPr>
        <w:t>Eurostat a également commencé à publier, sous la forme d’un communiqué de presse paru</w:t>
      </w:r>
      <w:r w:rsidR="00146A12">
        <w:rPr>
          <w:rFonts w:ascii="Times New Roman" w:hAnsi="Times New Roman"/>
          <w:noProof/>
          <w:sz w:val="24"/>
        </w:rPr>
        <w:t xml:space="preserve"> pour la première fois en avril </w:t>
      </w:r>
      <w:r>
        <w:rPr>
          <w:rFonts w:ascii="Times New Roman" w:hAnsi="Times New Roman"/>
          <w:noProof/>
          <w:sz w:val="24"/>
        </w:rPr>
        <w:t xml:space="preserve">2016, des estimations annuelles </w:t>
      </w:r>
      <w:r>
        <w:rPr>
          <w:rFonts w:ascii="Times New Roman" w:hAnsi="Times New Roman"/>
          <w:noProof/>
          <w:sz w:val="24"/>
        </w:rPr>
        <w:t xml:space="preserve">du coût horaire de la main-d’œuvre ventilé selon la NACE. Ces estimations se basent à la fois sur les niveaux du coût de la main-d’œuvre et sur les tendances de l’indice du coût de la main-d’œuvre et sont publiées trois mois seulement après le terme de la </w:t>
      </w:r>
      <w:r>
        <w:rPr>
          <w:rFonts w:ascii="Times New Roman" w:hAnsi="Times New Roman"/>
          <w:noProof/>
          <w:sz w:val="24"/>
        </w:rPr>
        <w:t>période de référence. Elles sont ventilées par section de la NACE, à l’exception de la section L (activités immobilières).</w:t>
      </w:r>
    </w:p>
    <w:p w:rsidR="00C84484" w:rsidRDefault="00C72F39">
      <w:pPr>
        <w:tabs>
          <w:tab w:val="left" w:pos="540"/>
        </w:tabs>
        <w:jc w:val="both"/>
        <w:rPr>
          <w:rFonts w:ascii="Times New Roman" w:hAnsi="Times New Roman"/>
          <w:noProof/>
          <w:sz w:val="24"/>
          <w:szCs w:val="24"/>
        </w:rPr>
      </w:pPr>
      <w:r>
        <w:rPr>
          <w:rFonts w:ascii="Times New Roman" w:hAnsi="Times New Roman"/>
          <w:noProof/>
          <w:sz w:val="24"/>
        </w:rPr>
        <w:t>Si les États membres ont pris et maintenu les dispositions nécessaires pour l’élaboration de l’indice du coût de la main-d’œuvre, Eur</w:t>
      </w:r>
      <w:r>
        <w:rPr>
          <w:rFonts w:ascii="Times New Roman" w:hAnsi="Times New Roman"/>
          <w:noProof/>
          <w:sz w:val="24"/>
        </w:rPr>
        <w:t>ostat n’a de cesse d’améliorer le système de réception, de vérification, de traitement, de stockage et de diffusion des données. Ces procédures, qui sont devenue</w:t>
      </w:r>
      <w:r w:rsidR="00146A12">
        <w:rPr>
          <w:rFonts w:ascii="Times New Roman" w:hAnsi="Times New Roman"/>
          <w:noProof/>
          <w:sz w:val="24"/>
        </w:rPr>
        <w:t xml:space="preserve">s pleinement opérationnelles en </w:t>
      </w:r>
      <w:r>
        <w:rPr>
          <w:rFonts w:ascii="Times New Roman" w:hAnsi="Times New Roman"/>
          <w:noProof/>
          <w:sz w:val="24"/>
        </w:rPr>
        <w:t>2005, sont constamment revues et actualisées.</w:t>
      </w:r>
    </w:p>
    <w:p w:rsidR="00C84484" w:rsidRDefault="00C72F39">
      <w:pPr>
        <w:pStyle w:val="ManualHeading1"/>
        <w:spacing w:after="360"/>
        <w:ind w:left="851" w:hanging="851"/>
        <w:rPr>
          <w:noProof/>
          <w:szCs w:val="24"/>
        </w:rPr>
      </w:pPr>
      <w:r>
        <w:rPr>
          <w:noProof/>
        </w:rPr>
        <w:t>3.</w:t>
      </w:r>
      <w:r>
        <w:rPr>
          <w:noProof/>
        </w:rPr>
        <w:tab/>
        <w:t xml:space="preserve">Évaluation de </w:t>
      </w:r>
      <w:r>
        <w:rPr>
          <w:noProof/>
        </w:rPr>
        <w:t>la qualité des données et de son incidence sur les agrégats européens</w:t>
      </w:r>
    </w:p>
    <w:p w:rsidR="00C84484" w:rsidRDefault="00C72F39">
      <w:pPr>
        <w:pStyle w:val="ManualHeading1"/>
        <w:spacing w:after="360"/>
        <w:ind w:left="851" w:hanging="851"/>
        <w:rPr>
          <w:noProof/>
          <w:szCs w:val="24"/>
        </w:rPr>
      </w:pPr>
      <w:r>
        <w:rPr>
          <w:noProof/>
        </w:rPr>
        <w:t>3.1</w:t>
      </w:r>
      <w:r>
        <w:rPr>
          <w:noProof/>
        </w:rPr>
        <w:tab/>
        <w:t>Pertinence</w:t>
      </w:r>
    </w:p>
    <w:p w:rsidR="00C84484" w:rsidRDefault="00C72F39">
      <w:pPr>
        <w:tabs>
          <w:tab w:val="left" w:pos="540"/>
        </w:tabs>
        <w:jc w:val="both"/>
        <w:rPr>
          <w:rFonts w:ascii="Times New Roman" w:hAnsi="Times New Roman"/>
          <w:noProof/>
          <w:color w:val="000000"/>
          <w:sz w:val="24"/>
          <w:szCs w:val="24"/>
        </w:rPr>
      </w:pPr>
      <w:r>
        <w:rPr>
          <w:rFonts w:ascii="Times New Roman" w:hAnsi="Times New Roman"/>
          <w:noProof/>
          <w:color w:val="000000"/>
          <w:sz w:val="24"/>
        </w:rPr>
        <w:t>L’indicateur «variations du coût de la main-d’œuvre par heure travaillée» est important dans l’analyse de l’évolution économique à court et moyen terme. La Commission et l</w:t>
      </w:r>
      <w:r>
        <w:rPr>
          <w:rFonts w:ascii="Times New Roman" w:hAnsi="Times New Roman"/>
          <w:noProof/>
          <w:color w:val="000000"/>
          <w:sz w:val="24"/>
        </w:rPr>
        <w:t>a BCE utilisent un indice du coût de la main-d’œuvre par heure travaillée, lequel fait apparaître l’évolution à court terme du coût de la main-d’œuvre, pour évaluer d’éventuelles pressions inflationnistes causées par l’évolution du marché du travail. Cet i</w:t>
      </w:r>
      <w:r>
        <w:rPr>
          <w:rFonts w:ascii="Times New Roman" w:hAnsi="Times New Roman"/>
          <w:noProof/>
          <w:color w:val="000000"/>
          <w:sz w:val="24"/>
        </w:rPr>
        <w:t>ndice doit être calculé rapidement après la communication des données, pour chaque État membre, pour l’ensemble de l’Union européenne (UE) et pour la zone euro (ZE). L’indice du coût de la main-d’œuvre revêt également de l’importance pour les partenaires s</w:t>
      </w:r>
      <w:r>
        <w:rPr>
          <w:rFonts w:ascii="Times New Roman" w:hAnsi="Times New Roman"/>
          <w:noProof/>
          <w:color w:val="000000"/>
          <w:sz w:val="24"/>
        </w:rPr>
        <w:t xml:space="preserve">ociaux qui prennent part aux négociations salariales, ainsi que pour la Commission elle-même, qui suit l’évolution à court terme du coût de la main-d’œuvre. L’indice du coût de la main-d’œuvre est l’un des principaux indicateurs économiques européens </w:t>
      </w:r>
      <w:r>
        <w:rPr>
          <w:rFonts w:ascii="Times New Roman" w:hAnsi="Times New Roman"/>
          <w:noProof/>
          <w:sz w:val="24"/>
          <w:vertAlign w:val="superscript"/>
        </w:rPr>
        <w:t>(</w:t>
      </w:r>
      <w:r>
        <w:rPr>
          <w:rStyle w:val="FootnoteReference"/>
          <w:rFonts w:ascii="Times New Roman" w:hAnsi="Times New Roman"/>
          <w:noProof/>
          <w:color w:val="000000"/>
          <w:sz w:val="24"/>
        </w:rPr>
        <w:footnoteReference w:id="9"/>
      </w:r>
      <w:r>
        <w:rPr>
          <w:rFonts w:ascii="Times New Roman" w:hAnsi="Times New Roman"/>
          <w:noProof/>
          <w:color w:val="000000"/>
          <w:sz w:val="24"/>
          <w:vertAlign w:val="superscript"/>
        </w:rPr>
        <w:t>)</w:t>
      </w:r>
      <w:r>
        <w:rPr>
          <w:rFonts w:ascii="Times New Roman" w:hAnsi="Times New Roman"/>
          <w:noProof/>
          <w:color w:val="000000"/>
          <w:sz w:val="24"/>
        </w:rPr>
        <w:t>.</w:t>
      </w:r>
    </w:p>
    <w:p w:rsidR="00C84484" w:rsidRDefault="00C72F39">
      <w:pPr>
        <w:pStyle w:val="Text1"/>
        <w:spacing w:before="0" w:after="200" w:line="276" w:lineRule="auto"/>
        <w:ind w:left="0"/>
        <w:rPr>
          <w:noProof/>
          <w:szCs w:val="24"/>
        </w:rPr>
      </w:pPr>
      <w:r>
        <w:rPr>
          <w:noProof/>
        </w:rPr>
        <w:t>Il existe une demande non seulement d’informations sur l’évolution trimestrielle du coût de la main-d’œuvre exprimée en pourcentage, mesurée par l’indice du coût de la main-d’œuvre, mais aussi, et de plus en plus, d’informations sur le coût de la main-d’œu</w:t>
      </w:r>
      <w:r>
        <w:rPr>
          <w:noProof/>
        </w:rPr>
        <w:t>vre exprimé en valeurs absolues (euros par heure). En avril</w:t>
      </w:r>
      <w:r w:rsidR="00146A12">
        <w:rPr>
          <w:noProof/>
        </w:rPr>
        <w:t xml:space="preserve"> </w:t>
      </w:r>
      <w:r>
        <w:rPr>
          <w:noProof/>
        </w:rPr>
        <w:t xml:space="preserve">2012, Eurostat a publié pour la première fois des estimations précoces du coût horaire de la main-d’œuvre exprimé en euros et en devises nationales. </w:t>
      </w:r>
      <w:r>
        <w:rPr>
          <w:noProof/>
          <w:color w:val="000000"/>
        </w:rPr>
        <w:t>Eurostat a inclus la ventilation par section de</w:t>
      </w:r>
      <w:r>
        <w:rPr>
          <w:noProof/>
          <w:color w:val="000000"/>
        </w:rPr>
        <w:t xml:space="preserve"> la NACE dans ses estimations annuelles, </w:t>
      </w:r>
      <w:r>
        <w:rPr>
          <w:noProof/>
        </w:rPr>
        <w:t xml:space="preserve">diffusées dans </w:t>
      </w:r>
      <w:r w:rsidR="00146A12">
        <w:rPr>
          <w:noProof/>
        </w:rPr>
        <w:t xml:space="preserve">un communiqué de presse d’avril </w:t>
      </w:r>
      <w:r>
        <w:rPr>
          <w:noProof/>
        </w:rPr>
        <w:t>2016 et dans sa base de données en ligne.</w:t>
      </w:r>
    </w:p>
    <w:p w:rsidR="00C84484" w:rsidRDefault="00C72F39">
      <w:pPr>
        <w:pStyle w:val="Text1"/>
        <w:spacing w:before="0" w:after="200" w:line="276" w:lineRule="auto"/>
        <w:ind w:left="0"/>
        <w:rPr>
          <w:noProof/>
          <w:szCs w:val="24"/>
        </w:rPr>
      </w:pPr>
      <w:r>
        <w:rPr>
          <w:noProof/>
        </w:rPr>
        <w:t xml:space="preserve">La publication des estimations du coût annuel de la main-d’œuvre ventilé selon la NACE et basé sur l’indice du coût de la </w:t>
      </w:r>
      <w:r>
        <w:rPr>
          <w:noProof/>
        </w:rPr>
        <w:t>main-d’œuvre a fait croître la demande – déjà forte – des utilisateurs à l’égard d’informations complètes et actuelles sur le niveau du coût horaire de la main-d’œuvre. La Commission a reçu des commentaires positifs au sujet de la publication de ces estima</w:t>
      </w:r>
      <w:r>
        <w:rPr>
          <w:noProof/>
        </w:rPr>
        <w:t>tions et continuera de présenter les coûts annuels de la main-d’œuvre ventilés selon la NACE.</w:t>
      </w:r>
    </w:p>
    <w:p w:rsidR="00C84484" w:rsidRDefault="00C72F39">
      <w:pPr>
        <w:pStyle w:val="ManualHeading1"/>
        <w:spacing w:after="360"/>
        <w:ind w:left="851" w:hanging="851"/>
        <w:rPr>
          <w:noProof/>
          <w:szCs w:val="24"/>
        </w:rPr>
      </w:pPr>
      <w:r>
        <w:rPr>
          <w:noProof/>
        </w:rPr>
        <w:t>3.2</w:t>
      </w:r>
      <w:r>
        <w:rPr>
          <w:noProof/>
        </w:rPr>
        <w:tab/>
        <w:t>Exhaustivité</w:t>
      </w:r>
    </w:p>
    <w:p w:rsidR="00C84484" w:rsidRDefault="00C72F39">
      <w:pPr>
        <w:pStyle w:val="Text1"/>
        <w:spacing w:before="0" w:after="200" w:line="276" w:lineRule="auto"/>
        <w:ind w:left="0"/>
        <w:rPr>
          <w:noProof/>
          <w:szCs w:val="24"/>
        </w:rPr>
      </w:pPr>
      <w:r>
        <w:rPr>
          <w:noProof/>
        </w:rPr>
        <w:t>D’une manière générale, la disponibilité et la qualité de l’indice du coût de la main-d’œuvre ont continué à s’améliorer par rapport à la période</w:t>
      </w:r>
      <w:r>
        <w:rPr>
          <w:noProof/>
        </w:rPr>
        <w:t xml:space="preserve"> de référence précédente. Tous les États membres ont transmis à Eurostat des données corrigées du nombre de jours travaillés et des données corrigées des variations saisonnières ainsi que du nombre de jours travaillés. Tous les États membres ont également </w:t>
      </w:r>
      <w:r>
        <w:rPr>
          <w:noProof/>
        </w:rPr>
        <w:t>communiqué des données non corrigées des variations saisonnières, à l’exception du Danemark et de la Suède, qui bénéficient d’une dérogation</w:t>
      </w:r>
      <w:r>
        <w:rPr>
          <w:rStyle w:val="FootnoteReference"/>
          <w:noProof/>
        </w:rPr>
        <w:t xml:space="preserve"> </w:t>
      </w:r>
      <w:r>
        <w:rPr>
          <w:noProof/>
        </w:rPr>
        <w:t xml:space="preserve">à l’obligation de transmettre des données non corrigées des variations saisonnières </w:t>
      </w:r>
      <w:r>
        <w:rPr>
          <w:noProof/>
          <w:vertAlign w:val="superscript"/>
        </w:rPr>
        <w:t>(</w:t>
      </w:r>
      <w:r>
        <w:rPr>
          <w:rStyle w:val="FootnoteReference"/>
          <w:noProof/>
        </w:rPr>
        <w:footnoteReference w:id="10"/>
      </w:r>
      <w:r>
        <w:rPr>
          <w:noProof/>
          <w:vertAlign w:val="superscript"/>
        </w:rPr>
        <w:t>)</w:t>
      </w:r>
      <w:r>
        <w:rPr>
          <w:noProof/>
        </w:rPr>
        <w:t>.</w:t>
      </w:r>
    </w:p>
    <w:p w:rsidR="00C84484" w:rsidRDefault="00C72F39">
      <w:pPr>
        <w:pStyle w:val="Text1"/>
        <w:spacing w:before="0" w:after="200" w:line="276" w:lineRule="auto"/>
        <w:ind w:left="0"/>
        <w:rPr>
          <w:noProof/>
          <w:szCs w:val="24"/>
        </w:rPr>
      </w:pPr>
      <w:r>
        <w:rPr>
          <w:noProof/>
        </w:rPr>
        <w:t>En ce qui concerne les Éta</w:t>
      </w:r>
      <w:r>
        <w:rPr>
          <w:noProof/>
        </w:rPr>
        <w:t xml:space="preserve">ts de l’Espace économique européen (EEE) </w:t>
      </w:r>
      <w:r>
        <w:rPr>
          <w:noProof/>
          <w:vertAlign w:val="superscript"/>
        </w:rPr>
        <w:t>(</w:t>
      </w:r>
      <w:r>
        <w:rPr>
          <w:rStyle w:val="FootnoteReference"/>
          <w:noProof/>
        </w:rPr>
        <w:footnoteReference w:id="11"/>
      </w:r>
      <w:r>
        <w:rPr>
          <w:noProof/>
          <w:vertAlign w:val="superscript"/>
        </w:rPr>
        <w:t>)</w:t>
      </w:r>
      <w:r>
        <w:rPr>
          <w:noProof/>
        </w:rPr>
        <w:t>, l’Islande n’a fourni aucune donnée relative à l’indice du coût de la main-d’œuvre pour la période de référence, tandis que la Norvège a transmis des données pour tous les trimestres concernés.</w:t>
      </w:r>
    </w:p>
    <w:p w:rsidR="00C84484" w:rsidRDefault="00C72F39">
      <w:pPr>
        <w:jc w:val="both"/>
        <w:rPr>
          <w:rFonts w:ascii="Times New Roman" w:hAnsi="Times New Roman"/>
          <w:noProof/>
          <w:sz w:val="24"/>
          <w:szCs w:val="24"/>
        </w:rPr>
      </w:pPr>
      <w:r>
        <w:rPr>
          <w:rFonts w:ascii="Times New Roman" w:hAnsi="Times New Roman"/>
          <w:noProof/>
          <w:sz w:val="24"/>
        </w:rPr>
        <w:t>Malgré la meilleu</w:t>
      </w:r>
      <w:r>
        <w:rPr>
          <w:rFonts w:ascii="Times New Roman" w:hAnsi="Times New Roman"/>
          <w:noProof/>
          <w:sz w:val="24"/>
        </w:rPr>
        <w:t>re couverture des données corrigées des variations saisonnières, il a été décidé, après une analyse approfondie de la qualité des données et des besoins des utilisateurs, de continuer à publier les données corrigées du nombre de jours travaillés comme chif</w:t>
      </w:r>
      <w:r>
        <w:rPr>
          <w:rFonts w:ascii="Times New Roman" w:hAnsi="Times New Roman"/>
          <w:noProof/>
          <w:sz w:val="24"/>
        </w:rPr>
        <w:t>fres clés. Cela permet notamment de garantir clarté et cohérence avec d’autres statistiques des prix (par exemple l’indice des prix à la consommation). Toutefois, toutes les données, y compris les estimations corrigées des variations saisonnières, sont dis</w:t>
      </w:r>
      <w:r>
        <w:rPr>
          <w:rFonts w:ascii="Times New Roman" w:hAnsi="Times New Roman"/>
          <w:noProof/>
          <w:sz w:val="24"/>
        </w:rPr>
        <w:t>ponibles en ligne dans la base de données d’Eurostat.</w:t>
      </w:r>
    </w:p>
    <w:p w:rsidR="00C84484" w:rsidRDefault="00C72F39">
      <w:pPr>
        <w:jc w:val="both"/>
        <w:rPr>
          <w:rFonts w:ascii="Times New Roman" w:hAnsi="Times New Roman"/>
          <w:noProof/>
          <w:sz w:val="24"/>
          <w:szCs w:val="24"/>
        </w:rPr>
      </w:pPr>
      <w:r>
        <w:rPr>
          <w:rFonts w:ascii="Times New Roman" w:hAnsi="Times New Roman"/>
          <w:noProof/>
          <w:sz w:val="24"/>
        </w:rPr>
        <w:t>Les rapports nationaux sur la qu</w:t>
      </w:r>
      <w:r w:rsidR="00E71192">
        <w:rPr>
          <w:rFonts w:ascii="Times New Roman" w:hAnsi="Times New Roman"/>
          <w:noProof/>
          <w:sz w:val="24"/>
        </w:rPr>
        <w:t xml:space="preserve">alité pour l’année de référence </w:t>
      </w:r>
      <w:r>
        <w:rPr>
          <w:rFonts w:ascii="Times New Roman" w:hAnsi="Times New Roman"/>
          <w:noProof/>
          <w:sz w:val="24"/>
        </w:rPr>
        <w:t>2015 ont été communiqués par tous les États membres et sont en cours de validation avant d’être mis à la disposition du public.</w:t>
      </w:r>
    </w:p>
    <w:p w:rsidR="00C84484" w:rsidRDefault="00C72F39">
      <w:pPr>
        <w:pStyle w:val="ManualHeading1"/>
        <w:spacing w:after="360"/>
        <w:ind w:left="851" w:hanging="851"/>
        <w:rPr>
          <w:noProof/>
          <w:szCs w:val="24"/>
        </w:rPr>
      </w:pPr>
      <w:r>
        <w:rPr>
          <w:noProof/>
        </w:rPr>
        <w:t xml:space="preserve">3.3 </w:t>
      </w:r>
      <w:r>
        <w:rPr>
          <w:noProof/>
        </w:rPr>
        <w:tab/>
        <w:t>Ponct</w:t>
      </w:r>
      <w:r>
        <w:rPr>
          <w:noProof/>
        </w:rPr>
        <w:t>ualité</w:t>
      </w:r>
    </w:p>
    <w:p w:rsidR="00C84484" w:rsidRDefault="00C72F39">
      <w:pPr>
        <w:jc w:val="both"/>
        <w:rPr>
          <w:rFonts w:ascii="Times New Roman" w:hAnsi="Times New Roman"/>
          <w:i/>
          <w:noProof/>
          <w:sz w:val="24"/>
          <w:szCs w:val="24"/>
        </w:rPr>
      </w:pPr>
      <w:r>
        <w:rPr>
          <w:rFonts w:ascii="Times New Roman" w:hAnsi="Times New Roman"/>
          <w:noProof/>
          <w:sz w:val="24"/>
        </w:rPr>
        <w:t>La ponctualité des États membres dans la transmission des données à la Commission s’est améliorée depuis le précédent rapport publié en</w:t>
      </w:r>
      <w:r w:rsidR="00E71192">
        <w:rPr>
          <w:rFonts w:ascii="Times New Roman" w:hAnsi="Times New Roman"/>
          <w:noProof/>
          <w:sz w:val="24"/>
        </w:rPr>
        <w:t xml:space="preserve"> </w:t>
      </w:r>
      <w:r>
        <w:rPr>
          <w:rFonts w:ascii="Times New Roman" w:hAnsi="Times New Roman"/>
          <w:noProof/>
          <w:sz w:val="24"/>
        </w:rPr>
        <w:t>2015. Seuls de très légers retards ont été enregistrés, sauf pour la Grèce et la Croatie. La transmission des don</w:t>
      </w:r>
      <w:r>
        <w:rPr>
          <w:rFonts w:ascii="Times New Roman" w:hAnsi="Times New Roman"/>
          <w:noProof/>
          <w:sz w:val="24"/>
        </w:rPr>
        <w:t>nées dans les délais est de la plus haute importance pour l’élaboration de l’ICM, étant donné que des retards dans la transmission des données obligent à établir des estimations en vue de l’élaboration des agrégats pour l’UE et la zone euro, d’où des révis</w:t>
      </w:r>
      <w:r>
        <w:rPr>
          <w:rFonts w:ascii="Times New Roman" w:hAnsi="Times New Roman"/>
          <w:noProof/>
          <w:sz w:val="24"/>
        </w:rPr>
        <w:t>ions conséquentes à une date ultérieure qui pourraient être évitées. Le graphique 1 illustre la proportion du coût total de la main-d’œuvre de l’UE en euros pour laquelle des données étaient disponibles pour chaque trimestre à la date de publication du com</w:t>
      </w:r>
      <w:r>
        <w:rPr>
          <w:rFonts w:ascii="Times New Roman" w:hAnsi="Times New Roman"/>
          <w:noProof/>
          <w:sz w:val="24"/>
        </w:rPr>
        <w:t>muniqué de presse</w:t>
      </w:r>
      <w:r>
        <w:rPr>
          <w:rFonts w:ascii="Times New Roman" w:hAnsi="Times New Roman"/>
          <w:i/>
          <w:noProof/>
          <w:sz w:val="24"/>
        </w:rPr>
        <w:t>.</w:t>
      </w:r>
    </w:p>
    <w:p w:rsidR="00C84484" w:rsidRDefault="00F341ED">
      <w:pPr>
        <w:jc w:val="both"/>
        <w:rPr>
          <w:rFonts w:ascii="Times New Roman" w:hAnsi="Times New Roman"/>
          <w:i/>
          <w:noProof/>
          <w:sz w:val="24"/>
        </w:rPr>
      </w:pPr>
      <w:r>
        <w:rPr>
          <w:rFonts w:ascii="Times New Roman" w:hAnsi="Times New Roman"/>
          <w:i/>
          <w:noProof/>
          <w:sz w:val="24"/>
        </w:rPr>
        <w:t xml:space="preserve">Graphique </w:t>
      </w:r>
      <w:r w:rsidR="00C72F39">
        <w:rPr>
          <w:rFonts w:ascii="Times New Roman" w:hAnsi="Times New Roman"/>
          <w:i/>
          <w:noProof/>
          <w:sz w:val="24"/>
        </w:rPr>
        <w:t>1: Données relatives à l’indice du coût de la main-d’œuvre disponibles au moment de la publication, pourcentage du coût total de la main-d’œuvre de l’UE en euros</w:t>
      </w:r>
    </w:p>
    <w:p w:rsidR="00C84484" w:rsidRDefault="00C72F39">
      <w:pPr>
        <w:jc w:val="center"/>
        <w:rPr>
          <w:rFonts w:ascii="Times New Roman" w:hAnsi="Times New Roman"/>
          <w:i/>
          <w:noProof/>
          <w:sz w:val="24"/>
          <w:szCs w:val="24"/>
        </w:rPr>
      </w:pPr>
      <w:r>
        <w:rPr>
          <w:noProof/>
          <w:lang w:val="en-GB" w:eastAsia="en-GB" w:bidi="ar-SA"/>
        </w:rPr>
        <w:drawing>
          <wp:inline distT="0" distB="0" distL="0" distR="0" wp14:anchorId="39A369AF" wp14:editId="4D1A2C0D">
            <wp:extent cx="4107873" cy="2008909"/>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07116" cy="2008539"/>
                    </a:xfrm>
                    <a:prstGeom prst="rect">
                      <a:avLst/>
                    </a:prstGeom>
                  </pic:spPr>
                </pic:pic>
              </a:graphicData>
            </a:graphic>
          </wp:inline>
        </w:drawing>
      </w:r>
    </w:p>
    <w:p w:rsidR="00C84484" w:rsidRDefault="00C72F39">
      <w:pPr>
        <w:jc w:val="both"/>
        <w:rPr>
          <w:rFonts w:ascii="Times New Roman" w:hAnsi="Times New Roman"/>
          <w:noProof/>
          <w:sz w:val="24"/>
          <w:szCs w:val="24"/>
        </w:rPr>
      </w:pPr>
      <w:r>
        <w:rPr>
          <w:rFonts w:ascii="Times New Roman" w:hAnsi="Times New Roman"/>
          <w:noProof/>
          <w:sz w:val="24"/>
        </w:rPr>
        <w:t xml:space="preserve">Les données relatives à l’ICM sont complètes, sauf pour quatre </w:t>
      </w:r>
      <w:r>
        <w:rPr>
          <w:rFonts w:ascii="Times New Roman" w:hAnsi="Times New Roman"/>
          <w:noProof/>
          <w:sz w:val="24"/>
        </w:rPr>
        <w:t>trimestres, pour lesquels la Grèce (pre</w:t>
      </w:r>
      <w:r w:rsidR="00E71192">
        <w:rPr>
          <w:rFonts w:ascii="Times New Roman" w:hAnsi="Times New Roman"/>
          <w:noProof/>
          <w:sz w:val="24"/>
        </w:rPr>
        <w:t xml:space="preserve">mier et quatrième trimestres de </w:t>
      </w:r>
      <w:r>
        <w:rPr>
          <w:rFonts w:ascii="Times New Roman" w:hAnsi="Times New Roman"/>
          <w:noProof/>
          <w:sz w:val="24"/>
        </w:rPr>
        <w:t>2015, pr</w:t>
      </w:r>
      <w:r w:rsidR="00E71192">
        <w:rPr>
          <w:rFonts w:ascii="Times New Roman" w:hAnsi="Times New Roman"/>
          <w:noProof/>
          <w:sz w:val="24"/>
        </w:rPr>
        <w:t xml:space="preserve">emier et deuxième trimestres de </w:t>
      </w:r>
      <w:r>
        <w:rPr>
          <w:rFonts w:ascii="Times New Roman" w:hAnsi="Times New Roman"/>
          <w:noProof/>
          <w:sz w:val="24"/>
        </w:rPr>
        <w:t>2016) et l</w:t>
      </w:r>
      <w:r w:rsidR="00E71192">
        <w:rPr>
          <w:rFonts w:ascii="Times New Roman" w:hAnsi="Times New Roman"/>
          <w:noProof/>
          <w:sz w:val="24"/>
        </w:rPr>
        <w:t xml:space="preserve">a Croatie (premier trimestre de </w:t>
      </w:r>
      <w:r>
        <w:rPr>
          <w:rFonts w:ascii="Times New Roman" w:hAnsi="Times New Roman"/>
          <w:noProof/>
          <w:sz w:val="24"/>
        </w:rPr>
        <w:t>2016) n’ont pas communiqué les données à temps.</w:t>
      </w:r>
    </w:p>
    <w:p w:rsidR="00C84484" w:rsidRDefault="00C72F39">
      <w:pPr>
        <w:jc w:val="both"/>
        <w:rPr>
          <w:rFonts w:ascii="Times New Roman" w:hAnsi="Times New Roman"/>
          <w:noProof/>
          <w:sz w:val="24"/>
          <w:szCs w:val="24"/>
        </w:rPr>
      </w:pPr>
      <w:r>
        <w:rPr>
          <w:rFonts w:ascii="Times New Roman" w:hAnsi="Times New Roman"/>
          <w:noProof/>
          <w:sz w:val="24"/>
        </w:rPr>
        <w:t>En moyenne, l’actualité s’est améliorée par rapport à l</w:t>
      </w:r>
      <w:r>
        <w:rPr>
          <w:rFonts w:ascii="Times New Roman" w:hAnsi="Times New Roman"/>
          <w:noProof/>
          <w:sz w:val="24"/>
        </w:rPr>
        <w:t>a période de référence précédente, le taux de couverture de l’UE étant supérieur ou égal à 99 % pour tous les trimestres, à une excep</w:t>
      </w:r>
      <w:r w:rsidR="00E71192">
        <w:rPr>
          <w:rFonts w:ascii="Times New Roman" w:hAnsi="Times New Roman"/>
          <w:noProof/>
          <w:sz w:val="24"/>
        </w:rPr>
        <w:t xml:space="preserve">tion près (premier trimestre de </w:t>
      </w:r>
      <w:r>
        <w:rPr>
          <w:rFonts w:ascii="Times New Roman" w:hAnsi="Times New Roman"/>
          <w:noProof/>
          <w:sz w:val="24"/>
        </w:rPr>
        <w:t>2016).</w:t>
      </w:r>
    </w:p>
    <w:p w:rsidR="00C84484" w:rsidRDefault="00C72F39">
      <w:pPr>
        <w:jc w:val="both"/>
        <w:rPr>
          <w:rFonts w:ascii="Times New Roman" w:hAnsi="Times New Roman"/>
          <w:noProof/>
          <w:sz w:val="24"/>
          <w:szCs w:val="24"/>
        </w:rPr>
      </w:pPr>
      <w:r>
        <w:rPr>
          <w:rFonts w:ascii="Times New Roman" w:hAnsi="Times New Roman"/>
          <w:noProof/>
          <w:sz w:val="24"/>
        </w:rPr>
        <w:t>En matière d’actualité, depuis la dernière période de référence, la Grèce a enregist</w:t>
      </w:r>
      <w:r>
        <w:rPr>
          <w:rFonts w:ascii="Times New Roman" w:hAnsi="Times New Roman"/>
          <w:noProof/>
          <w:sz w:val="24"/>
        </w:rPr>
        <w:t xml:space="preserve">ré à deux reprises un retard de plus de deux jours dans la transmission des données relatives à l’indice du coût de la main-d’œuvre. Malgré ces retards, les données de la Grèce ont pu être incluses dans le communiqué de presse. Depuis le premier trimestre </w:t>
      </w:r>
      <w:r w:rsidR="00E71192">
        <w:rPr>
          <w:rFonts w:ascii="Times New Roman" w:hAnsi="Times New Roman"/>
          <w:noProof/>
          <w:sz w:val="24"/>
        </w:rPr>
        <w:t xml:space="preserve">de </w:t>
      </w:r>
      <w:r>
        <w:rPr>
          <w:rFonts w:ascii="Times New Roman" w:hAnsi="Times New Roman"/>
          <w:noProof/>
          <w:sz w:val="24"/>
        </w:rPr>
        <w:t>2016, la Croatie transmet à nouveau ses données relatives à l’indice du coût de la main-d’œuvre en temps et en heure.</w:t>
      </w:r>
    </w:p>
    <w:p w:rsidR="00C84484" w:rsidRDefault="00C72F39">
      <w:pPr>
        <w:pStyle w:val="Text1"/>
        <w:spacing w:before="0" w:after="200" w:line="276" w:lineRule="auto"/>
        <w:ind w:left="0"/>
        <w:rPr>
          <w:noProof/>
          <w:szCs w:val="24"/>
        </w:rPr>
      </w:pPr>
      <w:r>
        <w:rPr>
          <w:noProof/>
        </w:rPr>
        <w:t>En ce qui concerne les États de l’EEE, l’Islande n’a communiqué aucune donnée relative à l’indice du coût de la main-d’œuvre pour la pé</w:t>
      </w:r>
      <w:r>
        <w:rPr>
          <w:noProof/>
        </w:rPr>
        <w:t>riode concernée, tandis que la Norvège a transmis ses données à temps, sauf</w:t>
      </w:r>
      <w:r w:rsidR="002062A6">
        <w:rPr>
          <w:noProof/>
        </w:rPr>
        <w:t xml:space="preserve"> pour le quatrième trimestre de </w:t>
      </w:r>
      <w:r>
        <w:rPr>
          <w:noProof/>
        </w:rPr>
        <w:t>2015.</w:t>
      </w:r>
    </w:p>
    <w:p w:rsidR="00C84484" w:rsidRDefault="00C72F39">
      <w:pPr>
        <w:pStyle w:val="ManualHeading1"/>
        <w:spacing w:after="360"/>
        <w:ind w:left="851" w:hanging="851"/>
        <w:rPr>
          <w:noProof/>
          <w:szCs w:val="24"/>
        </w:rPr>
      </w:pPr>
      <w:r>
        <w:rPr>
          <w:noProof/>
        </w:rPr>
        <w:t xml:space="preserve">3.4 </w:t>
      </w:r>
      <w:r>
        <w:rPr>
          <w:noProof/>
        </w:rPr>
        <w:tab/>
        <w:t>Précision</w:t>
      </w:r>
    </w:p>
    <w:p w:rsidR="00C84484" w:rsidRDefault="00C72F39">
      <w:pPr>
        <w:jc w:val="both"/>
        <w:rPr>
          <w:rFonts w:ascii="Times New Roman" w:hAnsi="Times New Roman"/>
          <w:noProof/>
          <w:sz w:val="24"/>
          <w:szCs w:val="24"/>
        </w:rPr>
      </w:pPr>
      <w:r>
        <w:rPr>
          <w:rFonts w:ascii="Times New Roman" w:hAnsi="Times New Roman"/>
          <w:noProof/>
          <w:sz w:val="24"/>
        </w:rPr>
        <w:t>L’indice du coût de la main-d’œuvre est constitué d’un certain nombre de variables (par exemple, le coût de la main-d’œuvre et l</w:t>
      </w:r>
      <w:r>
        <w:rPr>
          <w:rFonts w:ascii="Times New Roman" w:hAnsi="Times New Roman"/>
          <w:noProof/>
          <w:sz w:val="24"/>
        </w:rPr>
        <w:t>es heures travaillées), qui peuvent provenir de plusieurs sources. En d’autres termes, des révisions peuvent intervenir à tout moment, influant ainsi sur les données du dernier trimestre, de plusieurs trimestres ou d’années entières. Si les corrections app</w:t>
      </w:r>
      <w:r>
        <w:rPr>
          <w:rFonts w:ascii="Times New Roman" w:hAnsi="Times New Roman"/>
          <w:noProof/>
          <w:sz w:val="24"/>
        </w:rPr>
        <w:t>ortées aux données portent sur l’année de référence, c’est l’ensemble de la série qui doit être révisée.</w:t>
      </w:r>
      <w:r w:rsidR="008E45B3">
        <w:rPr>
          <w:rFonts w:ascii="Times New Roman" w:hAnsi="Times New Roman"/>
          <w:noProof/>
          <w:sz w:val="24"/>
        </w:rPr>
        <w:t xml:space="preserve"> Depuis le premier trimestre de </w:t>
      </w:r>
      <w:r>
        <w:rPr>
          <w:rFonts w:ascii="Times New Roman" w:hAnsi="Times New Roman"/>
          <w:noProof/>
          <w:sz w:val="24"/>
        </w:rPr>
        <w:t xml:space="preserve">2014, les révisions du chiffre clé de l’UE </w:t>
      </w:r>
      <w:r>
        <w:rPr>
          <w:rFonts w:ascii="Times New Roman" w:hAnsi="Times New Roman"/>
          <w:noProof/>
          <w:sz w:val="24"/>
          <w:vertAlign w:val="superscript"/>
        </w:rPr>
        <w:t>(</w:t>
      </w:r>
      <w:r>
        <w:rPr>
          <w:rStyle w:val="FootnoteReference"/>
          <w:rFonts w:ascii="Times New Roman" w:hAnsi="Times New Roman"/>
          <w:noProof/>
          <w:sz w:val="24"/>
        </w:rPr>
        <w:footnoteReference w:id="12"/>
      </w:r>
      <w:r>
        <w:rPr>
          <w:rFonts w:ascii="Times New Roman" w:hAnsi="Times New Roman"/>
          <w:noProof/>
          <w:sz w:val="24"/>
          <w:vertAlign w:val="superscript"/>
        </w:rPr>
        <w:t>)</w:t>
      </w:r>
      <w:r>
        <w:rPr>
          <w:rFonts w:ascii="Times New Roman" w:hAnsi="Times New Roman"/>
          <w:noProof/>
          <w:sz w:val="24"/>
        </w:rPr>
        <w:t xml:space="preserve"> (taux de croissance en glissement annuel) ont dépassé</w:t>
      </w:r>
      <w:r w:rsidR="00F341ED">
        <w:rPr>
          <w:rFonts w:ascii="Times New Roman" w:hAnsi="Times New Roman"/>
          <w:noProof/>
          <w:sz w:val="24"/>
        </w:rPr>
        <w:t xml:space="preserve"> par trois fois la barre de 0,2 </w:t>
      </w:r>
      <w:r>
        <w:rPr>
          <w:rFonts w:ascii="Times New Roman" w:hAnsi="Times New Roman"/>
          <w:noProof/>
          <w:sz w:val="24"/>
        </w:rPr>
        <w:t>point de pourcentage. Pour la plupart des trimestres, les estimations ont été revues à la hausse. Contrairement à la période de référence précédente, les révisions des ag</w:t>
      </w:r>
      <w:r>
        <w:rPr>
          <w:rFonts w:ascii="Times New Roman" w:hAnsi="Times New Roman"/>
          <w:noProof/>
          <w:sz w:val="24"/>
        </w:rPr>
        <w:t>régat</w:t>
      </w:r>
      <w:r w:rsidR="008E45B3">
        <w:rPr>
          <w:rFonts w:ascii="Times New Roman" w:hAnsi="Times New Roman"/>
          <w:noProof/>
          <w:sz w:val="24"/>
        </w:rPr>
        <w:t xml:space="preserve">s de l’UE n’ont pas dépassé 0,3 </w:t>
      </w:r>
      <w:r>
        <w:rPr>
          <w:rFonts w:ascii="Times New Roman" w:hAnsi="Times New Roman"/>
          <w:noProof/>
          <w:sz w:val="24"/>
        </w:rPr>
        <w:t>point de pourcentage.</w:t>
      </w:r>
    </w:p>
    <w:p w:rsidR="00C84484" w:rsidRDefault="008E45B3">
      <w:pPr>
        <w:spacing w:after="0"/>
        <w:jc w:val="both"/>
        <w:rPr>
          <w:rFonts w:ascii="Times New Roman" w:hAnsi="Times New Roman"/>
          <w:i/>
          <w:noProof/>
          <w:sz w:val="24"/>
          <w:szCs w:val="24"/>
        </w:rPr>
      </w:pPr>
      <w:r>
        <w:rPr>
          <w:rFonts w:ascii="Times New Roman" w:hAnsi="Times New Roman"/>
          <w:i/>
          <w:noProof/>
          <w:sz w:val="24"/>
        </w:rPr>
        <w:t xml:space="preserve">Graphique </w:t>
      </w:r>
      <w:r w:rsidR="00C72F39">
        <w:rPr>
          <w:rFonts w:ascii="Times New Roman" w:hAnsi="Times New Roman"/>
          <w:i/>
          <w:noProof/>
          <w:sz w:val="24"/>
        </w:rPr>
        <w:t>2: Modifications des données entre le premier graphique publié et le communiqué conc</w:t>
      </w:r>
      <w:r>
        <w:rPr>
          <w:rFonts w:ascii="Times New Roman" w:hAnsi="Times New Roman"/>
          <w:i/>
          <w:noProof/>
          <w:sz w:val="24"/>
        </w:rPr>
        <w:t xml:space="preserve">ernant le deuxième trimestre de </w:t>
      </w:r>
      <w:r w:rsidR="00C72F39">
        <w:rPr>
          <w:rFonts w:ascii="Times New Roman" w:hAnsi="Times New Roman"/>
          <w:i/>
          <w:noProof/>
          <w:sz w:val="24"/>
        </w:rPr>
        <w:t>2016</w:t>
      </w:r>
    </w:p>
    <w:p w:rsidR="00C84484" w:rsidRDefault="00C72F39">
      <w:pPr>
        <w:jc w:val="center"/>
        <w:rPr>
          <w:noProof/>
        </w:rPr>
      </w:pPr>
      <w:r>
        <w:rPr>
          <w:rFonts w:ascii="Times New Roman" w:hAnsi="Times New Roman"/>
          <w:noProof/>
          <w:sz w:val="20"/>
        </w:rPr>
        <w:t>- UE-28, NACE Rév. 2, sections B à S, agrégat en points de pourcen</w:t>
      </w:r>
      <w:r>
        <w:rPr>
          <w:rFonts w:ascii="Times New Roman" w:hAnsi="Times New Roman"/>
          <w:noProof/>
          <w:sz w:val="20"/>
        </w:rPr>
        <w:t xml:space="preserve">tage </w:t>
      </w:r>
      <w:r>
        <w:rPr>
          <w:noProof/>
        </w:rPr>
        <w:t>–</w:t>
      </w:r>
    </w:p>
    <w:p w:rsidR="00C84484" w:rsidRDefault="00C72F39">
      <w:pPr>
        <w:jc w:val="center"/>
        <w:rPr>
          <w:rFonts w:ascii="Times New Roman" w:hAnsi="Times New Roman"/>
          <w:noProof/>
          <w:sz w:val="20"/>
          <w:szCs w:val="20"/>
        </w:rPr>
      </w:pPr>
      <w:r>
        <w:rPr>
          <w:noProof/>
          <w:lang w:val="en-GB" w:eastAsia="en-GB" w:bidi="ar-SA"/>
        </w:rPr>
        <w:drawing>
          <wp:inline distT="0" distB="0" distL="0" distR="0" wp14:anchorId="0018C186" wp14:editId="50C4DA24">
            <wp:extent cx="4107600" cy="2579944"/>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07600" cy="2579944"/>
                    </a:xfrm>
                    <a:prstGeom prst="rect">
                      <a:avLst/>
                    </a:prstGeom>
                  </pic:spPr>
                </pic:pic>
              </a:graphicData>
            </a:graphic>
          </wp:inline>
        </w:drawing>
      </w:r>
    </w:p>
    <w:p w:rsidR="00C84484" w:rsidRDefault="00C72F39">
      <w:pPr>
        <w:jc w:val="both"/>
        <w:rPr>
          <w:rFonts w:ascii="Times New Roman" w:hAnsi="Times New Roman"/>
          <w:noProof/>
          <w:sz w:val="24"/>
          <w:szCs w:val="24"/>
        </w:rPr>
      </w:pPr>
      <w:r>
        <w:rPr>
          <w:rFonts w:ascii="Times New Roman" w:hAnsi="Times New Roman"/>
          <w:noProof/>
          <w:sz w:val="24"/>
        </w:rPr>
        <w:t>Au cours de la période de référence, seules les données relatives à l’indice du coût de la main-d’œuvre émanant de la Grèce ont posé des problèmes de qualité. Eurostat a organisé une réunion bilatérale avec l’instit</w:t>
      </w:r>
      <w:r w:rsidR="008E45B3">
        <w:rPr>
          <w:rFonts w:ascii="Times New Roman" w:hAnsi="Times New Roman"/>
          <w:noProof/>
          <w:sz w:val="24"/>
        </w:rPr>
        <w:t xml:space="preserve">ut grec des statistiques en mai </w:t>
      </w:r>
      <w:r>
        <w:rPr>
          <w:rFonts w:ascii="Times New Roman" w:hAnsi="Times New Roman"/>
          <w:noProof/>
          <w:sz w:val="24"/>
        </w:rPr>
        <w:t>2016, au cours de laquelle les parties se sont mises d’accord sur une feuille de route visant à résoudre ces problèmes structurels. Des progrès ont depuis été accomplis dans l’amélioration de la qualité et de l’actualité des données au cours des deux cycle</w:t>
      </w:r>
      <w:r>
        <w:rPr>
          <w:rFonts w:ascii="Times New Roman" w:hAnsi="Times New Roman"/>
          <w:noProof/>
          <w:sz w:val="24"/>
        </w:rPr>
        <w:t>s d’élaboration suivants.</w:t>
      </w:r>
    </w:p>
    <w:p w:rsidR="00C84484" w:rsidRDefault="00C72F39">
      <w:pPr>
        <w:pStyle w:val="ManualHeading1"/>
        <w:spacing w:after="360"/>
        <w:ind w:left="851" w:hanging="851"/>
        <w:rPr>
          <w:noProof/>
          <w:szCs w:val="24"/>
        </w:rPr>
      </w:pPr>
      <w:r>
        <w:rPr>
          <w:noProof/>
        </w:rPr>
        <w:t>3.5</w:t>
      </w:r>
      <w:r>
        <w:rPr>
          <w:noProof/>
        </w:rPr>
        <w:tab/>
        <w:t>Comparabilité</w:t>
      </w:r>
    </w:p>
    <w:p w:rsidR="00C84484" w:rsidRDefault="00C72F39">
      <w:pPr>
        <w:pStyle w:val="Text1"/>
        <w:spacing w:before="0" w:after="200" w:line="276" w:lineRule="auto"/>
        <w:ind w:left="0"/>
        <w:rPr>
          <w:noProof/>
          <w:szCs w:val="24"/>
        </w:rPr>
      </w:pPr>
      <w:r>
        <w:rPr>
          <w:noProof/>
        </w:rPr>
        <w:t>Afin de publier des données relatives à l’indice du coût de la main-d’œuvre qui soient comparables entre les différents États, il est important de les corriger des effets calendaires et saisonniers.</w:t>
      </w:r>
    </w:p>
    <w:p w:rsidR="00C84484" w:rsidRDefault="00C72F39">
      <w:pPr>
        <w:pStyle w:val="Text1"/>
        <w:spacing w:before="0" w:after="200" w:line="276" w:lineRule="auto"/>
        <w:ind w:left="0"/>
        <w:rPr>
          <w:noProof/>
          <w:szCs w:val="24"/>
        </w:rPr>
      </w:pPr>
      <w:r>
        <w:rPr>
          <w:noProof/>
        </w:rPr>
        <w:t>L’article 1</w:t>
      </w:r>
      <w:r>
        <w:rPr>
          <w:noProof/>
          <w:vertAlign w:val="superscript"/>
        </w:rPr>
        <w:t>er</w:t>
      </w:r>
      <w:r w:rsidR="008E45B3">
        <w:rPr>
          <w:noProof/>
        </w:rPr>
        <w:t xml:space="preserve"> du règlement (CE) nº </w:t>
      </w:r>
      <w:r>
        <w:rPr>
          <w:noProof/>
        </w:rPr>
        <w:t>1216/2003 de la Commission dispose que les chiffres concernant l’indice du coût de la main-d’œuvre doivent être transmis sous forme de données non corrigées des variations saisonnières, corrigées du nombre de jours travaillés et corri</w:t>
      </w:r>
      <w:r>
        <w:rPr>
          <w:noProof/>
        </w:rPr>
        <w:t xml:space="preserve">gées des variations saisonnières ainsi que du nombre de jours travaillés. Cette règle connaît quelques exceptions: certains États membres bénéficient d’une dérogation à l’obligation de transmettre des données non corrigées des variations saisonnières </w:t>
      </w:r>
      <w:r>
        <w:rPr>
          <w:noProof/>
          <w:vertAlign w:val="superscript"/>
        </w:rPr>
        <w:t>(</w:t>
      </w:r>
      <w:r>
        <w:rPr>
          <w:rStyle w:val="FootnoteReference"/>
          <w:noProof/>
        </w:rPr>
        <w:footnoteReference w:id="13"/>
      </w:r>
      <w:r>
        <w:rPr>
          <w:noProof/>
          <w:vertAlign w:val="superscript"/>
        </w:rPr>
        <w:t>)</w:t>
      </w:r>
      <w:r>
        <w:rPr>
          <w:noProof/>
        </w:rPr>
        <w:t xml:space="preserve">. </w:t>
      </w:r>
      <w:r w:rsidR="008E45B3">
        <w:rPr>
          <w:noProof/>
        </w:rPr>
        <w:t xml:space="preserve">Le règlement (CE) nº </w:t>
      </w:r>
      <w:r>
        <w:rPr>
          <w:noProof/>
        </w:rPr>
        <w:t>450/2003 n’indique pas explicitement si les corrections des variations saisonnières et du nombre de jours travaillés doivent être effectuées selon la méthode directe ou indirecte. Si, dans le cas d’une correction indirecte, la correcti</w:t>
      </w:r>
      <w:r>
        <w:rPr>
          <w:noProof/>
        </w:rPr>
        <w:t>on est effectuée pour les séries de base, qui sont ensuite utilisées pour calculer les agrégats de niveau supérieur, il faut entendre par «correction directe» que l’on corrige individuellement chaque série, y compris les agrégats de niveau supérieur. Les d</w:t>
      </w:r>
      <w:r>
        <w:rPr>
          <w:noProof/>
        </w:rPr>
        <w:t xml:space="preserve">eux méthodes ont chacune leurs avantages et leurs inconvénients et sont toutes deux avalisées dans les lignes directrices du système statistique européen sur les corrections des variations saisonnières </w:t>
      </w:r>
      <w:r>
        <w:rPr>
          <w:noProof/>
          <w:vertAlign w:val="superscript"/>
        </w:rPr>
        <w:t>(</w:t>
      </w:r>
      <w:r>
        <w:rPr>
          <w:rStyle w:val="FootnoteReference"/>
          <w:noProof/>
        </w:rPr>
        <w:footnoteReference w:id="14"/>
      </w:r>
      <w:r>
        <w:rPr>
          <w:noProof/>
          <w:vertAlign w:val="superscript"/>
        </w:rPr>
        <w:t>)</w:t>
      </w:r>
      <w:r>
        <w:rPr>
          <w:noProof/>
        </w:rPr>
        <w:t>. Dans un nombre limité de cas, l’indice corrigé du</w:t>
      </w:r>
      <w:r>
        <w:rPr>
          <w:noProof/>
        </w:rPr>
        <w:t xml:space="preserve"> coût total était supérieur ou inférieur à l’indice corrigé de ses deux sous-composantes (salaires et traitements; coûts de la main-d’œuvre hors salaires et traitements). Par conséquent, Eurostat a systématiquement vérifié les données fournies par l’ensemb</w:t>
      </w:r>
      <w:r>
        <w:rPr>
          <w:noProof/>
        </w:rPr>
        <w:t>le des États membres afin de garantir la cohérence entre l’indice total et ses deux sous-composantes pour chaque section de la NACE. Eurostat a continué d’observer l’approche consistant à ne publier que l’indice total, en masquant les composantes lorsqu’el</w:t>
      </w:r>
      <w:r w:rsidR="008E45B3">
        <w:rPr>
          <w:noProof/>
        </w:rPr>
        <w:t xml:space="preserve">les diffèrent de plus de 0,1 </w:t>
      </w:r>
      <w:r>
        <w:rPr>
          <w:noProof/>
        </w:rPr>
        <w:t>% du total.</w:t>
      </w:r>
    </w:p>
    <w:p w:rsidR="00C84484" w:rsidRDefault="00C72F39">
      <w:pPr>
        <w:pStyle w:val="Text1"/>
        <w:spacing w:before="0" w:after="200" w:line="276" w:lineRule="auto"/>
        <w:ind w:left="0"/>
        <w:rPr>
          <w:noProof/>
          <w:szCs w:val="24"/>
        </w:rPr>
      </w:pPr>
      <w:r>
        <w:rPr>
          <w:noProof/>
        </w:rPr>
        <w:t>Des progrès ont été accomplis au cours des deux dernières années: le processus concret d’élaboration a montré que la méthode de correction indirecte permet de produire des données de meilleure qualité. Cette analyse</w:t>
      </w:r>
      <w:r>
        <w:rPr>
          <w:noProof/>
        </w:rPr>
        <w:t xml:space="preserve"> a </w:t>
      </w:r>
      <w:r w:rsidR="008E45B3">
        <w:rPr>
          <w:noProof/>
        </w:rPr>
        <w:t xml:space="preserve">débuté lors de l’atelier de mai </w:t>
      </w:r>
      <w:r>
        <w:rPr>
          <w:noProof/>
        </w:rPr>
        <w:t>2015 et s’est achev</w:t>
      </w:r>
      <w:r w:rsidR="008E45B3">
        <w:rPr>
          <w:noProof/>
        </w:rPr>
        <w:t xml:space="preserve">ée pendant la réunion d’octobre </w:t>
      </w:r>
      <w:r>
        <w:rPr>
          <w:noProof/>
        </w:rPr>
        <w:t>2016 du groupe de travail sur les statistiques du marché du travail, au cours de laquelle les États membres ont convenu d’adopter la méthode de correction indirecte.</w:t>
      </w:r>
    </w:p>
    <w:p w:rsidR="00C84484" w:rsidRDefault="00C72F39">
      <w:pPr>
        <w:pStyle w:val="ManualHeading1"/>
        <w:spacing w:after="360"/>
        <w:ind w:left="851" w:hanging="851"/>
        <w:rPr>
          <w:noProof/>
          <w:szCs w:val="24"/>
        </w:rPr>
      </w:pPr>
      <w:r>
        <w:rPr>
          <w:noProof/>
        </w:rPr>
        <w:t>3.6</w:t>
      </w:r>
      <w:r>
        <w:rPr>
          <w:noProof/>
        </w:rPr>
        <w:tab/>
      </w:r>
      <w:r>
        <w:rPr>
          <w:noProof/>
        </w:rPr>
        <w:t>Cohérence par rapport aux chiffres des comptes nationaux</w:t>
      </w:r>
    </w:p>
    <w:p w:rsidR="00C84484" w:rsidRDefault="00C72F39">
      <w:pPr>
        <w:jc w:val="both"/>
        <w:rPr>
          <w:rFonts w:ascii="Times New Roman" w:hAnsi="Times New Roman"/>
          <w:noProof/>
          <w:sz w:val="24"/>
          <w:szCs w:val="24"/>
        </w:rPr>
      </w:pPr>
      <w:r>
        <w:rPr>
          <w:rFonts w:ascii="Times New Roman" w:hAnsi="Times New Roman"/>
          <w:noProof/>
          <w:sz w:val="24"/>
        </w:rPr>
        <w:t>Pour le rapport annuel sur la qualité, il est demandé aux États membres de comparer le taux de croissance de l’indice du coût de la main-d’œuvre avec celui des rémunérations horaires des salariés fig</w:t>
      </w:r>
      <w:r>
        <w:rPr>
          <w:rFonts w:ascii="Times New Roman" w:hAnsi="Times New Roman"/>
          <w:noProof/>
          <w:sz w:val="24"/>
        </w:rPr>
        <w:t>urant dans les comptes nation</w:t>
      </w:r>
      <w:r w:rsidR="008E45B3">
        <w:rPr>
          <w:rFonts w:ascii="Times New Roman" w:hAnsi="Times New Roman"/>
          <w:noProof/>
          <w:sz w:val="24"/>
        </w:rPr>
        <w:t xml:space="preserve">aux (selon la définition du SEC </w:t>
      </w:r>
      <w:r>
        <w:rPr>
          <w:rFonts w:ascii="Times New Roman" w:hAnsi="Times New Roman"/>
          <w:noProof/>
          <w:sz w:val="24"/>
        </w:rPr>
        <w:t xml:space="preserve">2010) </w:t>
      </w:r>
      <w:r>
        <w:rPr>
          <w:rFonts w:ascii="Times New Roman" w:hAnsi="Times New Roman"/>
          <w:noProof/>
          <w:sz w:val="24"/>
          <w:vertAlign w:val="superscript"/>
        </w:rPr>
        <w:t>(</w:t>
      </w:r>
      <w:r>
        <w:rPr>
          <w:rStyle w:val="FootnoteReference"/>
          <w:noProof/>
        </w:rPr>
        <w:footnoteReference w:id="15"/>
      </w:r>
      <w:r>
        <w:rPr>
          <w:rFonts w:ascii="Times New Roman" w:hAnsi="Times New Roman"/>
          <w:noProof/>
          <w:sz w:val="24"/>
          <w:vertAlign w:val="superscript"/>
        </w:rPr>
        <w:t>)</w:t>
      </w:r>
      <w:r>
        <w:rPr>
          <w:rFonts w:ascii="Times New Roman" w:hAnsi="Times New Roman"/>
          <w:noProof/>
          <w:sz w:val="24"/>
        </w:rPr>
        <w:t>. Il n’est pas réaliste d’espérer que les chiffres soient exactement identiques. Même si les définitions du coût de la main-d’œuvre sont pratiquement identiques, les traitements et les s</w:t>
      </w:r>
      <w:r>
        <w:rPr>
          <w:rFonts w:ascii="Times New Roman" w:hAnsi="Times New Roman"/>
          <w:noProof/>
          <w:sz w:val="24"/>
        </w:rPr>
        <w:t>ources statistiques peuvent différer. En outre, la collecte de données concernant les heures travaillées est particulièrement difficile à la fois pour l’indice du coût de la main-d’œuvre et pour les comptes nationaux. Malgré ces différences méthodologiques</w:t>
      </w:r>
      <w:r>
        <w:rPr>
          <w:rFonts w:ascii="Times New Roman" w:hAnsi="Times New Roman"/>
          <w:noProof/>
          <w:sz w:val="24"/>
        </w:rPr>
        <w:t>, il est instructif d’analyser le niveau de divergences entre les deux ensembles de données. Lorsque ce niveau dépasse un certain seuil relatif, il peut être révélateur de problèmes de qualité dans l’un des deux ensembles de données.</w:t>
      </w:r>
    </w:p>
    <w:p w:rsidR="00C84484" w:rsidRDefault="00C72F39">
      <w:pPr>
        <w:jc w:val="both"/>
        <w:rPr>
          <w:rFonts w:ascii="Times New Roman" w:hAnsi="Times New Roman"/>
          <w:noProof/>
          <w:sz w:val="24"/>
          <w:szCs w:val="24"/>
        </w:rPr>
      </w:pPr>
      <w:r>
        <w:rPr>
          <w:rFonts w:ascii="Times New Roman" w:hAnsi="Times New Roman"/>
          <w:noProof/>
          <w:sz w:val="24"/>
        </w:rPr>
        <w:t>Eurostat a mené un exa</w:t>
      </w:r>
      <w:r>
        <w:rPr>
          <w:rFonts w:ascii="Times New Roman" w:hAnsi="Times New Roman"/>
          <w:noProof/>
          <w:sz w:val="24"/>
        </w:rPr>
        <w:t xml:space="preserve">men de qualité pour les agrégats des </w:t>
      </w:r>
      <w:r w:rsidR="008E45B3">
        <w:rPr>
          <w:rFonts w:ascii="Times New Roman" w:hAnsi="Times New Roman"/>
          <w:noProof/>
          <w:sz w:val="24"/>
        </w:rPr>
        <w:t xml:space="preserve">sections B et S de la NACE Rév. </w:t>
      </w:r>
      <w:r>
        <w:rPr>
          <w:rFonts w:ascii="Times New Roman" w:hAnsi="Times New Roman"/>
          <w:noProof/>
          <w:sz w:val="24"/>
        </w:rPr>
        <w:t>2 pour tous les États sauf la Grèce et la Croatie, dont les données relatives à l’ICM n’étaient pas disponibles. Dans le cadre de cette comparaison, les données relatives à l’ICM non corr</w:t>
      </w:r>
      <w:r>
        <w:rPr>
          <w:rFonts w:ascii="Times New Roman" w:hAnsi="Times New Roman"/>
          <w:noProof/>
          <w:sz w:val="24"/>
        </w:rPr>
        <w:t xml:space="preserve">igées des variations saisonnières ont été utilisées, sauf dans le cas du Danemark et de la Suède, pour lesquels seules les données corrigées du nombre de jours travaillés étaient disponibles. L’écart absolu moyen entre le taux de croissance de l’indice du </w:t>
      </w:r>
      <w:r>
        <w:rPr>
          <w:rFonts w:ascii="Times New Roman" w:hAnsi="Times New Roman"/>
          <w:noProof/>
          <w:sz w:val="24"/>
        </w:rPr>
        <w:t>coût de la main-d’œuvre et celui des rémunérations horaires des salariés a été analysé sur une période de dix trimestres; il a été considéré que les variations de plus de deux points de pourcentage sur base annuelle nécessitaient une analyse plus approfond</w:t>
      </w:r>
      <w:r>
        <w:rPr>
          <w:rFonts w:ascii="Times New Roman" w:hAnsi="Times New Roman"/>
          <w:noProof/>
          <w:sz w:val="24"/>
        </w:rPr>
        <w:t>ie. Ce fut le cas pour la Bulgarie, le Danemark, la Lettonie, la Pologne et la Roumanie (voir graphique</w:t>
      </w:r>
      <w:r w:rsidR="008E45B3">
        <w:rPr>
          <w:rFonts w:ascii="Times New Roman" w:hAnsi="Times New Roman"/>
          <w:noProof/>
          <w:sz w:val="24"/>
        </w:rPr>
        <w:t xml:space="preserve"> </w:t>
      </w:r>
      <w:r>
        <w:rPr>
          <w:rFonts w:ascii="Times New Roman" w:hAnsi="Times New Roman"/>
          <w:noProof/>
          <w:sz w:val="24"/>
        </w:rPr>
        <w:t>3).</w:t>
      </w:r>
    </w:p>
    <w:p w:rsidR="00C84484" w:rsidRDefault="00C72F39">
      <w:pPr>
        <w:jc w:val="both"/>
        <w:rPr>
          <w:rFonts w:ascii="Times New Roman" w:hAnsi="Times New Roman"/>
          <w:noProof/>
          <w:sz w:val="24"/>
          <w:szCs w:val="24"/>
        </w:rPr>
      </w:pPr>
      <w:r>
        <w:rPr>
          <w:rFonts w:ascii="Times New Roman" w:hAnsi="Times New Roman"/>
          <w:noProof/>
          <w:sz w:val="24"/>
        </w:rPr>
        <w:t>Les résultats de l’analyse susmentionnée feront l’objet d’un suivi auprès des États membres concernés, en particulier en ce qui concerne les données</w:t>
      </w:r>
      <w:r>
        <w:rPr>
          <w:rFonts w:ascii="Times New Roman" w:hAnsi="Times New Roman"/>
          <w:noProof/>
          <w:sz w:val="24"/>
        </w:rPr>
        <w:t xml:space="preserve"> relatives au nombre d’heures travaillées. L’objectif est d’améliorer la cohérence entre les différents domaines statistiques.</w:t>
      </w:r>
    </w:p>
    <w:p w:rsidR="00C84484" w:rsidRDefault="008E45B3">
      <w:pPr>
        <w:spacing w:after="0"/>
        <w:jc w:val="both"/>
        <w:rPr>
          <w:rFonts w:ascii="Times New Roman" w:hAnsi="Times New Roman"/>
          <w:i/>
          <w:noProof/>
          <w:sz w:val="24"/>
          <w:szCs w:val="24"/>
        </w:rPr>
      </w:pPr>
      <w:r>
        <w:rPr>
          <w:rFonts w:ascii="Times New Roman" w:hAnsi="Times New Roman"/>
          <w:i/>
          <w:noProof/>
          <w:sz w:val="24"/>
        </w:rPr>
        <w:t xml:space="preserve">Graphique </w:t>
      </w:r>
      <w:r w:rsidR="00C72F39">
        <w:rPr>
          <w:rFonts w:ascii="Times New Roman" w:hAnsi="Times New Roman"/>
          <w:i/>
          <w:noProof/>
          <w:sz w:val="24"/>
        </w:rPr>
        <w:t xml:space="preserve">3: Taux de croissance des rémunérations horaires des salariés par rapport à l’indice du coût de la main-d’œuvre </w:t>
      </w:r>
    </w:p>
    <w:p w:rsidR="00C84484" w:rsidRDefault="00C72F39">
      <w:pPr>
        <w:jc w:val="center"/>
        <w:rPr>
          <w:noProof/>
        </w:rPr>
      </w:pPr>
      <w:r>
        <w:rPr>
          <w:rFonts w:ascii="Times New Roman" w:hAnsi="Times New Roman"/>
          <w:i/>
          <w:noProof/>
          <w:sz w:val="20"/>
        </w:rPr>
        <w:t>- D</w:t>
      </w:r>
      <w:r>
        <w:rPr>
          <w:rFonts w:ascii="Times New Roman" w:hAnsi="Times New Roman"/>
          <w:i/>
          <w:noProof/>
          <w:sz w:val="24"/>
        </w:rPr>
        <w:t xml:space="preserve">ifférence en points de pourcentage </w:t>
      </w:r>
      <w:r>
        <w:rPr>
          <w:noProof/>
        </w:rPr>
        <w:t>–</w:t>
      </w:r>
    </w:p>
    <w:p w:rsidR="00C84484" w:rsidRDefault="00C72F39">
      <w:pPr>
        <w:rPr>
          <w:noProof/>
          <w:szCs w:val="24"/>
        </w:rPr>
      </w:pPr>
      <w:r>
        <w:rPr>
          <w:noProof/>
          <w:lang w:val="en-GB" w:eastAsia="en-GB" w:bidi="ar-SA"/>
        </w:rPr>
        <w:drawing>
          <wp:inline distT="0" distB="0" distL="0" distR="0" wp14:anchorId="2AF17438" wp14:editId="0C0440FE">
            <wp:extent cx="5760085" cy="39259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085" cy="3925995"/>
                    </a:xfrm>
                    <a:prstGeom prst="rect">
                      <a:avLst/>
                    </a:prstGeom>
                  </pic:spPr>
                </pic:pic>
              </a:graphicData>
            </a:graphic>
          </wp:inline>
        </w:drawing>
      </w:r>
      <w:r>
        <w:rPr>
          <w:i/>
          <w:noProof/>
          <w:sz w:val="20"/>
          <w:u w:val="single"/>
        </w:rPr>
        <w:t>Remarque:</w:t>
      </w:r>
      <w:r>
        <w:rPr>
          <w:i/>
          <w:noProof/>
          <w:sz w:val="20"/>
        </w:rPr>
        <w:t xml:space="preserve"> données non disponibles pour la Grèce et la Croatie</w:t>
      </w:r>
    </w:p>
    <w:p w:rsidR="00C84484" w:rsidRDefault="00C72F39">
      <w:pPr>
        <w:pStyle w:val="ManualHeading1"/>
        <w:spacing w:after="360"/>
        <w:ind w:left="851" w:hanging="851"/>
        <w:rPr>
          <w:noProof/>
          <w:szCs w:val="24"/>
        </w:rPr>
      </w:pPr>
      <w:r>
        <w:rPr>
          <w:noProof/>
        </w:rPr>
        <w:t>4.</w:t>
      </w:r>
      <w:r>
        <w:rPr>
          <w:noProof/>
        </w:rPr>
        <w:tab/>
        <w:t>Conclusions</w:t>
      </w:r>
    </w:p>
    <w:p w:rsidR="00C84484" w:rsidRDefault="00C72F39">
      <w:pPr>
        <w:jc w:val="both"/>
        <w:rPr>
          <w:rFonts w:ascii="Times New Roman" w:hAnsi="Times New Roman"/>
          <w:noProof/>
          <w:color w:val="000000"/>
          <w:sz w:val="24"/>
          <w:szCs w:val="24"/>
        </w:rPr>
      </w:pPr>
      <w:r>
        <w:rPr>
          <w:rFonts w:ascii="Times New Roman" w:hAnsi="Times New Roman"/>
          <w:noProof/>
          <w:color w:val="000000"/>
          <w:sz w:val="24"/>
        </w:rPr>
        <w:t xml:space="preserve">Dans l’ensemble, la qualité des </w:t>
      </w:r>
      <w:r>
        <w:rPr>
          <w:rFonts w:ascii="Times New Roman" w:hAnsi="Times New Roman"/>
          <w:noProof/>
          <w:sz w:val="24"/>
        </w:rPr>
        <w:t xml:space="preserve">indices du coût de la main-d’œuvre des États membres et de l’UE </w:t>
      </w:r>
      <w:r>
        <w:rPr>
          <w:rFonts w:ascii="Times New Roman" w:hAnsi="Times New Roman"/>
          <w:noProof/>
          <w:color w:val="000000"/>
          <w:sz w:val="24"/>
        </w:rPr>
        <w:t xml:space="preserve">a continué à s’améliorer depuis le précédent </w:t>
      </w:r>
      <w:r w:rsidR="008E45B3">
        <w:rPr>
          <w:rFonts w:ascii="Times New Roman" w:hAnsi="Times New Roman"/>
          <w:noProof/>
          <w:color w:val="000000"/>
          <w:sz w:val="24"/>
        </w:rPr>
        <w:t xml:space="preserve">rapport, publié en </w:t>
      </w:r>
      <w:r>
        <w:rPr>
          <w:rFonts w:ascii="Times New Roman" w:hAnsi="Times New Roman"/>
          <w:noProof/>
          <w:color w:val="000000"/>
          <w:sz w:val="24"/>
        </w:rPr>
        <w:t>2014. Les États membres ont continué à faire preuve de ponctualité, sauf la Grèce qui, une nouvelle fois, n’a pas respecté les délais fixés pour la transmission des données relatives à l’indice du coût de la main-d’œuvre.</w:t>
      </w:r>
    </w:p>
    <w:p w:rsidR="00C84484" w:rsidRDefault="00C72F39">
      <w:pPr>
        <w:jc w:val="both"/>
        <w:rPr>
          <w:rFonts w:ascii="Times New Roman" w:hAnsi="Times New Roman"/>
          <w:noProof/>
          <w:color w:val="000000"/>
          <w:sz w:val="24"/>
          <w:szCs w:val="24"/>
        </w:rPr>
      </w:pPr>
      <w:r>
        <w:rPr>
          <w:rFonts w:ascii="Times New Roman" w:hAnsi="Times New Roman"/>
          <w:noProof/>
          <w:color w:val="000000"/>
          <w:sz w:val="24"/>
        </w:rPr>
        <w:t>L’utilisation d</w:t>
      </w:r>
      <w:r>
        <w:rPr>
          <w:rFonts w:ascii="Times New Roman" w:hAnsi="Times New Roman"/>
          <w:noProof/>
          <w:color w:val="000000"/>
          <w:sz w:val="24"/>
        </w:rPr>
        <w:t>e la norme SDMX s’est généralisée et les dernières améliorations du format SDMX sont en cours de concrétisation.</w:t>
      </w:r>
    </w:p>
    <w:p w:rsidR="00C84484" w:rsidRDefault="00C72F39">
      <w:pPr>
        <w:jc w:val="both"/>
        <w:rPr>
          <w:rFonts w:ascii="Times New Roman" w:hAnsi="Times New Roman"/>
          <w:noProof/>
          <w:color w:val="000000"/>
          <w:sz w:val="24"/>
          <w:szCs w:val="24"/>
        </w:rPr>
      </w:pPr>
      <w:r>
        <w:rPr>
          <w:rFonts w:ascii="Times New Roman" w:hAnsi="Times New Roman"/>
          <w:noProof/>
          <w:color w:val="000000"/>
          <w:sz w:val="24"/>
        </w:rPr>
        <w:t xml:space="preserve">Les rapports sur la qualité présentés par les États membres ont été déplacés vers une nouvelle version du gestionnaire de métadonnées du </w:t>
      </w:r>
      <w:r>
        <w:rPr>
          <w:rFonts w:ascii="Times New Roman" w:hAnsi="Times New Roman"/>
          <w:noProof/>
          <w:color w:val="000000"/>
          <w:sz w:val="24"/>
        </w:rPr>
        <w:t>système statistique européen et mis à la disposition de tous les utilisateurs.</w:t>
      </w:r>
    </w:p>
    <w:p w:rsidR="00C84484" w:rsidRDefault="00C72F39">
      <w:pPr>
        <w:jc w:val="both"/>
        <w:rPr>
          <w:rFonts w:ascii="Times New Roman" w:hAnsi="Times New Roman"/>
          <w:noProof/>
          <w:color w:val="000000"/>
          <w:sz w:val="24"/>
          <w:szCs w:val="24"/>
        </w:rPr>
      </w:pPr>
      <w:r>
        <w:rPr>
          <w:rFonts w:ascii="Times New Roman" w:hAnsi="Times New Roman"/>
          <w:noProof/>
          <w:color w:val="000000"/>
          <w:sz w:val="24"/>
        </w:rPr>
        <w:t xml:space="preserve">La qualité générale des statistiques relatives à l’indice du coût de la main-d’œuvre et certains aspects techniques ont été évalués, et des propositions d’améliorations ont été </w:t>
      </w:r>
      <w:r>
        <w:rPr>
          <w:rFonts w:ascii="Times New Roman" w:hAnsi="Times New Roman"/>
          <w:noProof/>
          <w:color w:val="000000"/>
          <w:sz w:val="24"/>
        </w:rPr>
        <w:t xml:space="preserve">adoptées. La cohérence des </w:t>
      </w:r>
      <w:r>
        <w:rPr>
          <w:rFonts w:ascii="Times New Roman" w:hAnsi="Times New Roman"/>
          <w:noProof/>
          <w:sz w:val="24"/>
        </w:rPr>
        <w:t>données relatives à l’indice du coût de la main-d’œuvre</w:t>
      </w:r>
      <w:r>
        <w:rPr>
          <w:rFonts w:ascii="Times New Roman" w:hAnsi="Times New Roman"/>
          <w:noProof/>
          <w:color w:val="000000"/>
          <w:sz w:val="24"/>
        </w:rPr>
        <w:t xml:space="preserve"> devrait continuer à s’améliorer, entre autres grâce aux actions de suivi mises en œuvre à la suite d’un atelier consacré à ce sujet et des réunions du groupe de travail sur </w:t>
      </w:r>
      <w:r>
        <w:rPr>
          <w:rFonts w:ascii="Times New Roman" w:hAnsi="Times New Roman"/>
          <w:noProof/>
          <w:color w:val="000000"/>
          <w:sz w:val="24"/>
        </w:rPr>
        <w:t>les statistiques du marché du travail qui ont suivi</w:t>
      </w:r>
      <w:r>
        <w:rPr>
          <w:noProof/>
        </w:rPr>
        <w:t>.</w:t>
      </w:r>
      <w:r>
        <w:rPr>
          <w:rFonts w:ascii="Times New Roman" w:hAnsi="Times New Roman"/>
          <w:noProof/>
          <w:color w:val="000000"/>
          <w:sz w:val="24"/>
        </w:rPr>
        <w:t xml:space="preserve"> Plus particulièrement, les pays qui n’utilisent pas la méthode indirecte de correction des variations saisonnières (salaires/coûts non salariaux et agrégats de la NACE) </w:t>
      </w:r>
      <w:r>
        <w:rPr>
          <w:rFonts w:ascii="Times New Roman" w:hAnsi="Times New Roman"/>
          <w:noProof/>
          <w:sz w:val="24"/>
        </w:rPr>
        <w:t>et dont les données présentent des</w:t>
      </w:r>
      <w:r>
        <w:rPr>
          <w:rFonts w:ascii="Times New Roman" w:hAnsi="Times New Roman"/>
          <w:noProof/>
          <w:sz w:val="24"/>
        </w:rPr>
        <w:t xml:space="preserve"> incohérences non négligeables entre les composantes et le total </w:t>
      </w:r>
      <w:r>
        <w:rPr>
          <w:rFonts w:ascii="Times New Roman" w:hAnsi="Times New Roman"/>
          <w:noProof/>
          <w:color w:val="000000"/>
          <w:sz w:val="24"/>
        </w:rPr>
        <w:t>ont accepté d’appliquer la méthode indirecte d’ici mi-2017.</w:t>
      </w:r>
    </w:p>
    <w:p w:rsidR="00C84484" w:rsidRDefault="00C72F39">
      <w:pPr>
        <w:jc w:val="both"/>
        <w:rPr>
          <w:rFonts w:ascii="Times New Roman" w:hAnsi="Times New Roman"/>
          <w:noProof/>
          <w:color w:val="000000"/>
          <w:sz w:val="24"/>
          <w:szCs w:val="24"/>
        </w:rPr>
      </w:pPr>
      <w:r>
        <w:rPr>
          <w:rFonts w:ascii="Times New Roman" w:hAnsi="Times New Roman"/>
          <w:noProof/>
          <w:color w:val="000000"/>
          <w:sz w:val="24"/>
        </w:rPr>
        <w:t>La Commission (Eurostat) a également commencé à publier des estimations annuelles des niveaux du coût horaire de la main-d’œuvre pa</w:t>
      </w:r>
      <w:r>
        <w:rPr>
          <w:rFonts w:ascii="Times New Roman" w:hAnsi="Times New Roman"/>
          <w:noProof/>
          <w:color w:val="000000"/>
          <w:sz w:val="24"/>
        </w:rPr>
        <w:t>r sectio</w:t>
      </w:r>
      <w:r w:rsidR="008E45B3">
        <w:rPr>
          <w:rFonts w:ascii="Times New Roman" w:hAnsi="Times New Roman"/>
          <w:noProof/>
          <w:color w:val="000000"/>
          <w:sz w:val="24"/>
        </w:rPr>
        <w:t xml:space="preserve">n de la NACE, et ce à partir de </w:t>
      </w:r>
      <w:r>
        <w:rPr>
          <w:rFonts w:ascii="Times New Roman" w:hAnsi="Times New Roman"/>
          <w:noProof/>
          <w:color w:val="000000"/>
          <w:sz w:val="24"/>
        </w:rPr>
        <w:t>2012, sur la base tant des niveaux établis dans le cadre des enquêtes sur le coût de la main-d’œuvre que des tendances de l’indice du coût de la main-d’œuvre.</w:t>
      </w:r>
    </w:p>
    <w:p w:rsidR="00C84484" w:rsidRDefault="00C72F39">
      <w:pPr>
        <w:jc w:val="both"/>
        <w:rPr>
          <w:noProof/>
        </w:rPr>
      </w:pPr>
      <w:r>
        <w:rPr>
          <w:rFonts w:ascii="Times New Roman" w:hAnsi="Times New Roman"/>
          <w:noProof/>
          <w:color w:val="000000"/>
          <w:sz w:val="24"/>
        </w:rPr>
        <w:t xml:space="preserve">La Commission continuera d’assurer un suivi régulier des </w:t>
      </w:r>
      <w:r>
        <w:rPr>
          <w:rFonts w:ascii="Times New Roman" w:hAnsi="Times New Roman"/>
          <w:noProof/>
          <w:color w:val="000000"/>
          <w:sz w:val="24"/>
        </w:rPr>
        <w:t>questions liées à l’absence de conformité et à la qualité des données, en utilisant les données fournies et d’autres documents nationaux, dont les rapports sur la qualité. Si aucune amélioration n’est observée, ou si les améliorations sont insuffisantes, l</w:t>
      </w:r>
      <w:r>
        <w:rPr>
          <w:rFonts w:ascii="Times New Roman" w:hAnsi="Times New Roman"/>
          <w:noProof/>
          <w:color w:val="000000"/>
          <w:sz w:val="24"/>
        </w:rPr>
        <w:t>a Commission assurera un suivi étroit de la question avec les autorités statistiques nationales compétentes</w:t>
      </w:r>
      <w:bookmarkStart w:id="2" w:name="_CopyToNewDocument_"/>
      <w:bookmarkEnd w:id="2"/>
      <w:r>
        <w:rPr>
          <w:rFonts w:ascii="Times New Roman" w:hAnsi="Times New Roman"/>
          <w:noProof/>
          <w:color w:val="000000"/>
          <w:sz w:val="24"/>
        </w:rPr>
        <w:t>.</w:t>
      </w:r>
    </w:p>
    <w:sectPr w:rsidR="00C84484">
      <w:headerReference w:type="even" r:id="rId18"/>
      <w:headerReference w:type="default" r:id="rId19"/>
      <w:footerReference w:type="even" r:id="rId20"/>
      <w:footerReference w:type="default" r:id="rId21"/>
      <w:headerReference w:type="first" r:id="rId22"/>
      <w:footerReference w:type="first" r:id="rId23"/>
      <w:pgSz w:w="11907" w:h="16839" w:code="9"/>
      <w:pgMar w:top="1134" w:right="1418" w:bottom="1134" w:left="1418"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84" w:rsidRDefault="00C72F39">
      <w:pPr>
        <w:spacing w:after="0" w:line="240" w:lineRule="auto"/>
      </w:pPr>
      <w:r>
        <w:separator/>
      </w:r>
    </w:p>
  </w:endnote>
  <w:endnote w:type="continuationSeparator" w:id="0">
    <w:p w:rsidR="00C84484" w:rsidRDefault="00C72F39">
      <w:pPr>
        <w:spacing w:after="0" w:line="240" w:lineRule="auto"/>
      </w:pPr>
      <w:r>
        <w:continuationSeparator/>
      </w:r>
    </w:p>
  </w:endnote>
  <w:endnote w:type="continuationNotice" w:id="1">
    <w:p w:rsidR="00C84484" w:rsidRDefault="00C84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39" w:rsidRDefault="00C72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FF" w:rsidRPr="000C21FF" w:rsidRDefault="000C21FF" w:rsidP="000C21FF">
    <w:pPr>
      <w:pStyle w:val="FooterCoverPage"/>
      <w:rPr>
        <w:rFonts w:ascii="Arial" w:hAnsi="Arial" w:cs="Arial"/>
        <w:b/>
        <w:sz w:val="48"/>
      </w:rPr>
    </w:pPr>
    <w:r w:rsidRPr="000C21FF">
      <w:rPr>
        <w:rFonts w:ascii="Arial" w:hAnsi="Arial" w:cs="Arial"/>
        <w:b/>
        <w:sz w:val="48"/>
      </w:rPr>
      <w:t>FR</w:t>
    </w:r>
    <w:r w:rsidRPr="000C21FF">
      <w:rPr>
        <w:rFonts w:ascii="Arial" w:hAnsi="Arial" w:cs="Arial"/>
        <w:b/>
        <w:sz w:val="48"/>
      </w:rPr>
      <w:tab/>
    </w:r>
    <w:r w:rsidRPr="000C21FF">
      <w:rPr>
        <w:rFonts w:ascii="Arial" w:hAnsi="Arial" w:cs="Arial"/>
        <w:b/>
        <w:sz w:val="48"/>
      </w:rPr>
      <w:tab/>
    </w:r>
    <w:fldSimple w:instr=" DOCVARIABLE &quot;LW_Confidence&quot; \* MERGEFORMAT ">
      <w:r>
        <w:t xml:space="preserve"> </w:t>
      </w:r>
    </w:fldSimple>
    <w:r w:rsidRPr="000C21FF">
      <w:tab/>
    </w:r>
    <w:r w:rsidRPr="000C21F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39" w:rsidRDefault="00C72F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84" w:rsidRDefault="00C844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508739"/>
      <w:docPartObj>
        <w:docPartGallery w:val="Page Numbers (Bottom of Page)"/>
        <w:docPartUnique/>
      </w:docPartObj>
    </w:sdtPr>
    <w:sdtEndPr/>
    <w:sdtContent>
      <w:p w:rsidR="00C84484" w:rsidRDefault="00C72F39">
        <w:pPr>
          <w:pStyle w:val="Footer"/>
          <w:jc w:val="center"/>
        </w:pPr>
        <w:r>
          <w:fldChar w:fldCharType="begin"/>
        </w:r>
        <w:r>
          <w:instrText xml:space="preserve"> PAGE   \* MERGEFORMAT </w:instrText>
        </w:r>
        <w:r>
          <w:fldChar w:fldCharType="separate"/>
        </w:r>
        <w:r>
          <w:rPr>
            <w:noProof/>
          </w:rPr>
          <w:t>2</w:t>
        </w:r>
        <w:r>
          <w:fldChar w:fldCharType="end"/>
        </w:r>
      </w:p>
    </w:sdtContent>
  </w:sdt>
  <w:p w:rsidR="00C84484" w:rsidRDefault="00C844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84" w:rsidRDefault="00C84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84" w:rsidRDefault="00C72F39">
      <w:pPr>
        <w:spacing w:after="0" w:line="240" w:lineRule="auto"/>
      </w:pPr>
      <w:r>
        <w:separator/>
      </w:r>
    </w:p>
  </w:footnote>
  <w:footnote w:type="continuationSeparator" w:id="0">
    <w:p w:rsidR="00C84484" w:rsidRDefault="00C72F39">
      <w:pPr>
        <w:spacing w:after="0" w:line="240" w:lineRule="auto"/>
      </w:pPr>
      <w:r>
        <w:continuationSeparator/>
      </w:r>
    </w:p>
  </w:footnote>
  <w:footnote w:type="continuationNotice" w:id="1">
    <w:p w:rsidR="00C84484" w:rsidRDefault="00C84484">
      <w:pPr>
        <w:spacing w:after="0" w:line="240" w:lineRule="auto"/>
      </w:pPr>
    </w:p>
  </w:footnote>
  <w:footnote w:id="2">
    <w:p w:rsidR="00C84484" w:rsidRDefault="00C72F39">
      <w:pPr>
        <w:pStyle w:val="FootnoteText"/>
        <w:rPr>
          <w:i/>
        </w:rPr>
      </w:pPr>
      <w:r>
        <w:rPr>
          <w:rStyle w:val="FootnoteReference"/>
        </w:rPr>
        <w:footnoteRef/>
      </w:r>
      <w:r>
        <w:tab/>
      </w:r>
      <w:r w:rsidR="00D46ECF">
        <w:rPr>
          <w:rStyle w:val="Emphasis"/>
          <w:i w:val="0"/>
        </w:rPr>
        <w:t xml:space="preserve">JO </w:t>
      </w:r>
      <w:r>
        <w:rPr>
          <w:rStyle w:val="Emphasis"/>
          <w:i w:val="0"/>
        </w:rPr>
        <w:t>L</w:t>
      </w:r>
      <w:r w:rsidR="00D46ECF">
        <w:rPr>
          <w:rStyle w:val="Emphasis"/>
          <w:i w:val="0"/>
        </w:rPr>
        <w:t xml:space="preserve"> </w:t>
      </w:r>
      <w:r>
        <w:rPr>
          <w:rStyle w:val="Emphasis"/>
          <w:i w:val="0"/>
        </w:rPr>
        <w:t xml:space="preserve">69 du 13.3.2003, p. </w:t>
      </w:r>
      <w:r>
        <w:rPr>
          <w:rStyle w:val="Emphasis"/>
          <w:i w:val="0"/>
        </w:rPr>
        <w:t>1.</w:t>
      </w:r>
    </w:p>
  </w:footnote>
  <w:footnote w:id="3">
    <w:p w:rsidR="00C84484" w:rsidRDefault="00C72F39">
      <w:pPr>
        <w:pStyle w:val="FootnoteText"/>
      </w:pPr>
      <w:r>
        <w:rPr>
          <w:rStyle w:val="FootnoteReference"/>
        </w:rPr>
        <w:footnoteRef/>
      </w:r>
      <w:r>
        <w:tab/>
        <w:t xml:space="preserve">Le communiqué de presse trimestriel est publié aux dates fixées dans le </w:t>
      </w:r>
      <w:r>
        <w:t>calendrier de parution; tous deux sont consultables sur le site web d’Eurostat (</w:t>
      </w:r>
      <w:hyperlink r:id="rId1">
        <w:r>
          <w:rPr>
            <w:rStyle w:val="Hyperlink"/>
          </w:rPr>
          <w:t>http://ec.europa.eu/eurostat</w:t>
        </w:r>
      </w:hyperlink>
      <w:r>
        <w:t>, disponible en anglais, français et allemand).</w:t>
      </w:r>
    </w:p>
  </w:footnote>
  <w:footnote w:id="4">
    <w:p w:rsidR="00C84484" w:rsidRDefault="00C72F39">
      <w:pPr>
        <w:pStyle w:val="FootnoteText"/>
        <w:rPr>
          <w:i/>
        </w:rPr>
      </w:pPr>
      <w:r>
        <w:rPr>
          <w:rStyle w:val="FootnoteReference"/>
        </w:rPr>
        <w:footnoteRef/>
      </w:r>
      <w:r>
        <w:tab/>
      </w:r>
      <w:r w:rsidR="00D46ECF">
        <w:rPr>
          <w:rStyle w:val="Strong"/>
          <w:b w:val="0"/>
        </w:rPr>
        <w:t xml:space="preserve">Règlement (CE) nº </w:t>
      </w:r>
      <w:r>
        <w:rPr>
          <w:rStyle w:val="Strong"/>
          <w:b w:val="0"/>
        </w:rPr>
        <w:t>1216/2003 de la</w:t>
      </w:r>
      <w:r w:rsidR="00D46ECF">
        <w:rPr>
          <w:rStyle w:val="Strong"/>
          <w:b w:val="0"/>
        </w:rPr>
        <w:t xml:space="preserve"> Commission du 7 juillet </w:t>
      </w:r>
      <w:r>
        <w:rPr>
          <w:rStyle w:val="Strong"/>
          <w:b w:val="0"/>
        </w:rPr>
        <w:t>2003 portant a</w:t>
      </w:r>
      <w:r w:rsidR="00D46ECF">
        <w:rPr>
          <w:rStyle w:val="Strong"/>
          <w:b w:val="0"/>
        </w:rPr>
        <w:t xml:space="preserve">pplication du règlement (CE) nº </w:t>
      </w:r>
      <w:r>
        <w:rPr>
          <w:rStyle w:val="Strong"/>
          <w:b w:val="0"/>
        </w:rPr>
        <w:t>450/2003 du Parlement européen et du Conseil relatif à l’indice du coût de la main-d’œuvre (</w:t>
      </w:r>
      <w:r>
        <w:t>JO</w:t>
      </w:r>
      <w:r w:rsidR="00D46ECF">
        <w:t xml:space="preserve"> </w:t>
      </w:r>
      <w:r w:rsidR="00D46ECF">
        <w:rPr>
          <w:rStyle w:val="Emphasis"/>
          <w:i w:val="0"/>
        </w:rPr>
        <w:t xml:space="preserve">L 169 du 8.7.2003, p. </w:t>
      </w:r>
      <w:r>
        <w:rPr>
          <w:rStyle w:val="Emphasis"/>
          <w:i w:val="0"/>
        </w:rPr>
        <w:t>37).</w:t>
      </w:r>
    </w:p>
  </w:footnote>
  <w:footnote w:id="5">
    <w:p w:rsidR="00C84484" w:rsidRDefault="00C72F39">
      <w:pPr>
        <w:pStyle w:val="FootnoteText"/>
        <w:rPr>
          <w:b/>
        </w:rPr>
      </w:pPr>
      <w:r>
        <w:rPr>
          <w:rStyle w:val="FootnoteReference"/>
        </w:rPr>
        <w:footnoteRef/>
      </w:r>
      <w:r>
        <w:tab/>
      </w:r>
      <w:r w:rsidR="00D46ECF">
        <w:rPr>
          <w:rStyle w:val="Strong"/>
          <w:b w:val="0"/>
        </w:rPr>
        <w:t xml:space="preserve">Règlement (CE) nº </w:t>
      </w:r>
      <w:r>
        <w:rPr>
          <w:rStyle w:val="Strong"/>
          <w:b w:val="0"/>
        </w:rPr>
        <w:t>224/2007 de la Commission du 1</w:t>
      </w:r>
      <w:r>
        <w:rPr>
          <w:rStyle w:val="Strong"/>
          <w:b w:val="0"/>
          <w:vertAlign w:val="superscript"/>
        </w:rPr>
        <w:t xml:space="preserve">er </w:t>
      </w:r>
      <w:r>
        <w:rPr>
          <w:rStyle w:val="Strong"/>
          <w:b w:val="0"/>
        </w:rPr>
        <w:t xml:space="preserve">mars 2007 </w:t>
      </w:r>
      <w:r w:rsidR="00D46ECF">
        <w:rPr>
          <w:rStyle w:val="Strong"/>
          <w:b w:val="0"/>
        </w:rPr>
        <w:t xml:space="preserve">modifiant le règlement (CE) nº </w:t>
      </w:r>
      <w:r>
        <w:rPr>
          <w:rStyle w:val="Strong"/>
          <w:b w:val="0"/>
        </w:rPr>
        <w:t>1216/2003 en ce qui concerne les activités économiques couvertes par l’indice du coût de la main-d’œuvre (</w:t>
      </w:r>
      <w:r w:rsidR="00D46ECF">
        <w:t xml:space="preserve">JO L </w:t>
      </w:r>
      <w:r>
        <w:t xml:space="preserve">64 du 2.3.2007, p. </w:t>
      </w:r>
      <w:r>
        <w:t>23).</w:t>
      </w:r>
    </w:p>
  </w:footnote>
  <w:footnote w:id="6">
    <w:p w:rsidR="00C84484" w:rsidRDefault="00C72F39">
      <w:pPr>
        <w:pStyle w:val="FootnoteText"/>
      </w:pPr>
      <w:r>
        <w:rPr>
          <w:rStyle w:val="FootnoteReference"/>
        </w:rPr>
        <w:footnoteRef/>
      </w:r>
      <w:r w:rsidR="00D46ECF">
        <w:tab/>
        <w:t xml:space="preserve">Règlement (CE) nº 973/2007 de la Commission du 20 août </w:t>
      </w:r>
      <w:r>
        <w:t>2007 modifiant certains règlement</w:t>
      </w:r>
      <w:r>
        <w:t>s (CE) relatifs à des domaines statistiques spécifiques mettant en œuvre la nomenclature statistique des activités économiques NACE Ré</w:t>
      </w:r>
      <w:r w:rsidR="00D46ECF">
        <w:t>v.</w:t>
      </w:r>
      <w:r w:rsidR="00D60505">
        <w:t xml:space="preserve"> </w:t>
      </w:r>
      <w:r w:rsidR="00D46ECF">
        <w:t xml:space="preserve">2 (JO L 216 du 21.8.2007, p. </w:t>
      </w:r>
      <w:r>
        <w:t>10).</w:t>
      </w:r>
    </w:p>
  </w:footnote>
  <w:footnote w:id="7">
    <w:p w:rsidR="00C84484" w:rsidRDefault="00C72F39">
      <w:pPr>
        <w:pStyle w:val="FootnoteText"/>
        <w:rPr>
          <w:lang w:val="pt-PT"/>
        </w:rPr>
      </w:pPr>
      <w:r>
        <w:rPr>
          <w:rStyle w:val="FootnoteReference"/>
        </w:rPr>
        <w:footnoteRef/>
      </w:r>
      <w:r w:rsidR="00D60505">
        <w:rPr>
          <w:lang w:val="pt-PT"/>
        </w:rPr>
        <w:t xml:space="preserve"> </w:t>
      </w:r>
      <w:r w:rsidR="00D60505">
        <w:rPr>
          <w:lang w:val="pt-PT"/>
        </w:rPr>
        <w:tab/>
        <w:t xml:space="preserve">COM(2015) </w:t>
      </w:r>
      <w:r>
        <w:rPr>
          <w:lang w:val="pt-PT"/>
        </w:rPr>
        <w:t>42. (</w:t>
      </w:r>
      <w:hyperlink r:id="rId2">
        <w:r>
          <w:rPr>
            <w:rStyle w:val="Hyperlink"/>
            <w:lang w:val="pt-PT"/>
          </w:rPr>
          <w:t>http://ec.europa.eu/transparency/regdoc/rep/1/2015/FR/1-2015-42-FR-F1-1.PDF</w:t>
        </w:r>
      </w:hyperlink>
      <w:r>
        <w:rPr>
          <w:rStyle w:val="Hyperlink"/>
          <w:lang w:val="pt-PT"/>
        </w:rPr>
        <w:t>)</w:t>
      </w:r>
      <w:r>
        <w:rPr>
          <w:lang w:val="pt-PT"/>
        </w:rPr>
        <w:t>.</w:t>
      </w:r>
    </w:p>
  </w:footnote>
  <w:footnote w:id="8">
    <w:p w:rsidR="00C84484" w:rsidRDefault="00C72F39">
      <w:pPr>
        <w:pStyle w:val="FootnoteText"/>
      </w:pPr>
      <w:r>
        <w:rPr>
          <w:rStyle w:val="FootnoteReference"/>
        </w:rPr>
        <w:footnoteRef/>
      </w:r>
      <w:r>
        <w:t xml:space="preserve"> </w:t>
      </w:r>
      <w:r>
        <w:tab/>
        <w:t>http://sdmx.org/(uniquement disponible en anglais).</w:t>
      </w:r>
    </w:p>
  </w:footnote>
  <w:footnote w:id="9">
    <w:p w:rsidR="00C84484" w:rsidRDefault="00C72F39">
      <w:pPr>
        <w:pStyle w:val="FootnoteText"/>
      </w:pPr>
      <w:r>
        <w:rPr>
          <w:rStyle w:val="FootnoteReference"/>
        </w:rPr>
        <w:footnoteRef/>
      </w:r>
      <w:r w:rsidR="00146A12">
        <w:tab/>
        <w:t xml:space="preserve">COM(2002) </w:t>
      </w:r>
      <w:r>
        <w:t>661, communication de la Commission au Parlement européen et au Conseil intitulée «</w:t>
      </w:r>
      <w:r>
        <w:rPr>
          <w:i/>
        </w:rPr>
        <w:t>Vers des méthodologies améliorées pour les statistiques et les indicateurs de la zone euro</w:t>
      </w:r>
      <w:r>
        <w:t>».</w:t>
      </w:r>
    </w:p>
  </w:footnote>
  <w:footnote w:id="10">
    <w:p w:rsidR="00C84484" w:rsidRDefault="00C72F39">
      <w:pPr>
        <w:pStyle w:val="FootnoteText"/>
      </w:pPr>
      <w:r>
        <w:rPr>
          <w:rStyle w:val="FootnoteReference"/>
        </w:rPr>
        <w:footnoteRef/>
      </w:r>
      <w:r>
        <w:t xml:space="preserve"> </w:t>
      </w:r>
      <w:r>
        <w:tab/>
      </w:r>
      <w:r w:rsidR="00146A12">
        <w:rPr>
          <w:sz w:val="18"/>
        </w:rPr>
        <w:t xml:space="preserve">Règlement (CE) nº 1216/2003 </w:t>
      </w:r>
      <w:r>
        <w:rPr>
          <w:sz w:val="18"/>
        </w:rPr>
        <w:t>– le Danemark, l’Allemagne, la France et la Suède ne sont pas tenus de communiquer de données non corrigées des variations saisonniè</w:t>
      </w:r>
      <w:r>
        <w:rPr>
          <w:sz w:val="18"/>
        </w:rPr>
        <w:t>res.</w:t>
      </w:r>
    </w:p>
  </w:footnote>
  <w:footnote w:id="11">
    <w:p w:rsidR="00C84484" w:rsidRDefault="00C72F39">
      <w:pPr>
        <w:pStyle w:val="FootnoteText"/>
      </w:pPr>
      <w:r>
        <w:rPr>
          <w:rStyle w:val="FootnoteReference"/>
        </w:rPr>
        <w:footnoteRef/>
      </w:r>
      <w:r w:rsidR="00146A12">
        <w:t xml:space="preserve"> </w:t>
      </w:r>
      <w:r w:rsidR="00146A12">
        <w:tab/>
        <w:t xml:space="preserve">Décision nº </w:t>
      </w:r>
      <w:r>
        <w:t>134/2003 du Comité mixte de l’EEE </w:t>
      </w:r>
      <w:r w:rsidR="00146A12">
        <w:rPr>
          <w:sz w:val="18"/>
        </w:rPr>
        <w:t xml:space="preserve">– le règlement (CE) nº </w:t>
      </w:r>
      <w:r>
        <w:rPr>
          <w:sz w:val="18"/>
        </w:rPr>
        <w:t>450/2003 ne s’applique pas au Liechtenstein.</w:t>
      </w:r>
    </w:p>
  </w:footnote>
  <w:footnote w:id="12">
    <w:p w:rsidR="00C84484" w:rsidRDefault="00C72F39">
      <w:pPr>
        <w:pStyle w:val="FootnoteText"/>
      </w:pPr>
      <w:r>
        <w:rPr>
          <w:rStyle w:val="FootnoteReference"/>
        </w:rPr>
        <w:footnoteRef/>
      </w:r>
      <w:r>
        <w:tab/>
        <w:t>UE-27 jusqu’au deuxième trimestre de 2013 inclus, UE-28 depuis lors.</w:t>
      </w:r>
    </w:p>
  </w:footnote>
  <w:footnote w:id="13">
    <w:p w:rsidR="00C84484" w:rsidRDefault="00C72F39">
      <w:pPr>
        <w:pStyle w:val="FootnoteText"/>
        <w:ind w:left="0" w:firstLine="0"/>
      </w:pPr>
      <w:r>
        <w:rPr>
          <w:rStyle w:val="FootnoteReference"/>
        </w:rPr>
        <w:footnoteRef/>
      </w:r>
      <w:r w:rsidR="008E45B3">
        <w:tab/>
        <w:t xml:space="preserve">Règlement (CE) nº </w:t>
      </w:r>
      <w:r>
        <w:t>1216/2003</w:t>
      </w:r>
      <w:r w:rsidR="008E45B3">
        <w:t xml:space="preserve"> </w:t>
      </w:r>
      <w:r>
        <w:t xml:space="preserve">– le Danemark, l’Allemagne, la </w:t>
      </w:r>
      <w:r>
        <w:t>France et la Suède ne sont pas tenus de communiquer de données non corrigées des variations saisonnières.</w:t>
      </w:r>
    </w:p>
  </w:footnote>
  <w:footnote w:id="14">
    <w:p w:rsidR="00C84484" w:rsidRDefault="00C72F39">
      <w:pPr>
        <w:pStyle w:val="FootnoteText"/>
        <w:ind w:left="0" w:firstLine="0"/>
      </w:pPr>
      <w:r>
        <w:rPr>
          <w:rStyle w:val="FootnoteReference"/>
        </w:rPr>
        <w:footnoteRef/>
      </w:r>
      <w:r>
        <w:tab/>
        <w:t>La version mise à jour des lignes directrices comprend également une section spécifique consacrée à la correction des indices chaînés</w:t>
      </w:r>
      <w:hyperlink r:id="rId3">
        <w:r>
          <w:rPr>
            <w:rStyle w:val="Hyperlink"/>
          </w:rPr>
          <w:t>http://ec.europa.eu/eurostat/documents/3859598/6830795/KS-GQ-15-001-EN-N.pdf</w:t>
        </w:r>
      </w:hyperlink>
      <w:r>
        <w:rPr>
          <w:rStyle w:val="Hyperlink"/>
        </w:rPr>
        <w:t xml:space="preserve"> (</w:t>
      </w:r>
      <w:r>
        <w:rPr>
          <w:color w:val="1F497D"/>
        </w:rPr>
        <w:t>uniquement disponible en anglais</w:t>
      </w:r>
      <w:r>
        <w:rPr>
          <w:rStyle w:val="Hyperlink"/>
        </w:rPr>
        <w:t>)</w:t>
      </w:r>
      <w:r>
        <w:t>.</w:t>
      </w:r>
    </w:p>
  </w:footnote>
  <w:footnote w:id="15">
    <w:p w:rsidR="00C84484" w:rsidRDefault="00C72F39">
      <w:pPr>
        <w:pStyle w:val="FootnoteText"/>
        <w:ind w:left="0" w:firstLine="0"/>
      </w:pPr>
      <w:r>
        <w:rPr>
          <w:rStyle w:val="FootnoteReference"/>
        </w:rPr>
        <w:footnoteRef/>
      </w:r>
      <w:r w:rsidR="008E45B3">
        <w:tab/>
        <w:t xml:space="preserve">Règlement (UE) nº </w:t>
      </w:r>
      <w:r>
        <w:t>549/2013.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39" w:rsidRDefault="00C72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39" w:rsidRDefault="00C72F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39" w:rsidRDefault="00C72F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84" w:rsidRDefault="00C844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84" w:rsidRDefault="00C844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84" w:rsidRDefault="00C84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7D038133ED5747388BAFDCB4C5BA47E2"/>
    <w:docVar w:name="LW_CROSSREFERENCE" w:val="&lt;UNUSED&gt;"/>
    <w:docVar w:name="LW_DocType" w:val="NORMAL"/>
    <w:docVar w:name="LW_EMISSION" w:val="14.2.2017"/>
    <w:docVar w:name="LW_EMISSION_ISODATE" w:val="2017-02-14"/>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1"/>
    <w:docVar w:name="LW_REF.INTERNE" w:val="&lt;UNUSED&gt;"/>
    <w:docVar w:name="LW_SOUS.TITRE.OBJ.CP" w:val="&lt;UNUSED&gt;"/>
    <w:docVar w:name="LW_SUPERTITRE" w:val="&lt;UNUSED&gt;"/>
    <w:docVar w:name="LW_TITRE.OBJ.CP" w:val="sur l\u8217?application du règlement (CE) nº 450/2003 du Parlement européen et du Conseil relatif à l\u8217?indice du coût de la main d\u8217?\u339?uvre (ICM)"/>
    <w:docVar w:name="LW_TYPE.DOC.CP" w:val="RAPPORT DE LA COMMISSION AU PARLEMENT EUROPÉEN ET AU CONSEIL"/>
    <w:docVar w:name="Stamp" w:val="\\dossiers.dgt.cec.eu.int\dossiers\ESTAT\ESTAT-2016-10322\ESTAT-2016-10322-00-00-EN-REV-00.201612151522200082227.DOCX"/>
  </w:docVars>
  <w:rsids>
    <w:rsidRoot w:val="00C84484"/>
    <w:rsid w:val="00027A08"/>
    <w:rsid w:val="000C0694"/>
    <w:rsid w:val="000C21FF"/>
    <w:rsid w:val="00146A12"/>
    <w:rsid w:val="002062A6"/>
    <w:rsid w:val="008E45B3"/>
    <w:rsid w:val="00912552"/>
    <w:rsid w:val="00C72F39"/>
    <w:rsid w:val="00C84484"/>
    <w:rsid w:val="00D46ECF"/>
    <w:rsid w:val="00D60505"/>
    <w:rsid w:val="00E71192"/>
    <w:rsid w:val="00F34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customStyle="1" w:styleId="F">
    <w:name w:val="F"/>
    <w:basedOn w:val="Normal"/>
    <w:pPr>
      <w:tabs>
        <w:tab w:val="left" w:pos="540"/>
      </w:tabs>
      <w:spacing w:before="120" w:after="120" w:line="240" w:lineRule="auto"/>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customStyle="1" w:styleId="F">
    <w:name w:val="F"/>
    <w:basedOn w:val="Normal"/>
    <w:pPr>
      <w:tabs>
        <w:tab w:val="left" w:pos="540"/>
      </w:tabs>
      <w:spacing w:before="120" w:after="120" w:line="240" w:lineRule="auto"/>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3859598/6830795/KS-GQ-15-001-EN-N.pdf" TargetMode="External"/><Relationship Id="rId2" Type="http://schemas.openxmlformats.org/officeDocument/2006/relationships/hyperlink" Target="http://ec.europa.eu/transparency/regdoc/rep/1/2015/FR/1-2015-42-FR-F1-1.PDF" TargetMode="External"/><Relationship Id="rId1" Type="http://schemas.openxmlformats.org/officeDocument/2006/relationships/hyperlink" Target="http://ec.europa.eu/eurostat%20-%20dispon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270F-989C-470D-8589-BD9FE0CF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3546</Words>
  <Characters>19019</Characters>
  <Application>Microsoft Office Word</Application>
  <DocSecurity>0</DocSecurity>
  <Lines>283</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30</cp:revision>
  <cp:lastPrinted>2016-12-21T09:57:00Z</cp:lastPrinted>
  <dcterms:created xsi:type="dcterms:W3CDTF">2017-01-11T13:56:00Z</dcterms:created>
  <dcterms:modified xsi:type="dcterms:W3CDTF">2017-02-14T08:28:00Z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