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8D" w:rsidRDefault="00566E1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6AE71741AC549FAA295F265124838A9" style="width:450.35pt;height:320.6pt">
            <v:imagedata r:id="rId9" o:title=""/>
          </v:shape>
        </w:pict>
      </w:r>
    </w:p>
    <w:bookmarkEnd w:id="0"/>
    <w:p w:rsidR="00C8158D" w:rsidRDefault="00C8158D">
      <w:pPr>
        <w:rPr>
          <w:noProof/>
        </w:rPr>
        <w:sectPr w:rsidR="00C8158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8158D" w:rsidRDefault="00566E1C">
      <w:pPr>
        <w:pStyle w:val="Heading1"/>
        <w:rPr>
          <w:noProof/>
        </w:rPr>
      </w:pPr>
      <w:r>
        <w:rPr>
          <w:noProof/>
        </w:rPr>
        <w:lastRenderedPageBreak/>
        <w:t>ВЪВЕДЕНИЕ</w:t>
      </w:r>
    </w:p>
    <w:p w:rsidR="00C8158D" w:rsidRDefault="00566E1C">
      <w:pPr>
        <w:spacing w:after="180" w:line="280" w:lineRule="atLeast"/>
        <w:jc w:val="both"/>
        <w:rPr>
          <w:rFonts w:ascii="Times New Roman" w:hAnsi="Times New Roman" w:cs="Times New Roman"/>
          <w:noProof/>
          <w:sz w:val="24"/>
          <w:szCs w:val="24"/>
        </w:rPr>
      </w:pPr>
      <w:r>
        <w:rPr>
          <w:rFonts w:ascii="Times New Roman" w:hAnsi="Times New Roman"/>
          <w:noProof/>
          <w:sz w:val="24"/>
        </w:rPr>
        <w:t xml:space="preserve">Енергията от възобновяеми източници е в центъра на приоритетите на Енергийния съюз. </w:t>
      </w:r>
      <w:r>
        <w:rPr>
          <w:rFonts w:ascii="Times New Roman" w:hAnsi="Times New Roman"/>
          <w:noProof/>
          <w:sz w:val="24"/>
        </w:rPr>
        <w:t>Директивата за енергията от възобновяеми източници</w:t>
      </w:r>
      <w:r>
        <w:rPr>
          <w:rStyle w:val="FootnoteReference"/>
          <w:rFonts w:ascii="Times New Roman" w:hAnsi="Times New Roman"/>
          <w:noProof/>
          <w:sz w:val="24"/>
        </w:rPr>
        <w:footnoteReference w:id="2"/>
      </w:r>
      <w:r>
        <w:rPr>
          <w:rFonts w:ascii="Times New Roman" w:hAnsi="Times New Roman"/>
          <w:noProof/>
          <w:sz w:val="24"/>
        </w:rPr>
        <w:t xml:space="preserve"> беше и ще продължава да бъде главен елемент от политиката за Енергиен съюз и ключов фактор за осигуряването на чиста енергия за всички европейци, за да стане ЕС световен лидер в използването на енергия от</w:t>
      </w:r>
      <w:r>
        <w:rPr>
          <w:rFonts w:ascii="Times New Roman" w:hAnsi="Times New Roman"/>
          <w:noProof/>
          <w:sz w:val="24"/>
        </w:rPr>
        <w:t xml:space="preserve"> възобновяеми източници, като в същото време тя допринася за петте измерения на Енергийния съюз.</w:t>
      </w:r>
    </w:p>
    <w:p w:rsidR="00C8158D" w:rsidRDefault="00566E1C">
      <w:pPr>
        <w:spacing w:after="180" w:line="280" w:lineRule="atLeast"/>
        <w:jc w:val="both"/>
        <w:rPr>
          <w:rFonts w:ascii="Times New Roman" w:hAnsi="Times New Roman" w:cs="Times New Roman"/>
          <w:noProof/>
          <w:sz w:val="24"/>
          <w:szCs w:val="24"/>
        </w:rPr>
      </w:pPr>
      <w:r>
        <w:rPr>
          <w:rFonts w:ascii="Times New Roman" w:hAnsi="Times New Roman"/>
          <w:noProof/>
          <w:sz w:val="24"/>
        </w:rPr>
        <w:t xml:space="preserve">На първо място възобновяемите енергийни източници (ВЕИ) имат важна роля за </w:t>
      </w:r>
      <w:r>
        <w:rPr>
          <w:rFonts w:ascii="Times New Roman" w:hAnsi="Times New Roman"/>
          <w:b/>
          <w:noProof/>
          <w:sz w:val="24"/>
        </w:rPr>
        <w:t>енергийната сигурност</w:t>
      </w:r>
      <w:r>
        <w:rPr>
          <w:rFonts w:ascii="Times New Roman" w:hAnsi="Times New Roman"/>
          <w:noProof/>
          <w:sz w:val="24"/>
        </w:rPr>
        <w:t>. Техният принос за намаляване на вноса на изкопаеми горива пре</w:t>
      </w:r>
      <w:r>
        <w:rPr>
          <w:rFonts w:ascii="Times New Roman" w:hAnsi="Times New Roman"/>
          <w:noProof/>
          <w:sz w:val="24"/>
        </w:rPr>
        <w:t>з 2015 г. е приблизително 16 милиарда евро, а за 2030 г. се очаква да бъде 58 милиарда евро</w:t>
      </w:r>
      <w:r>
        <w:rPr>
          <w:rFonts w:ascii="Times New Roman" w:hAnsi="Times New Roman"/>
          <w:noProof/>
          <w:sz w:val="24"/>
          <w:vertAlign w:val="superscript"/>
        </w:rPr>
        <w:footnoteReference w:id="3"/>
      </w:r>
      <w:r>
        <w:rPr>
          <w:rFonts w:ascii="Times New Roman" w:hAnsi="Times New Roman"/>
          <w:noProof/>
          <w:sz w:val="24"/>
        </w:rPr>
        <w:t>. Второ, поради бързо спадащите разходи вследствие на технологичния напредък, по-специално в електроенергийния сектор, възобновяемите енергийни източници могат също</w:t>
      </w:r>
      <w:r>
        <w:rPr>
          <w:rFonts w:ascii="Times New Roman" w:hAnsi="Times New Roman"/>
          <w:noProof/>
          <w:sz w:val="24"/>
        </w:rPr>
        <w:t xml:space="preserve"> постепенно да се </w:t>
      </w:r>
      <w:r>
        <w:rPr>
          <w:rFonts w:ascii="Times New Roman" w:hAnsi="Times New Roman"/>
          <w:b/>
          <w:noProof/>
          <w:sz w:val="24"/>
        </w:rPr>
        <w:t>интегрират в пазара</w:t>
      </w:r>
      <w:r>
        <w:rPr>
          <w:rFonts w:ascii="Times New Roman" w:hAnsi="Times New Roman"/>
          <w:noProof/>
          <w:sz w:val="24"/>
        </w:rPr>
        <w:t>. Преработването на Директивата за енергията от възобновяеми източници за периода след 2020 г. заедно с Предложенията за устройството на енергийния пазар</w:t>
      </w:r>
      <w:r>
        <w:rPr>
          <w:rStyle w:val="FootnoteReference"/>
          <w:rFonts w:ascii="Times New Roman" w:hAnsi="Times New Roman"/>
          <w:noProof/>
          <w:sz w:val="24"/>
        </w:rPr>
        <w:footnoteReference w:id="4"/>
      </w:r>
      <w:r>
        <w:rPr>
          <w:rFonts w:ascii="Times New Roman" w:hAnsi="Times New Roman"/>
          <w:noProof/>
          <w:sz w:val="24"/>
        </w:rPr>
        <w:t xml:space="preserve"> като част от пакета </w:t>
      </w:r>
      <w:r>
        <w:rPr>
          <w:rFonts w:ascii="Times New Roman" w:hAnsi="Times New Roman"/>
          <w:i/>
          <w:noProof/>
          <w:sz w:val="24"/>
        </w:rPr>
        <w:t xml:space="preserve">Чиста енергия за всички европейци </w:t>
      </w:r>
      <w:r>
        <w:rPr>
          <w:rFonts w:ascii="Times New Roman" w:hAnsi="Times New Roman"/>
          <w:noProof/>
          <w:sz w:val="24"/>
        </w:rPr>
        <w:t>ще даде до</w:t>
      </w:r>
      <w:r>
        <w:rPr>
          <w:rFonts w:ascii="Times New Roman" w:hAnsi="Times New Roman"/>
          <w:noProof/>
          <w:sz w:val="24"/>
        </w:rPr>
        <w:t xml:space="preserve">пълнителни възможности за участието на ВЕИ при равни условия с другите източници на енергия. Трето, ВЕИ вървят ръка за ръка с </w:t>
      </w:r>
      <w:r>
        <w:rPr>
          <w:rFonts w:ascii="Times New Roman" w:hAnsi="Times New Roman"/>
          <w:b/>
          <w:noProof/>
          <w:sz w:val="24"/>
        </w:rPr>
        <w:t>енергийната ефективност</w:t>
      </w:r>
      <w:r>
        <w:rPr>
          <w:rFonts w:ascii="Times New Roman" w:hAnsi="Times New Roman"/>
          <w:noProof/>
          <w:sz w:val="24"/>
        </w:rPr>
        <w:t xml:space="preserve">. В електроенергийния сектор замяната на изкопаемите горива с негорими ВЕИ може да намали потреблението на </w:t>
      </w:r>
      <w:r>
        <w:rPr>
          <w:rFonts w:ascii="Times New Roman" w:hAnsi="Times New Roman"/>
          <w:noProof/>
          <w:sz w:val="24"/>
        </w:rPr>
        <w:t>първична енергия</w:t>
      </w:r>
      <w:r>
        <w:rPr>
          <w:rStyle w:val="FootnoteReference"/>
          <w:rFonts w:ascii="Times New Roman" w:hAnsi="Times New Roman"/>
          <w:noProof/>
          <w:sz w:val="24"/>
        </w:rPr>
        <w:footnoteReference w:id="5"/>
      </w:r>
      <w:r>
        <w:rPr>
          <w:rFonts w:ascii="Times New Roman" w:hAnsi="Times New Roman"/>
          <w:noProof/>
          <w:sz w:val="24"/>
        </w:rPr>
        <w:t xml:space="preserve">. В сградния сектор решенията с ВЕИ може да подобрят енергийната ефективност на сградите по начин, ефективен от гледна точка на разходите. Четвърто, ВЕИ са също и ключов фактор за </w:t>
      </w:r>
      <w:r>
        <w:rPr>
          <w:rFonts w:ascii="Times New Roman" w:hAnsi="Times New Roman"/>
          <w:b/>
          <w:noProof/>
          <w:sz w:val="24"/>
        </w:rPr>
        <w:t>декарбонизацията</w:t>
      </w:r>
      <w:r>
        <w:rPr>
          <w:rFonts w:ascii="Times New Roman" w:hAnsi="Times New Roman"/>
          <w:noProof/>
          <w:sz w:val="24"/>
        </w:rPr>
        <w:t xml:space="preserve"> на енергийната система на Съюза. През 2015</w:t>
      </w:r>
      <w:r>
        <w:rPr>
          <w:rFonts w:ascii="Times New Roman" w:hAnsi="Times New Roman"/>
          <w:noProof/>
          <w:sz w:val="24"/>
        </w:rPr>
        <w:t> г. ВЕИ допринесоха за избягване на емисии на парникови газове, общо равностойни на емисиите на Италия</w:t>
      </w:r>
      <w:r>
        <w:rPr>
          <w:rStyle w:val="FootnoteReference"/>
          <w:rFonts w:ascii="Times New Roman" w:hAnsi="Times New Roman"/>
          <w:noProof/>
          <w:sz w:val="24"/>
        </w:rPr>
        <w:footnoteReference w:id="6"/>
      </w:r>
      <w:r>
        <w:rPr>
          <w:rFonts w:ascii="Times New Roman" w:hAnsi="Times New Roman"/>
          <w:noProof/>
          <w:sz w:val="24"/>
        </w:rPr>
        <w:t xml:space="preserve">. И последно, но не по значимост, ВЕИ имат основна роля за превръщането на ЕС в световен лидер в областта на </w:t>
      </w:r>
      <w:r>
        <w:rPr>
          <w:rFonts w:ascii="Times New Roman" w:hAnsi="Times New Roman"/>
          <w:b/>
          <w:noProof/>
          <w:sz w:val="24"/>
        </w:rPr>
        <w:t>иновациите</w:t>
      </w:r>
      <w:r>
        <w:rPr>
          <w:rFonts w:ascii="Times New Roman" w:hAnsi="Times New Roman"/>
          <w:noProof/>
          <w:sz w:val="24"/>
        </w:rPr>
        <w:t>. С 30 % от патентите в света, свъ</w:t>
      </w:r>
      <w:r>
        <w:rPr>
          <w:rFonts w:ascii="Times New Roman" w:hAnsi="Times New Roman"/>
          <w:noProof/>
          <w:sz w:val="24"/>
        </w:rPr>
        <w:t>рзани с възобновяеми източници на енергия, ЕС е пионер в тази област и се ангажира да счита научните изследвания и иновациите за приоритет, за да бъдат допълнителен двигател за енергийния преход</w:t>
      </w:r>
      <w:r>
        <w:rPr>
          <w:rStyle w:val="FootnoteReference"/>
          <w:rFonts w:ascii="Times New Roman" w:hAnsi="Times New Roman"/>
          <w:noProof/>
        </w:rPr>
        <w:footnoteReference w:id="7"/>
      </w:r>
      <w:r>
        <w:rPr>
          <w:rFonts w:ascii="Times New Roman" w:hAnsi="Times New Roman"/>
          <w:noProof/>
          <w:sz w:val="24"/>
        </w:rPr>
        <w:t>.</w:t>
      </w:r>
    </w:p>
    <w:p w:rsidR="00C8158D" w:rsidRDefault="00566E1C">
      <w:pPr>
        <w:spacing w:after="180" w:line="280" w:lineRule="atLeast"/>
        <w:jc w:val="both"/>
        <w:rPr>
          <w:rFonts w:ascii="Times New Roman" w:hAnsi="Times New Roman" w:cs="Times New Roman"/>
          <w:noProof/>
          <w:sz w:val="24"/>
          <w:szCs w:val="24"/>
        </w:rPr>
      </w:pPr>
      <w:r>
        <w:rPr>
          <w:rFonts w:ascii="Times New Roman" w:hAnsi="Times New Roman"/>
          <w:noProof/>
          <w:sz w:val="24"/>
        </w:rPr>
        <w:t xml:space="preserve">Освен това ползите от ВЕИ обхващат и много други аспекти в </w:t>
      </w:r>
      <w:r>
        <w:rPr>
          <w:rFonts w:ascii="Times New Roman" w:hAnsi="Times New Roman"/>
          <w:noProof/>
          <w:sz w:val="24"/>
        </w:rPr>
        <w:t>допълнение към изброените по-горе. Енергията от възобновяеми източници води до икономически растеж и създава работни места за европейските граждани</w:t>
      </w:r>
      <w:r>
        <w:rPr>
          <w:rStyle w:val="FootnoteReference"/>
          <w:rFonts w:ascii="Times New Roman" w:hAnsi="Times New Roman"/>
          <w:noProof/>
        </w:rPr>
        <w:footnoteReference w:id="8"/>
      </w:r>
      <w:r>
        <w:rPr>
          <w:rFonts w:ascii="Times New Roman" w:hAnsi="Times New Roman"/>
          <w:noProof/>
          <w:sz w:val="24"/>
        </w:rPr>
        <w:t xml:space="preserve">. Тя допринася също за намаляване на замърсяването на въздуха и за улесняване на достъпа на развиващите се </w:t>
      </w:r>
      <w:r>
        <w:rPr>
          <w:rFonts w:ascii="Times New Roman" w:hAnsi="Times New Roman"/>
          <w:noProof/>
          <w:sz w:val="24"/>
        </w:rPr>
        <w:t>страни до евтина и чиста енергия.</w:t>
      </w:r>
    </w:p>
    <w:p w:rsidR="00C8158D" w:rsidRDefault="00566E1C">
      <w:pPr>
        <w:spacing w:after="180" w:line="280" w:lineRule="atLeast"/>
        <w:jc w:val="both"/>
        <w:rPr>
          <w:rFonts w:ascii="Times New Roman" w:hAnsi="Times New Roman"/>
          <w:noProof/>
          <w:sz w:val="24"/>
        </w:rPr>
      </w:pPr>
      <w:r>
        <w:rPr>
          <w:rFonts w:ascii="Times New Roman" w:hAnsi="Times New Roman"/>
          <w:noProof/>
          <w:sz w:val="24"/>
        </w:rPr>
        <w:t>През 2014 г. ЕС и преобладаваща част от държавите членки бяха започнали да изпълняват своите обвързващи цели за 2020 г. Напредъкът е най-бърз в електроенергийния сектор, а най-големият абсолютен принос продължава да се осъ</w:t>
      </w:r>
      <w:r>
        <w:rPr>
          <w:rFonts w:ascii="Times New Roman" w:hAnsi="Times New Roman"/>
          <w:noProof/>
          <w:sz w:val="24"/>
        </w:rPr>
        <w:t xml:space="preserve">ществява в сектора на енергията за отопление и охлаждане. Напредъкът в </w:t>
      </w:r>
      <w:r>
        <w:rPr>
          <w:rFonts w:ascii="Times New Roman" w:hAnsi="Times New Roman"/>
          <w:noProof/>
          <w:sz w:val="24"/>
        </w:rPr>
        <w:lastRenderedPageBreak/>
        <w:t xml:space="preserve">транспорта до момента е най-бавен. Съществуването на голям неизползван потенциал в сектора отопление и охлаждане и в транспортния сектор изисква допълнителни действия, както е посочено </w:t>
      </w:r>
      <w:r>
        <w:rPr>
          <w:rFonts w:ascii="Times New Roman" w:hAnsi="Times New Roman"/>
          <w:noProof/>
          <w:sz w:val="24"/>
        </w:rPr>
        <w:t xml:space="preserve">в предложението за преработване на Директивата за енергията от възобновяеми източници за периода след 2020 г., като част от пакета </w:t>
      </w:r>
      <w:r>
        <w:rPr>
          <w:rFonts w:ascii="Times New Roman" w:hAnsi="Times New Roman"/>
          <w:i/>
          <w:noProof/>
          <w:sz w:val="24"/>
        </w:rPr>
        <w:t>Чиста енергия за всички европейци,</w:t>
      </w:r>
      <w:r>
        <w:rPr>
          <w:rFonts w:ascii="Times New Roman" w:hAnsi="Times New Roman"/>
          <w:noProof/>
          <w:sz w:val="24"/>
        </w:rPr>
        <w:t xml:space="preserve"> представен през ноември 2016 г. Този пакет потвърждава ангажираността на Европейската коми</w:t>
      </w:r>
      <w:r>
        <w:rPr>
          <w:rFonts w:ascii="Times New Roman" w:hAnsi="Times New Roman"/>
          <w:noProof/>
          <w:sz w:val="24"/>
        </w:rPr>
        <w:t xml:space="preserve">сия да направи </w:t>
      </w:r>
      <w:r>
        <w:rPr>
          <w:rFonts w:ascii="Times New Roman" w:hAnsi="Times New Roman"/>
          <w:b/>
          <w:noProof/>
          <w:sz w:val="24"/>
        </w:rPr>
        <w:t>Европейския съюз световен лидер в областта на възобновяемите енергийни източници.</w:t>
      </w:r>
    </w:p>
    <w:p w:rsidR="00C8158D" w:rsidRDefault="00566E1C">
      <w:pPr>
        <w:spacing w:after="180" w:line="280" w:lineRule="atLeast"/>
        <w:jc w:val="both"/>
        <w:rPr>
          <w:rFonts w:ascii="Times New Roman" w:hAnsi="Times New Roman" w:cs="Times New Roman"/>
          <w:b/>
          <w:noProof/>
          <w:sz w:val="24"/>
          <w:szCs w:val="24"/>
        </w:rPr>
      </w:pPr>
      <w:r>
        <w:rPr>
          <w:rFonts w:ascii="Times New Roman" w:hAnsi="Times New Roman"/>
          <w:noProof/>
          <w:sz w:val="24"/>
        </w:rPr>
        <w:t>В съответствие с изискванията, посочени в Директивата за енергията от възобновяеми източници, настоящият доклад представя подробен преглед на използването на е</w:t>
      </w:r>
      <w:r>
        <w:rPr>
          <w:rFonts w:ascii="Times New Roman" w:hAnsi="Times New Roman"/>
          <w:noProof/>
          <w:sz w:val="24"/>
        </w:rPr>
        <w:t>нергия от възобновяеми източници в ЕС. Той включва също и оценка на административните пречки и устойчивостта на производството на биогорива. Ако не е посочено друго, данните за периода от 2004 г. до 2014 г. се базират на дяловете според Евростат, а данните</w:t>
      </w:r>
      <w:r>
        <w:rPr>
          <w:rFonts w:ascii="Times New Roman" w:hAnsi="Times New Roman"/>
          <w:noProof/>
          <w:sz w:val="24"/>
        </w:rPr>
        <w:t xml:space="preserve"> за 2015 г. — на предварителни прогнози</w:t>
      </w:r>
      <w:r>
        <w:rPr>
          <w:rStyle w:val="FootnoteReference"/>
          <w:rFonts w:ascii="Times New Roman" w:hAnsi="Times New Roman"/>
          <w:noProof/>
          <w:sz w:val="24"/>
        </w:rPr>
        <w:footnoteReference w:id="9"/>
      </w:r>
      <w:r>
        <w:rPr>
          <w:rFonts w:ascii="Times New Roman" w:hAnsi="Times New Roman"/>
          <w:noProof/>
          <w:sz w:val="24"/>
        </w:rPr>
        <w:t>. Цялостният напредък се оценява спрямо кривите, посочени в Приложение I на Директивата за енергията от възобновяеми източници, а постигнатото в отделни сектори и технологии се оценява спрямо кривите, посочени в наци</w:t>
      </w:r>
      <w:r>
        <w:rPr>
          <w:rFonts w:ascii="Times New Roman" w:hAnsi="Times New Roman"/>
          <w:noProof/>
          <w:sz w:val="24"/>
        </w:rPr>
        <w:t>оналните планове за действие относно енергията от възобновяеми източници (НПДЕВИ)</w:t>
      </w:r>
      <w:r>
        <w:rPr>
          <w:rStyle w:val="FootnoteReference"/>
          <w:rFonts w:ascii="Times New Roman" w:hAnsi="Times New Roman"/>
          <w:noProof/>
        </w:rPr>
        <w:footnoteReference w:id="10"/>
      </w:r>
      <w:r>
        <w:rPr>
          <w:rFonts w:ascii="Times New Roman" w:hAnsi="Times New Roman"/>
          <w:noProof/>
          <w:sz w:val="24"/>
        </w:rPr>
        <w:t>. Прогнозите за 2020 г. се основават на сценария PRIMES Ref2016</w:t>
      </w:r>
      <w:r>
        <w:rPr>
          <w:rFonts w:ascii="Times New Roman" w:hAnsi="Times New Roman"/>
          <w:noProof/>
          <w:sz w:val="24"/>
          <w:vertAlign w:val="superscript"/>
        </w:rPr>
        <w:footnoteReference w:id="11"/>
      </w:r>
      <w:r>
        <w:rPr>
          <w:rFonts w:ascii="Times New Roman" w:hAnsi="Times New Roman"/>
          <w:noProof/>
          <w:sz w:val="24"/>
        </w:rPr>
        <w:t>.</w:t>
      </w:r>
      <w:r>
        <w:rPr>
          <w:noProof/>
        </w:rPr>
        <w:br w:type="page"/>
      </w:r>
    </w:p>
    <w:p w:rsidR="00C8158D" w:rsidRDefault="00566E1C">
      <w:pPr>
        <w:pStyle w:val="Heading1"/>
        <w:rPr>
          <w:noProof/>
        </w:rPr>
      </w:pPr>
      <w:r>
        <w:rPr>
          <w:noProof/>
        </w:rPr>
        <w:t>1. НАПРЕДЪК В РЕАЛИЗАЦИИТЕ В ОБЛАСТТА НА ВЕИ</w:t>
      </w:r>
    </w:p>
    <w:p w:rsidR="00C8158D" w:rsidRDefault="00566E1C">
      <w:pPr>
        <w:pStyle w:val="Heading2"/>
        <w:rPr>
          <w:noProof/>
        </w:rPr>
      </w:pPr>
      <w:r>
        <w:rPr>
          <w:noProof/>
        </w:rPr>
        <w:t>Напредък в реализациите в областта на ВЕИ в ЕС-28</w:t>
      </w:r>
    </w:p>
    <w:p w:rsidR="00C8158D" w:rsidRDefault="00566E1C">
      <w:pPr>
        <w:pStyle w:val="Standardtext"/>
        <w:rPr>
          <w:noProof/>
        </w:rPr>
      </w:pPr>
      <w:r>
        <w:rPr>
          <w:noProof/>
        </w:rPr>
        <w:t>През 2014 г.</w:t>
      </w:r>
      <w:r>
        <w:rPr>
          <w:noProof/>
        </w:rPr>
        <w:t xml:space="preserve"> делът на енергията от възобновяемите енергийни източници (ВЕИ) достигна 16 % от брутното крайно потребление на енергия. В ЕС-28 средният дял на енергия от ВЕИ през 2013/2014 г. е възлизал на 15,5 %, което е значително над индикативната крива (2013/2014 г.</w:t>
      </w:r>
      <w:r>
        <w:rPr>
          <w:noProof/>
        </w:rPr>
        <w:t>) от 12,1 % за ЕС-28</w:t>
      </w:r>
      <w:r>
        <w:rPr>
          <w:rStyle w:val="FootnoteReference"/>
          <w:noProof/>
          <w:sz w:val="24"/>
        </w:rPr>
        <w:footnoteReference w:id="12"/>
      </w:r>
      <w:r>
        <w:rPr>
          <w:noProof/>
        </w:rPr>
        <w:t>. Съгласно предварителни изчисления дялове на енергията от ВЕИ през 2015 г. са приблизително 16,4 %, докато индикативната крива за 2015/2016 г. е за 13,8 %. Обаче тъй като кривата става по-стръмна за предстоящите години, ще е необходим</w:t>
      </w:r>
      <w:r>
        <w:rPr>
          <w:noProof/>
        </w:rPr>
        <w:t xml:space="preserve">о усилията за изпълнение на целите да са по-интензивни, както е показано на </w:t>
      </w:r>
      <w:r>
        <w:rPr>
          <w:noProof/>
        </w:rPr>
        <w:fldChar w:fldCharType="begin"/>
      </w:r>
      <w:r>
        <w:rPr>
          <w:noProof/>
        </w:rPr>
        <w:instrText xml:space="preserve"> REF _Ref472585144 \h </w:instrText>
      </w:r>
      <w:r>
        <w:rPr>
          <w:noProof/>
        </w:rPr>
      </w:r>
      <w:r>
        <w:rPr>
          <w:noProof/>
        </w:rPr>
        <w:fldChar w:fldCharType="separate"/>
      </w:r>
      <w:r>
        <w:rPr>
          <w:noProof/>
        </w:rPr>
        <w:t>фигура 1</w:t>
      </w:r>
      <w:r>
        <w:rPr>
          <w:noProof/>
        </w:rPr>
        <w:fldChar w:fldCharType="end"/>
      </w:r>
      <w:r>
        <w:rPr>
          <w:noProof/>
        </w:rPr>
        <w:t>.</w:t>
      </w:r>
    </w:p>
    <w:p w:rsidR="00C8158D" w:rsidRDefault="00C8158D">
      <w:pPr>
        <w:pStyle w:val="Standardtext"/>
        <w:rPr>
          <w:noProof/>
        </w:rPr>
      </w:pPr>
    </w:p>
    <w:p w:rsidR="00C8158D" w:rsidRDefault="00566E1C">
      <w:pPr>
        <w:pStyle w:val="Standardtext"/>
        <w:jc w:val="center"/>
        <w:rPr>
          <w:noProof/>
        </w:rPr>
      </w:pPr>
      <w:r>
        <w:rPr>
          <w:noProof/>
          <w:lang w:val="en-GB" w:eastAsia="en-GB" w:bidi="ar-SA"/>
        </w:rPr>
        <w:drawing>
          <wp:inline distT="0" distB="0" distL="0" distR="0">
            <wp:extent cx="4884644" cy="31897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01382" cy="3200698"/>
                    </a:xfrm>
                    <a:prstGeom prst="rect">
                      <a:avLst/>
                    </a:prstGeom>
                    <a:noFill/>
                    <a:ln>
                      <a:noFill/>
                    </a:ln>
                  </pic:spPr>
                </pic:pic>
              </a:graphicData>
            </a:graphic>
          </wp:inline>
        </w:drawing>
      </w:r>
    </w:p>
    <w:p w:rsidR="00C8158D" w:rsidRDefault="00566E1C">
      <w:pPr>
        <w:pStyle w:val="Caption"/>
        <w:tabs>
          <w:tab w:val="clear" w:pos="1871"/>
          <w:tab w:val="left" w:pos="0"/>
        </w:tabs>
        <w:ind w:left="0" w:firstLine="0"/>
        <w:rPr>
          <w:noProof/>
        </w:rPr>
      </w:pPr>
      <w:bookmarkStart w:id="1" w:name="_Ref472585144"/>
      <w:r>
        <w:rPr>
          <w:noProof/>
        </w:rPr>
        <w:t xml:space="preserve">Фигура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
      <w:r>
        <w:rPr>
          <w:noProof/>
        </w:rPr>
        <w:t xml:space="preserve">: Дялове на енергията от ВЕИ, съпоставени с </w:t>
      </w:r>
      <w:r>
        <w:rPr>
          <w:noProof/>
        </w:rPr>
        <w:t>кривите съгласно Директивата за енергията от възобновяеми източници и съгласно националните планове за действие относно енергията от възобновяеми източници (НПДЕВИ) (по данни на Евростат и Öko-Institut)</w:t>
      </w:r>
    </w:p>
    <w:p w:rsidR="00C8158D" w:rsidRDefault="00C8158D">
      <w:pPr>
        <w:pStyle w:val="Caption"/>
        <w:jc w:val="left"/>
        <w:rPr>
          <w:noProof/>
        </w:rPr>
      </w:pPr>
    </w:p>
    <w:p w:rsidR="00C8158D" w:rsidRDefault="00566E1C">
      <w:pPr>
        <w:pStyle w:val="Standardtext"/>
        <w:rPr>
          <w:bCs/>
          <w:noProof/>
        </w:rPr>
      </w:pPr>
      <w:r>
        <w:rPr>
          <w:noProof/>
        </w:rPr>
        <w:t xml:space="preserve">Както е видно от </w:t>
      </w:r>
      <w:r>
        <w:rPr>
          <w:noProof/>
        </w:rPr>
        <w:fldChar w:fldCharType="begin"/>
      </w:r>
      <w:r>
        <w:rPr>
          <w:noProof/>
        </w:rPr>
        <w:instrText xml:space="preserve"> REF _Ref469424234 \h  \* MERGEFORMAT </w:instrText>
      </w:r>
      <w:r>
        <w:rPr>
          <w:noProof/>
        </w:rPr>
      </w:r>
      <w:r>
        <w:rPr>
          <w:noProof/>
        </w:rPr>
        <w:fldChar w:fldCharType="separate"/>
      </w:r>
      <w:r>
        <w:rPr>
          <w:noProof/>
        </w:rPr>
        <w:t>фигура 2</w:t>
      </w:r>
      <w:r>
        <w:rPr>
          <w:noProof/>
        </w:rPr>
        <w:fldChar w:fldCharType="end"/>
      </w:r>
      <w:r>
        <w:rPr>
          <w:noProof/>
        </w:rPr>
        <w:t xml:space="preserve">, </w:t>
      </w:r>
      <w:r>
        <w:rPr>
          <w:b/>
          <w:noProof/>
        </w:rPr>
        <w:t>секторът отопление и охлаждане</w:t>
      </w:r>
      <w:r>
        <w:rPr>
          <w:noProof/>
        </w:rPr>
        <w:t xml:space="preserve"> продължава да бъде сектор, в който абсолютният размер на използваните ВЕИ е най-голям. Най-големият дял на ВЕ</w:t>
      </w:r>
      <w:r>
        <w:rPr>
          <w:noProof/>
        </w:rPr>
        <w:t xml:space="preserve">И и най-бързият ръст обаче са в електроенергийния сектор, където между 2004 г. и 2014 г. делът на ВЕИ нараства с 1,4 процентни пункта годишно. През същия период делът на ВЕИ в сектора отопление и охлаждане нараства с 0,8 процентни пункта годишно, а ръстът </w:t>
      </w:r>
      <w:r>
        <w:rPr>
          <w:noProof/>
        </w:rPr>
        <w:t>в транспортния сектор е най-слаб, средно 0,5 процентни пункта годишно.</w:t>
      </w:r>
    </w:p>
    <w:p w:rsidR="00C8158D" w:rsidRDefault="00C8158D">
      <w:pPr>
        <w:pStyle w:val="Standardtext"/>
        <w:jc w:val="center"/>
        <w:rPr>
          <w:noProof/>
          <w:lang w:val="hu-HU" w:bidi="ar-SA"/>
        </w:rPr>
      </w:pPr>
    </w:p>
    <w:p w:rsidR="00C8158D" w:rsidRDefault="00566E1C">
      <w:pPr>
        <w:pStyle w:val="Standardtext"/>
        <w:jc w:val="center"/>
        <w:rPr>
          <w:noProof/>
        </w:rPr>
      </w:pPr>
      <w:r>
        <w:rPr>
          <w:noProof/>
          <w:lang w:val="en-GB" w:eastAsia="en-GB" w:bidi="ar-SA"/>
        </w:rPr>
        <w:drawing>
          <wp:inline distT="0" distB="0" distL="0" distR="0">
            <wp:extent cx="4804474" cy="330750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41" t="972" r="403" b="1003"/>
                    <a:stretch/>
                  </pic:blipFill>
                  <pic:spPr bwMode="auto">
                    <a:xfrm>
                      <a:off x="0" y="0"/>
                      <a:ext cx="4842992" cy="3334020"/>
                    </a:xfrm>
                    <a:prstGeom prst="rect">
                      <a:avLst/>
                    </a:prstGeom>
                    <a:noFill/>
                    <a:ln>
                      <a:noFill/>
                    </a:ln>
                    <a:extLst>
                      <a:ext uri="{53640926-AAD7-44D8-BBD7-CCE9431645EC}">
                        <a14:shadowObscured xmlns:a14="http://schemas.microsoft.com/office/drawing/2010/main"/>
                      </a:ext>
                    </a:extLst>
                  </pic:spPr>
                </pic:pic>
              </a:graphicData>
            </a:graphic>
          </wp:inline>
        </w:drawing>
      </w:r>
    </w:p>
    <w:p w:rsidR="00C8158D" w:rsidRDefault="00566E1C">
      <w:pPr>
        <w:pStyle w:val="Caption"/>
        <w:rPr>
          <w:noProof/>
        </w:rPr>
      </w:pPr>
      <w:bookmarkStart w:id="2" w:name="_Ref469424234"/>
      <w:r>
        <w:rPr>
          <w:noProof/>
        </w:rPr>
        <w:t xml:space="preserve">Фигура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
      <w:r>
        <w:rPr>
          <w:noProof/>
        </w:rPr>
        <w:t>: Крайно потребление на енергия в ЕС-28 през 2015 г. (източник: Öko-Institut)</w:t>
      </w:r>
    </w:p>
    <w:p w:rsidR="00C8158D" w:rsidRDefault="00C8158D">
      <w:pPr>
        <w:rPr>
          <w:rFonts w:ascii="Times New Roman" w:hAnsi="Times New Roman" w:cs="Times New Roman"/>
          <w:bCs/>
          <w:i/>
          <w:noProof/>
          <w:sz w:val="24"/>
          <w:szCs w:val="24"/>
        </w:rPr>
      </w:pPr>
    </w:p>
    <w:p w:rsidR="00C8158D" w:rsidRDefault="00566E1C">
      <w:pPr>
        <w:pStyle w:val="Heading3"/>
        <w:rPr>
          <w:noProof/>
        </w:rPr>
      </w:pPr>
      <w:r>
        <w:rPr>
          <w:noProof/>
        </w:rPr>
        <w:t>Отопление и охлаждане</w:t>
      </w:r>
    </w:p>
    <w:p w:rsidR="00C8158D" w:rsidRDefault="00566E1C">
      <w:pPr>
        <w:spacing w:after="80"/>
        <w:jc w:val="center"/>
        <w:rPr>
          <w:rFonts w:ascii="Times New Roman" w:hAnsi="Times New Roman" w:cs="Times New Roman"/>
          <w:noProof/>
          <w:sz w:val="2"/>
          <w:szCs w:val="2"/>
        </w:rPr>
      </w:pPr>
      <w:r>
        <w:rPr>
          <w:noProof/>
          <w:lang w:val="en-GB" w:eastAsia="en-GB" w:bidi="ar-SA"/>
        </w:rPr>
        <w:drawing>
          <wp:inline distT="0" distB="0" distL="0" distR="0">
            <wp:extent cx="4912106" cy="2867608"/>
            <wp:effectExtent l="0" t="0" r="31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0646"/>
                    <a:stretch/>
                  </pic:blipFill>
                  <pic:spPr bwMode="auto">
                    <a:xfrm>
                      <a:off x="0" y="0"/>
                      <a:ext cx="4914810" cy="2869186"/>
                    </a:xfrm>
                    <a:prstGeom prst="rect">
                      <a:avLst/>
                    </a:prstGeom>
                    <a:noFill/>
                    <a:ln>
                      <a:noFill/>
                    </a:ln>
                    <a:extLst>
                      <a:ext uri="{53640926-AAD7-44D8-BBD7-CCE9431645EC}">
                        <a14:shadowObscured xmlns:a14="http://schemas.microsoft.com/office/drawing/2010/main"/>
                      </a:ext>
                    </a:extLst>
                  </pic:spPr>
                </pic:pic>
              </a:graphicData>
            </a:graphic>
          </wp:inline>
        </w:drawing>
      </w:r>
    </w:p>
    <w:p w:rsidR="00C8158D" w:rsidRDefault="00566E1C">
      <w:pPr>
        <w:pStyle w:val="Caption"/>
        <w:keepNext w:val="0"/>
        <w:widowControl w:val="0"/>
        <w:tabs>
          <w:tab w:val="clear" w:pos="1871"/>
          <w:tab w:val="left" w:pos="0"/>
        </w:tabs>
        <w:ind w:left="0" w:firstLine="0"/>
        <w:rPr>
          <w:noProof/>
        </w:rPr>
      </w:pPr>
      <w:bookmarkStart w:id="3" w:name="_Ref469406681"/>
      <w:r>
        <w:rPr>
          <w:noProof/>
        </w:rPr>
        <w:t xml:space="preserve">Фигура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3"/>
      <w:r>
        <w:rPr>
          <w:noProof/>
        </w:rPr>
        <w:t>: Производств</w:t>
      </w:r>
      <w:r>
        <w:rPr>
          <w:noProof/>
        </w:rPr>
        <w:t>о на енергия от възобновяеми източници за отопление и охлаждане по видове ВЕИ в ЕС-28 (източник: ЕВРОСТАТ, Öko-Institut)</w:t>
      </w:r>
    </w:p>
    <w:p w:rsidR="00C8158D" w:rsidRDefault="00566E1C">
      <w:pPr>
        <w:rPr>
          <w:rFonts w:ascii="Times New Roman" w:hAnsi="Times New Roman"/>
          <w:noProof/>
          <w:sz w:val="24"/>
        </w:rPr>
      </w:pPr>
      <w:r>
        <w:rPr>
          <w:rFonts w:ascii="Times New Roman" w:hAnsi="Times New Roman"/>
          <w:noProof/>
          <w:sz w:val="24"/>
        </w:rPr>
        <w:br w:type="page"/>
      </w:r>
    </w:p>
    <w:p w:rsidR="00C8158D" w:rsidRDefault="00566E1C">
      <w:pPr>
        <w:widowControl w:val="0"/>
        <w:spacing w:after="180" w:line="280" w:lineRule="atLeast"/>
        <w:jc w:val="both"/>
        <w:rPr>
          <w:rFonts w:ascii="Times New Roman" w:hAnsi="Times New Roman" w:cs="Times New Roman"/>
          <w:noProof/>
          <w:color w:val="141413"/>
          <w:sz w:val="24"/>
          <w:szCs w:val="24"/>
        </w:rPr>
      </w:pPr>
      <w:r>
        <w:rPr>
          <w:rFonts w:ascii="Times New Roman" w:hAnsi="Times New Roman"/>
          <w:noProof/>
          <w:sz w:val="24"/>
        </w:rPr>
        <w:t>По отношение на отоплението и охлаждането, с прогнозен дял от 18,1 % през 2015 г. ЕС като цяло надвишава сумарната крива, формирана ч</w:t>
      </w:r>
      <w:r>
        <w:rPr>
          <w:rFonts w:ascii="Times New Roman" w:hAnsi="Times New Roman"/>
          <w:noProof/>
          <w:sz w:val="24"/>
        </w:rPr>
        <w:t>рез обобщаване на кривите от националните планове за действие за енергията от възобновяеми източници</w:t>
      </w:r>
      <w:r>
        <w:rPr>
          <w:rStyle w:val="FootnoteReference"/>
          <w:rFonts w:ascii="Times New Roman" w:hAnsi="Times New Roman"/>
          <w:noProof/>
          <w:sz w:val="24"/>
        </w:rPr>
        <w:footnoteReference w:id="13"/>
      </w:r>
      <w:r>
        <w:rPr>
          <w:rFonts w:ascii="Times New Roman" w:hAnsi="Times New Roman"/>
          <w:noProof/>
          <w:sz w:val="24"/>
        </w:rPr>
        <w:t xml:space="preserve">. Както е показано на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_Ref469406681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фигура 3</w:t>
      </w:r>
      <w:r>
        <w:rPr>
          <w:rFonts w:ascii="Times New Roman" w:hAnsi="Times New Roman" w:cs="Times New Roman"/>
          <w:noProof/>
          <w:sz w:val="24"/>
          <w:szCs w:val="24"/>
        </w:rPr>
        <w:fldChar w:fldCharType="end"/>
      </w:r>
      <w:r>
        <w:rPr>
          <w:rFonts w:ascii="Times New Roman" w:hAnsi="Times New Roman"/>
          <w:noProof/>
          <w:sz w:val="24"/>
        </w:rPr>
        <w:t xml:space="preserve">, </w:t>
      </w:r>
      <w:r>
        <w:rPr>
          <w:rFonts w:ascii="Times New Roman" w:hAnsi="Times New Roman"/>
          <w:b/>
          <w:noProof/>
          <w:sz w:val="24"/>
        </w:rPr>
        <w:t>твърдата биомаса</w:t>
      </w:r>
      <w:r>
        <w:rPr>
          <w:rFonts w:ascii="Times New Roman" w:hAnsi="Times New Roman"/>
          <w:noProof/>
          <w:sz w:val="24"/>
        </w:rPr>
        <w:t xml:space="preserve"> продължава да има несравнимо най-голям принос (82 %) за производството на енергия от ВЕИ за отопление и охлаждане (72 млн. тона нефтен еквивалент — Мtoe)</w:t>
      </w:r>
      <w:r>
        <w:rPr>
          <w:rFonts w:ascii="Times New Roman" w:hAnsi="Times New Roman"/>
          <w:noProof/>
          <w:color w:val="141413"/>
          <w:sz w:val="24"/>
        </w:rPr>
        <w:t>.</w:t>
      </w:r>
    </w:p>
    <w:p w:rsidR="00C8158D" w:rsidRDefault="00566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noProof/>
          <w:sz w:val="24"/>
        </w:rPr>
        <w:t xml:space="preserve">Производството от </w:t>
      </w:r>
      <w:r>
        <w:rPr>
          <w:rFonts w:ascii="Times New Roman" w:hAnsi="Times New Roman"/>
          <w:b/>
          <w:noProof/>
          <w:sz w:val="24"/>
        </w:rPr>
        <w:t>термопомпи</w:t>
      </w:r>
      <w:r>
        <w:rPr>
          <w:rFonts w:ascii="Times New Roman" w:hAnsi="Times New Roman"/>
          <w:noProof/>
          <w:sz w:val="24"/>
        </w:rPr>
        <w:t xml:space="preserve"> стабилно нараства от 1,8 Mtoe през 2004 г. до 9,7 Mtoe през 2015 г., </w:t>
      </w:r>
      <w:r>
        <w:rPr>
          <w:rFonts w:ascii="Times New Roman" w:hAnsi="Times New Roman"/>
          <w:noProof/>
          <w:color w:val="141413"/>
          <w:sz w:val="24"/>
        </w:rPr>
        <w:t>превишавайки индикативната крива от НПДЕВИ (7,3 Mtoe). Италия е водещата държава по отношение на тези реализации, като обаче повечето термопомпи се използват главно за охлаждан</w:t>
      </w:r>
      <w:r>
        <w:rPr>
          <w:rFonts w:ascii="Times New Roman" w:hAnsi="Times New Roman"/>
          <w:noProof/>
          <w:color w:val="141413"/>
          <w:sz w:val="24"/>
        </w:rPr>
        <w:t>е. Въпреки че след 2013 г. европейският пазар на термопомпи забави развитието си, той има потенциал да се разрасне през следващите години</w:t>
      </w:r>
      <w:r>
        <w:rPr>
          <w:rStyle w:val="FootnoteReference"/>
          <w:rFonts w:ascii="Times New Roman" w:hAnsi="Times New Roman"/>
          <w:noProof/>
          <w:color w:val="141413"/>
          <w:sz w:val="24"/>
        </w:rPr>
        <w:footnoteReference w:id="14"/>
      </w:r>
      <w:r>
        <w:rPr>
          <w:rFonts w:ascii="Times New Roman" w:hAnsi="Times New Roman"/>
          <w:noProof/>
          <w:color w:val="141413"/>
          <w:sz w:val="24"/>
        </w:rPr>
        <w:t>.</w:t>
      </w:r>
    </w:p>
    <w:p w:rsidR="00C8158D" w:rsidRDefault="00566E1C">
      <w:pPr>
        <w:pStyle w:val="Standardtext"/>
        <w:rPr>
          <w:noProof/>
        </w:rPr>
      </w:pPr>
      <w:r>
        <w:rPr>
          <w:noProof/>
        </w:rPr>
        <w:t xml:space="preserve">Използваните </w:t>
      </w:r>
      <w:r>
        <w:rPr>
          <w:b/>
          <w:noProof/>
        </w:rPr>
        <w:t>възобновяеми отпадъци</w:t>
      </w:r>
      <w:r>
        <w:rPr>
          <w:rStyle w:val="FootnoteReference"/>
          <w:b/>
          <w:noProof/>
        </w:rPr>
        <w:footnoteReference w:id="15"/>
      </w:r>
      <w:r>
        <w:rPr>
          <w:noProof/>
        </w:rPr>
        <w:t xml:space="preserve"> през 2015 г. възлизат на 3,4 Mtoe. Докато делът на </w:t>
      </w:r>
      <w:r>
        <w:rPr>
          <w:b/>
          <w:noProof/>
        </w:rPr>
        <w:t>биогаза</w:t>
      </w:r>
      <w:r>
        <w:rPr>
          <w:noProof/>
        </w:rPr>
        <w:t>, използван през 2004 </w:t>
      </w:r>
      <w:r>
        <w:rPr>
          <w:noProof/>
        </w:rPr>
        <w:t>г. за отопление и охлаждане е незначителен (0,7 Mtoe), през 2015 г. този дял надхвърли прогнозните стойности с 3,2 Mtoe.</w:t>
      </w:r>
    </w:p>
    <w:p w:rsidR="00C8158D" w:rsidRDefault="00566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cs="Times New Roman"/>
          <w:noProof/>
          <w:sz w:val="24"/>
          <w:szCs w:val="24"/>
        </w:rPr>
        <w:t xml:space="preserve">Производството на </w:t>
      </w:r>
      <w:r>
        <w:rPr>
          <w:rFonts w:ascii="Times New Roman" w:hAnsi="Times New Roman"/>
          <w:b/>
          <w:noProof/>
          <w:sz w:val="24"/>
        </w:rPr>
        <w:t>слънчева топлинна енергия,</w:t>
      </w:r>
      <w:r>
        <w:rPr>
          <w:rFonts w:ascii="Times New Roman" w:hAnsi="Times New Roman"/>
          <w:noProof/>
          <w:sz w:val="24"/>
        </w:rPr>
        <w:t xml:space="preserve"> възлизащо на 2,0 Mtoe през 2015 г., </w:t>
      </w:r>
      <w:r>
        <w:rPr>
          <w:rFonts w:ascii="Times New Roman" w:hAnsi="Times New Roman"/>
          <w:noProof/>
          <w:color w:val="141413"/>
          <w:sz w:val="24"/>
        </w:rPr>
        <w:t xml:space="preserve">не успя да достигне прогнозните стойности, включени в </w:t>
      </w:r>
      <w:r>
        <w:rPr>
          <w:rFonts w:ascii="Times New Roman" w:hAnsi="Times New Roman"/>
          <w:noProof/>
          <w:color w:val="141413"/>
          <w:sz w:val="24"/>
        </w:rPr>
        <w:t>националните планове за действие за енергията от възобновяеми източници (3 Mtoe).</w:t>
      </w:r>
      <w:r>
        <w:rPr>
          <w:rFonts w:ascii="Times New Roman" w:hAnsi="Times New Roman"/>
          <w:noProof/>
          <w:sz w:val="24"/>
        </w:rPr>
        <w:t xml:space="preserve"> Годишната инсталирана мощност през 2015 г. е по-ниска от тази през 2006 г., което е резултат от топлите зими, ниските цени на изкопаемите горива, но и от конкуренцията на дру</w:t>
      </w:r>
      <w:r>
        <w:rPr>
          <w:rFonts w:ascii="Times New Roman" w:hAnsi="Times New Roman"/>
          <w:noProof/>
          <w:sz w:val="24"/>
        </w:rPr>
        <w:t>ги технологии за енергия от възобновяеми източници като например термопомпи и слънчеви фотоволтаични системи.</w:t>
      </w:r>
    </w:p>
    <w:p w:rsidR="00C8158D" w:rsidRDefault="00566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noProof/>
          <w:color w:val="141413"/>
          <w:sz w:val="24"/>
        </w:rPr>
        <w:t xml:space="preserve">С общо производство приблизително 0,7 Mtoe през 2015 г. използването на </w:t>
      </w:r>
      <w:r>
        <w:rPr>
          <w:rFonts w:ascii="Times New Roman" w:hAnsi="Times New Roman"/>
          <w:b/>
          <w:noProof/>
          <w:color w:val="141413"/>
          <w:sz w:val="24"/>
        </w:rPr>
        <w:t>геотермална</w:t>
      </w:r>
      <w:r>
        <w:rPr>
          <w:rFonts w:ascii="Times New Roman" w:hAnsi="Times New Roman"/>
          <w:noProof/>
          <w:color w:val="141413"/>
          <w:sz w:val="24"/>
        </w:rPr>
        <w:t xml:space="preserve"> енергия е под кривата, предвидена в НПДЕВИ. Поради своя висок природен потенциал три държави (Италия, Франция и Унгария) са водещи в европейското производство на енергия от геотермални източници. Бавното внедряване на тази технология се дължи главно на мн</w:t>
      </w:r>
      <w:r>
        <w:rPr>
          <w:rFonts w:ascii="Times New Roman" w:hAnsi="Times New Roman"/>
          <w:noProof/>
          <w:color w:val="141413"/>
          <w:sz w:val="24"/>
        </w:rPr>
        <w:t>ого високите капиталови разходи.</w:t>
      </w:r>
    </w:p>
    <w:p w:rsidR="00C8158D" w:rsidRDefault="00566E1C">
      <w:pPr>
        <w:rPr>
          <w:rFonts w:ascii="Times New Roman" w:hAnsi="Times New Roman" w:cs="Times New Roman"/>
          <w:noProof/>
          <w:color w:val="141413"/>
          <w:sz w:val="24"/>
          <w:szCs w:val="24"/>
        </w:rPr>
      </w:pPr>
      <w:r>
        <w:rPr>
          <w:rFonts w:ascii="Times New Roman" w:hAnsi="Times New Roman" w:cs="Times New Roman"/>
          <w:noProof/>
          <w:color w:val="141413"/>
          <w:sz w:val="24"/>
          <w:szCs w:val="24"/>
        </w:rPr>
        <w:br w:type="page"/>
      </w:r>
    </w:p>
    <w:p w:rsidR="00C8158D" w:rsidRDefault="00566E1C">
      <w:pPr>
        <w:pStyle w:val="Heading3"/>
        <w:rPr>
          <w:noProof/>
        </w:rPr>
      </w:pPr>
      <w:r>
        <w:rPr>
          <w:noProof/>
        </w:rPr>
        <w:t>Електроенергия</w:t>
      </w:r>
    </w:p>
    <w:p w:rsidR="00C8158D" w:rsidRDefault="00566E1C">
      <w:pPr>
        <w:pStyle w:val="Caption"/>
        <w:rPr>
          <w:noProof/>
        </w:rPr>
      </w:pPr>
      <w:r>
        <w:rPr>
          <w:noProof/>
          <w:lang w:val="en-GB" w:eastAsia="en-GB" w:bidi="ar-SA"/>
        </w:rPr>
        <w:drawing>
          <wp:inline distT="0" distB="0" distL="0" distR="0">
            <wp:extent cx="5592147" cy="2736980"/>
            <wp:effectExtent l="0" t="0" r="889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5168"/>
                    <a:stretch/>
                  </pic:blipFill>
                  <pic:spPr bwMode="auto">
                    <a:xfrm>
                      <a:off x="0" y="0"/>
                      <a:ext cx="5603089" cy="2742335"/>
                    </a:xfrm>
                    <a:prstGeom prst="rect">
                      <a:avLst/>
                    </a:prstGeom>
                    <a:noFill/>
                    <a:ln>
                      <a:noFill/>
                    </a:ln>
                    <a:extLst>
                      <a:ext uri="{53640926-AAD7-44D8-BBD7-CCE9431645EC}">
                        <a14:shadowObscured xmlns:a14="http://schemas.microsoft.com/office/drawing/2010/main"/>
                      </a:ext>
                    </a:extLst>
                  </pic:spPr>
                </pic:pic>
              </a:graphicData>
            </a:graphic>
          </wp:inline>
        </w:drawing>
      </w:r>
    </w:p>
    <w:p w:rsidR="00C8158D" w:rsidRDefault="00566E1C">
      <w:pPr>
        <w:pStyle w:val="Caption"/>
        <w:keepNext w:val="0"/>
        <w:tabs>
          <w:tab w:val="clear" w:pos="1871"/>
          <w:tab w:val="left" w:pos="284"/>
        </w:tabs>
        <w:ind w:left="0" w:firstLine="0"/>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Производство на електроенергия от възобновяеми източници по видове ВЕИ в ЕС-28 (източник: ЕВРОСТАТ, Öko-Institut)</w:t>
      </w:r>
    </w:p>
    <w:p w:rsidR="00C8158D" w:rsidRDefault="00566E1C">
      <w:pPr>
        <w:pStyle w:val="Standardtext"/>
        <w:rPr>
          <w:noProof/>
        </w:rPr>
      </w:pPr>
      <w:r>
        <w:rPr>
          <w:noProof/>
        </w:rPr>
        <w:t xml:space="preserve">С очакваните 28,3 % електроенергия, произведена от ВЕИ </w:t>
      </w:r>
      <w:r>
        <w:rPr>
          <w:noProof/>
        </w:rPr>
        <w:t>през 2015 г., ЕС доста изпреварва своята крива, получена като сумарна крива на съответните криви от националните планове НПДЕВИ относно дяловете на електроенергията, произведена от ВЕИ.</w:t>
      </w:r>
    </w:p>
    <w:p w:rsidR="00C8158D" w:rsidRDefault="00566E1C">
      <w:pPr>
        <w:pStyle w:val="Standardtext"/>
        <w:rPr>
          <w:noProof/>
          <w:color w:val="141413"/>
        </w:rPr>
      </w:pPr>
      <w:r>
        <w:rPr>
          <w:noProof/>
          <w:color w:val="141413"/>
        </w:rPr>
        <w:t xml:space="preserve">Националните схеми за подпомагане са различни в различните държави от </w:t>
      </w:r>
      <w:r>
        <w:rPr>
          <w:noProof/>
          <w:color w:val="141413"/>
        </w:rPr>
        <w:t>Съюза и бяха обект на многобройни промени</w:t>
      </w:r>
      <w:r>
        <w:rPr>
          <w:rStyle w:val="FootnoteReference"/>
          <w:noProof/>
          <w:color w:val="141413"/>
        </w:rPr>
        <w:footnoteReference w:id="16"/>
      </w:r>
      <w:r>
        <w:rPr>
          <w:noProof/>
          <w:color w:val="141413"/>
        </w:rPr>
        <w:t>. Предложението за преработване на Директивата за енергията от възобновяеми източници съдържа няколко клаузи, които имат за цел да се увеличи доверието на инвеститорите чрез прилагане на един по-европеизиран и паза</w:t>
      </w:r>
      <w:r>
        <w:rPr>
          <w:noProof/>
          <w:color w:val="141413"/>
        </w:rPr>
        <w:t>рен подход и предотвратяване на промени с обратна сила, които излагат на риск икономическите условия на подпомаганите проекти.</w:t>
      </w:r>
    </w:p>
    <w:p w:rsidR="00C8158D" w:rsidRDefault="00566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b/>
          <w:noProof/>
          <w:sz w:val="24"/>
        </w:rPr>
        <w:t xml:space="preserve">Водноелектрическите централи </w:t>
      </w:r>
      <w:r>
        <w:rPr>
          <w:rFonts w:ascii="Times New Roman" w:hAnsi="Times New Roman"/>
          <w:noProof/>
          <w:sz w:val="24"/>
        </w:rPr>
        <w:t>продължават да генерират най-голям дял от електроенергията от ВЕИ, като техният дял е спаднал от 74 </w:t>
      </w:r>
      <w:r>
        <w:rPr>
          <w:rFonts w:ascii="Times New Roman" w:hAnsi="Times New Roman"/>
          <w:noProof/>
          <w:sz w:val="24"/>
        </w:rPr>
        <w:t>% през 2004 г. на 38 % през 2015 г.</w:t>
      </w:r>
      <w:r>
        <w:rPr>
          <w:rFonts w:ascii="Times New Roman" w:hAnsi="Times New Roman"/>
          <w:noProof/>
          <w:color w:val="141413"/>
          <w:sz w:val="24"/>
        </w:rPr>
        <w:t xml:space="preserve"> През 2015 г. ЕС-28 е изпълнил целите съгласно планираната сумарна крива, формирана чрез обобщаване на кривите от националните планове НПДЕВИ. Швеция, Франция, Италия, Австрия и Испания разполагат с около 70 % от цялата в</w:t>
      </w:r>
      <w:r>
        <w:rPr>
          <w:rFonts w:ascii="Times New Roman" w:hAnsi="Times New Roman"/>
          <w:noProof/>
          <w:color w:val="141413"/>
          <w:sz w:val="24"/>
        </w:rPr>
        <w:t>одноелектрическа енергия в ЕС-28.</w:t>
      </w:r>
    </w:p>
    <w:p w:rsidR="00C8158D" w:rsidRDefault="00566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0" w:lineRule="atLeast"/>
        <w:jc w:val="both"/>
        <w:rPr>
          <w:rFonts w:ascii="Times New Roman" w:hAnsi="Times New Roman" w:cs="Times New Roman"/>
          <w:noProof/>
          <w:color w:val="141413"/>
          <w:sz w:val="24"/>
          <w:szCs w:val="24"/>
        </w:rPr>
      </w:pPr>
      <w:r>
        <w:rPr>
          <w:rFonts w:ascii="Times New Roman" w:hAnsi="Times New Roman"/>
          <w:noProof/>
          <w:sz w:val="24"/>
        </w:rPr>
        <w:t xml:space="preserve">Използването на съоръжения за </w:t>
      </w:r>
      <w:r>
        <w:rPr>
          <w:rFonts w:ascii="Times New Roman" w:hAnsi="Times New Roman"/>
          <w:b/>
          <w:noProof/>
          <w:sz w:val="24"/>
        </w:rPr>
        <w:t>вятърна енергия</w:t>
      </w:r>
      <w:r>
        <w:rPr>
          <w:rFonts w:ascii="Times New Roman" w:hAnsi="Times New Roman"/>
          <w:noProof/>
          <w:sz w:val="24"/>
        </w:rPr>
        <w:t xml:space="preserve"> се увеличи над четири пъти през периода 2004—2015 г. и понастоящем чрез такива съоръжения се произвежда около една трета от електроенергията от ВЕИ. Използването на разположени</w:t>
      </w:r>
      <w:r>
        <w:rPr>
          <w:rFonts w:ascii="Times New Roman" w:hAnsi="Times New Roman"/>
          <w:noProof/>
          <w:sz w:val="24"/>
        </w:rPr>
        <w:t xml:space="preserve"> на сушата вятърни генератори е доста близко до кривата на очакваните стойности през годините.</w:t>
      </w:r>
      <w:r>
        <w:rPr>
          <w:rFonts w:ascii="Times New Roman" w:hAnsi="Times New Roman"/>
          <w:noProof/>
          <w:color w:val="141413"/>
          <w:sz w:val="24"/>
        </w:rPr>
        <w:t xml:space="preserve"> Най-голям е приносът на Германия и Испания. По отношение на разположените в морето инсталации за вятърна енергия четири държави (Швеция, Германия, Обединеното кр</w:t>
      </w:r>
      <w:r>
        <w:rPr>
          <w:rFonts w:ascii="Times New Roman" w:hAnsi="Times New Roman"/>
          <w:noProof/>
          <w:color w:val="141413"/>
          <w:sz w:val="24"/>
        </w:rPr>
        <w:t xml:space="preserve">алство и Дания) също се очаква да надвишат предвидената за тях крива за 2015 г. На равнище ЕС обаче производството на вятърна енергия от инсталации, разположени в морето, отбелязва по-бавен напредък от очакваното, като през 2015 г. отклонението е -12 % от </w:t>
      </w:r>
      <w:r>
        <w:rPr>
          <w:rFonts w:ascii="Times New Roman" w:hAnsi="Times New Roman"/>
          <w:noProof/>
          <w:color w:val="141413"/>
          <w:sz w:val="24"/>
        </w:rPr>
        <w:t>кривата на НПДЕВИ, и това се дължи най-вече на високите първоначални разходи (които сега съществено спадат) и на проблеми със свързването към мрежата. Въпреки това в последните години развитието значително се ускори.</w:t>
      </w:r>
    </w:p>
    <w:p w:rsidR="00C8158D" w:rsidRDefault="00566E1C">
      <w:pPr>
        <w:pStyle w:val="Standardtext"/>
        <w:rPr>
          <w:noProof/>
          <w:color w:val="141413"/>
        </w:rPr>
      </w:pPr>
      <w:r>
        <w:rPr>
          <w:noProof/>
        </w:rPr>
        <w:t>Електроенергията, произведена чрез слън</w:t>
      </w:r>
      <w:r>
        <w:rPr>
          <w:noProof/>
        </w:rPr>
        <w:t xml:space="preserve">чеви фотоволтаични системи, се увеличи бързо и през 2015 г. е представлявала 12 % от цялата електроенергия от ВЕИ. През 2013 г. използваната енергия от фотоволтаични системи за пръв път надвиши тази от твърда биомаса. През 2015 г. 38 % от електроенергията </w:t>
      </w:r>
      <w:r>
        <w:rPr>
          <w:noProof/>
        </w:rPr>
        <w:t>от слънчеви фотоволтаични системи в ЕС-28 е произведена в Германия, Италия и Испания.</w:t>
      </w:r>
      <w:r>
        <w:rPr>
          <w:noProof/>
          <w:color w:val="141413"/>
        </w:rPr>
        <w:t xml:space="preserve"> Значителният ръст на производството на електроенергия от слънчеви фотоволтаични системи се дължи на бързия технологичен напредък, намалението на разходите и относително к</w:t>
      </w:r>
      <w:r>
        <w:rPr>
          <w:noProof/>
          <w:color w:val="141413"/>
        </w:rPr>
        <w:t xml:space="preserve">ратките срокове за разработка на проекти. </w:t>
      </w:r>
      <w:r>
        <w:rPr>
          <w:noProof/>
        </w:rPr>
        <w:t>Това не само даде възможност за бързо и разходно-ефективно внедряване, но и допринесе за поставянето на потребителя в центъра на енергийния преход. Тази амбиция за укрепване на правата на потребителите се потвържда</w:t>
      </w:r>
      <w:r>
        <w:rPr>
          <w:noProof/>
        </w:rPr>
        <w:t xml:space="preserve">ва от предложението за преработване на Директивата за енергията от възобновяеми източници и на предложенията за устройството на енергийния пазар. </w:t>
      </w:r>
      <w:r>
        <w:rPr>
          <w:noProof/>
          <w:color w:val="141413"/>
        </w:rPr>
        <w:t>Относно регионалното сътрудничество, през юли 2016 г. Дания и Германия подписаха споразумение за сътрудничеств</w:t>
      </w:r>
      <w:r>
        <w:rPr>
          <w:noProof/>
          <w:color w:val="141413"/>
        </w:rPr>
        <w:t xml:space="preserve">о за взаимно отваряне за другата страна на търговете за слънчеви фотоволтаични инсталации. Това споразумение е в посоката на разкриването на схеми за подпомагане с трансгранично участие, което се предлага в преработения вариант на Директивата за енергията </w:t>
      </w:r>
      <w:r>
        <w:rPr>
          <w:noProof/>
          <w:color w:val="141413"/>
        </w:rPr>
        <w:t>от възобновяеми източници.</w:t>
      </w:r>
    </w:p>
    <w:p w:rsidR="00C8158D" w:rsidRDefault="00566E1C">
      <w:pPr>
        <w:pStyle w:val="Standardtext"/>
        <w:rPr>
          <w:bCs/>
          <w:i/>
          <w:noProof/>
          <w:color w:val="141413"/>
        </w:rPr>
      </w:pPr>
      <w:r>
        <w:rPr>
          <w:noProof/>
        </w:rPr>
        <w:t xml:space="preserve">Производството на електроенергия от </w:t>
      </w:r>
      <w:r>
        <w:rPr>
          <w:b/>
          <w:noProof/>
        </w:rPr>
        <w:t>биомаса</w:t>
      </w:r>
      <w:r>
        <w:rPr>
          <w:noProof/>
        </w:rPr>
        <w:t xml:space="preserve"> на равнище ЕС-28 нарасна от около 9 Mtoe през 2010 г. на 13 Mtoe през 2015 г. Тази технология обаче не достигна равнището, планирано за годината. Използването общо на </w:t>
      </w:r>
      <w:r>
        <w:rPr>
          <w:b/>
          <w:noProof/>
        </w:rPr>
        <w:t>биогаз и нетранспо</w:t>
      </w:r>
      <w:r>
        <w:rPr>
          <w:b/>
          <w:noProof/>
        </w:rPr>
        <w:t>ртни течни горива от биомаса</w:t>
      </w:r>
      <w:r>
        <w:rPr>
          <w:noProof/>
        </w:rPr>
        <w:t xml:space="preserve">, което за всеки от тези източници през 2004 г. е било в незначително количество, достигна 7 % от електроенергията от ВЕИ. </w:t>
      </w:r>
      <w:bookmarkStart w:id="4" w:name="_Toc337888905"/>
      <w:bookmarkStart w:id="5" w:name="_Toc464037367"/>
      <w:bookmarkStart w:id="6" w:name="_Toc337893349"/>
      <w:bookmarkStart w:id="7" w:name="_Toc464039217"/>
      <w:bookmarkStart w:id="8" w:name="_Toc464056923"/>
      <w:bookmarkStart w:id="9" w:name="_Toc468364170"/>
      <w:bookmarkStart w:id="10" w:name="_Toc468367982"/>
      <w:bookmarkStart w:id="11" w:name="_Toc468368725"/>
      <w:r>
        <w:rPr>
          <w:noProof/>
        </w:rPr>
        <w:t>Що се отнася до биогаза, неговото използване нарасна по-бързо от очакването, особено в Германия и Италия.</w:t>
      </w:r>
      <w:r>
        <w:rPr>
          <w:noProof/>
        </w:rPr>
        <w:br w:type="page"/>
      </w:r>
    </w:p>
    <w:p w:rsidR="00C8158D" w:rsidRDefault="00566E1C">
      <w:pPr>
        <w:pStyle w:val="Heading3"/>
        <w:rPr>
          <w:noProof/>
        </w:rPr>
      </w:pPr>
      <w:r>
        <w:rPr>
          <w:noProof/>
        </w:rPr>
        <w:t>Транспорт</w:t>
      </w:r>
      <w:bookmarkEnd w:id="4"/>
      <w:bookmarkEnd w:id="5"/>
      <w:bookmarkEnd w:id="6"/>
      <w:bookmarkEnd w:id="7"/>
      <w:bookmarkEnd w:id="8"/>
      <w:bookmarkEnd w:id="9"/>
      <w:bookmarkEnd w:id="10"/>
      <w:bookmarkEnd w:id="11"/>
    </w:p>
    <w:p w:rsidR="00C8158D" w:rsidRDefault="00C8158D">
      <w:pPr>
        <w:pStyle w:val="Standardtext"/>
        <w:jc w:val="center"/>
        <w:rPr>
          <w:noProof/>
          <w:lang w:val="hu-HU" w:bidi="ar-SA"/>
        </w:rPr>
      </w:pPr>
    </w:p>
    <w:p w:rsidR="00C8158D" w:rsidRDefault="00566E1C">
      <w:pPr>
        <w:pStyle w:val="Standardtext"/>
        <w:jc w:val="center"/>
        <w:rPr>
          <w:noProof/>
        </w:rPr>
      </w:pPr>
      <w:r>
        <w:rPr>
          <w:noProof/>
          <w:lang w:val="en-GB" w:eastAsia="en-GB" w:bidi="ar-SA"/>
        </w:rPr>
        <w:drawing>
          <wp:inline distT="0" distB="0" distL="0" distR="0">
            <wp:extent cx="5756603" cy="289249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3013"/>
                    <a:stretch/>
                  </pic:blipFill>
                  <pic:spPr bwMode="auto">
                    <a:xfrm>
                      <a:off x="0" y="0"/>
                      <a:ext cx="5760720" cy="2894559"/>
                    </a:xfrm>
                    <a:prstGeom prst="rect">
                      <a:avLst/>
                    </a:prstGeom>
                    <a:noFill/>
                    <a:ln>
                      <a:noFill/>
                    </a:ln>
                    <a:extLst>
                      <a:ext uri="{53640926-AAD7-44D8-BBD7-CCE9431645EC}">
                        <a14:shadowObscured xmlns:a14="http://schemas.microsoft.com/office/drawing/2010/main"/>
                      </a:ext>
                    </a:extLst>
                  </pic:spPr>
                </pic:pic>
              </a:graphicData>
            </a:graphic>
          </wp:inline>
        </w:drawing>
      </w:r>
    </w:p>
    <w:p w:rsidR="00C8158D" w:rsidRDefault="00566E1C">
      <w:pPr>
        <w:pStyle w:val="Caption"/>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Енергия от възобновяеми източници в транспорта в ЕС-28, по видове ВЕИ (източник: ЕВРОСТАТ, Öko-Institut)</w:t>
      </w:r>
    </w:p>
    <w:p w:rsidR="00C8158D" w:rsidRDefault="00566E1C">
      <w:pPr>
        <w:pStyle w:val="Standardtext"/>
        <w:rPr>
          <w:noProof/>
        </w:rPr>
      </w:pPr>
      <w:r>
        <w:rPr>
          <w:noProof/>
        </w:rPr>
        <w:t xml:space="preserve">Транспортът е единственият сектор, който към момента не е достигнал стойностите съгласно сумарните </w:t>
      </w:r>
      <w:r>
        <w:rPr>
          <w:noProof/>
        </w:rPr>
        <w:t>криви от НПДЕВИ на равнище ЕС, с 6 % дял на енергията от ВЕИ през 2015 г.</w:t>
      </w:r>
      <w:r>
        <w:rPr>
          <w:rStyle w:val="FootnoteReference"/>
          <w:noProof/>
        </w:rPr>
        <w:footnoteReference w:id="17"/>
      </w:r>
      <w:r>
        <w:rPr>
          <w:noProof/>
        </w:rPr>
        <w:t xml:space="preserve">. Това потвърждава доста бавния напредък към задължителната цел от 10 % в транспорта, което се дължи на различни трудности, включително относително високите разходи за намаляване на </w:t>
      </w:r>
      <w:r>
        <w:rPr>
          <w:noProof/>
        </w:rPr>
        <w:t>емисиите на парникови газове и регулаторната несигурност</w:t>
      </w:r>
      <w:r>
        <w:rPr>
          <w:rStyle w:val="FootnoteReference"/>
          <w:noProof/>
          <w:sz w:val="24"/>
        </w:rPr>
        <w:footnoteReference w:id="18"/>
      </w:r>
      <w:r>
        <w:rPr>
          <w:noProof/>
        </w:rPr>
        <w:t>. Енергията от ВЕИ в този сектор е главно от биогорива (88 %), като електроенергията има по-ограничена роля на този етап.</w:t>
      </w:r>
    </w:p>
    <w:p w:rsidR="00C8158D" w:rsidRDefault="00566E1C">
      <w:pPr>
        <w:pStyle w:val="Standardtext"/>
        <w:rPr>
          <w:noProof/>
        </w:rPr>
      </w:pPr>
      <w:r>
        <w:rPr>
          <w:b/>
          <w:noProof/>
        </w:rPr>
        <w:t>Биодизелът</w:t>
      </w:r>
      <w:r>
        <w:rPr>
          <w:noProof/>
        </w:rPr>
        <w:t xml:space="preserve"> е основното биогориво, използвано за транспорт в ЕС, и представляв</w:t>
      </w:r>
      <w:r>
        <w:rPr>
          <w:noProof/>
        </w:rPr>
        <w:t>а 79 % от общото потребление на биогорива през 2015 г. Въпреки своята челна позиция биодизелът не достигна очакваното използване, предвидено съгласно кривата от НПДЕВИ за 2015 г. (10,9 Mtoe вместо 14,4 Mtoe). Главните потребители на биогорива са Франция, Г</w:t>
      </w:r>
      <w:r>
        <w:rPr>
          <w:noProof/>
        </w:rPr>
        <w:t>ермания и Италия.</w:t>
      </w:r>
    </w:p>
    <w:p w:rsidR="00C8158D" w:rsidRDefault="00566E1C">
      <w:pPr>
        <w:spacing w:after="180" w:line="280" w:lineRule="atLeast"/>
        <w:jc w:val="both"/>
        <w:rPr>
          <w:rFonts w:ascii="Times New Roman" w:hAnsi="Times New Roman" w:cs="Times New Roman"/>
          <w:noProof/>
          <w:sz w:val="24"/>
          <w:szCs w:val="24"/>
        </w:rPr>
      </w:pPr>
      <w:r>
        <w:rPr>
          <w:rFonts w:ascii="Times New Roman" w:hAnsi="Times New Roman"/>
          <w:b/>
          <w:noProof/>
          <w:sz w:val="24"/>
        </w:rPr>
        <w:t xml:space="preserve">Биоетанолът </w:t>
      </w:r>
      <w:r>
        <w:rPr>
          <w:rFonts w:ascii="Times New Roman" w:hAnsi="Times New Roman"/>
          <w:noProof/>
          <w:sz w:val="24"/>
        </w:rPr>
        <w:t>е на второ място по принос към енергията от ВЕИ за транспортния сектор и представлява 20 % от биогоривата. Неговото използване обаче е далеч под равнището, очаквано съгласно НПДЕВИ за 2015 г. (2,6 Mtoe вместо 4,9 Mtoe). През 2</w:t>
      </w:r>
      <w:r>
        <w:rPr>
          <w:rFonts w:ascii="Times New Roman" w:hAnsi="Times New Roman"/>
          <w:noProof/>
          <w:sz w:val="24"/>
        </w:rPr>
        <w:t>015 г. основни потребители на биоетанол са били Германия, Обединеното кралство и Франция, следвани от Испания, Швеция, Полша и Нидерландия.</w:t>
      </w:r>
    </w:p>
    <w:p w:rsidR="00C8158D" w:rsidRDefault="00566E1C">
      <w:pPr>
        <w:pStyle w:val="Standardtext"/>
        <w:rPr>
          <w:b/>
          <w:noProof/>
        </w:rPr>
      </w:pPr>
      <w:r>
        <w:rPr>
          <w:b/>
          <w:noProof/>
        </w:rPr>
        <w:t>Електроенергията от ВЕИ</w:t>
      </w:r>
      <w:r>
        <w:rPr>
          <w:noProof/>
        </w:rPr>
        <w:t xml:space="preserve"> участва с 1,7 Mtoe в брутното крайно потребление на енергия в транспорта през 2015 г.</w:t>
      </w:r>
      <w:r>
        <w:rPr>
          <w:rStyle w:val="FootnoteReference"/>
          <w:noProof/>
        </w:rPr>
        <w:footnoteReference w:id="19"/>
      </w:r>
      <w:r>
        <w:rPr>
          <w:noProof/>
        </w:rPr>
        <w:t>, коет</w:t>
      </w:r>
      <w:r>
        <w:rPr>
          <w:noProof/>
        </w:rPr>
        <w:t>о е с 13 % по-ниско от очакваното съгласно сумарната крива от НПДЕВИ.</w:t>
      </w:r>
    </w:p>
    <w:p w:rsidR="00C8158D" w:rsidRDefault="00566E1C">
      <w:pPr>
        <w:pStyle w:val="Standardtext"/>
        <w:rPr>
          <w:noProof/>
        </w:rPr>
      </w:pPr>
      <w:r>
        <w:rPr>
          <w:b/>
          <w:noProof/>
        </w:rPr>
        <w:t>Останалите възобновяеми енергийни източници (включително биогаз</w:t>
      </w:r>
      <w:r>
        <w:rPr>
          <w:noProof/>
        </w:rPr>
        <w:t>) нямат важна роля в транспортния сектор на равнище ЕС-28, но се използват в някои държави членки (например в Швеция и Финл</w:t>
      </w:r>
      <w:r>
        <w:rPr>
          <w:noProof/>
        </w:rPr>
        <w:t>андия).</w:t>
      </w:r>
    </w:p>
    <w:p w:rsidR="00C8158D" w:rsidRDefault="00566E1C">
      <w:pPr>
        <w:pStyle w:val="Standardtext"/>
        <w:rPr>
          <w:noProof/>
        </w:rPr>
      </w:pPr>
      <w:r>
        <w:rPr>
          <w:noProof/>
        </w:rPr>
        <w:t xml:space="preserve">Делът на </w:t>
      </w:r>
      <w:r>
        <w:rPr>
          <w:b/>
          <w:noProof/>
        </w:rPr>
        <w:t>биогоривата, произведени от отпадъци, остатъци, лигноцелулозни материали и нехранителни целулозни материали</w:t>
      </w:r>
      <w:r>
        <w:rPr>
          <w:rStyle w:val="FootnoteReference"/>
          <w:noProof/>
          <w:sz w:val="24"/>
        </w:rPr>
        <w:footnoteReference w:id="20"/>
      </w:r>
      <w:r>
        <w:rPr>
          <w:noProof/>
        </w:rPr>
        <w:t xml:space="preserve"> в състава на биогорива на ЕС</w:t>
      </w:r>
      <w:r>
        <w:rPr>
          <w:rStyle w:val="FootnoteReference"/>
          <w:noProof/>
        </w:rPr>
        <w:footnoteReference w:id="21"/>
      </w:r>
      <w:r>
        <w:rPr>
          <w:noProof/>
        </w:rPr>
        <w:t xml:space="preserve"> се увеличи от 1 % през 2009 г. до 23 % през 2015 г.</w:t>
      </w:r>
      <w:r>
        <w:rPr>
          <w:rStyle w:val="FootnoteReference"/>
          <w:noProof/>
        </w:rPr>
        <w:footnoteReference w:id="22"/>
      </w:r>
      <w:r>
        <w:rPr>
          <w:noProof/>
        </w:rPr>
        <w:t xml:space="preserve">, като този резултат се дължи главно на Швеция, </w:t>
      </w:r>
      <w:r>
        <w:rPr>
          <w:noProof/>
        </w:rPr>
        <w:t>Обединеното кралство и Германия. С 3 Mtoe през 2015 г. на равнище ЕС тези биогорива надхвърлиха трикратно планираната крива, главно поради оползотворяването на използвано готварско олио.</w:t>
      </w:r>
    </w:p>
    <w:p w:rsidR="00C8158D" w:rsidRDefault="00C8158D">
      <w:pPr>
        <w:pStyle w:val="Standardtext"/>
        <w:rPr>
          <w:noProof/>
        </w:rPr>
      </w:pPr>
    </w:p>
    <w:p w:rsidR="00C8158D" w:rsidRDefault="00566E1C">
      <w:pPr>
        <w:pStyle w:val="Heading2"/>
        <w:rPr>
          <w:noProof/>
        </w:rPr>
      </w:pPr>
      <w:r>
        <w:rPr>
          <w:noProof/>
        </w:rPr>
        <w:t>Подробна оценка по държави членки и прогнози</w:t>
      </w:r>
    </w:p>
    <w:p w:rsidR="00C8158D" w:rsidRDefault="00566E1C">
      <w:pPr>
        <w:pStyle w:val="Standardtext"/>
        <w:rPr>
          <w:noProof/>
        </w:rPr>
      </w:pPr>
      <w:r>
        <w:rPr>
          <w:noProof/>
        </w:rPr>
        <w:t>Всички държави членки с</w:t>
      </w:r>
      <w:r>
        <w:rPr>
          <w:noProof/>
        </w:rPr>
        <w:t xml:space="preserve"> изключение на една (Нидерландия</w:t>
      </w:r>
      <w:r>
        <w:rPr>
          <w:rStyle w:val="FootnoteReference"/>
          <w:noProof/>
        </w:rPr>
        <w:footnoteReference w:id="23"/>
      </w:r>
      <w:r>
        <w:rPr>
          <w:noProof/>
        </w:rPr>
        <w:t>) показват средни дялове на енергията от ВЕИ през 2013/2014 г., които са равни или по-високи от съответната тяхна индикативна крива съгласно Директивата за енергията от възобновяеми източници. Според изчисления за 2015 г. о</w:t>
      </w:r>
      <w:r>
        <w:rPr>
          <w:noProof/>
        </w:rPr>
        <w:t xml:space="preserve">ще през същата година 25 държави членки са надвишили отнасящите се за тях индикативни криви за 2015/2016 г. съгласно Директивата. За три държави членки (Холандия, Франция и Люксембург) се очаква да имат за 2015 г. дялове на ВЕИ под тяхна индикативна крива </w:t>
      </w:r>
      <w:r>
        <w:rPr>
          <w:noProof/>
        </w:rPr>
        <w:t xml:space="preserve">за 2015/2016 г. съгласно Директивата за енергията от възобновяеми източници (виж </w:t>
      </w:r>
      <w:r>
        <w:rPr>
          <w:noProof/>
        </w:rPr>
        <w:fldChar w:fldCharType="begin"/>
      </w:r>
      <w:r>
        <w:rPr>
          <w:noProof/>
        </w:rPr>
        <w:instrText xml:space="preserve"> REF _Ref469423443 \h  \* MERGEFORMAT </w:instrText>
      </w:r>
      <w:r>
        <w:rPr>
          <w:noProof/>
        </w:rPr>
      </w:r>
      <w:r>
        <w:rPr>
          <w:noProof/>
        </w:rPr>
        <w:fldChar w:fldCharType="separate"/>
      </w:r>
      <w:r>
        <w:rPr>
          <w:noProof/>
        </w:rPr>
        <w:t>фигура 6</w:t>
      </w:r>
      <w:r>
        <w:rPr>
          <w:noProof/>
        </w:rPr>
        <w:fldChar w:fldCharType="end"/>
      </w:r>
      <w:r>
        <w:rPr>
          <w:noProof/>
        </w:rPr>
        <w:t>).</w:t>
      </w:r>
    </w:p>
    <w:p w:rsidR="00C8158D" w:rsidRDefault="00566E1C">
      <w:pPr>
        <w:keepNext/>
        <w:jc w:val="center"/>
        <w:rPr>
          <w:rFonts w:ascii="Times New Roman" w:hAnsi="Times New Roman" w:cs="Times New Roman"/>
          <w:noProof/>
        </w:rPr>
      </w:pPr>
      <w:r>
        <w:rPr>
          <w:noProof/>
          <w:lang w:val="en-GB" w:eastAsia="en-GB" w:bidi="ar-SA"/>
        </w:rPr>
        <w:drawing>
          <wp:inline distT="0" distB="0" distL="0" distR="0">
            <wp:extent cx="5760720" cy="376367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763670"/>
                    </a:xfrm>
                    <a:prstGeom prst="rect">
                      <a:avLst/>
                    </a:prstGeom>
                    <a:noFill/>
                    <a:ln>
                      <a:noFill/>
                    </a:ln>
                  </pic:spPr>
                </pic:pic>
              </a:graphicData>
            </a:graphic>
          </wp:inline>
        </w:drawing>
      </w:r>
    </w:p>
    <w:p w:rsidR="00C8158D" w:rsidRDefault="00566E1C">
      <w:pPr>
        <w:pStyle w:val="Caption"/>
        <w:rPr>
          <w:b/>
          <w:bCs w:val="0"/>
          <w:noProof/>
          <w:sz w:val="24"/>
          <w:szCs w:val="24"/>
        </w:rPr>
      </w:pPr>
      <w:bookmarkStart w:id="12" w:name="_Ref469423443"/>
      <w:r>
        <w:rPr>
          <w:noProof/>
        </w:rPr>
        <w:t xml:space="preserve">Фигура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12"/>
      <w:r>
        <w:rPr>
          <w:noProof/>
        </w:rPr>
        <w:t xml:space="preserve">: Напредък на държавите </w:t>
      </w:r>
      <w:r>
        <w:rPr>
          <w:noProof/>
        </w:rPr>
        <w:t>членки към момента спрямо техните индикативни цели съгласно Директивата за енергията от възобновяеми източници за 2013/2014 г. и 2015/2016 г. (Източник: Öko-Institut, Евростат)</w:t>
      </w:r>
    </w:p>
    <w:p w:rsidR="00C8158D" w:rsidRDefault="00566E1C">
      <w:pPr>
        <w:pStyle w:val="Standardtext"/>
        <w:rPr>
          <w:noProof/>
        </w:rPr>
      </w:pPr>
      <w:r>
        <w:rPr>
          <w:noProof/>
        </w:rPr>
        <w:t>Референтният сценарий по модела PRIMES за 2016 г. приема, че ЕС като цяло и мно</w:t>
      </w:r>
      <w:r>
        <w:rPr>
          <w:noProof/>
        </w:rPr>
        <w:t>зинството от държавите членки ще предприемат достатъчни действия да постигнат техните цели до 2020 г. Онези държави членки, за които понастоящем се прогнозира, че няма да изпълнят до 2020 г.</w:t>
      </w:r>
      <w:r>
        <w:rPr>
          <w:rStyle w:val="FootnoteReference"/>
          <w:noProof/>
        </w:rPr>
        <w:footnoteReference w:id="24"/>
      </w:r>
      <w:r>
        <w:rPr>
          <w:noProof/>
        </w:rPr>
        <w:t xml:space="preserve"> своите обвързващи национални цели по отношение на ВЕИ, ще имат в</w:t>
      </w:r>
      <w:r>
        <w:rPr>
          <w:noProof/>
        </w:rPr>
        <w:t xml:space="preserve">ъзможност да използват механизми за сътрудничество. В </w:t>
      </w:r>
      <w:r>
        <w:rPr>
          <w:noProof/>
        </w:rPr>
        <w:fldChar w:fldCharType="begin"/>
      </w:r>
      <w:r>
        <w:rPr>
          <w:noProof/>
        </w:rPr>
        <w:instrText xml:space="preserve"> REF _Ref469424240 \h  \* MERGEFORMAT </w:instrText>
      </w:r>
      <w:r>
        <w:rPr>
          <w:noProof/>
        </w:rPr>
      </w:r>
      <w:r>
        <w:rPr>
          <w:noProof/>
        </w:rPr>
        <w:fldChar w:fldCharType="separate"/>
      </w:r>
      <w:r>
        <w:rPr>
          <w:noProof/>
        </w:rPr>
        <w:t>Таблица 1</w:t>
      </w:r>
      <w:r>
        <w:rPr>
          <w:noProof/>
        </w:rPr>
        <w:fldChar w:fldCharType="end"/>
      </w:r>
      <w:r>
        <w:rPr>
          <w:noProof/>
        </w:rPr>
        <w:t xml:space="preserve"> са обобщени миналото, настоящото и прогнозното използване на енергия от ВЕИ на равнище </w:t>
      </w:r>
      <w:r>
        <w:rPr>
          <w:noProof/>
        </w:rPr>
        <w:t>държави членки, включително сегашната крива в транспортния сектор, съпоставена със специфичната цел от 10 %.</w:t>
      </w:r>
    </w:p>
    <w:p w:rsidR="00C8158D" w:rsidRDefault="00C8158D">
      <w:pPr>
        <w:pStyle w:val="Standardtext"/>
        <w:rPr>
          <w:noProof/>
        </w:rPr>
        <w:sectPr w:rsidR="00C8158D">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1134" w:left="1417" w:header="709" w:footer="709" w:gutter="0"/>
          <w:pgNumType w:start="2"/>
          <w:cols w:space="720"/>
          <w:docGrid w:linePitch="360"/>
        </w:sectPr>
      </w:pPr>
    </w:p>
    <w:p w:rsidR="00C8158D" w:rsidRDefault="00566E1C">
      <w:pPr>
        <w:pStyle w:val="Standardtext"/>
        <w:jc w:val="center"/>
        <w:rPr>
          <w:noProof/>
        </w:rPr>
      </w:pPr>
      <w:r>
        <w:rPr>
          <w:noProof/>
          <w:lang w:val="en-GB" w:eastAsia="en-GB" w:bidi="ar-SA"/>
        </w:rPr>
        <w:drawing>
          <wp:inline distT="0" distB="0" distL="0" distR="0">
            <wp:extent cx="9239249" cy="54483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39249" cy="5448300"/>
                    </a:xfrm>
                    <a:prstGeom prst="rect">
                      <a:avLst/>
                    </a:prstGeom>
                    <a:noFill/>
                    <a:ln>
                      <a:noFill/>
                    </a:ln>
                  </pic:spPr>
                </pic:pic>
              </a:graphicData>
            </a:graphic>
          </wp:inline>
        </w:drawing>
      </w:r>
    </w:p>
    <w:p w:rsidR="00C8158D" w:rsidRDefault="00566E1C">
      <w:pPr>
        <w:pStyle w:val="Caption"/>
        <w:rPr>
          <w:noProof/>
        </w:rPr>
        <w:sectPr w:rsidR="00C8158D">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134" w:bottom="1417" w:left="1134" w:header="709" w:footer="709" w:gutter="0"/>
          <w:pgNumType w:start="0"/>
          <w:cols w:space="720"/>
          <w:docGrid w:linePitch="360"/>
        </w:sectPr>
      </w:pPr>
      <w:bookmarkStart w:id="13" w:name="_Ref469424240"/>
      <w:r>
        <w:rPr>
          <w:noProof/>
        </w:rPr>
        <w:t xml:space="preserve">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3"/>
      <w:r>
        <w:rPr>
          <w:noProof/>
        </w:rPr>
        <w:t>: Преглед на напредъка на държавите членки за постигане на целите за 2020 г. по отношение на енергията от ВЕИ (източник: Öko-Institut, Евростат)</w:t>
      </w:r>
    </w:p>
    <w:p w:rsidR="00C8158D" w:rsidRDefault="00566E1C">
      <w:pPr>
        <w:pStyle w:val="Heading1"/>
        <w:rPr>
          <w:noProof/>
        </w:rPr>
      </w:pPr>
      <w:r>
        <w:rPr>
          <w:noProof/>
        </w:rPr>
        <w:t>2. ПРЕГЛЕД НА АДМИНИСТРАТИВНИТЕ ПРОЦЕДУРИ</w:t>
      </w:r>
    </w:p>
    <w:p w:rsidR="00C8158D" w:rsidRDefault="00566E1C">
      <w:pPr>
        <w:spacing w:after="180" w:line="280" w:lineRule="atLeast"/>
        <w:jc w:val="both"/>
        <w:rPr>
          <w:rFonts w:ascii="Times New Roman" w:hAnsi="Times New Roman"/>
          <w:noProof/>
          <w:sz w:val="24"/>
        </w:rPr>
      </w:pPr>
      <w:r>
        <w:rPr>
          <w:rFonts w:ascii="Times New Roman" w:hAnsi="Times New Roman"/>
          <w:noProof/>
          <w:sz w:val="24"/>
        </w:rPr>
        <w:t>Административните пречки водят до допълнителни разходи при разработва</w:t>
      </w:r>
      <w:r>
        <w:rPr>
          <w:rFonts w:ascii="Times New Roman" w:hAnsi="Times New Roman"/>
          <w:noProof/>
          <w:sz w:val="24"/>
        </w:rPr>
        <w:t>нето на проекти, произтичащи от несигурността; това оказва влияние особено върху проектите за енергия от ВЕИ, които имат по-високи капиталови разходи в сравнение с проекти, свързани с традиционни източници на енергия. Такива пречки може да доведат до отлаг</w:t>
      </w:r>
      <w:r>
        <w:rPr>
          <w:rFonts w:ascii="Times New Roman" w:hAnsi="Times New Roman"/>
          <w:noProof/>
          <w:sz w:val="24"/>
        </w:rPr>
        <w:t>ане на внедряването и дори да попречат на реализирането на проектите. При бързо намаляващите технологични разходи административните процедури пропорционално придобиват тежест в общата стойност на проектите, свързани с ВЕИ</w:t>
      </w:r>
      <w:r>
        <w:rPr>
          <w:rStyle w:val="FootnoteReference"/>
          <w:rFonts w:ascii="Times New Roman" w:hAnsi="Times New Roman"/>
          <w:noProof/>
        </w:rPr>
        <w:footnoteReference w:id="25"/>
      </w:r>
      <w:r>
        <w:rPr>
          <w:rFonts w:ascii="Times New Roman" w:hAnsi="Times New Roman"/>
          <w:noProof/>
          <w:sz w:val="24"/>
        </w:rPr>
        <w:t>. Директивата за енергията от възо</w:t>
      </w:r>
      <w:r>
        <w:rPr>
          <w:rFonts w:ascii="Times New Roman" w:hAnsi="Times New Roman"/>
          <w:noProof/>
          <w:sz w:val="24"/>
        </w:rPr>
        <w:t>бновяеми източници изисква разрешителните процедури на държавите членки за проекти, свързани с енергия от ВЕИ, да са пропорционални и необходими. Тази директива включва и задължението за държавите членки да посочат в своя първи доклад за напредъка дали въз</w:t>
      </w:r>
      <w:r>
        <w:rPr>
          <w:rFonts w:ascii="Times New Roman" w:hAnsi="Times New Roman"/>
          <w:noProof/>
          <w:sz w:val="24"/>
        </w:rPr>
        <w:t xml:space="preserve">намеряват (i) да създадат единен административен орган, отговарящ за заявленията за инсталации за енергия от възобновяеми източници; (ii) да въведат автоматично одобряване на заявленията за разрешения в случаите когато разрешаващият орган не е отговорил в </w:t>
      </w:r>
      <w:r>
        <w:rPr>
          <w:rFonts w:ascii="Times New Roman" w:hAnsi="Times New Roman"/>
          <w:noProof/>
          <w:sz w:val="24"/>
        </w:rPr>
        <w:t>предвидения срок; (iii) или да означат географските обекти, подходящи за добив на енергия от възобновяеми източници.</w:t>
      </w:r>
    </w:p>
    <w:p w:rsidR="00C8158D" w:rsidRDefault="00566E1C">
      <w:pPr>
        <w:spacing w:after="180" w:line="280" w:lineRule="atLeast"/>
        <w:jc w:val="both"/>
        <w:rPr>
          <w:rFonts w:ascii="Times New Roman" w:hAnsi="Times New Roman" w:cs="Times New Roman"/>
          <w:bCs/>
          <w:noProof/>
          <w:sz w:val="24"/>
          <w:szCs w:val="24"/>
        </w:rPr>
      </w:pPr>
      <w:r>
        <w:rPr>
          <w:rFonts w:ascii="Times New Roman" w:hAnsi="Times New Roman"/>
          <w:noProof/>
          <w:sz w:val="24"/>
        </w:rPr>
        <w:t>След влизането в сила на Директивата за енергията от възобновяеми източници държавите членки имат напредък в намаляването на административната тежест. Повечето от тях са определили максимален срок за разрешителните процедури, както и облекчени процедури за</w:t>
      </w:r>
      <w:r>
        <w:rPr>
          <w:rFonts w:ascii="Times New Roman" w:hAnsi="Times New Roman"/>
          <w:noProof/>
          <w:sz w:val="24"/>
        </w:rPr>
        <w:t xml:space="preserve"> малки проекти, и повечето определят географските обекти, подходящи за проекти за енергия от ВЕИ. Освен това нараства броят на държавите членки, които предлагат на разработващите проекти възможност да подават заявления онлайн. Както е показано на </w:t>
      </w:r>
      <w:r>
        <w:rPr>
          <w:rFonts w:ascii="Times New Roman" w:hAnsi="Times New Roman" w:cs="Times New Roman"/>
          <w:bCs/>
          <w:noProof/>
          <w:sz w:val="24"/>
          <w:szCs w:val="24"/>
        </w:rPr>
        <w:fldChar w:fldCharType="begin"/>
      </w:r>
      <w:r>
        <w:rPr>
          <w:rFonts w:ascii="Times New Roman" w:hAnsi="Times New Roman" w:cs="Times New Roman"/>
          <w:bCs/>
          <w:noProof/>
          <w:sz w:val="24"/>
          <w:szCs w:val="24"/>
        </w:rPr>
        <w:instrText xml:space="preserve"> REF _Ref</w:instrText>
      </w:r>
      <w:r>
        <w:rPr>
          <w:rFonts w:ascii="Times New Roman" w:hAnsi="Times New Roman" w:cs="Times New Roman"/>
          <w:bCs/>
          <w:noProof/>
          <w:sz w:val="24"/>
          <w:szCs w:val="24"/>
        </w:rPr>
        <w:instrText xml:space="preserve">469751663 \h  \* MERGEFORMAT </w:instrText>
      </w:r>
      <w:r>
        <w:rPr>
          <w:rFonts w:ascii="Times New Roman" w:hAnsi="Times New Roman" w:cs="Times New Roman"/>
          <w:bCs/>
          <w:noProof/>
          <w:sz w:val="24"/>
          <w:szCs w:val="24"/>
        </w:rPr>
      </w:r>
      <w:r>
        <w:rPr>
          <w:rFonts w:ascii="Times New Roman" w:hAnsi="Times New Roman" w:cs="Times New Roman"/>
          <w:bCs/>
          <w:noProof/>
          <w:sz w:val="24"/>
          <w:szCs w:val="24"/>
        </w:rPr>
        <w:fldChar w:fldCharType="separate"/>
      </w:r>
      <w:r>
        <w:rPr>
          <w:rFonts w:ascii="Times New Roman" w:hAnsi="Times New Roman" w:cs="Times New Roman"/>
          <w:noProof/>
          <w:sz w:val="24"/>
          <w:szCs w:val="24"/>
        </w:rPr>
        <w:t>фигура 7</w:t>
      </w:r>
      <w:r>
        <w:rPr>
          <w:rFonts w:ascii="Times New Roman" w:hAnsi="Times New Roman" w:cs="Times New Roman"/>
          <w:bCs/>
          <w:noProof/>
          <w:sz w:val="24"/>
          <w:szCs w:val="24"/>
        </w:rPr>
        <w:fldChar w:fldCharType="end"/>
      </w:r>
      <w:r>
        <w:rPr>
          <w:rFonts w:ascii="Times New Roman" w:hAnsi="Times New Roman"/>
          <w:noProof/>
          <w:sz w:val="24"/>
        </w:rPr>
        <w:t xml:space="preserve"> обаче, пречките остават, например относно обслужване „на едно гише“ или автоматичното издаване на разрешително след крайния срок.</w:t>
      </w:r>
    </w:p>
    <w:p w:rsidR="00C8158D" w:rsidRDefault="00566E1C">
      <w:pPr>
        <w:spacing w:after="180" w:line="280" w:lineRule="atLeast"/>
        <w:jc w:val="both"/>
        <w:rPr>
          <w:rFonts w:ascii="Times New Roman" w:hAnsi="Times New Roman" w:cs="Times New Roman"/>
          <w:bCs/>
          <w:noProof/>
          <w:sz w:val="24"/>
          <w:szCs w:val="24"/>
        </w:rPr>
      </w:pPr>
      <w:r>
        <w:rPr>
          <w:rFonts w:ascii="Times New Roman" w:hAnsi="Times New Roman"/>
          <w:noProof/>
          <w:sz w:val="24"/>
        </w:rPr>
        <w:t>По отношение на въвеж</w:t>
      </w:r>
      <w:r>
        <w:rPr>
          <w:rFonts w:ascii="Times New Roman" w:hAnsi="Times New Roman"/>
          <w:noProof/>
          <w:sz w:val="24"/>
        </w:rPr>
        <w:t>дането на обслужване „на едно гише“ през 2014 г. положението почти не се е променило в сравнение с 2012 г. Само няколко държави като Франция, Белгия и Люксембург са приели тази мярка. Осъществен е малък напредък и по отношение на подаването на заявления он</w:t>
      </w:r>
      <w:r>
        <w:rPr>
          <w:rFonts w:ascii="Times New Roman" w:hAnsi="Times New Roman"/>
          <w:noProof/>
          <w:sz w:val="24"/>
        </w:rPr>
        <w:t>лайн, което Австрия и България започнаха да прилагат. Освен това почти всички държави членки прилагат максимален срок за процедурите. Обаче намаля броят на държавите членки, които прилагат облекчени процедури за малки проекти. В Таблица 2 е направен подроб</w:t>
      </w:r>
      <w:r>
        <w:rPr>
          <w:rFonts w:ascii="Times New Roman" w:hAnsi="Times New Roman"/>
          <w:noProof/>
          <w:sz w:val="24"/>
        </w:rPr>
        <w:t>ен преглед на облекчените процедури на равнище държава членка.</w:t>
      </w:r>
    </w:p>
    <w:p w:rsidR="00C8158D" w:rsidRDefault="00566E1C">
      <w:pPr>
        <w:keepNext/>
        <w:spacing w:after="0" w:line="280" w:lineRule="atLeast"/>
        <w:jc w:val="center"/>
        <w:rPr>
          <w:noProof/>
        </w:rPr>
      </w:pPr>
      <w:r>
        <w:rPr>
          <w:noProof/>
          <w:lang w:val="en-GB" w:eastAsia="en-GB" w:bidi="ar-SA"/>
        </w:rPr>
        <w:drawing>
          <wp:inline distT="0" distB="0" distL="0" distR="0">
            <wp:extent cx="5491609" cy="1901314"/>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12297" cy="1908477"/>
                    </a:xfrm>
                    <a:prstGeom prst="rect">
                      <a:avLst/>
                    </a:prstGeom>
                    <a:noFill/>
                    <a:ln>
                      <a:noFill/>
                    </a:ln>
                  </pic:spPr>
                </pic:pic>
              </a:graphicData>
            </a:graphic>
          </wp:inline>
        </w:drawing>
      </w:r>
    </w:p>
    <w:p w:rsidR="00C8158D" w:rsidRDefault="00566E1C">
      <w:pPr>
        <w:pStyle w:val="Caption"/>
        <w:ind w:hanging="2297"/>
        <w:rPr>
          <w:bCs w:val="0"/>
          <w:noProof/>
          <w:sz w:val="24"/>
          <w:szCs w:val="24"/>
        </w:rPr>
      </w:pPr>
      <w:bookmarkStart w:id="14" w:name="_Ref469751663"/>
      <w:bookmarkStart w:id="15" w:name="_Ref469751660"/>
      <w:r>
        <w:rPr>
          <w:noProof/>
        </w:rPr>
        <w:t xml:space="preserve">Фигура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14"/>
      <w:r>
        <w:rPr>
          <w:noProof/>
        </w:rPr>
        <w:t>: Административни пречки в ЕС през 2014 г. (брой засегнати държави членки) (източник: Öko-Institut)</w:t>
      </w:r>
      <w:bookmarkEnd w:id="15"/>
    </w:p>
    <w:p w:rsidR="00C8158D" w:rsidRDefault="00566E1C">
      <w:pPr>
        <w:spacing w:after="180" w:line="280" w:lineRule="atLeast"/>
        <w:jc w:val="both"/>
        <w:rPr>
          <w:rFonts w:ascii="Times New Roman" w:hAnsi="Times New Roman" w:cs="Times New Roman"/>
          <w:bCs/>
          <w:noProof/>
          <w:sz w:val="24"/>
          <w:szCs w:val="24"/>
        </w:rPr>
        <w:sectPr w:rsidR="00C8158D" w:rsidSect="00566E1C">
          <w:headerReference w:type="even" r:id="rId36"/>
          <w:headerReference w:type="default" r:id="rId37"/>
          <w:footerReference w:type="even" r:id="rId38"/>
          <w:footerReference w:type="default" r:id="rId39"/>
          <w:headerReference w:type="first" r:id="rId40"/>
          <w:footerReference w:type="first" r:id="rId41"/>
          <w:pgSz w:w="11906" w:h="16838"/>
          <w:pgMar w:top="1134" w:right="1417" w:bottom="1134" w:left="1417" w:header="709" w:footer="709" w:gutter="0"/>
          <w:pgNumType w:start="13"/>
          <w:cols w:space="720"/>
          <w:docGrid w:linePitch="360"/>
        </w:sectPr>
      </w:pPr>
      <w:r>
        <w:rPr>
          <w:noProof/>
        </w:rPr>
        <w:br w:type="page"/>
      </w:r>
    </w:p>
    <w:p w:rsidR="00C8158D" w:rsidRDefault="00566E1C">
      <w:pPr>
        <w:keepNext/>
        <w:spacing w:after="180" w:line="280" w:lineRule="atLeast"/>
        <w:jc w:val="center"/>
        <w:rPr>
          <w:noProof/>
        </w:rPr>
      </w:pPr>
      <w:r>
        <w:rPr>
          <w:noProof/>
          <w:lang w:val="en-GB" w:eastAsia="en-GB" w:bidi="ar-SA"/>
        </w:rPr>
        <w:drawing>
          <wp:inline distT="0" distB="0" distL="0" distR="0">
            <wp:extent cx="9248774" cy="5162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48774" cy="5162550"/>
                    </a:xfrm>
                    <a:prstGeom prst="rect">
                      <a:avLst/>
                    </a:prstGeom>
                    <a:noFill/>
                    <a:ln>
                      <a:noFill/>
                    </a:ln>
                  </pic:spPr>
                </pic:pic>
              </a:graphicData>
            </a:graphic>
          </wp:inline>
        </w:drawing>
      </w:r>
    </w:p>
    <w:p w:rsidR="00C8158D" w:rsidRDefault="00566E1C">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Наличност на облекчени административни процедури в държавите - членки на ЕС през 2014 г. (източник: Öko-Institut)</w:t>
      </w:r>
    </w:p>
    <w:p w:rsidR="00C8158D" w:rsidRDefault="00566E1C">
      <w:pPr>
        <w:spacing w:after="180" w:line="280" w:lineRule="atLeast"/>
        <w:jc w:val="both"/>
        <w:rPr>
          <w:rFonts w:ascii="Times New Roman" w:hAnsi="Times New Roman" w:cs="Times New Roman"/>
          <w:b/>
          <w:bCs/>
          <w:noProof/>
          <w:sz w:val="24"/>
          <w:szCs w:val="24"/>
        </w:rPr>
        <w:sectPr w:rsidR="00C8158D" w:rsidSect="00566E1C">
          <w:headerReference w:type="even" r:id="rId43"/>
          <w:headerReference w:type="default" r:id="rId44"/>
          <w:footerReference w:type="even" r:id="rId45"/>
          <w:footerReference w:type="default" r:id="rId46"/>
          <w:headerReference w:type="first" r:id="rId47"/>
          <w:footerReference w:type="first" r:id="rId48"/>
          <w:pgSz w:w="16838" w:h="11906" w:orient="landscape"/>
          <w:pgMar w:top="1417" w:right="1134" w:bottom="1417" w:left="1134" w:header="709" w:footer="709" w:gutter="0"/>
          <w:pgNumType w:start="15"/>
          <w:cols w:space="720"/>
          <w:docGrid w:linePitch="360"/>
        </w:sectPr>
      </w:pPr>
      <w:r>
        <w:rPr>
          <w:noProof/>
        </w:rPr>
        <w:br w:type="page"/>
      </w:r>
    </w:p>
    <w:p w:rsidR="00C8158D" w:rsidRDefault="00566E1C">
      <w:pPr>
        <w:pStyle w:val="Heading1"/>
        <w:rPr>
          <w:noProof/>
        </w:rPr>
      </w:pPr>
      <w:r>
        <w:rPr>
          <w:noProof/>
        </w:rPr>
        <w:t xml:space="preserve">3. ОЦЕНКА НА УСТОЙЧИВОСТТА НА </w:t>
      </w:r>
      <w:r>
        <w:rPr>
          <w:noProof/>
        </w:rPr>
        <w:t>ПРОИЗВОДСТВОТО НА БИОГОРИВА В ЕС</w:t>
      </w:r>
    </w:p>
    <w:p w:rsidR="00C8158D" w:rsidRDefault="00566E1C">
      <w:pPr>
        <w:pStyle w:val="Heading2"/>
        <w:numPr>
          <w:ilvl w:val="0"/>
          <w:numId w:val="3"/>
        </w:numPr>
        <w:rPr>
          <w:noProof/>
        </w:rPr>
      </w:pPr>
      <w:r>
        <w:rPr>
          <w:noProof/>
        </w:rPr>
        <w:t>Емисии на парникови газове</w:t>
      </w:r>
    </w:p>
    <w:p w:rsidR="00C8158D" w:rsidRDefault="00566E1C">
      <w:pPr>
        <w:spacing w:after="180" w:line="280" w:lineRule="atLeast"/>
        <w:jc w:val="both"/>
        <w:rPr>
          <w:rFonts w:ascii="Times New Roman" w:hAnsi="Times New Roman"/>
          <w:noProof/>
          <w:sz w:val="24"/>
        </w:rPr>
      </w:pPr>
      <w:r>
        <w:rPr>
          <w:rFonts w:ascii="Times New Roman" w:hAnsi="Times New Roman"/>
          <w:noProof/>
          <w:sz w:val="24"/>
        </w:rPr>
        <w:t>Държавите членки съобщават за нетни намаления на емисиите на парникови газове с около 35 милиона тона (Mt)</w:t>
      </w:r>
      <w:r>
        <w:rPr>
          <w:rFonts w:ascii="Times New Roman" w:hAnsi="Times New Roman"/>
          <w:noProof/>
        </w:rPr>
        <w:t xml:space="preserve"> </w:t>
      </w: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еквивалент през 2014 г. в резултат от използването на енергия от възобновяеми източници в транспорта. Повечето от тези намаления се дължат на използването на биогорива, при малка, но нарастваща роля на електроенергията от ВЕИ. Тези намаления обхващат само</w:t>
      </w:r>
      <w:r>
        <w:rPr>
          <w:rFonts w:ascii="Times New Roman" w:hAnsi="Times New Roman"/>
          <w:noProof/>
          <w:sz w:val="24"/>
        </w:rPr>
        <w:t xml:space="preserve"> преките емисии и не включват емисии от непреки промени в земеползването (ILUC).</w:t>
      </w:r>
    </w:p>
    <w:p w:rsidR="00C8158D" w:rsidRDefault="00566E1C">
      <w:pPr>
        <w:spacing w:after="180" w:line="280" w:lineRule="atLeast"/>
        <w:jc w:val="both"/>
        <w:rPr>
          <w:rFonts w:ascii="Times New Roman" w:hAnsi="Times New Roman"/>
          <w:noProof/>
          <w:sz w:val="24"/>
        </w:rPr>
      </w:pPr>
      <w:r>
        <w:rPr>
          <w:rFonts w:ascii="Times New Roman" w:hAnsi="Times New Roman"/>
          <w:noProof/>
          <w:sz w:val="24"/>
        </w:rPr>
        <w:t>Очакваните емисии вследствие на непреки промени в земеползването, свързани с биогорива, които са консумирани в ЕС, възлизат на 23 Mt CO</w:t>
      </w:r>
      <w:r>
        <w:rPr>
          <w:rFonts w:ascii="Times New Roman" w:hAnsi="Times New Roman"/>
          <w:noProof/>
          <w:sz w:val="24"/>
          <w:vertAlign w:val="subscript"/>
        </w:rPr>
        <w:t>2</w:t>
      </w:r>
      <w:r>
        <w:rPr>
          <w:rFonts w:ascii="Times New Roman" w:hAnsi="Times New Roman"/>
          <w:noProof/>
          <w:sz w:val="24"/>
        </w:rPr>
        <w:t xml:space="preserve"> еквивалент, което показва нетно намале</w:t>
      </w:r>
      <w:r>
        <w:rPr>
          <w:rFonts w:ascii="Times New Roman" w:hAnsi="Times New Roman"/>
          <w:noProof/>
          <w:sz w:val="24"/>
        </w:rPr>
        <w:t>ние 12 Mt CO</w:t>
      </w:r>
      <w:r>
        <w:rPr>
          <w:rFonts w:ascii="Times New Roman" w:hAnsi="Times New Roman"/>
          <w:noProof/>
          <w:sz w:val="24"/>
          <w:vertAlign w:val="subscript"/>
        </w:rPr>
        <w:t>2</w:t>
      </w:r>
      <w:r>
        <w:rPr>
          <w:rFonts w:ascii="Times New Roman" w:hAnsi="Times New Roman"/>
          <w:noProof/>
          <w:sz w:val="24"/>
        </w:rPr>
        <w:t xml:space="preserve"> еквивалент</w:t>
      </w:r>
      <w:r>
        <w:rPr>
          <w:rFonts w:ascii="Times New Roman" w:hAnsi="Times New Roman"/>
          <w:noProof/>
          <w:sz w:val="24"/>
          <w:vertAlign w:val="superscript"/>
        </w:rPr>
        <w:footnoteReference w:id="26"/>
      </w:r>
      <w:r>
        <w:rPr>
          <w:rFonts w:ascii="Times New Roman" w:hAnsi="Times New Roman"/>
          <w:noProof/>
          <w:sz w:val="24"/>
        </w:rPr>
        <w:t>. Като се приложи съответният диапазон на чувствителност, посочен в приложение VIII на Директивата за енергията от възобновяеми източници, емисиите от непреки промени в земеползването биха били между 14 и 28 Mt CO</w:t>
      </w:r>
      <w:r>
        <w:rPr>
          <w:rFonts w:ascii="Times New Roman" w:hAnsi="Times New Roman"/>
          <w:noProof/>
          <w:sz w:val="24"/>
          <w:vertAlign w:val="subscript"/>
        </w:rPr>
        <w:t>2</w:t>
      </w:r>
      <w:r>
        <w:rPr>
          <w:rFonts w:ascii="Times New Roman" w:hAnsi="Times New Roman"/>
          <w:noProof/>
          <w:sz w:val="24"/>
        </w:rPr>
        <w:t xml:space="preserve"> еквивалент, а съ</w:t>
      </w:r>
      <w:r>
        <w:rPr>
          <w:rFonts w:ascii="Times New Roman" w:hAnsi="Times New Roman"/>
          <w:noProof/>
          <w:sz w:val="24"/>
        </w:rPr>
        <w:t>ответните нетни намаления — между 7 и 21 Mt CO</w:t>
      </w:r>
      <w:r>
        <w:rPr>
          <w:rFonts w:ascii="Times New Roman" w:hAnsi="Times New Roman"/>
          <w:noProof/>
          <w:sz w:val="24"/>
          <w:vertAlign w:val="subscript"/>
        </w:rPr>
        <w:t>2</w:t>
      </w:r>
      <w:r>
        <w:rPr>
          <w:rFonts w:ascii="Times New Roman" w:hAnsi="Times New Roman"/>
          <w:noProof/>
          <w:sz w:val="24"/>
        </w:rPr>
        <w:t xml:space="preserve"> еквивалент.</w:t>
      </w:r>
    </w:p>
    <w:p w:rsidR="00C8158D" w:rsidRDefault="00566E1C">
      <w:pPr>
        <w:spacing w:after="180" w:line="280" w:lineRule="atLeast"/>
        <w:jc w:val="both"/>
        <w:rPr>
          <w:rFonts w:ascii="Times New Roman" w:hAnsi="Times New Roman" w:cs="Times New Roman"/>
          <w:noProof/>
          <w:sz w:val="24"/>
        </w:rPr>
      </w:pPr>
      <w:r>
        <w:rPr>
          <w:rFonts w:ascii="Times New Roman" w:hAnsi="Times New Roman"/>
          <w:noProof/>
          <w:sz w:val="24"/>
        </w:rPr>
        <w:t>Проведеното неотдавна моделиране</w:t>
      </w:r>
      <w:r>
        <w:rPr>
          <w:rStyle w:val="FootnoteReference"/>
          <w:rFonts w:ascii="Times New Roman" w:hAnsi="Times New Roman"/>
          <w:noProof/>
        </w:rPr>
        <w:footnoteReference w:id="27"/>
      </w:r>
      <w:r>
        <w:rPr>
          <w:rFonts w:ascii="Times New Roman" w:hAnsi="Times New Roman"/>
          <w:noProof/>
          <w:sz w:val="24"/>
        </w:rPr>
        <w:t xml:space="preserve"> на влиянието на отделните суровини за биогорива върху емисиите от непреки промени в земеползването потвърждават, че тези емисии може да са много по-високи при био</w:t>
      </w:r>
      <w:r>
        <w:rPr>
          <w:rFonts w:ascii="Times New Roman" w:hAnsi="Times New Roman"/>
          <w:noProof/>
          <w:sz w:val="24"/>
        </w:rPr>
        <w:t>горива, произведени от растителни масла, в сравнение с биогорива, произведени от скорбяла или захар. Съвременните биогорива от нехранителни посеви в повечето случаи имат много ниски ILUC емисии или нямат такива.</w:t>
      </w:r>
    </w:p>
    <w:p w:rsidR="00C8158D" w:rsidRDefault="00566E1C">
      <w:pPr>
        <w:pStyle w:val="Heading2"/>
        <w:numPr>
          <w:ilvl w:val="0"/>
          <w:numId w:val="3"/>
        </w:numPr>
        <w:rPr>
          <w:noProof/>
        </w:rPr>
      </w:pPr>
      <w:r>
        <w:rPr>
          <w:noProof/>
        </w:rPr>
        <w:t>Търговия и основни страни доставчици</w:t>
      </w:r>
    </w:p>
    <w:p w:rsidR="00C8158D" w:rsidRDefault="00566E1C">
      <w:pPr>
        <w:spacing w:after="180" w:line="280" w:lineRule="atLeast"/>
        <w:jc w:val="both"/>
        <w:rPr>
          <w:rFonts w:ascii="Times New Roman" w:hAnsi="Times New Roman"/>
          <w:noProof/>
          <w:sz w:val="24"/>
        </w:rPr>
      </w:pPr>
      <w:r>
        <w:rPr>
          <w:rFonts w:ascii="Times New Roman" w:hAnsi="Times New Roman"/>
          <w:noProof/>
          <w:sz w:val="24"/>
        </w:rPr>
        <w:t>През 20</w:t>
      </w:r>
      <w:r>
        <w:rPr>
          <w:rFonts w:ascii="Times New Roman" w:hAnsi="Times New Roman"/>
          <w:noProof/>
          <w:sz w:val="24"/>
        </w:rPr>
        <w:t>14 г. около 10 % от биоетанола и около 26 % от биодизела, използвани в ЕС, са били внос. Основните страни износителки са били Малайзия за биодизел и Гватемала, Боливия, Пакистан, Русия и Перу за биоетанол</w:t>
      </w:r>
      <w:r>
        <w:rPr>
          <w:rStyle w:val="FootnoteReference"/>
          <w:rFonts w:ascii="Times New Roman" w:hAnsi="Times New Roman"/>
          <w:noProof/>
        </w:rPr>
        <w:footnoteReference w:id="28"/>
      </w:r>
      <w:r>
        <w:rPr>
          <w:rFonts w:ascii="Times New Roman" w:hAnsi="Times New Roman"/>
          <w:noProof/>
          <w:sz w:val="24"/>
        </w:rPr>
        <w:t>. Три от тях</w:t>
      </w:r>
      <w:r>
        <w:rPr>
          <w:rStyle w:val="FootnoteReference"/>
          <w:rFonts w:ascii="Times New Roman" w:hAnsi="Times New Roman"/>
          <w:noProof/>
        </w:rPr>
        <w:footnoteReference w:id="29"/>
      </w:r>
      <w:r>
        <w:rPr>
          <w:rFonts w:ascii="Times New Roman" w:hAnsi="Times New Roman"/>
          <w:noProof/>
          <w:sz w:val="24"/>
        </w:rPr>
        <w:t xml:space="preserve"> участват в специалния насърчителен ре</w:t>
      </w:r>
      <w:r>
        <w:rPr>
          <w:rFonts w:ascii="Times New Roman" w:hAnsi="Times New Roman"/>
          <w:noProof/>
          <w:sz w:val="24"/>
        </w:rPr>
        <w:t>жим за устойчиво развитие и добро управление („ОСП+“) на ЕС. В първия доклад относно Общата схема от преференции за периода 2014—2015 г.</w:t>
      </w:r>
      <w:r>
        <w:rPr>
          <w:rStyle w:val="FootnoteReference"/>
          <w:rFonts w:ascii="Times New Roman" w:hAnsi="Times New Roman"/>
          <w:noProof/>
        </w:rPr>
        <w:footnoteReference w:id="30"/>
      </w:r>
      <w:r>
        <w:rPr>
          <w:rFonts w:ascii="Times New Roman" w:hAnsi="Times New Roman"/>
          <w:noProof/>
          <w:sz w:val="24"/>
        </w:rPr>
        <w:t xml:space="preserve"> се прави анализ на положението във връзка с правата на човека и трудовите права, опазването на околната среда и доброт</w:t>
      </w:r>
      <w:r>
        <w:rPr>
          <w:rFonts w:ascii="Times New Roman" w:hAnsi="Times New Roman"/>
          <w:noProof/>
          <w:sz w:val="24"/>
        </w:rPr>
        <w:t>о управление в тези страни. През 2015 г. вносът на биоетанол и биодизел е намалял, като най-голямо е намалението на вноса на етанол от държави от ОСП+.</w:t>
      </w:r>
    </w:p>
    <w:p w:rsidR="00C8158D" w:rsidRDefault="00566E1C">
      <w:pPr>
        <w:spacing w:after="180" w:line="280" w:lineRule="atLeast"/>
        <w:jc w:val="both"/>
        <w:rPr>
          <w:rFonts w:ascii="Times New Roman" w:hAnsi="Times New Roman" w:cs="Times New Roman"/>
          <w:bCs/>
          <w:noProof/>
          <w:sz w:val="24"/>
          <w:szCs w:val="24"/>
        </w:rPr>
      </w:pPr>
      <w:r>
        <w:rPr>
          <w:rFonts w:ascii="Times New Roman" w:hAnsi="Times New Roman"/>
          <w:noProof/>
          <w:sz w:val="24"/>
        </w:rPr>
        <w:t xml:space="preserve">Данните относно разпределението на суровините за производство на биоетанол и биодизел, използвани в ЕС, </w:t>
      </w:r>
      <w:r>
        <w:rPr>
          <w:rFonts w:ascii="Times New Roman" w:hAnsi="Times New Roman"/>
          <w:noProof/>
          <w:sz w:val="24"/>
        </w:rPr>
        <w:t>се различават в зависимост от източника на информация</w:t>
      </w:r>
      <w:r>
        <w:rPr>
          <w:rFonts w:ascii="Times New Roman" w:hAnsi="Times New Roman"/>
          <w:noProof/>
          <w:sz w:val="24"/>
          <w:vertAlign w:val="superscript"/>
        </w:rPr>
        <w:footnoteReference w:id="31"/>
      </w:r>
      <w:r>
        <w:rPr>
          <w:rFonts w:ascii="Times New Roman" w:hAnsi="Times New Roman"/>
          <w:noProof/>
          <w:sz w:val="24"/>
        </w:rPr>
        <w:t xml:space="preserve">. Всички налични източници обаче потвърждават, че етанолът в ЕС се произвежда главно от пшеница, царевица и захарно цвекло, и че през 2014 г. над 50 % от биодизелът, използван в ЕС, е бил произведен от </w:t>
      </w:r>
      <w:r>
        <w:rPr>
          <w:rFonts w:ascii="Times New Roman" w:hAnsi="Times New Roman"/>
          <w:noProof/>
          <w:sz w:val="24"/>
        </w:rPr>
        <w:t>семена от рапица, а използването на отпадъчни масла и мазнини и също така на палмово масло е нараснало значително от 2010 г. насам</w:t>
      </w:r>
      <w:r>
        <w:rPr>
          <w:rStyle w:val="FootnoteReference"/>
          <w:rFonts w:ascii="Times New Roman" w:hAnsi="Times New Roman"/>
          <w:noProof/>
        </w:rPr>
        <w:footnoteReference w:id="32"/>
      </w:r>
      <w:r>
        <w:rPr>
          <w:rFonts w:ascii="Times New Roman" w:hAnsi="Times New Roman"/>
          <w:noProof/>
          <w:sz w:val="24"/>
        </w:rPr>
        <w:t>. Според данните от промишлеността над 60 % от биодизела и над 90 % от биоетанола, използвани в ЕС, са произведени от суровин</w:t>
      </w:r>
      <w:r>
        <w:rPr>
          <w:rFonts w:ascii="Times New Roman" w:hAnsi="Times New Roman"/>
          <w:noProof/>
          <w:sz w:val="24"/>
        </w:rPr>
        <w:t>и от ЕС</w:t>
      </w:r>
      <w:r>
        <w:rPr>
          <w:rStyle w:val="FootnoteReference"/>
          <w:rFonts w:ascii="Times New Roman" w:hAnsi="Times New Roman"/>
          <w:noProof/>
        </w:rPr>
        <w:footnoteReference w:id="33"/>
      </w:r>
      <w:r>
        <w:rPr>
          <w:rFonts w:ascii="Times New Roman" w:hAnsi="Times New Roman"/>
          <w:noProof/>
          <w:sz w:val="24"/>
        </w:rPr>
        <w:t>.</w:t>
      </w:r>
    </w:p>
    <w:p w:rsidR="00C8158D" w:rsidRDefault="00566E1C">
      <w:pPr>
        <w:spacing w:after="0" w:line="240" w:lineRule="auto"/>
        <w:jc w:val="both"/>
        <w:rPr>
          <w:rFonts w:ascii="Times New Roman" w:hAnsi="Times New Roman" w:cs="Times New Roman"/>
          <w:bCs/>
          <w:noProof/>
          <w:sz w:val="24"/>
          <w:szCs w:val="24"/>
        </w:rPr>
      </w:pPr>
      <w:r>
        <w:rPr>
          <w:rFonts w:ascii="Times New Roman" w:hAnsi="Times New Roman"/>
          <w:noProof/>
          <w:sz w:val="24"/>
        </w:rPr>
        <w:t>Суровините от страни извън ЕС за производството на биоетанол се внасят от Украйна (царевица, пшеница), Канада (пшеница), Русия и Молдова (ечемик, ръж) и Сърбия (захарно цвекло)</w:t>
      </w:r>
      <w:r>
        <w:rPr>
          <w:rStyle w:val="FootnoteReference"/>
          <w:rFonts w:ascii="Times New Roman" w:hAnsi="Times New Roman"/>
          <w:noProof/>
        </w:rPr>
        <w:footnoteReference w:id="34"/>
      </w:r>
      <w:r>
        <w:rPr>
          <w:noProof/>
        </w:rPr>
        <w:t>.</w:t>
      </w:r>
      <w:r>
        <w:rPr>
          <w:rFonts w:ascii="Times New Roman" w:hAnsi="Times New Roman"/>
          <w:noProof/>
          <w:sz w:val="24"/>
        </w:rPr>
        <w:t xml:space="preserve"> Най-големите износителки на суровини за биодизел за ЕС са били Индо</w:t>
      </w:r>
      <w:r>
        <w:rPr>
          <w:rFonts w:ascii="Times New Roman" w:hAnsi="Times New Roman"/>
          <w:noProof/>
          <w:sz w:val="24"/>
        </w:rPr>
        <w:t>незия и Малайзия (палмово масло), Бразилия и САЩ (соя)</w:t>
      </w:r>
      <w:r>
        <w:rPr>
          <w:rFonts w:ascii="Times New Roman" w:hAnsi="Times New Roman"/>
          <w:noProof/>
          <w:sz w:val="24"/>
          <w:vertAlign w:val="superscript"/>
        </w:rPr>
        <w:footnoteReference w:id="35"/>
      </w:r>
      <w:r>
        <w:rPr>
          <w:rFonts w:ascii="Times New Roman" w:hAnsi="Times New Roman"/>
          <w:noProof/>
          <w:sz w:val="24"/>
        </w:rPr>
        <w:t>. Повечето рапично масло има произход от ЕС</w:t>
      </w:r>
      <w:r>
        <w:rPr>
          <w:rStyle w:val="FootnoteReference"/>
          <w:rFonts w:ascii="Times New Roman" w:hAnsi="Times New Roman"/>
          <w:noProof/>
        </w:rPr>
        <w:footnoteReference w:id="36"/>
      </w:r>
      <w:r>
        <w:rPr>
          <w:rFonts w:ascii="Times New Roman" w:hAnsi="Times New Roman"/>
          <w:noProof/>
          <w:sz w:val="24"/>
        </w:rPr>
        <w:t>. Потенциалът за суровини за възобновяеми горива от нови поколения е много голям, но производствените мощности в стопанки мащаб са все още ограничени.</w:t>
      </w:r>
    </w:p>
    <w:p w:rsidR="00C8158D" w:rsidRDefault="00566E1C">
      <w:pPr>
        <w:keepNext/>
        <w:jc w:val="center"/>
        <w:rPr>
          <w:noProof/>
        </w:rPr>
      </w:pPr>
      <w:r>
        <w:rPr>
          <w:noProof/>
          <w:lang w:val="en-GB" w:eastAsia="en-GB" w:bidi="ar-SA"/>
        </w:rPr>
        <w:drawing>
          <wp:inline distT="0" distB="0" distL="0" distR="0">
            <wp:extent cx="4152900" cy="416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52900" cy="4160520"/>
                    </a:xfrm>
                    <a:prstGeom prst="rect">
                      <a:avLst/>
                    </a:prstGeom>
                    <a:noFill/>
                    <a:ln>
                      <a:noFill/>
                    </a:ln>
                  </pic:spPr>
                </pic:pic>
              </a:graphicData>
            </a:graphic>
          </wp:inline>
        </w:drawing>
      </w:r>
    </w:p>
    <w:p w:rsidR="00C8158D" w:rsidRDefault="00566E1C">
      <w:pPr>
        <w:pStyle w:val="Caption"/>
        <w:rPr>
          <w:noProof/>
        </w:rPr>
      </w:pPr>
      <w:r>
        <w:rPr>
          <w:noProof/>
        </w:rPr>
        <w:t>Табл</w:t>
      </w:r>
      <w:r>
        <w:rPr>
          <w:noProof/>
        </w:rPr>
        <w:t xml:space="preserve">ица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Суровинна основа за производството на биоетанол и биодизел в ЕС-28 през 2014 г. (източник: USDA FAS 2016)</w:t>
      </w:r>
    </w:p>
    <w:p w:rsidR="00C8158D" w:rsidRDefault="00566E1C">
      <w:pPr>
        <w:pStyle w:val="Heading2"/>
        <w:pageBreakBefore/>
        <w:numPr>
          <w:ilvl w:val="0"/>
          <w:numId w:val="3"/>
        </w:numPr>
        <w:rPr>
          <w:noProof/>
        </w:rPr>
      </w:pPr>
      <w:r>
        <w:rPr>
          <w:noProof/>
        </w:rPr>
        <w:t>Земеползване и промени в земеползването</w:t>
      </w:r>
    </w:p>
    <w:p w:rsidR="00C8158D" w:rsidRDefault="00566E1C">
      <w:pPr>
        <w:spacing w:after="180" w:line="280" w:lineRule="atLeast"/>
        <w:jc w:val="both"/>
        <w:rPr>
          <w:rFonts w:ascii="Times New Roman" w:hAnsi="Times New Roman" w:cs="Times New Roman"/>
          <w:bCs/>
          <w:noProof/>
          <w:sz w:val="24"/>
          <w:szCs w:val="24"/>
        </w:rPr>
      </w:pPr>
      <w:r>
        <w:rPr>
          <w:rFonts w:ascii="Times New Roman" w:hAnsi="Times New Roman"/>
          <w:noProof/>
          <w:sz w:val="24"/>
        </w:rPr>
        <w:t>Докато горските площи, включително естествените гори и изкуствените залесени пл</w:t>
      </w:r>
      <w:r>
        <w:rPr>
          <w:rFonts w:ascii="Times New Roman" w:hAnsi="Times New Roman"/>
          <w:noProof/>
          <w:sz w:val="24"/>
        </w:rPr>
        <w:t>ощи в ЕС са се увеличили през периода 2000—2016 г., пасищата са намалели. През 2015 г. съотношението пасища към земеделска земя е намаляло с 2,01 % в сравнение с референтното съотношение, изчислено въз основа на данни за 2005 г.</w:t>
      </w:r>
      <w:r>
        <w:rPr>
          <w:rFonts w:ascii="Times New Roman" w:hAnsi="Times New Roman"/>
          <w:noProof/>
          <w:sz w:val="24"/>
          <w:vertAlign w:val="superscript"/>
        </w:rPr>
        <w:footnoteReference w:id="37"/>
      </w:r>
      <w:r>
        <w:rPr>
          <w:rFonts w:ascii="Times New Roman" w:hAnsi="Times New Roman"/>
          <w:noProof/>
          <w:sz w:val="24"/>
        </w:rPr>
        <w:t>. Загубата на постоянни пас</w:t>
      </w:r>
      <w:r>
        <w:rPr>
          <w:rFonts w:ascii="Times New Roman" w:hAnsi="Times New Roman"/>
          <w:noProof/>
          <w:sz w:val="24"/>
        </w:rPr>
        <w:t>ища между 2006 и 2016 г. възлиза на 3 млн. ха (-4.9 %)</w:t>
      </w:r>
      <w:r>
        <w:rPr>
          <w:rFonts w:ascii="Times New Roman" w:hAnsi="Times New Roman"/>
          <w:noProof/>
          <w:sz w:val="24"/>
          <w:vertAlign w:val="superscript"/>
        </w:rPr>
        <w:footnoteReference w:id="38"/>
      </w:r>
      <w:r>
        <w:rPr>
          <w:rFonts w:ascii="Times New Roman" w:hAnsi="Times New Roman"/>
          <w:noProof/>
          <w:sz w:val="24"/>
        </w:rPr>
        <w:t>. При все че не бе открита пряка причинно-следствена връзка между загубата на пасища и увеличаването на обработваемата земя, използвана за производството на биогорива в Съюза като цяло, такава връзка б</w:t>
      </w:r>
      <w:r>
        <w:rPr>
          <w:rFonts w:ascii="Times New Roman" w:hAnsi="Times New Roman"/>
          <w:noProof/>
          <w:sz w:val="24"/>
        </w:rPr>
        <w:t>е докладвана от една държава членка</w:t>
      </w:r>
      <w:r>
        <w:rPr>
          <w:rStyle w:val="FootnoteReference"/>
          <w:rFonts w:ascii="Times New Roman" w:hAnsi="Times New Roman"/>
          <w:noProof/>
        </w:rPr>
        <w:footnoteReference w:id="39"/>
      </w:r>
      <w:r>
        <w:rPr>
          <w:rFonts w:ascii="Times New Roman" w:hAnsi="Times New Roman"/>
          <w:noProof/>
          <w:sz w:val="24"/>
        </w:rPr>
        <w:t>.</w:t>
      </w:r>
    </w:p>
    <w:p w:rsidR="00C8158D" w:rsidRDefault="00566E1C">
      <w:pPr>
        <w:spacing w:after="180" w:line="280" w:lineRule="atLeast"/>
        <w:jc w:val="both"/>
        <w:rPr>
          <w:rFonts w:ascii="Times New Roman" w:hAnsi="Times New Roman" w:cs="Times New Roman"/>
          <w:noProof/>
          <w:sz w:val="24"/>
        </w:rPr>
      </w:pPr>
      <w:r>
        <w:rPr>
          <w:rFonts w:ascii="Times New Roman" w:hAnsi="Times New Roman"/>
          <w:noProof/>
          <w:sz w:val="24"/>
        </w:rPr>
        <w:t>Най-новата разработка за моделиране на непреките промени в земеползването</w:t>
      </w:r>
      <w:r>
        <w:rPr>
          <w:rFonts w:ascii="Times New Roman" w:hAnsi="Times New Roman"/>
          <w:noProof/>
          <w:sz w:val="24"/>
          <w:vertAlign w:val="superscript"/>
        </w:rPr>
        <w:footnoteReference w:id="40"/>
      </w:r>
      <w:r>
        <w:rPr>
          <w:rFonts w:ascii="Times New Roman" w:hAnsi="Times New Roman"/>
          <w:noProof/>
          <w:sz w:val="24"/>
        </w:rPr>
        <w:t xml:space="preserve"> показва, че до 2020 г. политиката на ЕС във връзка с биогоривата може да доведе до нарастване на площта на земеделските земи с 1,8 млн. ха в ЕС</w:t>
      </w:r>
      <w:r>
        <w:rPr>
          <w:rFonts w:ascii="Times New Roman" w:hAnsi="Times New Roman"/>
          <w:noProof/>
          <w:sz w:val="24"/>
        </w:rPr>
        <w:t xml:space="preserve"> и с до 0,6 млн. ха в останалите държави по света, като 0,1 млн. ха от това нарастване ще бъдат за сметка на горите. Нарастването на земеделските земи в световен мащаб ще стане за сметка на пасища (-1,1 млн. ха), пустеещи земи (-0,9 млн. ха) и друга естест</w:t>
      </w:r>
      <w:r>
        <w:rPr>
          <w:rFonts w:ascii="Times New Roman" w:hAnsi="Times New Roman"/>
          <w:noProof/>
          <w:sz w:val="24"/>
        </w:rPr>
        <w:t>вена растителност (</w:t>
      </w:r>
      <w:r>
        <w:rPr>
          <w:rFonts w:ascii="Times New Roman" w:hAnsi="Times New Roman"/>
          <w:noProof/>
          <w:sz w:val="24"/>
        </w:rPr>
        <w:noBreakHyphen/>
        <w:t>0,4 млн. ха).</w:t>
      </w:r>
    </w:p>
    <w:p w:rsidR="00C8158D" w:rsidRDefault="00C8158D">
      <w:pPr>
        <w:spacing w:after="180" w:line="280" w:lineRule="atLeast"/>
        <w:jc w:val="both"/>
        <w:rPr>
          <w:rFonts w:ascii="Times New Roman" w:hAnsi="Times New Roman" w:cs="Times New Roman"/>
          <w:noProof/>
          <w:sz w:val="24"/>
        </w:rPr>
      </w:pPr>
    </w:p>
    <w:p w:rsidR="00C8158D" w:rsidRDefault="00566E1C">
      <w:pPr>
        <w:pStyle w:val="Heading2"/>
        <w:numPr>
          <w:ilvl w:val="0"/>
          <w:numId w:val="3"/>
        </w:numPr>
        <w:rPr>
          <w:noProof/>
        </w:rPr>
      </w:pPr>
      <w:r>
        <w:rPr>
          <w:noProof/>
        </w:rPr>
        <w:t>Въпроси във връзка с околната среда, икономиката и развитието</w:t>
      </w:r>
    </w:p>
    <w:p w:rsidR="00C8158D" w:rsidRDefault="00566E1C">
      <w:pPr>
        <w:spacing w:after="180" w:line="280" w:lineRule="atLeast"/>
        <w:jc w:val="both"/>
        <w:rPr>
          <w:rFonts w:ascii="Times New Roman" w:hAnsi="Times New Roman" w:cs="Times New Roman"/>
          <w:noProof/>
          <w:sz w:val="24"/>
        </w:rPr>
      </w:pPr>
      <w:r>
        <w:rPr>
          <w:rFonts w:ascii="Times New Roman" w:hAnsi="Times New Roman"/>
          <w:noProof/>
          <w:sz w:val="24"/>
        </w:rPr>
        <w:t>В ЕС не бяха констатирани значими негативни ефекти от производството на биогорива и нетранспортни течни горива от биомаса върху биологичното разнообразие, водн</w:t>
      </w:r>
      <w:r>
        <w:rPr>
          <w:rFonts w:ascii="Times New Roman" w:hAnsi="Times New Roman"/>
          <w:noProof/>
          <w:sz w:val="24"/>
        </w:rPr>
        <w:t>ите ресурси, качеството на водите и на почвите</w:t>
      </w:r>
      <w:r>
        <w:rPr>
          <w:rStyle w:val="FootnoteReference"/>
          <w:rFonts w:ascii="Times New Roman" w:hAnsi="Times New Roman"/>
          <w:noProof/>
        </w:rPr>
        <w:footnoteReference w:id="41"/>
      </w:r>
      <w:r>
        <w:rPr>
          <w:rFonts w:ascii="Times New Roman" w:hAnsi="Times New Roman"/>
          <w:noProof/>
          <w:sz w:val="24"/>
        </w:rPr>
        <w:t xml:space="preserve">. Непреките промени в земеползването обаче могат да доведат до загуби на биологично разнообразие ако се увеличава обработваемата земя в чувствителни райони, като например гори, а също и пасища с висока степен </w:t>
      </w:r>
      <w:r>
        <w:rPr>
          <w:rFonts w:ascii="Times New Roman" w:hAnsi="Times New Roman"/>
          <w:noProof/>
          <w:sz w:val="24"/>
        </w:rPr>
        <w:t>на биологично разнообразие.</w:t>
      </w:r>
    </w:p>
    <w:p w:rsidR="00C8158D" w:rsidRDefault="00566E1C">
      <w:pPr>
        <w:spacing w:after="180" w:line="280" w:lineRule="atLeast"/>
        <w:jc w:val="both"/>
        <w:rPr>
          <w:rFonts w:ascii="Times New Roman" w:hAnsi="Times New Roman" w:cs="Times New Roman"/>
          <w:noProof/>
          <w:sz w:val="24"/>
        </w:rPr>
      </w:pPr>
      <w:r>
        <w:rPr>
          <w:rStyle w:val="Heading3Char"/>
          <w:i w:val="0"/>
          <w:noProof/>
        </w:rPr>
        <w:t>Що се отнася до</w:t>
      </w:r>
      <w:r>
        <w:rPr>
          <w:rFonts w:ascii="Times New Roman" w:hAnsi="Times New Roman"/>
          <w:noProof/>
          <w:sz w:val="24"/>
        </w:rPr>
        <w:t xml:space="preserve"> </w:t>
      </w:r>
      <w:r>
        <w:rPr>
          <w:rFonts w:ascii="Times New Roman" w:hAnsi="Times New Roman"/>
          <w:b/>
          <w:noProof/>
          <w:sz w:val="24"/>
        </w:rPr>
        <w:t>качеството на почвите</w:t>
      </w:r>
      <w:r>
        <w:rPr>
          <w:rFonts w:ascii="Times New Roman" w:hAnsi="Times New Roman"/>
          <w:noProof/>
          <w:sz w:val="24"/>
        </w:rPr>
        <w:t>, в ЕС тези рискове са обект на общата селскостопанска политика, европейското законодателство и националните законодателства в областта на опазването на околната среда. В трети държави деград</w:t>
      </w:r>
      <w:r>
        <w:rPr>
          <w:rFonts w:ascii="Times New Roman" w:hAnsi="Times New Roman"/>
          <w:noProof/>
          <w:sz w:val="24"/>
        </w:rPr>
        <w:t xml:space="preserve">ация на почвите може да настъпи когато разрастващото се производство на биогорива се извършва върху земи, които не са съвсем подходящи за земеделско ползване. Изследванията показват, че някои търговски партньори на ЕС в областта на суровините за биогорива </w:t>
      </w:r>
      <w:r>
        <w:rPr>
          <w:rFonts w:ascii="Times New Roman" w:hAnsi="Times New Roman"/>
          <w:noProof/>
          <w:sz w:val="24"/>
        </w:rPr>
        <w:t>(като например Русия, Украйна, Канада, Перу и Бразилия) имат райони със земеделски земи, характеризиращи се с ниска пригодност за отглеждане на селскостопански култури (независимо какво е крайното използване на културите), което води до неблагоприятни възд</w:t>
      </w:r>
      <w:r>
        <w:rPr>
          <w:rFonts w:ascii="Times New Roman" w:hAnsi="Times New Roman"/>
          <w:noProof/>
          <w:sz w:val="24"/>
        </w:rPr>
        <w:t>ействия върху почвите</w:t>
      </w:r>
      <w:r>
        <w:rPr>
          <w:rStyle w:val="FootnoteReference"/>
          <w:rFonts w:ascii="Times New Roman" w:hAnsi="Times New Roman"/>
          <w:noProof/>
        </w:rPr>
        <w:footnoteReference w:id="42"/>
      </w:r>
      <w:r>
        <w:rPr>
          <w:rFonts w:ascii="Times New Roman" w:hAnsi="Times New Roman"/>
          <w:noProof/>
          <w:sz w:val="24"/>
        </w:rPr>
        <w:t>.</w:t>
      </w:r>
    </w:p>
    <w:p w:rsidR="00C8158D" w:rsidRDefault="00566E1C">
      <w:pPr>
        <w:spacing w:after="180" w:line="280" w:lineRule="atLeast"/>
        <w:jc w:val="both"/>
        <w:rPr>
          <w:rFonts w:ascii="Times New Roman" w:hAnsi="Times New Roman" w:cs="Times New Roman"/>
          <w:noProof/>
          <w:sz w:val="24"/>
        </w:rPr>
      </w:pPr>
      <w:r>
        <w:rPr>
          <w:rFonts w:ascii="Times New Roman" w:hAnsi="Times New Roman"/>
          <w:noProof/>
          <w:sz w:val="24"/>
        </w:rPr>
        <w:t xml:space="preserve">Не е докладвано въздействие на производството на биогорива върху </w:t>
      </w:r>
      <w:r>
        <w:rPr>
          <w:rFonts w:ascii="Times New Roman" w:hAnsi="Times New Roman"/>
          <w:b/>
          <w:noProof/>
          <w:sz w:val="24"/>
        </w:rPr>
        <w:t>водните ресурси</w:t>
      </w:r>
      <w:r>
        <w:rPr>
          <w:rFonts w:ascii="Times New Roman" w:hAnsi="Times New Roman"/>
          <w:noProof/>
          <w:sz w:val="24"/>
        </w:rPr>
        <w:t xml:space="preserve"> в ЕС. Що се отнася до качеството на водата, Германия съобщава за отрицателни въздействия, дължащи се на нитрати в райони с висока интензивност на животновъдството и използване на над 50 % от обработваемата земя за отглеждане на царевица за биогаз, който о</w:t>
      </w:r>
      <w:r>
        <w:rPr>
          <w:rFonts w:ascii="Times New Roman" w:hAnsi="Times New Roman"/>
          <w:noProof/>
          <w:sz w:val="24"/>
        </w:rPr>
        <w:t>баче се използва главно за производство на електроенергия. В трети страни не са констатирани данни за пряка връзка между производството на биогорива и недостиг на вода в партньорските държави, изнасящи биогорива за ЕС.</w:t>
      </w:r>
    </w:p>
    <w:p w:rsidR="00C8158D" w:rsidRDefault="00566E1C">
      <w:pPr>
        <w:spacing w:after="180" w:line="280" w:lineRule="atLeast"/>
        <w:jc w:val="both"/>
        <w:rPr>
          <w:rFonts w:ascii="Times New Roman" w:hAnsi="Times New Roman"/>
          <w:noProof/>
          <w:sz w:val="24"/>
        </w:rPr>
      </w:pPr>
      <w:r>
        <w:rPr>
          <w:rStyle w:val="Heading3Char"/>
          <w:i w:val="0"/>
          <w:noProof/>
        </w:rPr>
        <w:t xml:space="preserve">По отношение на </w:t>
      </w:r>
      <w:r>
        <w:rPr>
          <w:rStyle w:val="Heading3Char"/>
          <w:b/>
          <w:i w:val="0"/>
          <w:noProof/>
        </w:rPr>
        <w:t>цените на храните</w:t>
      </w:r>
      <w:r>
        <w:rPr>
          <w:rStyle w:val="Heading3Char"/>
          <w:i w:val="0"/>
          <w:noProof/>
        </w:rPr>
        <w:t xml:space="preserve"> сле</w:t>
      </w:r>
      <w:r>
        <w:rPr>
          <w:rStyle w:val="Heading3Char"/>
          <w:i w:val="0"/>
          <w:noProof/>
        </w:rPr>
        <w:t xml:space="preserve">два да се отбележи, че </w:t>
      </w:r>
      <w:r>
        <w:rPr>
          <w:rFonts w:ascii="Times New Roman" w:hAnsi="Times New Roman"/>
          <w:noProof/>
          <w:sz w:val="24"/>
        </w:rPr>
        <w:t>между 2012 г. и 2015 г. цените на селскостопанските стоки намаляха. През 2015 г. цените на растителните масла стигнаха до най-ниското си равнище след 2005 г. (в щатски долари)</w:t>
      </w:r>
      <w:r>
        <w:rPr>
          <w:rStyle w:val="FootnoteReference"/>
          <w:rFonts w:ascii="Times New Roman" w:hAnsi="Times New Roman"/>
          <w:noProof/>
        </w:rPr>
        <w:footnoteReference w:id="43"/>
      </w:r>
      <w:r>
        <w:rPr>
          <w:rFonts w:ascii="Times New Roman" w:hAnsi="Times New Roman"/>
          <w:noProof/>
          <w:sz w:val="24"/>
        </w:rPr>
        <w:t>, докато цените на брашна и шрот от маслодайни семена нар</w:t>
      </w:r>
      <w:r>
        <w:rPr>
          <w:rFonts w:ascii="Times New Roman" w:hAnsi="Times New Roman"/>
          <w:noProof/>
          <w:sz w:val="24"/>
        </w:rPr>
        <w:t>аснаха. Ниското търсене на растителни масла за биогорива бе сред факторите, допринесли за спада на цените на масла и мазнини</w:t>
      </w:r>
      <w:r>
        <w:rPr>
          <w:rStyle w:val="FootnoteReference"/>
          <w:rFonts w:ascii="Times New Roman" w:hAnsi="Times New Roman"/>
          <w:noProof/>
        </w:rPr>
        <w:footnoteReference w:id="44"/>
      </w:r>
      <w:r>
        <w:rPr>
          <w:rFonts w:ascii="Times New Roman" w:hAnsi="Times New Roman"/>
          <w:noProof/>
          <w:sz w:val="24"/>
        </w:rPr>
        <w:t>. Други фактори включват: голямото предлагане и запаси от семена, заместването на съответни брашна със зърнени култури, и ниските ц</w:t>
      </w:r>
      <w:r>
        <w:rPr>
          <w:rFonts w:ascii="Times New Roman" w:hAnsi="Times New Roman"/>
          <w:noProof/>
          <w:sz w:val="24"/>
        </w:rPr>
        <w:t>ени на суровия петрол.</w:t>
      </w:r>
    </w:p>
    <w:p w:rsidR="00C8158D" w:rsidRDefault="00566E1C">
      <w:pPr>
        <w:spacing w:after="180" w:line="280" w:lineRule="atLeast"/>
        <w:jc w:val="both"/>
        <w:rPr>
          <w:rFonts w:ascii="Times New Roman" w:hAnsi="Times New Roman" w:cs="Times New Roman"/>
          <w:bCs/>
          <w:noProof/>
          <w:sz w:val="24"/>
          <w:szCs w:val="24"/>
        </w:rPr>
      </w:pPr>
      <w:r>
        <w:rPr>
          <w:rFonts w:ascii="Times New Roman" w:hAnsi="Times New Roman"/>
          <w:noProof/>
          <w:sz w:val="24"/>
        </w:rPr>
        <w:t>Потреблението на етанол в ЕС има незначително въздействие върху цените на зърнените култури, тай като делът на ЕС на световния пазар на етанол не надвишава 7 %, а главен движещ фактор на световния пазар на зърнени култури е търсенето</w:t>
      </w:r>
      <w:r>
        <w:rPr>
          <w:rFonts w:ascii="Times New Roman" w:hAnsi="Times New Roman"/>
          <w:noProof/>
          <w:sz w:val="24"/>
        </w:rPr>
        <w:t xml:space="preserve"> на фуражи. В бъдеще най-голям ръст на потреблението на биогорива се очаква в развиващите се страни, а според прогнозите растящото търсене на храни и фуражи за увеличаващото се и по-богато население ще бъде задоволено чрез по-висока производителност, като </w:t>
      </w:r>
      <w:r>
        <w:rPr>
          <w:rFonts w:ascii="Times New Roman" w:hAnsi="Times New Roman"/>
          <w:noProof/>
          <w:sz w:val="24"/>
        </w:rPr>
        <w:t>се очаква 80 % от увеличението на производството на култури да се дължи на увеличените добиви</w:t>
      </w:r>
      <w:r>
        <w:rPr>
          <w:rStyle w:val="FootnoteReference"/>
          <w:rFonts w:ascii="Times New Roman" w:hAnsi="Times New Roman"/>
          <w:noProof/>
        </w:rPr>
        <w:footnoteReference w:id="45"/>
      </w:r>
      <w:r>
        <w:rPr>
          <w:rFonts w:ascii="Times New Roman" w:hAnsi="Times New Roman"/>
          <w:noProof/>
          <w:sz w:val="24"/>
        </w:rPr>
        <w:t>.</w:t>
      </w:r>
    </w:p>
    <w:p w:rsidR="00566E1C" w:rsidRDefault="00566E1C">
      <w:pPr>
        <w:jc w:val="both"/>
        <w:rPr>
          <w:rFonts w:ascii="Times New Roman" w:hAnsi="Times New Roman"/>
          <w:noProof/>
          <w:sz w:val="24"/>
          <w:lang w:val="fr-BE"/>
        </w:rPr>
      </w:pPr>
      <w:r>
        <w:rPr>
          <w:rStyle w:val="Heading3Char"/>
          <w:i w:val="0"/>
          <w:noProof/>
        </w:rPr>
        <w:t xml:space="preserve">По отношение на </w:t>
      </w:r>
      <w:r>
        <w:rPr>
          <w:rStyle w:val="Heading3Char"/>
          <w:b/>
          <w:i w:val="0"/>
          <w:noProof/>
        </w:rPr>
        <w:t>правото на земеползване</w:t>
      </w:r>
      <w:r>
        <w:rPr>
          <w:rStyle w:val="Heading3Char"/>
          <w:i w:val="0"/>
          <w:noProof/>
        </w:rPr>
        <w:t xml:space="preserve">, </w:t>
      </w:r>
      <w:r>
        <w:rPr>
          <w:rFonts w:ascii="Times New Roman" w:hAnsi="Times New Roman"/>
          <w:noProof/>
          <w:sz w:val="24"/>
        </w:rPr>
        <w:t>последните доклади за широкомащабни сделки със земя потвърждават констатацията от доклада на Комисията за напредъка в и</w:t>
      </w:r>
      <w:r>
        <w:rPr>
          <w:rFonts w:ascii="Times New Roman" w:hAnsi="Times New Roman"/>
          <w:noProof/>
          <w:sz w:val="24"/>
        </w:rPr>
        <w:t xml:space="preserve">зползването на енергия от възобновяеми източници през 2015 г., че само малка част от проектите за биогорива извън ЕС са разработени с насоченост към европейския пазар. Освен това много проекти за придобиване на земя, стартирани в началото на 21-ви век, се </w:t>
      </w:r>
      <w:r>
        <w:rPr>
          <w:rFonts w:ascii="Times New Roman" w:hAnsi="Times New Roman"/>
          <w:noProof/>
          <w:sz w:val="24"/>
        </w:rPr>
        <w:t>провалиха и не се материализираха в реални проекти за производство на биогорива. Интересът на инвеститорите през 2014 – 2015 г. беше слаб, като малко над половината (51 %) от придобитата земя бе оставена без да се използва (67 % от нея в Африка на юг от Са</w:t>
      </w:r>
      <w:r>
        <w:rPr>
          <w:rFonts w:ascii="Times New Roman" w:hAnsi="Times New Roman"/>
          <w:noProof/>
          <w:sz w:val="24"/>
        </w:rPr>
        <w:t>хара)</w:t>
      </w:r>
      <w:r>
        <w:rPr>
          <w:rStyle w:val="FootnoteReference"/>
          <w:rFonts w:ascii="Times New Roman" w:hAnsi="Times New Roman"/>
          <w:b/>
          <w:noProof/>
        </w:rPr>
        <w:footnoteReference w:id="46"/>
      </w:r>
      <w:r>
        <w:rPr>
          <w:rFonts w:ascii="Times New Roman" w:hAnsi="Times New Roman"/>
          <w:b/>
          <w:noProof/>
          <w:sz w:val="24"/>
        </w:rPr>
        <w:t xml:space="preserve">. </w:t>
      </w:r>
      <w:r>
        <w:rPr>
          <w:rFonts w:ascii="Times New Roman" w:hAnsi="Times New Roman"/>
          <w:noProof/>
          <w:sz w:val="24"/>
        </w:rPr>
        <w:t>Ясното разграничение на сделките, свързани с биогорива, е трудно, тъй като накрая земеделските култури може да попаднат в хранителната верига, което зависи от цените на стоките по времето на прибиране на реколтата и от други фактори</w:t>
      </w:r>
      <w:r>
        <w:rPr>
          <w:rStyle w:val="FootnoteReference"/>
          <w:rFonts w:ascii="Times New Roman" w:hAnsi="Times New Roman"/>
          <w:noProof/>
        </w:rPr>
        <w:footnoteReference w:id="47"/>
      </w:r>
      <w:r>
        <w:rPr>
          <w:rFonts w:ascii="Times New Roman" w:hAnsi="Times New Roman"/>
          <w:noProof/>
          <w:sz w:val="24"/>
        </w:rPr>
        <w:t xml:space="preserve">. Следва да се </w:t>
      </w:r>
      <w:r>
        <w:rPr>
          <w:rFonts w:ascii="Times New Roman" w:hAnsi="Times New Roman"/>
          <w:noProof/>
          <w:sz w:val="24"/>
        </w:rPr>
        <w:t>отбележи също и това, че в отговор на загрижеността относно въздействието върху местните общности и правата за земеползване в развиващите се страни, Организацията по прехрана и земеделие към ООН (ФАО) през 2012 г. прие Указания относно отговорното управлен</w:t>
      </w:r>
      <w:r>
        <w:rPr>
          <w:rFonts w:ascii="Times New Roman" w:hAnsi="Times New Roman"/>
          <w:noProof/>
          <w:sz w:val="24"/>
        </w:rPr>
        <w:t>ие на стопанисването на земя, а през 2014 г. — Указания за отговорни инвестиции в земеделието.</w:t>
      </w:r>
      <w:r>
        <w:rPr>
          <w:noProof/>
        </w:rPr>
        <w:t xml:space="preserve"> </w:t>
      </w:r>
      <w:r>
        <w:rPr>
          <w:rFonts w:ascii="Times New Roman" w:hAnsi="Times New Roman"/>
          <w:noProof/>
          <w:sz w:val="24"/>
        </w:rPr>
        <w:t>В развиващите се страни схемите на ЕС за сертифициране на устойчивостта на производството с участието на множество заинтересовани страни (например ISCC; RSPO RED</w:t>
      </w:r>
      <w:r>
        <w:rPr>
          <w:rFonts w:ascii="Times New Roman" w:hAnsi="Times New Roman"/>
          <w:noProof/>
          <w:sz w:val="24"/>
        </w:rPr>
        <w:t xml:space="preserve"> (Кръгла маса за устойчиво производство на палмово масло съгласно Директивата за енергията от възобновяеми източници); RSB EU RED (Кръгла маса за устойчиво развито производство на биогорива в ЕС съгласно Директивата за енергията от възобновяеми източници) </w:t>
      </w:r>
      <w:r>
        <w:rPr>
          <w:rFonts w:ascii="Times New Roman" w:hAnsi="Times New Roman"/>
          <w:noProof/>
          <w:sz w:val="24"/>
        </w:rPr>
        <w:t>обхващат също и аспекти на социалната, икономическата и екологичната устойчивост, които надхвърлят задължителните критерии на ЕС за устойчивост.</w:t>
      </w:r>
    </w:p>
    <w:p w:rsidR="00C8158D" w:rsidRDefault="00566E1C">
      <w:pPr>
        <w:pStyle w:val="Heading1"/>
        <w:rPr>
          <w:noProof/>
        </w:rPr>
      </w:pPr>
      <w:bookmarkStart w:id="16" w:name="_GoBack"/>
      <w:bookmarkEnd w:id="16"/>
      <w:r>
        <w:rPr>
          <w:noProof/>
        </w:rPr>
        <w:t>4. ЗАКЛЮЧЕНИЯ</w:t>
      </w:r>
    </w:p>
    <w:p w:rsidR="00C8158D" w:rsidRDefault="00566E1C">
      <w:pPr>
        <w:spacing w:after="180" w:line="280" w:lineRule="atLeast"/>
        <w:jc w:val="both"/>
        <w:rPr>
          <w:rFonts w:ascii="Times New Roman" w:hAnsi="Times New Roman" w:cs="Times New Roman"/>
          <w:noProof/>
          <w:sz w:val="24"/>
          <w:szCs w:val="24"/>
        </w:rPr>
      </w:pPr>
      <w:r>
        <w:rPr>
          <w:rFonts w:ascii="Times New Roman" w:hAnsi="Times New Roman"/>
          <w:noProof/>
          <w:sz w:val="24"/>
        </w:rPr>
        <w:t>Насърчаването на производството и използването на енергия от възобновяеми източници е съществена</w:t>
      </w:r>
      <w:r>
        <w:rPr>
          <w:rFonts w:ascii="Times New Roman" w:hAnsi="Times New Roman"/>
          <w:noProof/>
          <w:sz w:val="24"/>
        </w:rPr>
        <w:t xml:space="preserve"> част от енергийната политика на ЕС, както е посочено в член 194 от Договора за функционирането на Европейския съюз и до голяма степен допринася за изпълнението на Рамковата стратегия за Енергийния съюз. Новата регулаторна рамка за периода след 2020 г., пр</w:t>
      </w:r>
      <w:r>
        <w:rPr>
          <w:rFonts w:ascii="Times New Roman" w:hAnsi="Times New Roman"/>
          <w:noProof/>
          <w:sz w:val="24"/>
        </w:rPr>
        <w:t xml:space="preserve">едложена от Комисията през ноември 2016 г. като част от пакета </w:t>
      </w:r>
      <w:r>
        <w:rPr>
          <w:rFonts w:ascii="Times New Roman" w:hAnsi="Times New Roman"/>
          <w:i/>
          <w:noProof/>
          <w:sz w:val="24"/>
        </w:rPr>
        <w:t>Чиста енергия за всички</w:t>
      </w:r>
      <w:r>
        <w:rPr>
          <w:rFonts w:ascii="Times New Roman" w:hAnsi="Times New Roman"/>
          <w:noProof/>
          <w:sz w:val="24"/>
        </w:rPr>
        <w:t xml:space="preserve"> </w:t>
      </w:r>
      <w:r>
        <w:rPr>
          <w:rFonts w:ascii="Times New Roman" w:hAnsi="Times New Roman"/>
          <w:i/>
          <w:noProof/>
          <w:sz w:val="24"/>
        </w:rPr>
        <w:t>европейци</w:t>
      </w:r>
      <w:r>
        <w:rPr>
          <w:rFonts w:ascii="Times New Roman" w:hAnsi="Times New Roman"/>
          <w:noProof/>
          <w:sz w:val="24"/>
        </w:rPr>
        <w:t xml:space="preserve"> се основава на опита, натрупан при прилагането на съществуващата Директива за енергията от възобновяеми източници. Тази рамка има за цел по-нататъшно европеизи</w:t>
      </w:r>
      <w:r>
        <w:rPr>
          <w:rFonts w:ascii="Times New Roman" w:hAnsi="Times New Roman"/>
          <w:noProof/>
          <w:sz w:val="24"/>
        </w:rPr>
        <w:t>ране на политиката за енергията от възобновяеми източници и нейното максимално прилагане в сградния, транспортния и промишления сектор. Комисията предложи по-силни клаузи за създаване на подходящи условия за инвестиции, включително постепенно трансгранично</w:t>
      </w:r>
      <w:r>
        <w:rPr>
          <w:rFonts w:ascii="Times New Roman" w:hAnsi="Times New Roman"/>
          <w:noProof/>
          <w:sz w:val="24"/>
        </w:rPr>
        <w:t xml:space="preserve"> отваряне на подпомагането в областта на ВЕИ, принципът за липса на действия с обратна сила, и ускорени административни процедури, както и укрепване на правата на потребителите. Към електроенергийния и транспортния сектор и сектора на отоплението и охлажда</w:t>
      </w:r>
      <w:r>
        <w:rPr>
          <w:rFonts w:ascii="Times New Roman" w:hAnsi="Times New Roman"/>
          <w:noProof/>
          <w:sz w:val="24"/>
        </w:rPr>
        <w:t xml:space="preserve">нето са насочени определен брой конкретни мерки, като в същото време се предлага националните цели за 2020 г. да се използват като основа за по-нататъшния напредък на държавите членки след 2020 г. По отношение на енергията от биомаса Комисията предложи да </w:t>
      </w:r>
      <w:r>
        <w:rPr>
          <w:rFonts w:ascii="Times New Roman" w:hAnsi="Times New Roman"/>
          <w:noProof/>
          <w:sz w:val="24"/>
        </w:rPr>
        <w:t>се укрепи рамката на ЕС за устойчиво производство в областта на енергията от биомаса чрез разширяването на тази рамка, така че да обхване също и биомасата и биогаза, използвани за генериране на топлинна енергия и електроенергия в големи енергийни инсталаци</w:t>
      </w:r>
      <w:r>
        <w:rPr>
          <w:rFonts w:ascii="Times New Roman" w:hAnsi="Times New Roman"/>
          <w:noProof/>
          <w:sz w:val="24"/>
        </w:rPr>
        <w:t>и.</w:t>
      </w:r>
    </w:p>
    <w:p w:rsidR="00C8158D" w:rsidRDefault="00566E1C">
      <w:pPr>
        <w:spacing w:after="180" w:line="280" w:lineRule="atLeast"/>
        <w:jc w:val="both"/>
        <w:rPr>
          <w:rFonts w:ascii="Times New Roman" w:hAnsi="Times New Roman" w:cs="Times New Roman"/>
          <w:noProof/>
          <w:sz w:val="24"/>
          <w:szCs w:val="24"/>
        </w:rPr>
      </w:pPr>
      <w:r>
        <w:rPr>
          <w:rFonts w:ascii="Times New Roman" w:hAnsi="Times New Roman"/>
          <w:noProof/>
          <w:sz w:val="24"/>
        </w:rPr>
        <w:t>С 16 % дял от крайното потребление на енергия през 2014 г. ЕС и огромното мнозинство от държавите членки</w:t>
      </w:r>
      <w:r>
        <w:rPr>
          <w:rStyle w:val="FootnoteReference"/>
          <w:rFonts w:ascii="Times New Roman" w:hAnsi="Times New Roman"/>
          <w:noProof/>
          <w:sz w:val="24"/>
        </w:rPr>
        <w:footnoteReference w:id="48"/>
      </w:r>
      <w:r>
        <w:rPr>
          <w:rFonts w:ascii="Times New Roman" w:hAnsi="Times New Roman"/>
          <w:noProof/>
          <w:sz w:val="24"/>
        </w:rPr>
        <w:t xml:space="preserve"> са доста напреднали в използването на енергия от възобновяеми източници</w:t>
      </w:r>
      <w:r>
        <w:rPr>
          <w:rStyle w:val="FootnoteReference"/>
          <w:rFonts w:ascii="Times New Roman" w:hAnsi="Times New Roman"/>
          <w:noProof/>
          <w:sz w:val="24"/>
        </w:rPr>
        <w:footnoteReference w:id="49"/>
      </w:r>
      <w:r>
        <w:rPr>
          <w:rFonts w:ascii="Times New Roman" w:hAnsi="Times New Roman"/>
          <w:noProof/>
          <w:sz w:val="24"/>
        </w:rPr>
        <w:t xml:space="preserve">. Обаче прогнозите за 2015 г. показват, че държавите членки ще трябва да </w:t>
      </w:r>
      <w:r>
        <w:rPr>
          <w:rFonts w:ascii="Times New Roman" w:hAnsi="Times New Roman"/>
          <w:noProof/>
          <w:sz w:val="24"/>
        </w:rPr>
        <w:t>продължат усилията си за постигане на обвързващите цели за 2020 г., тъй като кривата става по-стръмна. Това важи особено за Франция, Люксембург и Нидерландия, които ще трябва съществено да увеличат своите дялове през 2016 г., за да са в съответствие с техн</w:t>
      </w:r>
      <w:r>
        <w:rPr>
          <w:rFonts w:ascii="Times New Roman" w:hAnsi="Times New Roman"/>
          <w:noProof/>
          <w:sz w:val="24"/>
        </w:rPr>
        <w:t>ите съответни криви. В по-далечна перспектива прогнозите показват, че ЕС като цяло ще достигне своята цел от 20 % до 2020 г. Обаче на някои държави членки като например Ирландия, Люксембург, Нидерландия и Обединеното кралство може да се наложи да засилят с</w:t>
      </w:r>
      <w:r>
        <w:rPr>
          <w:rFonts w:ascii="Times New Roman" w:hAnsi="Times New Roman"/>
          <w:noProof/>
          <w:sz w:val="24"/>
        </w:rPr>
        <w:t>ътрудничеството си с други държави членки, използвайки такива механизми за сътрудничество като статистически прехвърляния, за да постигнат в срок своите обвързващи национални цели.</w:t>
      </w:r>
    </w:p>
    <w:p w:rsidR="00C8158D" w:rsidRDefault="00566E1C">
      <w:pPr>
        <w:pStyle w:val="Standardtext"/>
        <w:rPr>
          <w:noProof/>
        </w:rPr>
      </w:pPr>
      <w:r>
        <w:rPr>
          <w:noProof/>
        </w:rPr>
        <w:t>Представлявайки около половината</w:t>
      </w:r>
      <w:r>
        <w:rPr>
          <w:rStyle w:val="FootnoteReference"/>
          <w:noProof/>
          <w:sz w:val="24"/>
        </w:rPr>
        <w:footnoteReference w:id="50"/>
      </w:r>
      <w:r>
        <w:rPr>
          <w:noProof/>
        </w:rPr>
        <w:t xml:space="preserve"> от крайното потребление на енергия на равнище ЕС, секторът на </w:t>
      </w:r>
      <w:r>
        <w:rPr>
          <w:b/>
          <w:noProof/>
        </w:rPr>
        <w:t>отоплението и охлаждането</w:t>
      </w:r>
      <w:r>
        <w:rPr>
          <w:noProof/>
        </w:rPr>
        <w:t xml:space="preserve"> продължава да потребява най-голямо количество енергия</w:t>
      </w:r>
      <w:r>
        <w:rPr>
          <w:rStyle w:val="FootnoteReference"/>
          <w:noProof/>
        </w:rPr>
        <w:footnoteReference w:id="51"/>
      </w:r>
      <w:r>
        <w:rPr>
          <w:noProof/>
        </w:rPr>
        <w:t>. Този сектор също така допринася най-много за постигането на целта за енергията от възобновяеми източници, изпол</w:t>
      </w:r>
      <w:r>
        <w:rPr>
          <w:noProof/>
        </w:rPr>
        <w:t>звайки половината от енергията от възобновяеми източници</w:t>
      </w:r>
      <w:r>
        <w:rPr>
          <w:rStyle w:val="FootnoteReference"/>
          <w:noProof/>
          <w:sz w:val="24"/>
        </w:rPr>
        <w:footnoteReference w:id="52"/>
      </w:r>
      <w:r>
        <w:rPr>
          <w:noProof/>
        </w:rPr>
        <w:t>, макар при него темпът на увеличение на дела на ВЕИ да е по-бавен от съответния темп в електроенергийния сектор. През 2015 г. около 18,1 % от енергията за отопление и охлаждане в ЕС е била произведе</w:t>
      </w:r>
      <w:r>
        <w:rPr>
          <w:noProof/>
        </w:rPr>
        <w:t>на от възобновяеми източници, като биомасата има най-голям дял и далеч изпреварва останалите източници.</w:t>
      </w:r>
    </w:p>
    <w:p w:rsidR="00C8158D" w:rsidRDefault="00566E1C">
      <w:pPr>
        <w:pStyle w:val="Standardtext"/>
        <w:rPr>
          <w:noProof/>
        </w:rPr>
      </w:pPr>
      <w:r>
        <w:rPr>
          <w:noProof/>
        </w:rPr>
        <w:t xml:space="preserve">В </w:t>
      </w:r>
      <w:r>
        <w:rPr>
          <w:b/>
          <w:noProof/>
        </w:rPr>
        <w:t>електроенергийния</w:t>
      </w:r>
      <w:r>
        <w:rPr>
          <w:noProof/>
        </w:rPr>
        <w:t xml:space="preserve"> сектор се наблюдава най-бързият ръст на дела на енергията от ВЕИ, и този сектор понастоящем достига 28,3 % от общото производство на</w:t>
      </w:r>
      <w:r>
        <w:rPr>
          <w:noProof/>
        </w:rPr>
        <w:t xml:space="preserve"> електроенергия. През 2015 г. водноелектрическият сектор продължава да има най-голям принос за производството на електроенергия от ВЕИ. А съответният ръст е най-голям при електроенергията от разположени на сушата вятърни генератори. Развитието на производс</w:t>
      </w:r>
      <w:r>
        <w:rPr>
          <w:noProof/>
        </w:rPr>
        <w:t>твото на енергия от слънчеви фотоволтаични системи е неравномерно, като е отбелязало максимум приз 2011 и 2012 г., но по-бавен ръст през всяка от следващите години. Променливите възобновяеми източници</w:t>
      </w:r>
      <w:r>
        <w:rPr>
          <w:rStyle w:val="FootnoteReference"/>
          <w:noProof/>
          <w:sz w:val="24"/>
        </w:rPr>
        <w:footnoteReference w:id="53"/>
      </w:r>
      <w:r>
        <w:rPr>
          <w:noProof/>
        </w:rPr>
        <w:t xml:space="preserve"> заедно дават 12 % от брутното количество на електроене</w:t>
      </w:r>
      <w:r>
        <w:rPr>
          <w:noProof/>
        </w:rPr>
        <w:t>ргия, произведена в ЕС.</w:t>
      </w:r>
    </w:p>
    <w:p w:rsidR="00C8158D" w:rsidRDefault="00566E1C">
      <w:pPr>
        <w:spacing w:after="180" w:line="280" w:lineRule="atLeast"/>
        <w:jc w:val="both"/>
        <w:rPr>
          <w:rFonts w:ascii="Times New Roman" w:hAnsi="Times New Roman" w:cs="Times New Roman"/>
          <w:noProof/>
          <w:sz w:val="24"/>
          <w:szCs w:val="24"/>
        </w:rPr>
      </w:pPr>
      <w:r>
        <w:rPr>
          <w:rFonts w:ascii="Times New Roman" w:hAnsi="Times New Roman"/>
          <w:b/>
          <w:noProof/>
          <w:sz w:val="24"/>
        </w:rPr>
        <w:t>Транспортният сектор</w:t>
      </w:r>
      <w:r>
        <w:rPr>
          <w:rFonts w:ascii="Times New Roman" w:hAnsi="Times New Roman"/>
          <w:noProof/>
          <w:sz w:val="24"/>
        </w:rPr>
        <w:t xml:space="preserve"> продължава да има най-бавен ръст по отношение на енергията от ВЕИ, със средно 0,5 процентни пункта годишно в периода 2005-2014 г. и чувствително забавяне след 2011 г.</w:t>
      </w:r>
      <w:r>
        <w:rPr>
          <w:rStyle w:val="FootnoteReference"/>
          <w:rFonts w:ascii="Times New Roman" w:hAnsi="Times New Roman"/>
          <w:noProof/>
          <w:sz w:val="24"/>
        </w:rPr>
        <w:footnoteReference w:id="54"/>
      </w:r>
      <w:r>
        <w:rPr>
          <w:rFonts w:ascii="Times New Roman" w:hAnsi="Times New Roman"/>
          <w:noProof/>
          <w:sz w:val="24"/>
        </w:rPr>
        <w:t>. Делът на този сектор в използването на ене</w:t>
      </w:r>
      <w:r>
        <w:rPr>
          <w:rFonts w:ascii="Times New Roman" w:hAnsi="Times New Roman"/>
          <w:noProof/>
          <w:sz w:val="24"/>
        </w:rPr>
        <w:t xml:space="preserve">ргия от възобновяеми източници през 2014 г. е бил 5,9 % (и се очаква да бъде едва 6,9 % за 2015 г.) при специфична за сектора цел от 10 % за 2020 г. Този бавен напредък се дължи на различни трудности, включително регулаторна несигурност и късно внедряване </w:t>
      </w:r>
      <w:r>
        <w:rPr>
          <w:rFonts w:ascii="Times New Roman" w:hAnsi="Times New Roman"/>
          <w:noProof/>
          <w:sz w:val="24"/>
        </w:rPr>
        <w:t>на новите поколения биогорива.</w:t>
      </w:r>
    </w:p>
    <w:p w:rsidR="00C8158D" w:rsidRDefault="00566E1C">
      <w:pPr>
        <w:spacing w:after="180" w:line="280" w:lineRule="atLeast"/>
        <w:jc w:val="both"/>
        <w:rPr>
          <w:rFonts w:ascii="Times New Roman" w:hAnsi="Times New Roman" w:cs="Times New Roman"/>
          <w:noProof/>
          <w:sz w:val="24"/>
          <w:szCs w:val="24"/>
        </w:rPr>
      </w:pPr>
      <w:r>
        <w:rPr>
          <w:rFonts w:ascii="Times New Roman" w:hAnsi="Times New Roman"/>
          <w:noProof/>
          <w:sz w:val="24"/>
        </w:rPr>
        <w:t>Относно административните пречки държавите членки имат напредък за тяхното елиминиране, но този напредък не е равномерен в рамките на Съюза и може още много да се желае, особено по отношение на автоматичното издаване на разре</w:t>
      </w:r>
      <w:r>
        <w:rPr>
          <w:rFonts w:ascii="Times New Roman" w:hAnsi="Times New Roman"/>
          <w:noProof/>
          <w:sz w:val="24"/>
        </w:rPr>
        <w:t>шение след изтичане на крайния срок съгласно административната процедура и на въвеждането на обслужване „на едно гише“.</w:t>
      </w:r>
    </w:p>
    <w:p w:rsidR="00C8158D" w:rsidRDefault="00566E1C">
      <w:pPr>
        <w:jc w:val="both"/>
        <w:rPr>
          <w:rFonts w:ascii="Times New Roman" w:hAnsi="Times New Roman"/>
          <w:noProof/>
          <w:sz w:val="24"/>
        </w:rPr>
      </w:pPr>
      <w:r>
        <w:rPr>
          <w:rFonts w:ascii="Times New Roman" w:hAnsi="Times New Roman"/>
          <w:noProof/>
          <w:sz w:val="24"/>
        </w:rPr>
        <w:t xml:space="preserve">Що се отнася до устойчивостта на производството на биогорива, повечето биогорива, използвани в ЕС, се произвеждат в рамките на Съюза от </w:t>
      </w:r>
      <w:r>
        <w:rPr>
          <w:rFonts w:ascii="Times New Roman" w:hAnsi="Times New Roman"/>
          <w:noProof/>
          <w:sz w:val="24"/>
        </w:rPr>
        <w:t>местни суровини. Не са констатирани значими преки вредни въздействия върху биологичното разнообразие, почвите и водите, нито върху развиващите се страни са идентифицирани в ЕС. При все това рисковете от въздействия на непреките промени в земеползването про</w:t>
      </w:r>
      <w:r>
        <w:rPr>
          <w:rFonts w:ascii="Times New Roman" w:hAnsi="Times New Roman"/>
          <w:noProof/>
          <w:sz w:val="24"/>
        </w:rPr>
        <w:t>дължават да предизвикват загриженост. Анализът чрез моделиране констатира рискове от непреки промени в земеползването (ILUC) в резултат от производството на горива от хранителни суровини. Затова с приемането на Директивата относно непреките промени в земеп</w:t>
      </w:r>
      <w:r>
        <w:rPr>
          <w:rFonts w:ascii="Times New Roman" w:hAnsi="Times New Roman"/>
          <w:noProof/>
          <w:sz w:val="24"/>
        </w:rPr>
        <w:t>олзването ЕС ограничи приноса на такива биогорива до целевата стойност 10 % от енергията от ВЕИ в транспорта. Нещо повече, неотдавна Комисията направи предложения за постепенно намаляване след 2020 г. на дела на биогоривата, произвеждани от хранителни суро</w:t>
      </w:r>
      <w:r>
        <w:rPr>
          <w:rFonts w:ascii="Times New Roman" w:hAnsi="Times New Roman"/>
          <w:noProof/>
          <w:sz w:val="24"/>
        </w:rPr>
        <w:t>вини, като в същото време се насърчава постепенното им заместване с биогорива от нови поколения и електроенергия от ВЕИ.</w:t>
      </w:r>
    </w:p>
    <w:p w:rsidR="00C8158D" w:rsidRDefault="00566E1C">
      <w:pPr>
        <w:jc w:val="both"/>
        <w:rPr>
          <w:rFonts w:ascii="Times New Roman" w:hAnsi="Times New Roman" w:cs="Times New Roman"/>
          <w:noProof/>
          <w:sz w:val="24"/>
        </w:rPr>
      </w:pPr>
      <w:r>
        <w:rPr>
          <w:rFonts w:ascii="Times New Roman" w:hAnsi="Times New Roman"/>
          <w:noProof/>
          <w:sz w:val="24"/>
        </w:rPr>
        <w:t>В заключение може да се каже, че предложението за преработване на Директивата за енергията от възобновяеми източници заедно с другите п</w:t>
      </w:r>
      <w:r>
        <w:rPr>
          <w:rFonts w:ascii="Times New Roman" w:hAnsi="Times New Roman"/>
          <w:noProof/>
          <w:sz w:val="24"/>
        </w:rPr>
        <w:t xml:space="preserve">редложения от пакета </w:t>
      </w:r>
      <w:r>
        <w:rPr>
          <w:rFonts w:ascii="Times New Roman" w:hAnsi="Times New Roman"/>
          <w:i/>
          <w:noProof/>
          <w:sz w:val="24"/>
        </w:rPr>
        <w:t>Чиста енергия за всички европейци</w:t>
      </w:r>
      <w:r>
        <w:rPr>
          <w:rFonts w:ascii="Times New Roman" w:hAnsi="Times New Roman"/>
          <w:noProof/>
          <w:sz w:val="24"/>
        </w:rPr>
        <w:t>, които се разглеждат от Европейския парламент и от Съвета, е насочено към отстраняване на посочените по-горе пречки, ограничаващи по-нататъшното развитие на производството на енергия от възобновяеми из</w:t>
      </w:r>
      <w:r>
        <w:rPr>
          <w:rFonts w:ascii="Times New Roman" w:hAnsi="Times New Roman"/>
          <w:noProof/>
          <w:sz w:val="24"/>
        </w:rPr>
        <w:t>точници, и потвърждава решимостта на Европейската комисия да направи Европейския съюз световен лидер в използването на енергия от възобновяеми източници.</w:t>
      </w:r>
    </w:p>
    <w:sectPr w:rsidR="00C8158D">
      <w:headerReference w:type="even" r:id="rId50"/>
      <w:headerReference w:type="default" r:id="rId51"/>
      <w:footerReference w:type="even" r:id="rId52"/>
      <w:footerReference w:type="default" r:id="rId53"/>
      <w:headerReference w:type="first" r:id="rId54"/>
      <w:footerReference w:type="first" r:id="rId55"/>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8D" w:rsidRDefault="00566E1C">
      <w:pPr>
        <w:spacing w:after="0" w:line="240" w:lineRule="auto"/>
      </w:pPr>
      <w:r>
        <w:separator/>
      </w:r>
    </w:p>
  </w:endnote>
  <w:endnote w:type="continuationSeparator" w:id="0">
    <w:p w:rsidR="00C8158D" w:rsidRDefault="00566E1C">
      <w:pPr>
        <w:spacing w:after="0" w:line="240" w:lineRule="auto"/>
      </w:pPr>
      <w:r>
        <w:continuationSeparator/>
      </w:r>
    </w:p>
  </w:endnote>
  <w:endnote w:type="continuationNotice" w:id="1">
    <w:p w:rsidR="00C8158D" w:rsidRDefault="00C81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1C" w:rsidRDefault="00566E1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991537"/>
      <w:docPartObj>
        <w:docPartGallery w:val="Page Numbers (Bottom of Page)"/>
        <w:docPartUnique/>
      </w:docPartObj>
    </w:sdtPr>
    <w:sdtEndPr>
      <w:rPr>
        <w:noProof/>
      </w:rPr>
    </w:sdtEndPr>
    <w:sdtContent>
      <w:p w:rsidR="00C8158D" w:rsidRDefault="00566E1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C8158D" w:rsidRDefault="00C8158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127002"/>
      <w:docPartObj>
        <w:docPartGallery w:val="Page Numbers (Bottom of Page)"/>
        <w:docPartUnique/>
      </w:docPartObj>
    </w:sdtPr>
    <w:sdtEndPr>
      <w:rPr>
        <w:noProof/>
      </w:rPr>
    </w:sdtEndPr>
    <w:sdtContent>
      <w:p w:rsidR="00C8158D" w:rsidRDefault="00566E1C">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C8158D" w:rsidRDefault="00C8158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15715"/>
      <w:docPartObj>
        <w:docPartGallery w:val="Page Numbers (Bottom of Page)"/>
        <w:docPartUnique/>
      </w:docPartObj>
    </w:sdtPr>
    <w:sdtEndPr>
      <w:rPr>
        <w:noProof/>
      </w:rPr>
    </w:sdtEndPr>
    <w:sdtContent>
      <w:p w:rsidR="00C8158D" w:rsidRDefault="00566E1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C8158D" w:rsidRDefault="00C8158D">
    <w:pPr>
      <w:pStyle w:val="Footer"/>
    </w:pPr>
  </w:p>
  <w:p w:rsidR="00000000" w:rsidRDefault="00566E1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566E1C">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1C" w:rsidRDefault="00566E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266319"/>
      <w:docPartObj>
        <w:docPartGallery w:val="Page Numbers (Bottom of Page)"/>
        <w:docPartUnique/>
      </w:docPartObj>
    </w:sdtPr>
    <w:sdtEndPr>
      <w:rPr>
        <w:noProof/>
      </w:rPr>
    </w:sdtEndPr>
    <w:sdtContent>
      <w:p w:rsidR="00C8158D" w:rsidRDefault="00566E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248994"/>
      <w:docPartObj>
        <w:docPartGallery w:val="Page Numbers (Bottom of Page)"/>
        <w:docPartUnique/>
      </w:docPartObj>
    </w:sdtPr>
    <w:sdtEndPr>
      <w:rPr>
        <w:noProof/>
      </w:rPr>
    </w:sdtEndPr>
    <w:sdtContent>
      <w:p w:rsidR="00C8158D" w:rsidRDefault="00566E1C">
        <w:pPr>
          <w:pStyle w:val="Footer"/>
          <w:jc w:val="center"/>
        </w:pPr>
        <w:r>
          <w:rPr>
            <w:lang w:val="fr-BE"/>
          </w:rPr>
          <w:t>12</w:t>
        </w:r>
      </w:p>
    </w:sdtContent>
  </w:sdt>
  <w:p w:rsidR="00C8158D" w:rsidRDefault="00C8158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8D" w:rsidRDefault="00566E1C">
      <w:pPr>
        <w:spacing w:after="0" w:line="240" w:lineRule="auto"/>
      </w:pPr>
      <w:r>
        <w:separator/>
      </w:r>
    </w:p>
  </w:footnote>
  <w:footnote w:type="continuationSeparator" w:id="0">
    <w:p w:rsidR="00C8158D" w:rsidRDefault="00566E1C">
      <w:pPr>
        <w:spacing w:after="0" w:line="240" w:lineRule="auto"/>
      </w:pPr>
      <w:r>
        <w:continuationSeparator/>
      </w:r>
    </w:p>
  </w:footnote>
  <w:footnote w:type="continuationNotice" w:id="1">
    <w:p w:rsidR="00C8158D" w:rsidRDefault="00C8158D">
      <w:pPr>
        <w:spacing w:after="0" w:line="240" w:lineRule="auto"/>
      </w:pPr>
    </w:p>
  </w:footnote>
  <w:footnote w:id="2">
    <w:p w:rsidR="00C8158D" w:rsidRDefault="00566E1C">
      <w:pPr>
        <w:pStyle w:val="FootnoteText"/>
      </w:pPr>
      <w:r>
        <w:rPr>
          <w:rStyle w:val="FootnoteReference"/>
        </w:rPr>
        <w:footnoteRef/>
      </w:r>
      <w:r>
        <w:tab/>
      </w:r>
      <w:hyperlink r:id="rId1">
        <w:r>
          <w:t>Директива 2009/28/ЕО на Европейския парламент и на Съвета за насърчаване използването на енергия от възобновяеми източници, OВ L 140, 5.6.2009 г.</w:t>
        </w:r>
      </w:hyperlink>
    </w:p>
  </w:footnote>
  <w:footnote w:id="3">
    <w:p w:rsidR="00C8158D" w:rsidRDefault="00566E1C">
      <w:pPr>
        <w:pStyle w:val="FootnoteText"/>
      </w:pPr>
      <w:r>
        <w:rPr>
          <w:rStyle w:val="FootnoteReference"/>
          <w:sz w:val="18"/>
          <w:vertAlign w:val="baseline"/>
        </w:rPr>
        <w:footnoteRef/>
      </w:r>
      <w:r>
        <w:t xml:space="preserve"> </w:t>
      </w:r>
      <w:r>
        <w:tab/>
        <w:t>В сравнение с базиснит</w:t>
      </w:r>
      <w:r>
        <w:t>е стойности за 2005 г.; източник: Öko-Institut, Study on Technical Assistance in Realisation of the 2016 Report on Renewable Energy (Проучване на техническата помощ при реализиране на доклада за 2016 г. за енергията от възобновяеми източници), който можете</w:t>
      </w:r>
      <w:r>
        <w:t xml:space="preserve"> да намерите на следния адрес: </w:t>
      </w:r>
      <w:hyperlink r:id="rId2">
        <w:r>
          <w:rPr>
            <w:rStyle w:val="Hyperlink"/>
          </w:rPr>
          <w:t>http://ec.europa.eu/energy/en/studies</w:t>
        </w:r>
      </w:hyperlink>
    </w:p>
  </w:footnote>
  <w:footnote w:id="4">
    <w:p w:rsidR="00C8158D" w:rsidRDefault="00566E1C">
      <w:pPr>
        <w:pStyle w:val="FootnoteText"/>
      </w:pPr>
      <w:r>
        <w:rPr>
          <w:rStyle w:val="FootnoteReference"/>
          <w:sz w:val="18"/>
          <w:vertAlign w:val="baseline"/>
        </w:rPr>
        <w:footnoteRef/>
      </w:r>
      <w:r>
        <w:t xml:space="preserve"> </w:t>
      </w:r>
      <w:r>
        <w:tab/>
        <w:t>Като част от пакета „Чиста енергия за всички европейци", публикуван на 30 ноември 2016 г.</w:t>
      </w:r>
    </w:p>
  </w:footnote>
  <w:footnote w:id="5">
    <w:p w:rsidR="00C8158D" w:rsidRDefault="00566E1C">
      <w:pPr>
        <w:pStyle w:val="FootnoteText"/>
      </w:pPr>
      <w:r>
        <w:rPr>
          <w:rStyle w:val="FootnoteReference"/>
          <w:sz w:val="18"/>
          <w:vertAlign w:val="baseline"/>
        </w:rPr>
        <w:footnoteRef/>
      </w:r>
      <w:r>
        <w:t xml:space="preserve"> </w:t>
      </w:r>
      <w:r>
        <w:tab/>
        <w:t>Ако приемем коефициент 2,5 за първ</w:t>
      </w:r>
      <w:r>
        <w:t>ична енергия, една единица електроенергия от възобновяеми източници може да замести 2,5 единици електроенергия от изкопаеми горива.</w:t>
      </w:r>
    </w:p>
  </w:footnote>
  <w:footnote w:id="6">
    <w:p w:rsidR="00C8158D" w:rsidRDefault="00566E1C">
      <w:pPr>
        <w:pStyle w:val="FootnoteText"/>
      </w:pPr>
      <w:r>
        <w:rPr>
          <w:rStyle w:val="FootnoteReference"/>
          <w:sz w:val="18"/>
          <w:vertAlign w:val="baseline"/>
        </w:rPr>
        <w:footnoteRef/>
      </w:r>
      <w:r>
        <w:t xml:space="preserve"> </w:t>
      </w:r>
      <w:r>
        <w:tab/>
        <w:t>436 млн. т CO</w:t>
      </w:r>
      <w:r>
        <w:rPr>
          <w:vertAlign w:val="subscript"/>
        </w:rPr>
        <w:t>2</w:t>
      </w:r>
      <w:r>
        <w:t xml:space="preserve"> еквивалент сравнен с базовата линия от 2005 г. Източник: ЕАОС.</w:t>
      </w:r>
    </w:p>
  </w:footnote>
  <w:footnote w:id="7">
    <w:p w:rsidR="00C8158D" w:rsidRDefault="00566E1C">
      <w:pPr>
        <w:pStyle w:val="FootnoteText"/>
      </w:pPr>
      <w:r>
        <w:rPr>
          <w:rStyle w:val="FootnoteReference"/>
        </w:rPr>
        <w:footnoteRef/>
      </w:r>
      <w:r>
        <w:t xml:space="preserve"> </w:t>
      </w:r>
      <w:r>
        <w:tab/>
        <w:t>Виж Съобщение на Комисията „Ускоряване н</w:t>
      </w:r>
      <w:r>
        <w:t>а иновацията в областта на чистата енергия“, Com(2016) 763</w:t>
      </w:r>
    </w:p>
  </w:footnote>
  <w:footnote w:id="8">
    <w:p w:rsidR="00C8158D" w:rsidRDefault="00566E1C">
      <w:pPr>
        <w:pStyle w:val="FootnoteText"/>
      </w:pPr>
      <w:r>
        <w:rPr>
          <w:rStyle w:val="FootnoteReference"/>
        </w:rPr>
        <w:footnoteRef/>
      </w:r>
      <w:r>
        <w:t xml:space="preserve"> </w:t>
      </w:r>
      <w:r>
        <w:tab/>
        <w:t>През 2014 г. над един милион души са били заети в този сектор, а общият оборот достигна приблизително 144 милиарда евро (доклад на EurObserv'ER).</w:t>
      </w:r>
    </w:p>
  </w:footnote>
  <w:footnote w:id="9">
    <w:p w:rsidR="00C8158D" w:rsidRDefault="00566E1C">
      <w:pPr>
        <w:pStyle w:val="FootnoteText"/>
      </w:pPr>
      <w:r>
        <w:rPr>
          <w:rStyle w:val="FootnoteReference"/>
          <w:sz w:val="18"/>
          <w:vertAlign w:val="baseline"/>
        </w:rPr>
        <w:footnoteRef/>
      </w:r>
      <w:r>
        <w:t xml:space="preserve"> </w:t>
      </w:r>
      <w:r>
        <w:tab/>
        <w:t xml:space="preserve">Прогнози за 2015 г.; източник: Öko-Institut, </w:t>
      </w:r>
      <w:r>
        <w:t xml:space="preserve">Study on Technical Assistance in Realisation of the 2016 Report on Renewable Energy (Проучване на техническата помощ при реализиране на доклада за 2016 г. за енергията от възобновяеми източници), който можете да намерите на следния адрес: </w:t>
      </w:r>
      <w:hyperlink r:id="rId3">
        <w:r>
          <w:rPr>
            <w:rStyle w:val="Hyperlink"/>
          </w:rPr>
          <w:t>http://ec.europa.eu/energy/en/studies</w:t>
        </w:r>
      </w:hyperlink>
    </w:p>
  </w:footnote>
  <w:footnote w:id="10">
    <w:p w:rsidR="00C8158D" w:rsidRDefault="00566E1C">
      <w:pPr>
        <w:pStyle w:val="FootnoteText"/>
      </w:pPr>
      <w:r>
        <w:rPr>
          <w:rStyle w:val="FootnoteReference"/>
        </w:rPr>
        <w:footnoteRef/>
      </w:r>
      <w:r>
        <w:t xml:space="preserve"> </w:t>
      </w:r>
      <w:r>
        <w:tab/>
        <w:t>Сумарните криви на равнище ЕС са дадени с илюстративна цел и нямат правна стойност.</w:t>
      </w:r>
    </w:p>
  </w:footnote>
  <w:footnote w:id="11">
    <w:p w:rsidR="00C8158D" w:rsidRDefault="00566E1C">
      <w:pPr>
        <w:pStyle w:val="FootnoteText"/>
        <w:jc w:val="left"/>
      </w:pPr>
      <w:r>
        <w:rPr>
          <w:rStyle w:val="FootnoteReference"/>
        </w:rPr>
        <w:footnoteRef/>
      </w:r>
      <w:r>
        <w:t xml:space="preserve"> </w:t>
      </w:r>
      <w:r>
        <w:tab/>
        <w:t xml:space="preserve">Подробно описание е дадено на следния адрес: </w:t>
      </w:r>
      <w:hyperlink r:id="rId4">
        <w:r>
          <w:rPr>
            <w:rStyle w:val="Hyperlink"/>
          </w:rPr>
          <w:t>https://ec.europa.eu/energy/sites/ener/files/documents/20160713%20draft_publication_REF2016_v13.pdf</w:t>
        </w:r>
      </w:hyperlink>
    </w:p>
    <w:p w:rsidR="00C8158D" w:rsidRDefault="00C8158D">
      <w:pPr>
        <w:pStyle w:val="FootnoteText"/>
      </w:pPr>
    </w:p>
  </w:footnote>
  <w:footnote w:id="12">
    <w:p w:rsidR="00C8158D" w:rsidRDefault="00566E1C">
      <w:pPr>
        <w:pStyle w:val="FootnoteText"/>
      </w:pPr>
      <w:r>
        <w:rPr>
          <w:rStyle w:val="FootnoteReference"/>
        </w:rPr>
        <w:footnoteRef/>
      </w:r>
      <w:r>
        <w:t xml:space="preserve"> </w:t>
      </w:r>
      <w:r>
        <w:tab/>
        <w:t>В Приложение I на Директивата за ен</w:t>
      </w:r>
      <w:r>
        <w:t>ергията от възобновяеми източници е дадена формула за изчисляване на индикативната траектория за период от две години като средна стойност за всяка държава членка. От тази формула може да се определи индикативна крива за ЕС-28 като цяло. Тази екстраполация</w:t>
      </w:r>
      <w:r>
        <w:t xml:space="preserve"> обаче е представена единствено с илюстративна цел и няма правна стойност, т.е. съгласно Директивата за енергията от възобновяеми източници ЕС като цяло няма индикативна крива за енергията от ВЕИ.</w:t>
      </w:r>
    </w:p>
  </w:footnote>
  <w:footnote w:id="13">
    <w:p w:rsidR="00C8158D" w:rsidRDefault="00566E1C">
      <w:pPr>
        <w:pStyle w:val="FootnoteText"/>
      </w:pPr>
      <w:r>
        <w:rPr>
          <w:rStyle w:val="FootnoteReference"/>
        </w:rPr>
        <w:footnoteRef/>
      </w:r>
      <w:r>
        <w:t xml:space="preserve"> </w:t>
      </w:r>
      <w:r>
        <w:tab/>
        <w:t xml:space="preserve">Сумирането на стойностите от НПДЕВИ показва очакван дял </w:t>
      </w:r>
      <w:r>
        <w:t>от 15,0 % за 2014 г. и съответно 16 % за 2015 г.</w:t>
      </w:r>
    </w:p>
  </w:footnote>
  <w:footnote w:id="14">
    <w:p w:rsidR="00C8158D" w:rsidRDefault="00566E1C">
      <w:pPr>
        <w:pStyle w:val="FootnoteText"/>
      </w:pPr>
      <w:r>
        <w:rPr>
          <w:rStyle w:val="FootnoteReference"/>
        </w:rPr>
        <w:footnoteRef/>
      </w:r>
      <w:r>
        <w:t xml:space="preserve"> </w:t>
      </w:r>
      <w:r>
        <w:tab/>
        <w:t>Въз основа на сценария PRIMES EUCO30</w:t>
      </w:r>
    </w:p>
  </w:footnote>
  <w:footnote w:id="15">
    <w:p w:rsidR="00C8158D" w:rsidRDefault="00566E1C">
      <w:pPr>
        <w:pStyle w:val="FootnoteText"/>
      </w:pPr>
      <w:r>
        <w:rPr>
          <w:rStyle w:val="FootnoteReference"/>
        </w:rPr>
        <w:footnoteRef/>
      </w:r>
      <w:r>
        <w:t xml:space="preserve"> </w:t>
      </w:r>
      <w:r>
        <w:tab/>
        <w:t>Отчитани от Евростат като „възобновяеми твърди битови отпадъци“.</w:t>
      </w:r>
    </w:p>
  </w:footnote>
  <w:footnote w:id="16">
    <w:p w:rsidR="00C8158D" w:rsidRDefault="00566E1C">
      <w:pPr>
        <w:pStyle w:val="FootnoteText"/>
      </w:pPr>
      <w:r>
        <w:rPr>
          <w:rStyle w:val="FootnoteReference"/>
        </w:rPr>
        <w:footnoteRef/>
      </w:r>
      <w:r>
        <w:t xml:space="preserve"> </w:t>
      </w:r>
      <w:r>
        <w:tab/>
        <w:t>Националните схеми за подпомагане, прилагани от държавите членки, са подчинени на правилата за д</w:t>
      </w:r>
      <w:r>
        <w:t>ържавната помощ, изложени в Насоките относно държавната помощ за опазване на околната среда и за енергетика за периода 2014—2020 г.</w:t>
      </w:r>
    </w:p>
  </w:footnote>
  <w:footnote w:id="17">
    <w:p w:rsidR="00C8158D" w:rsidRDefault="00566E1C">
      <w:pPr>
        <w:pStyle w:val="FootnoteText"/>
      </w:pPr>
      <w:r>
        <w:rPr>
          <w:rStyle w:val="FootnoteReference"/>
        </w:rPr>
        <w:footnoteRef/>
      </w:r>
      <w:r>
        <w:t xml:space="preserve"> </w:t>
      </w:r>
      <w:r>
        <w:tab/>
        <w:t>Включително многократно отчитане</w:t>
      </w:r>
    </w:p>
  </w:footnote>
  <w:footnote w:id="18">
    <w:p w:rsidR="00C8158D" w:rsidRDefault="00566E1C">
      <w:pPr>
        <w:pStyle w:val="FootnoteText"/>
      </w:pPr>
      <w:r>
        <w:rPr>
          <w:rStyle w:val="FootnoteReference"/>
        </w:rPr>
        <w:footnoteRef/>
      </w:r>
      <w:r>
        <w:t xml:space="preserve"> </w:t>
      </w:r>
      <w:r>
        <w:tab/>
        <w:t>Под влиянието на обсъжданията на правната рамка за биогоривата, произведени от посеви</w:t>
      </w:r>
      <w:r>
        <w:t>, отглеждани на земеделска земя, и на непряката промяна в земеползването.</w:t>
      </w:r>
    </w:p>
  </w:footnote>
  <w:footnote w:id="19">
    <w:p w:rsidR="00C8158D" w:rsidRDefault="00566E1C">
      <w:pPr>
        <w:pStyle w:val="FootnoteText"/>
      </w:pPr>
      <w:r>
        <w:rPr>
          <w:rStyle w:val="FootnoteReference"/>
        </w:rPr>
        <w:footnoteRef/>
      </w:r>
      <w:r>
        <w:t xml:space="preserve"> </w:t>
      </w:r>
      <w:r>
        <w:tab/>
        <w:t>Без мултипликатори</w:t>
      </w:r>
    </w:p>
  </w:footnote>
  <w:footnote w:id="20">
    <w:p w:rsidR="00C8158D" w:rsidRDefault="00566E1C">
      <w:pPr>
        <w:pStyle w:val="FootnoteText"/>
      </w:pPr>
      <w:r>
        <w:rPr>
          <w:rStyle w:val="FootnoteReference"/>
        </w:rPr>
        <w:footnoteRef/>
      </w:r>
      <w:r>
        <w:t xml:space="preserve"> </w:t>
      </w:r>
      <w:r>
        <w:tab/>
        <w:t>Предишен член 21, параграф 2 от Директива 2009/28/ЕО.</w:t>
      </w:r>
    </w:p>
  </w:footnote>
  <w:footnote w:id="21">
    <w:p w:rsidR="00C8158D" w:rsidRDefault="00566E1C">
      <w:pPr>
        <w:pStyle w:val="FootnoteText"/>
      </w:pPr>
      <w:r>
        <w:rPr>
          <w:rStyle w:val="FootnoteReference"/>
        </w:rPr>
        <w:footnoteRef/>
      </w:r>
      <w:r>
        <w:t xml:space="preserve"> </w:t>
      </w:r>
      <w:r>
        <w:tab/>
        <w:t>Биогорива, съответстващи на изискванията, в съпоставка с целта за енергия от възобновяеми източници.</w:t>
      </w:r>
    </w:p>
  </w:footnote>
  <w:footnote w:id="22">
    <w:p w:rsidR="00C8158D" w:rsidRDefault="00566E1C">
      <w:pPr>
        <w:pStyle w:val="FootnoteText"/>
      </w:pPr>
      <w:r>
        <w:rPr>
          <w:rStyle w:val="FootnoteReference"/>
        </w:rPr>
        <w:footnoteRef/>
      </w:r>
      <w:r>
        <w:t xml:space="preserve"> </w:t>
      </w:r>
      <w:r>
        <w:rPr>
          <w:lang w:val="hu-HU"/>
        </w:rPr>
        <w:tab/>
      </w:r>
      <w:r>
        <w:t>В килотона нефтен еквивалент, без многократно отчетане.</w:t>
      </w:r>
    </w:p>
  </w:footnote>
  <w:footnote w:id="23">
    <w:p w:rsidR="00C8158D" w:rsidRDefault="00566E1C">
      <w:pPr>
        <w:pStyle w:val="FootnoteText"/>
      </w:pPr>
      <w:r>
        <w:rPr>
          <w:rStyle w:val="FootnoteReference"/>
        </w:rPr>
        <w:footnoteRef/>
      </w:r>
      <w:r>
        <w:t xml:space="preserve"> </w:t>
      </w:r>
      <w:r>
        <w:tab/>
        <w:t>Тази държава уведоми Комисията за приемането на нови мерки, целящи отново да достигне определените за нея стойности съгласно кривата и да осигури съответствие с целта.</w:t>
      </w:r>
    </w:p>
  </w:footnote>
  <w:footnote w:id="24">
    <w:p w:rsidR="00C8158D" w:rsidRDefault="00566E1C">
      <w:pPr>
        <w:pStyle w:val="FootnoteText"/>
      </w:pPr>
      <w:r>
        <w:rPr>
          <w:rStyle w:val="FootnoteReference"/>
        </w:rPr>
        <w:footnoteRef/>
      </w:r>
      <w:r>
        <w:t xml:space="preserve"> </w:t>
      </w:r>
      <w:r>
        <w:tab/>
        <w:t xml:space="preserve">Ирландия, Люксембург, </w:t>
      </w:r>
      <w:r>
        <w:t>Нидерландия и Обединеното кралство. За Обединеното кралство обаче очакваното различие е много малко (около 0,2 %). Тук не е включена Унгария с различие под 0,01 % спрямо целта.</w:t>
      </w:r>
    </w:p>
  </w:footnote>
  <w:footnote w:id="25">
    <w:p w:rsidR="00C8158D" w:rsidRDefault="00566E1C">
      <w:pPr>
        <w:pStyle w:val="FootnoteText"/>
      </w:pPr>
      <w:r>
        <w:rPr>
          <w:rStyle w:val="FootnoteReference"/>
        </w:rPr>
        <w:footnoteRef/>
      </w:r>
      <w:r>
        <w:t xml:space="preserve"> </w:t>
      </w:r>
      <w:r>
        <w:tab/>
        <w:t>Оценка на Директивата за енергията от възобновяеми източници по програмата R</w:t>
      </w:r>
      <w:r>
        <w:t>EFIT (Програма за пригодност и резултатност на регулаторната рамка), SWD (2016) 416 final.</w:t>
      </w:r>
    </w:p>
  </w:footnote>
  <w:footnote w:id="26">
    <w:p w:rsidR="00C8158D" w:rsidRDefault="00566E1C">
      <w:pPr>
        <w:pStyle w:val="FootnoteText"/>
      </w:pPr>
      <w:r>
        <w:rPr>
          <w:rStyle w:val="FootnoteReference"/>
        </w:rPr>
        <w:footnoteRef/>
      </w:r>
      <w:r>
        <w:t xml:space="preserve"> </w:t>
      </w:r>
      <w:r>
        <w:tab/>
        <w:t>В съответствие с Директива (ЕС) 2015/1513 от 9 септември 2015 г. (т.нар. Директива за емисии от непреки промени в земеползването) се изисква Комисията да докладва</w:t>
      </w:r>
      <w:r>
        <w:t xml:space="preserve"> относно емисии на парникови газове от биогорива, включително емисии от непреки промени в земеползването, като използва данни относно суровините за биогорива от докладите на държавите членки, които следва да бъдат представени най-късно до края на 2017 г. Т</w:t>
      </w:r>
      <w:r>
        <w:t>ъй като транспонирането на Директива (ЕС) 2015/153 още не е завършило и държавите членки още не са започнали да съобщават изискваните данни, Комисията базира своята оценка на данни от Евростат (количества биодизел, други течни биогорива и биобензин, използ</w:t>
      </w:r>
      <w:r>
        <w:t>вани в ЕС), данни за състава на суровините от Службата за чуждестранно земеделие към Министерството на земеделието нa CAЩ (FAS USDA) за 2016 г. и данни от отрасъла.</w:t>
      </w:r>
    </w:p>
  </w:footnote>
  <w:footnote w:id="27">
    <w:p w:rsidR="00C8158D" w:rsidRDefault="00566E1C">
      <w:pPr>
        <w:pStyle w:val="FootnoteText"/>
      </w:pPr>
      <w:r>
        <w:rPr>
          <w:rStyle w:val="FootnoteReference"/>
        </w:rPr>
        <w:footnoteRef/>
      </w:r>
      <w:r>
        <w:t xml:space="preserve"> </w:t>
      </w:r>
      <w:r>
        <w:tab/>
        <w:t>Ecofys, IIASA, E4Tech, 2015</w:t>
      </w:r>
    </w:p>
  </w:footnote>
  <w:footnote w:id="28">
    <w:p w:rsidR="00C8158D" w:rsidRDefault="00566E1C">
      <w:pPr>
        <w:pStyle w:val="FootnoteText"/>
      </w:pPr>
      <w:r>
        <w:rPr>
          <w:rStyle w:val="FootnoteReference"/>
        </w:rPr>
        <w:footnoteRef/>
      </w:r>
      <w:r>
        <w:t xml:space="preserve"> </w:t>
      </w:r>
      <w:r>
        <w:tab/>
        <w:t>Данни от отрасъла: виж статистическите данни от ePUR, пуб</w:t>
      </w:r>
      <w:r>
        <w:t>ликувани на 22 септември 2016 г.</w:t>
      </w:r>
    </w:p>
  </w:footnote>
  <w:footnote w:id="29">
    <w:p w:rsidR="00C8158D" w:rsidRDefault="00566E1C">
      <w:pPr>
        <w:pStyle w:val="FootnoteText"/>
      </w:pPr>
      <w:r>
        <w:rPr>
          <w:rStyle w:val="FootnoteReference"/>
        </w:rPr>
        <w:footnoteRef/>
      </w:r>
      <w:r>
        <w:t xml:space="preserve"> </w:t>
      </w:r>
      <w:r>
        <w:tab/>
        <w:t>Боливия, Пакистан и Перу. От януари 2016 г. Гватемала вече не е бенефициер по режима ОСП+.</w:t>
      </w:r>
    </w:p>
  </w:footnote>
  <w:footnote w:id="30">
    <w:p w:rsidR="00C8158D" w:rsidRDefault="00566E1C">
      <w:pPr>
        <w:pStyle w:val="FootnoteText"/>
      </w:pPr>
      <w:r>
        <w:rPr>
          <w:rStyle w:val="FootnoteReference"/>
        </w:rPr>
        <w:footnoteRef/>
      </w:r>
      <w:r>
        <w:t xml:space="preserve"> </w:t>
      </w:r>
      <w:r>
        <w:tab/>
        <w:t>COM(2016) 29 final, 28 януари 2016 г.</w:t>
      </w:r>
    </w:p>
  </w:footnote>
  <w:footnote w:id="31">
    <w:p w:rsidR="00C8158D" w:rsidRDefault="00566E1C">
      <w:pPr>
        <w:pStyle w:val="FootnoteText"/>
      </w:pPr>
      <w:r>
        <w:rPr>
          <w:rStyle w:val="FootnoteReference"/>
        </w:rPr>
        <w:footnoteRef/>
      </w:r>
      <w:r>
        <w:t xml:space="preserve"> </w:t>
      </w:r>
      <w:r>
        <w:tab/>
        <w:t>Анализирани източници за ЕС-28: публично достъпни данни (от промишлени асоциации и US</w:t>
      </w:r>
      <w:r>
        <w:t>DA FAS), търговски данни.</w:t>
      </w:r>
    </w:p>
  </w:footnote>
  <w:footnote w:id="32">
    <w:p w:rsidR="00C8158D" w:rsidRDefault="00566E1C">
      <w:pPr>
        <w:pStyle w:val="FootnoteText"/>
      </w:pPr>
      <w:r>
        <w:rPr>
          <w:rStyle w:val="FootnoteReference"/>
        </w:rPr>
        <w:footnoteRef/>
      </w:r>
      <w:r>
        <w:t xml:space="preserve"> </w:t>
      </w:r>
      <w:r>
        <w:tab/>
        <w:t>Публично достъпните данни сочат, че през 2014 г. използването на отпадъчни масла и мазнини е нараснало повече от три пъти в сравнение с 2010 г., и че използването на палмово масло е нараснало повече от два пъти в сравнение с 20</w:t>
      </w:r>
      <w:r>
        <w:t>10 г.</w:t>
      </w:r>
    </w:p>
  </w:footnote>
  <w:footnote w:id="33">
    <w:p w:rsidR="00C8158D" w:rsidRDefault="00566E1C">
      <w:pPr>
        <w:pStyle w:val="FootnoteText"/>
      </w:pPr>
      <w:r>
        <w:rPr>
          <w:rStyle w:val="FootnoteReference"/>
        </w:rPr>
        <w:footnoteRef/>
      </w:r>
      <w:r>
        <w:t xml:space="preserve"> </w:t>
      </w:r>
      <w:r>
        <w:tab/>
        <w:t>Fediol, ePure, EurObserver</w:t>
      </w:r>
    </w:p>
  </w:footnote>
  <w:footnote w:id="34">
    <w:p w:rsidR="00C8158D" w:rsidRDefault="00566E1C">
      <w:pPr>
        <w:pStyle w:val="FootnoteText"/>
      </w:pPr>
      <w:r>
        <w:rPr>
          <w:rStyle w:val="FootnoteReference"/>
        </w:rPr>
        <w:footnoteRef/>
      </w:r>
      <w:r>
        <w:t xml:space="preserve"> </w:t>
      </w:r>
      <w:r>
        <w:tab/>
        <w:t>USDA FAS, данни от базата статистически данни на ООН за международната търговия (UN Comtrade): http://comtrade.un.org/</w:t>
      </w:r>
    </w:p>
  </w:footnote>
  <w:footnote w:id="35">
    <w:p w:rsidR="00C8158D" w:rsidRDefault="00566E1C">
      <w:pPr>
        <w:pStyle w:val="FootnoteText"/>
      </w:pPr>
      <w:r>
        <w:rPr>
          <w:rStyle w:val="FootnoteReference"/>
        </w:rPr>
        <w:footnoteRef/>
      </w:r>
      <w:r>
        <w:t xml:space="preserve"> </w:t>
      </w:r>
      <w:r>
        <w:tab/>
        <w:t>USDA FAS, данни от UN Comtrade: http://comtrade.un.org/</w:t>
      </w:r>
    </w:p>
  </w:footnote>
  <w:footnote w:id="36">
    <w:p w:rsidR="00C8158D" w:rsidRDefault="00566E1C">
      <w:pPr>
        <w:pStyle w:val="FootnoteText"/>
      </w:pPr>
      <w:r>
        <w:rPr>
          <w:rStyle w:val="FootnoteReference"/>
        </w:rPr>
        <w:footnoteRef/>
      </w:r>
      <w:r>
        <w:t xml:space="preserve"> </w:t>
      </w:r>
      <w:r>
        <w:tab/>
        <w:t xml:space="preserve">USDA FAS, данни от UN Comtrade: </w:t>
      </w:r>
      <w:hyperlink r:id="rId5">
        <w:r>
          <w:rPr>
            <w:rStyle w:val="Hyperlink"/>
          </w:rPr>
          <w:t>http://comtrade.un.org/</w:t>
        </w:r>
      </w:hyperlink>
    </w:p>
  </w:footnote>
  <w:footnote w:id="37">
    <w:p w:rsidR="00C8158D" w:rsidRDefault="00566E1C">
      <w:pPr>
        <w:pStyle w:val="FootnoteText"/>
      </w:pPr>
      <w:r>
        <w:rPr>
          <w:rStyle w:val="FootnoteReference"/>
        </w:rPr>
        <w:footnoteRef/>
      </w:r>
      <w:r>
        <w:t xml:space="preserve"> </w:t>
      </w:r>
      <w:r>
        <w:tab/>
        <w:t>SWD(2016) 218 final Преглед на екологичното състояние една година по-късно</w:t>
      </w:r>
    </w:p>
  </w:footnote>
  <w:footnote w:id="38">
    <w:p w:rsidR="00C8158D" w:rsidRDefault="00566E1C">
      <w:pPr>
        <w:pStyle w:val="FootnoteText"/>
      </w:pPr>
      <w:r>
        <w:rPr>
          <w:rStyle w:val="FootnoteReference"/>
        </w:rPr>
        <w:footnoteRef/>
      </w:r>
      <w:r>
        <w:t xml:space="preserve"> </w:t>
      </w:r>
      <w:r>
        <w:tab/>
        <w:t>Преглед на земеделието в ЕС, 2016 г.</w:t>
      </w:r>
    </w:p>
  </w:footnote>
  <w:footnote w:id="39">
    <w:p w:rsidR="00C8158D" w:rsidRDefault="00566E1C">
      <w:pPr>
        <w:pStyle w:val="FootnoteText"/>
      </w:pPr>
      <w:r>
        <w:rPr>
          <w:rStyle w:val="FootnoteReference"/>
        </w:rPr>
        <w:footnoteRef/>
      </w:r>
      <w:r>
        <w:t xml:space="preserve"> </w:t>
      </w:r>
      <w:r>
        <w:tab/>
        <w:t>Германия, в нейния доклад за постигнатия напредък</w:t>
      </w:r>
    </w:p>
  </w:footnote>
  <w:footnote w:id="40">
    <w:p w:rsidR="00C8158D" w:rsidRDefault="00566E1C">
      <w:pPr>
        <w:pStyle w:val="FootnoteText"/>
      </w:pPr>
      <w:r>
        <w:rPr>
          <w:rStyle w:val="FootnoteReference"/>
        </w:rPr>
        <w:footnoteRef/>
      </w:r>
      <w:r>
        <w:t xml:space="preserve"> </w:t>
      </w:r>
      <w:r>
        <w:tab/>
      </w:r>
      <w:r>
        <w:t xml:space="preserve">GLOBIOM моделиране, </w:t>
      </w:r>
      <w:r>
        <w:rPr>
          <w:lang w:val="en-GB"/>
        </w:rPr>
        <w:t>Valin</w:t>
      </w:r>
      <w:r>
        <w:t> 2016</w:t>
      </w:r>
    </w:p>
  </w:footnote>
  <w:footnote w:id="41">
    <w:p w:rsidR="00C8158D" w:rsidRDefault="00566E1C">
      <w:pPr>
        <w:pStyle w:val="FootnoteText"/>
      </w:pPr>
      <w:r>
        <w:rPr>
          <w:rStyle w:val="FootnoteReference"/>
        </w:rPr>
        <w:footnoteRef/>
      </w:r>
      <w:r>
        <w:t xml:space="preserve"> </w:t>
      </w:r>
      <w:r>
        <w:tab/>
        <w:t>Доклади на държавите членки</w:t>
      </w:r>
    </w:p>
  </w:footnote>
  <w:footnote w:id="42">
    <w:p w:rsidR="00C8158D" w:rsidRDefault="00566E1C">
      <w:pPr>
        <w:pStyle w:val="FootnoteText"/>
      </w:pPr>
      <w:r>
        <w:rPr>
          <w:rStyle w:val="FootnoteReference"/>
        </w:rPr>
        <w:footnoteRef/>
      </w:r>
      <w:r>
        <w:t xml:space="preserve"> </w:t>
      </w:r>
      <w:r>
        <w:tab/>
        <w:t xml:space="preserve">Международен институт за приложен системен анализ (IIASA), Картографиране на пригодността на почвите, национални оценки (Soils suitability mapping, </w:t>
      </w:r>
      <w:r>
        <w:rPr>
          <w:lang w:val="en-GB"/>
        </w:rPr>
        <w:t>national</w:t>
      </w:r>
      <w:r>
        <w:t xml:space="preserve"> </w:t>
      </w:r>
      <w:r>
        <w:rPr>
          <w:lang w:val="en-GB"/>
        </w:rPr>
        <w:t>assessments</w:t>
      </w:r>
      <w:r>
        <w:t>)</w:t>
      </w:r>
    </w:p>
  </w:footnote>
  <w:footnote w:id="43">
    <w:p w:rsidR="00C8158D" w:rsidRDefault="00566E1C">
      <w:pPr>
        <w:pStyle w:val="FootnoteText"/>
      </w:pPr>
      <w:r>
        <w:rPr>
          <w:rStyle w:val="FootnoteReference"/>
        </w:rPr>
        <w:footnoteRef/>
      </w:r>
      <w:r>
        <w:t xml:space="preserve"> </w:t>
      </w:r>
      <w:r>
        <w:tab/>
        <w:t>EU Agriculture Out</w:t>
      </w:r>
      <w:r>
        <w:t>look 2016 (Преглед на земеделието в ЕС, 2016 г.)</w:t>
      </w:r>
    </w:p>
  </w:footnote>
  <w:footnote w:id="44">
    <w:p w:rsidR="00C8158D" w:rsidRDefault="00566E1C">
      <w:pPr>
        <w:pStyle w:val="FootnoteText"/>
      </w:pPr>
      <w:r>
        <w:rPr>
          <w:rStyle w:val="FootnoteReference"/>
        </w:rPr>
        <w:footnoteRef/>
      </w:r>
      <w:r>
        <w:t xml:space="preserve"> </w:t>
      </w:r>
      <w:r>
        <w:tab/>
        <w:t>FAO Food Outlook October 2015 (ФАО, Доклад относно перспективи на прехраната, октомври 2015 г.)</w:t>
      </w:r>
    </w:p>
  </w:footnote>
  <w:footnote w:id="45">
    <w:p w:rsidR="00C8158D" w:rsidRDefault="00566E1C">
      <w:pPr>
        <w:pStyle w:val="FootnoteText"/>
      </w:pPr>
      <w:r>
        <w:rPr>
          <w:rStyle w:val="FootnoteReference"/>
        </w:rPr>
        <w:footnoteRef/>
      </w:r>
      <w:r>
        <w:t xml:space="preserve"> </w:t>
      </w:r>
      <w:r>
        <w:tab/>
        <w:t>OECD-FAO (2016) Agriculture Outlook 2016 – 2025 (ОИСР-ФАО (2016 г.) Перспективи на земеделието 2016-2025 </w:t>
      </w:r>
      <w:r>
        <w:t>г.)</w:t>
      </w:r>
    </w:p>
  </w:footnote>
  <w:footnote w:id="46">
    <w:p w:rsidR="00C8158D" w:rsidRDefault="00566E1C">
      <w:pPr>
        <w:pStyle w:val="FootnoteText"/>
      </w:pPr>
      <w:r>
        <w:rPr>
          <w:rStyle w:val="FootnoteReference"/>
        </w:rPr>
        <w:footnoteRef/>
      </w:r>
      <w:r>
        <w:t xml:space="preserve"> </w:t>
      </w:r>
      <w:r>
        <w:tab/>
        <w:t>IMF, World Economic Outlook: subdued demand – symptoms and remedies. October 2016 (МВФ, Световен икономически преглед: Слабо търсене: симптоми и средства за повишаване. Октомври 2016 г.)</w:t>
      </w:r>
    </w:p>
  </w:footnote>
  <w:footnote w:id="47">
    <w:p w:rsidR="00C8158D" w:rsidRDefault="00566E1C">
      <w:pPr>
        <w:pStyle w:val="FootnoteText"/>
      </w:pPr>
      <w:r>
        <w:rPr>
          <w:rStyle w:val="FootnoteReference"/>
        </w:rPr>
        <w:footnoteRef/>
      </w:r>
      <w:r>
        <w:t xml:space="preserve"> </w:t>
      </w:r>
      <w:r>
        <w:tab/>
        <w:t>GRAIN report 2016 (Доклад за зърнените култури, 2016 г.)</w:t>
      </w:r>
    </w:p>
  </w:footnote>
  <w:footnote w:id="48">
    <w:p w:rsidR="00C8158D" w:rsidRDefault="00566E1C">
      <w:pPr>
        <w:pStyle w:val="FootnoteText"/>
      </w:pPr>
      <w:r>
        <w:rPr>
          <w:rStyle w:val="FootnoteReference"/>
        </w:rPr>
        <w:footnoteRef/>
      </w:r>
      <w:r>
        <w:t xml:space="preserve"> </w:t>
      </w:r>
      <w:r>
        <w:t>С изключение на Нидерландия.</w:t>
      </w:r>
    </w:p>
  </w:footnote>
  <w:footnote w:id="49">
    <w:p w:rsidR="00C8158D" w:rsidRDefault="00566E1C">
      <w:pPr>
        <w:pStyle w:val="FootnoteText"/>
      </w:pPr>
      <w:r>
        <w:rPr>
          <w:rStyle w:val="FootnoteReference"/>
        </w:rPr>
        <w:footnoteRef/>
      </w:r>
      <w:r>
        <w:t xml:space="preserve"> Както е определено в Приложение I към Директива 2009/28/ЕО.</w:t>
      </w:r>
    </w:p>
  </w:footnote>
  <w:footnote w:id="50">
    <w:p w:rsidR="00C8158D" w:rsidRDefault="00566E1C">
      <w:pPr>
        <w:pStyle w:val="FootnoteText"/>
      </w:pPr>
      <w:r>
        <w:rPr>
          <w:rStyle w:val="FootnoteReference"/>
        </w:rPr>
        <w:footnoteRef/>
      </w:r>
      <w:r>
        <w:t xml:space="preserve"> Въз основа на прогнозни изчисления за 2015 г., Öko Institut. През 2015 г. 45 % се основава на общи показатели за ВЕИ.</w:t>
      </w:r>
    </w:p>
  </w:footnote>
  <w:footnote w:id="51">
    <w:p w:rsidR="00C8158D" w:rsidRDefault="00566E1C">
      <w:pPr>
        <w:pStyle w:val="FootnoteText"/>
      </w:pPr>
      <w:r>
        <w:rPr>
          <w:rStyle w:val="FootnoteReference"/>
        </w:rPr>
        <w:footnoteRef/>
      </w:r>
      <w:r>
        <w:t xml:space="preserve"> По отношение на емисиите на СО2 обаче електроенергията продължава да има най-голям дял и е отговорна за 41 % от емисиите на СО2 в ЕС.</w:t>
      </w:r>
    </w:p>
  </w:footnote>
  <w:footnote w:id="52">
    <w:p w:rsidR="00C8158D" w:rsidRDefault="00566E1C">
      <w:pPr>
        <w:pStyle w:val="FootnoteText"/>
      </w:pPr>
      <w:r>
        <w:rPr>
          <w:rStyle w:val="FootnoteReference"/>
        </w:rPr>
        <w:footnoteRef/>
      </w:r>
      <w:r>
        <w:t xml:space="preserve"> Въз основа на прогнозни изчисления за 2015 г., Öko Institut. 50 % през 2015 г., като се изключи многократното отчитане </w:t>
      </w:r>
      <w:r>
        <w:t>за транспорта.</w:t>
      </w:r>
    </w:p>
  </w:footnote>
  <w:footnote w:id="53">
    <w:p w:rsidR="00C8158D" w:rsidRDefault="00566E1C">
      <w:pPr>
        <w:pStyle w:val="FootnoteText"/>
      </w:pPr>
      <w:r>
        <w:rPr>
          <w:rStyle w:val="FootnoteReference"/>
        </w:rPr>
        <w:footnoteRef/>
      </w:r>
      <w:r>
        <w:t xml:space="preserve"> Тук: вятърна и слънчева енергия</w:t>
      </w:r>
    </w:p>
  </w:footnote>
  <w:footnote w:id="54">
    <w:p w:rsidR="00C8158D" w:rsidRDefault="00566E1C">
      <w:pPr>
        <w:pStyle w:val="FootnoteText"/>
      </w:pPr>
      <w:r>
        <w:rPr>
          <w:rStyle w:val="FootnoteReference"/>
        </w:rPr>
        <w:footnoteRef/>
      </w:r>
      <w:r>
        <w:t xml:space="preserve"> Дължи се най-вече на промени в начина на отчитане на отговарящите на изискванията биогорива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1C" w:rsidRDefault="00566E1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1C" w:rsidRDefault="00566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1C" w:rsidRDefault="00566E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8D" w:rsidRDefault="00C81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4266"/>
    <w:multiLevelType w:val="hybridMultilevel"/>
    <w:tmpl w:val="E5907B9C"/>
    <w:lvl w:ilvl="0" w:tplc="2EDE4DEC">
      <w:start w:val="1"/>
      <mc:AlternateContent>
        <mc:Choice Requires="w14">
          <w:numFmt w:val="custom" w:format="а, й, к, ..."/>
        </mc:Choice>
        <mc:Fallback>
          <w:numFmt w:val="decimal"/>
        </mc:Fallback>
      </mc:AlternateContent>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5E0D25"/>
    <w:multiLevelType w:val="hybridMultilevel"/>
    <w:tmpl w:val="82BA9D7C"/>
    <w:lvl w:ilvl="0" w:tplc="3F5625A2">
      <w:start w:val="1"/>
      <w:numFmt w:val="lowerRoman"/>
      <w:pStyle w:val="Heading3"/>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6AE71741AC549FAA295F265124838A9"/>
    <w:docVar w:name="LW_CROSSREFERENCE" w:val="&lt;UNUSED&gt;"/>
    <w:docVar w:name="LW_DocType" w:val="NORMAL"/>
    <w:docVar w:name="LW_EMISSION" w:val="1.2.2017"/>
    <w:docVar w:name="LW_EMISSION_ISODATE" w:val="2017-02-01"/>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7"/>
    <w:docVar w:name="LW_REF.INTERNE" w:val="&lt;UNUSED&gt;"/>
    <w:docVar w:name="LW_SOUS.TITRE.OBJ.CP" w:val="&lt;UNUSED&gt;"/>
    <w:docVar w:name="LW_SUPERTITRE" w:val="&lt;UNUSED&gt;"/>
    <w:docVar w:name="LW_TITRE.OBJ.CP" w:val="\u1044?\u1086?\u1082?\u1083?\u1072?\u1076? \u1079?\u1072? \u1085?\u1072?\u1087?\u1088?\u1077?\u1076?\u1098?\u1082?\u1072? \u1074? \u1086?\u1073?\u1083?\u1072?\u1089?\u1090?\u1090?\u1072? \u1085?\u1072? \u1077?\u1085?\u1077?\u1088?\u1075?\u1080?\u1103?\u1090?\u1072? \u1086?\u1090? \u1074?\u1098?\u1079?\u1086?\u1073?\u1085?\u1086?\u1074?\u1103?\u1077?\u1084?\u1080? \u1080?\u1079?\u1090?\u1086?\u1095?\u1085?\u1080?\u1094?\u108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C8158D"/>
    <w:rsid w:val="00566E1C"/>
    <w:rsid w:val="00C815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Standardtext"/>
    <w:link w:val="Heading1Char"/>
    <w:qFormat/>
    <w:pPr>
      <w:jc w:val="both"/>
      <w:outlineLvl w:val="0"/>
    </w:pPr>
    <w:rPr>
      <w:rFonts w:ascii="Times New Roman" w:hAnsi="Times New Roman" w:cs="Times New Roman"/>
      <w:b/>
      <w:sz w:val="24"/>
      <w:szCs w:val="24"/>
    </w:rPr>
  </w:style>
  <w:style w:type="paragraph" w:styleId="Heading2">
    <w:name w:val="heading 2"/>
    <w:basedOn w:val="Normal"/>
    <w:next w:val="Standardtext"/>
    <w:link w:val="Heading2Char"/>
    <w:qFormat/>
    <w:pPr>
      <w:numPr>
        <w:numId w:val="1"/>
      </w:numPr>
      <w:jc w:val="both"/>
      <w:outlineLvl w:val="1"/>
    </w:pPr>
    <w:rPr>
      <w:rFonts w:ascii="Times New Roman" w:hAnsi="Times New Roman" w:cs="Times New Roman"/>
      <w:b/>
      <w:bCs/>
      <w:sz w:val="24"/>
      <w:szCs w:val="24"/>
    </w:rPr>
  </w:style>
  <w:style w:type="paragraph" w:styleId="Heading3">
    <w:name w:val="heading 3"/>
    <w:basedOn w:val="Normal"/>
    <w:next w:val="Standardtext"/>
    <w:link w:val="Heading3Char"/>
    <w:qFormat/>
    <w:pPr>
      <w:numPr>
        <w:numId w:val="2"/>
      </w:numPr>
      <w:jc w:val="both"/>
      <w:outlineLvl w:val="2"/>
    </w:pPr>
    <w:rPr>
      <w:rFonts w:ascii="Times New Roman" w:hAnsi="Times New Roman" w:cs="Times New Roman"/>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rPr>
      <w:rFonts w:ascii="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Cs/>
      <w:i/>
      <w:sz w:val="24"/>
      <w:szCs w:val="24"/>
    </w:rPr>
  </w:style>
  <w:style w:type="character" w:styleId="Hyperlink">
    <w:name w:val="Hyperlink"/>
    <w:uiPriority w:val="99"/>
    <w:rPr>
      <w:color w:val="0000FF"/>
      <w:u w:val="single"/>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noProof/>
      <w:sz w:val="18"/>
      <w:szCs w:val="18"/>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rFonts w:ascii="Times New Roman" w:eastAsia="Times New Roman" w:hAnsi="Times New Roman" w:cs="Times New Roman"/>
      <w:noProof/>
      <w:sz w:val="18"/>
      <w:szCs w:val="18"/>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customStyle="1" w:styleId="Standardtext">
    <w:name w:val="Standardtext"/>
    <w:basedOn w:val="Normal"/>
    <w:link w:val="StandardtextZchn"/>
    <w:qFormat/>
    <w:pPr>
      <w:spacing w:after="180" w:line="280" w:lineRule="atLeast"/>
      <w:jc w:val="both"/>
    </w:pPr>
    <w:rPr>
      <w:rFonts w:ascii="Times New Roman" w:hAnsi="Times New Roman" w:cs="Times New Roman"/>
      <w:sz w:val="24"/>
      <w:szCs w:val="24"/>
    </w:rPr>
  </w:style>
  <w:style w:type="character" w:customStyle="1" w:styleId="StandardtextZchn">
    <w:name w:val="Standardtext Zchn"/>
    <w:basedOn w:val="DefaultParagraphFont"/>
    <w:link w:val="Standardtext"/>
    <w:rPr>
      <w:rFonts w:ascii="Times New Roman" w:hAnsi="Times New Roman" w:cs="Times New Roman"/>
      <w:sz w:val="24"/>
      <w:szCs w:val="24"/>
    </w:rPr>
  </w:style>
  <w:style w:type="paragraph" w:styleId="Caption">
    <w:name w:val="caption"/>
    <w:aliases w:val="Tabelle,légende,Legende,Car Car Car Car Car Car,Car Car Car Car Car Car Car,Car Car Car Car Car,Car Car Car Car Car Car Car Car,Car Car Car Car Car Car2 Car Car Car C Car,Car5,Tabelle (Titel),Caption-tables,F10 Table Figure and Chart Title"/>
    <w:basedOn w:val="Normal"/>
    <w:link w:val="CaptionChar"/>
    <w:uiPriority w:val="35"/>
    <w:qFormat/>
    <w:pPr>
      <w:keepNext/>
      <w:tabs>
        <w:tab w:val="left" w:pos="1871"/>
      </w:tabs>
      <w:spacing w:before="140" w:after="140" w:line="280" w:lineRule="atLeast"/>
      <w:ind w:left="1871" w:hanging="1871"/>
      <w:jc w:val="center"/>
    </w:pPr>
    <w:rPr>
      <w:rFonts w:ascii="Times New Roman" w:hAnsi="Times New Roman" w:cs="Times New Roman"/>
      <w:bCs/>
      <w:i/>
      <w:sz w:val="20"/>
      <w:szCs w:val="20"/>
    </w:rPr>
  </w:style>
  <w:style w:type="character" w:customStyle="1" w:styleId="CaptionChar">
    <w:name w:val="Caption Char"/>
    <w:aliases w:val="Tabelle Char,légende Char,Legende Char,Car Car Car Car Car Car Char,Car Car Car Car Car Car Car Char,Car Car Car Car Car Char,Car Car Car Car Car Car Car Car Char,Car Car Car Car Car Car2 Car Car Car C Car Char,Car5 Char,Caption-tables Char"/>
    <w:basedOn w:val="DefaultParagraphFont"/>
    <w:link w:val="Caption"/>
    <w:uiPriority w:val="35"/>
    <w:locked/>
    <w:rPr>
      <w:rFonts w:ascii="Times New Roman" w:hAnsi="Times New Roman" w:cs="Times New Roman"/>
      <w:bCs/>
      <w:i/>
      <w:sz w:val="20"/>
      <w:szCs w:val="2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Heading1Char"/>
    <w:link w:val="HeaderCoverPage"/>
    <w:rPr>
      <w:rFonts w:ascii="Times New Roman" w:hAnsi="Times New Roman" w:cs="Times New Roman"/>
      <w:b w:val="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Standardtext"/>
    <w:link w:val="Heading1Char"/>
    <w:qFormat/>
    <w:pPr>
      <w:jc w:val="both"/>
      <w:outlineLvl w:val="0"/>
    </w:pPr>
    <w:rPr>
      <w:rFonts w:ascii="Times New Roman" w:hAnsi="Times New Roman" w:cs="Times New Roman"/>
      <w:b/>
      <w:sz w:val="24"/>
      <w:szCs w:val="24"/>
    </w:rPr>
  </w:style>
  <w:style w:type="paragraph" w:styleId="Heading2">
    <w:name w:val="heading 2"/>
    <w:basedOn w:val="Normal"/>
    <w:next w:val="Standardtext"/>
    <w:link w:val="Heading2Char"/>
    <w:qFormat/>
    <w:pPr>
      <w:numPr>
        <w:numId w:val="1"/>
      </w:numPr>
      <w:jc w:val="both"/>
      <w:outlineLvl w:val="1"/>
    </w:pPr>
    <w:rPr>
      <w:rFonts w:ascii="Times New Roman" w:hAnsi="Times New Roman" w:cs="Times New Roman"/>
      <w:b/>
      <w:bCs/>
      <w:sz w:val="24"/>
      <w:szCs w:val="24"/>
    </w:rPr>
  </w:style>
  <w:style w:type="paragraph" w:styleId="Heading3">
    <w:name w:val="heading 3"/>
    <w:basedOn w:val="Normal"/>
    <w:next w:val="Standardtext"/>
    <w:link w:val="Heading3Char"/>
    <w:qFormat/>
    <w:pPr>
      <w:numPr>
        <w:numId w:val="2"/>
      </w:numPr>
      <w:jc w:val="both"/>
      <w:outlineLvl w:val="2"/>
    </w:pPr>
    <w:rPr>
      <w:rFonts w:ascii="Times New Roman" w:hAnsi="Times New Roman" w:cs="Times New Roman"/>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rPr>
      <w:rFonts w:ascii="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Cs/>
      <w:i/>
      <w:sz w:val="24"/>
      <w:szCs w:val="24"/>
    </w:rPr>
  </w:style>
  <w:style w:type="character" w:styleId="Hyperlink">
    <w:name w:val="Hyperlink"/>
    <w:uiPriority w:val="99"/>
    <w:rPr>
      <w:color w:val="0000FF"/>
      <w:u w:val="single"/>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labjegyzet_szo,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noProof/>
      <w:sz w:val="18"/>
      <w:szCs w:val="18"/>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labjegyzet_szo Char"/>
    <w:basedOn w:val="DefaultParagraphFont"/>
    <w:link w:val="FootnoteText"/>
    <w:uiPriority w:val="99"/>
    <w:rPr>
      <w:rFonts w:ascii="Times New Roman" w:eastAsia="Times New Roman" w:hAnsi="Times New Roman" w:cs="Times New Roman"/>
      <w:noProof/>
      <w:sz w:val="18"/>
      <w:szCs w:val="18"/>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Diplomarbeit FZ)"/>
    <w:link w:val="FootnotesymbolCarZchn"/>
    <w:autoRedefine/>
    <w:uiPriority w:val="99"/>
    <w:unhideWhenUsed/>
    <w:qFormat/>
    <w:rPr>
      <w:sz w:val="20"/>
      <w:szCs w:val="20"/>
      <w:vertAlign w:val="superscript"/>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customStyle="1" w:styleId="Standardtext">
    <w:name w:val="Standardtext"/>
    <w:basedOn w:val="Normal"/>
    <w:link w:val="StandardtextZchn"/>
    <w:qFormat/>
    <w:pPr>
      <w:spacing w:after="180" w:line="280" w:lineRule="atLeast"/>
      <w:jc w:val="both"/>
    </w:pPr>
    <w:rPr>
      <w:rFonts w:ascii="Times New Roman" w:hAnsi="Times New Roman" w:cs="Times New Roman"/>
      <w:sz w:val="24"/>
      <w:szCs w:val="24"/>
    </w:rPr>
  </w:style>
  <w:style w:type="character" w:customStyle="1" w:styleId="StandardtextZchn">
    <w:name w:val="Standardtext Zchn"/>
    <w:basedOn w:val="DefaultParagraphFont"/>
    <w:link w:val="Standardtext"/>
    <w:rPr>
      <w:rFonts w:ascii="Times New Roman" w:hAnsi="Times New Roman" w:cs="Times New Roman"/>
      <w:sz w:val="24"/>
      <w:szCs w:val="24"/>
    </w:rPr>
  </w:style>
  <w:style w:type="paragraph" w:styleId="Caption">
    <w:name w:val="caption"/>
    <w:aliases w:val="Tabelle,légende,Legende,Car Car Car Car Car Car,Car Car Car Car Car Car Car,Car Car Car Car Car,Car Car Car Car Car Car Car Car,Car Car Car Car Car Car2 Car Car Car C Car,Car5,Tabelle (Titel),Caption-tables,F10 Table Figure and Chart Title"/>
    <w:basedOn w:val="Normal"/>
    <w:link w:val="CaptionChar"/>
    <w:uiPriority w:val="35"/>
    <w:qFormat/>
    <w:pPr>
      <w:keepNext/>
      <w:tabs>
        <w:tab w:val="left" w:pos="1871"/>
      </w:tabs>
      <w:spacing w:before="140" w:after="140" w:line="280" w:lineRule="atLeast"/>
      <w:ind w:left="1871" w:hanging="1871"/>
      <w:jc w:val="center"/>
    </w:pPr>
    <w:rPr>
      <w:rFonts w:ascii="Times New Roman" w:hAnsi="Times New Roman" w:cs="Times New Roman"/>
      <w:bCs/>
      <w:i/>
      <w:sz w:val="20"/>
      <w:szCs w:val="20"/>
    </w:rPr>
  </w:style>
  <w:style w:type="character" w:customStyle="1" w:styleId="CaptionChar">
    <w:name w:val="Caption Char"/>
    <w:aliases w:val="Tabelle Char,légende Char,Legende Char,Car Car Car Car Car Car Char,Car Car Car Car Car Car Car Char,Car Car Car Car Car Char,Car Car Car Car Car Car Car Car Char,Car Car Car Car Car Car2 Car Car Car C Car Char,Car5 Char,Caption-tables Char"/>
    <w:basedOn w:val="DefaultParagraphFont"/>
    <w:link w:val="Caption"/>
    <w:uiPriority w:val="35"/>
    <w:locked/>
    <w:rPr>
      <w:rFonts w:ascii="Times New Roman" w:hAnsi="Times New Roman" w:cs="Times New Roman"/>
      <w:bCs/>
      <w:i/>
      <w:sz w:val="20"/>
      <w:szCs w:val="2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Heading1Char"/>
    <w:link w:val="HeaderCoverPage"/>
    <w:rPr>
      <w:rFonts w:ascii="Times New Roman" w:hAnsi="Times New Roman" w:cs="Times New Roman"/>
      <w:b w:val="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4567">
      <w:bodyDiv w:val="1"/>
      <w:marLeft w:val="0"/>
      <w:marRight w:val="0"/>
      <w:marTop w:val="0"/>
      <w:marBottom w:val="0"/>
      <w:divBdr>
        <w:top w:val="none" w:sz="0" w:space="0" w:color="auto"/>
        <w:left w:val="none" w:sz="0" w:space="0" w:color="auto"/>
        <w:bottom w:val="none" w:sz="0" w:space="0" w:color="auto"/>
        <w:right w:val="none" w:sz="0" w:space="0" w:color="auto"/>
      </w:divBdr>
    </w:div>
    <w:div w:id="295532287">
      <w:bodyDiv w:val="1"/>
      <w:marLeft w:val="0"/>
      <w:marRight w:val="0"/>
      <w:marTop w:val="0"/>
      <w:marBottom w:val="0"/>
      <w:divBdr>
        <w:top w:val="none" w:sz="0" w:space="0" w:color="auto"/>
        <w:left w:val="none" w:sz="0" w:space="0" w:color="auto"/>
        <w:bottom w:val="none" w:sz="0" w:space="0" w:color="auto"/>
        <w:right w:val="none" w:sz="0" w:space="0" w:color="auto"/>
      </w:divBdr>
    </w:div>
    <w:div w:id="416636698">
      <w:bodyDiv w:val="1"/>
      <w:marLeft w:val="0"/>
      <w:marRight w:val="0"/>
      <w:marTop w:val="0"/>
      <w:marBottom w:val="0"/>
      <w:divBdr>
        <w:top w:val="none" w:sz="0" w:space="0" w:color="auto"/>
        <w:left w:val="none" w:sz="0" w:space="0" w:color="auto"/>
        <w:bottom w:val="none" w:sz="0" w:space="0" w:color="auto"/>
        <w:right w:val="none" w:sz="0" w:space="0" w:color="auto"/>
      </w:divBdr>
    </w:div>
    <w:div w:id="467091014">
      <w:bodyDiv w:val="1"/>
      <w:marLeft w:val="0"/>
      <w:marRight w:val="0"/>
      <w:marTop w:val="0"/>
      <w:marBottom w:val="0"/>
      <w:divBdr>
        <w:top w:val="none" w:sz="0" w:space="0" w:color="auto"/>
        <w:left w:val="none" w:sz="0" w:space="0" w:color="auto"/>
        <w:bottom w:val="none" w:sz="0" w:space="0" w:color="auto"/>
        <w:right w:val="none" w:sz="0" w:space="0" w:color="auto"/>
      </w:divBdr>
    </w:div>
    <w:div w:id="578901452">
      <w:bodyDiv w:val="1"/>
      <w:marLeft w:val="0"/>
      <w:marRight w:val="0"/>
      <w:marTop w:val="0"/>
      <w:marBottom w:val="0"/>
      <w:divBdr>
        <w:top w:val="none" w:sz="0" w:space="0" w:color="auto"/>
        <w:left w:val="none" w:sz="0" w:space="0" w:color="auto"/>
        <w:bottom w:val="none" w:sz="0" w:space="0" w:color="auto"/>
        <w:right w:val="none" w:sz="0" w:space="0" w:color="auto"/>
      </w:divBdr>
    </w:div>
    <w:div w:id="594477077">
      <w:bodyDiv w:val="1"/>
      <w:marLeft w:val="0"/>
      <w:marRight w:val="0"/>
      <w:marTop w:val="0"/>
      <w:marBottom w:val="0"/>
      <w:divBdr>
        <w:top w:val="none" w:sz="0" w:space="0" w:color="auto"/>
        <w:left w:val="none" w:sz="0" w:space="0" w:color="auto"/>
        <w:bottom w:val="none" w:sz="0" w:space="0" w:color="auto"/>
        <w:right w:val="none" w:sz="0" w:space="0" w:color="auto"/>
      </w:divBdr>
    </w:div>
    <w:div w:id="606277845">
      <w:bodyDiv w:val="1"/>
      <w:marLeft w:val="0"/>
      <w:marRight w:val="0"/>
      <w:marTop w:val="0"/>
      <w:marBottom w:val="0"/>
      <w:divBdr>
        <w:top w:val="none" w:sz="0" w:space="0" w:color="auto"/>
        <w:left w:val="none" w:sz="0" w:space="0" w:color="auto"/>
        <w:bottom w:val="none" w:sz="0" w:space="0" w:color="auto"/>
        <w:right w:val="none" w:sz="0" w:space="0" w:color="auto"/>
      </w:divBdr>
    </w:div>
    <w:div w:id="658340770">
      <w:bodyDiv w:val="1"/>
      <w:marLeft w:val="0"/>
      <w:marRight w:val="0"/>
      <w:marTop w:val="0"/>
      <w:marBottom w:val="0"/>
      <w:divBdr>
        <w:top w:val="none" w:sz="0" w:space="0" w:color="auto"/>
        <w:left w:val="none" w:sz="0" w:space="0" w:color="auto"/>
        <w:bottom w:val="none" w:sz="0" w:space="0" w:color="auto"/>
        <w:right w:val="none" w:sz="0" w:space="0" w:color="auto"/>
      </w:divBdr>
    </w:div>
    <w:div w:id="678166952">
      <w:bodyDiv w:val="1"/>
      <w:marLeft w:val="0"/>
      <w:marRight w:val="0"/>
      <w:marTop w:val="0"/>
      <w:marBottom w:val="0"/>
      <w:divBdr>
        <w:top w:val="none" w:sz="0" w:space="0" w:color="auto"/>
        <w:left w:val="none" w:sz="0" w:space="0" w:color="auto"/>
        <w:bottom w:val="none" w:sz="0" w:space="0" w:color="auto"/>
        <w:right w:val="none" w:sz="0" w:space="0" w:color="auto"/>
      </w:divBdr>
    </w:div>
    <w:div w:id="735395933">
      <w:bodyDiv w:val="1"/>
      <w:marLeft w:val="0"/>
      <w:marRight w:val="0"/>
      <w:marTop w:val="0"/>
      <w:marBottom w:val="0"/>
      <w:divBdr>
        <w:top w:val="none" w:sz="0" w:space="0" w:color="auto"/>
        <w:left w:val="none" w:sz="0" w:space="0" w:color="auto"/>
        <w:bottom w:val="none" w:sz="0" w:space="0" w:color="auto"/>
        <w:right w:val="none" w:sz="0" w:space="0" w:color="auto"/>
      </w:divBdr>
    </w:div>
    <w:div w:id="785121862">
      <w:bodyDiv w:val="1"/>
      <w:marLeft w:val="0"/>
      <w:marRight w:val="0"/>
      <w:marTop w:val="0"/>
      <w:marBottom w:val="0"/>
      <w:divBdr>
        <w:top w:val="none" w:sz="0" w:space="0" w:color="auto"/>
        <w:left w:val="none" w:sz="0" w:space="0" w:color="auto"/>
        <w:bottom w:val="none" w:sz="0" w:space="0" w:color="auto"/>
        <w:right w:val="none" w:sz="0" w:space="0" w:color="auto"/>
      </w:divBdr>
    </w:div>
    <w:div w:id="807285114">
      <w:bodyDiv w:val="1"/>
      <w:marLeft w:val="0"/>
      <w:marRight w:val="0"/>
      <w:marTop w:val="0"/>
      <w:marBottom w:val="0"/>
      <w:divBdr>
        <w:top w:val="none" w:sz="0" w:space="0" w:color="auto"/>
        <w:left w:val="none" w:sz="0" w:space="0" w:color="auto"/>
        <w:bottom w:val="none" w:sz="0" w:space="0" w:color="auto"/>
        <w:right w:val="none" w:sz="0" w:space="0" w:color="auto"/>
      </w:divBdr>
    </w:div>
    <w:div w:id="807749120">
      <w:bodyDiv w:val="1"/>
      <w:marLeft w:val="0"/>
      <w:marRight w:val="0"/>
      <w:marTop w:val="0"/>
      <w:marBottom w:val="0"/>
      <w:divBdr>
        <w:top w:val="none" w:sz="0" w:space="0" w:color="auto"/>
        <w:left w:val="none" w:sz="0" w:space="0" w:color="auto"/>
        <w:bottom w:val="none" w:sz="0" w:space="0" w:color="auto"/>
        <w:right w:val="none" w:sz="0" w:space="0" w:color="auto"/>
      </w:divBdr>
    </w:div>
    <w:div w:id="829369065">
      <w:bodyDiv w:val="1"/>
      <w:marLeft w:val="0"/>
      <w:marRight w:val="0"/>
      <w:marTop w:val="0"/>
      <w:marBottom w:val="0"/>
      <w:divBdr>
        <w:top w:val="none" w:sz="0" w:space="0" w:color="auto"/>
        <w:left w:val="none" w:sz="0" w:space="0" w:color="auto"/>
        <w:bottom w:val="none" w:sz="0" w:space="0" w:color="auto"/>
        <w:right w:val="none" w:sz="0" w:space="0" w:color="auto"/>
      </w:divBdr>
    </w:div>
    <w:div w:id="1037896932">
      <w:bodyDiv w:val="1"/>
      <w:marLeft w:val="0"/>
      <w:marRight w:val="0"/>
      <w:marTop w:val="0"/>
      <w:marBottom w:val="0"/>
      <w:divBdr>
        <w:top w:val="none" w:sz="0" w:space="0" w:color="auto"/>
        <w:left w:val="none" w:sz="0" w:space="0" w:color="auto"/>
        <w:bottom w:val="none" w:sz="0" w:space="0" w:color="auto"/>
        <w:right w:val="none" w:sz="0" w:space="0" w:color="auto"/>
      </w:divBdr>
    </w:div>
    <w:div w:id="1068839928">
      <w:bodyDiv w:val="1"/>
      <w:marLeft w:val="0"/>
      <w:marRight w:val="0"/>
      <w:marTop w:val="0"/>
      <w:marBottom w:val="0"/>
      <w:divBdr>
        <w:top w:val="none" w:sz="0" w:space="0" w:color="auto"/>
        <w:left w:val="none" w:sz="0" w:space="0" w:color="auto"/>
        <w:bottom w:val="none" w:sz="0" w:space="0" w:color="auto"/>
        <w:right w:val="none" w:sz="0" w:space="0" w:color="auto"/>
      </w:divBdr>
    </w:div>
    <w:div w:id="1115947901">
      <w:bodyDiv w:val="1"/>
      <w:marLeft w:val="0"/>
      <w:marRight w:val="0"/>
      <w:marTop w:val="0"/>
      <w:marBottom w:val="0"/>
      <w:divBdr>
        <w:top w:val="none" w:sz="0" w:space="0" w:color="auto"/>
        <w:left w:val="none" w:sz="0" w:space="0" w:color="auto"/>
        <w:bottom w:val="none" w:sz="0" w:space="0" w:color="auto"/>
        <w:right w:val="none" w:sz="0" w:space="0" w:color="auto"/>
      </w:divBdr>
    </w:div>
    <w:div w:id="1289359372">
      <w:bodyDiv w:val="1"/>
      <w:marLeft w:val="0"/>
      <w:marRight w:val="0"/>
      <w:marTop w:val="0"/>
      <w:marBottom w:val="0"/>
      <w:divBdr>
        <w:top w:val="none" w:sz="0" w:space="0" w:color="auto"/>
        <w:left w:val="none" w:sz="0" w:space="0" w:color="auto"/>
        <w:bottom w:val="none" w:sz="0" w:space="0" w:color="auto"/>
        <w:right w:val="none" w:sz="0" w:space="0" w:color="auto"/>
      </w:divBdr>
    </w:div>
    <w:div w:id="1321494889">
      <w:bodyDiv w:val="1"/>
      <w:marLeft w:val="0"/>
      <w:marRight w:val="0"/>
      <w:marTop w:val="0"/>
      <w:marBottom w:val="0"/>
      <w:divBdr>
        <w:top w:val="none" w:sz="0" w:space="0" w:color="auto"/>
        <w:left w:val="none" w:sz="0" w:space="0" w:color="auto"/>
        <w:bottom w:val="none" w:sz="0" w:space="0" w:color="auto"/>
        <w:right w:val="none" w:sz="0" w:space="0" w:color="auto"/>
      </w:divBdr>
    </w:div>
    <w:div w:id="1331562500">
      <w:bodyDiv w:val="1"/>
      <w:marLeft w:val="0"/>
      <w:marRight w:val="0"/>
      <w:marTop w:val="0"/>
      <w:marBottom w:val="0"/>
      <w:divBdr>
        <w:top w:val="none" w:sz="0" w:space="0" w:color="auto"/>
        <w:left w:val="none" w:sz="0" w:space="0" w:color="auto"/>
        <w:bottom w:val="none" w:sz="0" w:space="0" w:color="auto"/>
        <w:right w:val="none" w:sz="0" w:space="0" w:color="auto"/>
      </w:divBdr>
    </w:div>
    <w:div w:id="1369913299">
      <w:bodyDiv w:val="1"/>
      <w:marLeft w:val="0"/>
      <w:marRight w:val="0"/>
      <w:marTop w:val="0"/>
      <w:marBottom w:val="0"/>
      <w:divBdr>
        <w:top w:val="none" w:sz="0" w:space="0" w:color="auto"/>
        <w:left w:val="none" w:sz="0" w:space="0" w:color="auto"/>
        <w:bottom w:val="none" w:sz="0" w:space="0" w:color="auto"/>
        <w:right w:val="none" w:sz="0" w:space="0" w:color="auto"/>
      </w:divBdr>
    </w:div>
    <w:div w:id="1415204480">
      <w:bodyDiv w:val="1"/>
      <w:marLeft w:val="0"/>
      <w:marRight w:val="0"/>
      <w:marTop w:val="0"/>
      <w:marBottom w:val="0"/>
      <w:divBdr>
        <w:top w:val="none" w:sz="0" w:space="0" w:color="auto"/>
        <w:left w:val="none" w:sz="0" w:space="0" w:color="auto"/>
        <w:bottom w:val="none" w:sz="0" w:space="0" w:color="auto"/>
        <w:right w:val="none" w:sz="0" w:space="0" w:color="auto"/>
      </w:divBdr>
    </w:div>
    <w:div w:id="1429425477">
      <w:bodyDiv w:val="1"/>
      <w:marLeft w:val="0"/>
      <w:marRight w:val="0"/>
      <w:marTop w:val="0"/>
      <w:marBottom w:val="0"/>
      <w:divBdr>
        <w:top w:val="none" w:sz="0" w:space="0" w:color="auto"/>
        <w:left w:val="none" w:sz="0" w:space="0" w:color="auto"/>
        <w:bottom w:val="none" w:sz="0" w:space="0" w:color="auto"/>
        <w:right w:val="none" w:sz="0" w:space="0" w:color="auto"/>
      </w:divBdr>
    </w:div>
    <w:div w:id="1437867755">
      <w:bodyDiv w:val="1"/>
      <w:marLeft w:val="0"/>
      <w:marRight w:val="0"/>
      <w:marTop w:val="0"/>
      <w:marBottom w:val="0"/>
      <w:divBdr>
        <w:top w:val="none" w:sz="0" w:space="0" w:color="auto"/>
        <w:left w:val="none" w:sz="0" w:space="0" w:color="auto"/>
        <w:bottom w:val="none" w:sz="0" w:space="0" w:color="auto"/>
        <w:right w:val="none" w:sz="0" w:space="0" w:color="auto"/>
      </w:divBdr>
    </w:div>
    <w:div w:id="1474443766">
      <w:bodyDiv w:val="1"/>
      <w:marLeft w:val="0"/>
      <w:marRight w:val="0"/>
      <w:marTop w:val="0"/>
      <w:marBottom w:val="0"/>
      <w:divBdr>
        <w:top w:val="none" w:sz="0" w:space="0" w:color="auto"/>
        <w:left w:val="none" w:sz="0" w:space="0" w:color="auto"/>
        <w:bottom w:val="none" w:sz="0" w:space="0" w:color="auto"/>
        <w:right w:val="none" w:sz="0" w:space="0" w:color="auto"/>
      </w:divBdr>
    </w:div>
    <w:div w:id="1689599085">
      <w:bodyDiv w:val="1"/>
      <w:marLeft w:val="0"/>
      <w:marRight w:val="0"/>
      <w:marTop w:val="0"/>
      <w:marBottom w:val="0"/>
      <w:divBdr>
        <w:top w:val="none" w:sz="0" w:space="0" w:color="auto"/>
        <w:left w:val="none" w:sz="0" w:space="0" w:color="auto"/>
        <w:bottom w:val="none" w:sz="0" w:space="0" w:color="auto"/>
        <w:right w:val="none" w:sz="0" w:space="0" w:color="auto"/>
      </w:divBdr>
    </w:div>
    <w:div w:id="1728801409">
      <w:bodyDiv w:val="1"/>
      <w:marLeft w:val="0"/>
      <w:marRight w:val="0"/>
      <w:marTop w:val="0"/>
      <w:marBottom w:val="0"/>
      <w:divBdr>
        <w:top w:val="none" w:sz="0" w:space="0" w:color="auto"/>
        <w:left w:val="none" w:sz="0" w:space="0" w:color="auto"/>
        <w:bottom w:val="none" w:sz="0" w:space="0" w:color="auto"/>
        <w:right w:val="none" w:sz="0" w:space="0" w:color="auto"/>
      </w:divBdr>
    </w:div>
    <w:div w:id="1872648082">
      <w:bodyDiv w:val="1"/>
      <w:marLeft w:val="0"/>
      <w:marRight w:val="0"/>
      <w:marTop w:val="0"/>
      <w:marBottom w:val="0"/>
      <w:divBdr>
        <w:top w:val="none" w:sz="0" w:space="0" w:color="auto"/>
        <w:left w:val="none" w:sz="0" w:space="0" w:color="auto"/>
        <w:bottom w:val="none" w:sz="0" w:space="0" w:color="auto"/>
        <w:right w:val="none" w:sz="0" w:space="0" w:color="auto"/>
      </w:divBdr>
    </w:div>
    <w:div w:id="1977375479">
      <w:bodyDiv w:val="1"/>
      <w:marLeft w:val="0"/>
      <w:marRight w:val="0"/>
      <w:marTop w:val="0"/>
      <w:marBottom w:val="0"/>
      <w:divBdr>
        <w:top w:val="none" w:sz="0" w:space="0" w:color="auto"/>
        <w:left w:val="none" w:sz="0" w:space="0" w:color="auto"/>
        <w:bottom w:val="none" w:sz="0" w:space="0" w:color="auto"/>
        <w:right w:val="none" w:sz="0" w:space="0" w:color="auto"/>
      </w:divBdr>
    </w:div>
    <w:div w:id="2052337973">
      <w:bodyDiv w:val="1"/>
      <w:marLeft w:val="0"/>
      <w:marRight w:val="0"/>
      <w:marTop w:val="0"/>
      <w:marBottom w:val="0"/>
      <w:divBdr>
        <w:top w:val="none" w:sz="0" w:space="0" w:color="auto"/>
        <w:left w:val="none" w:sz="0" w:space="0" w:color="auto"/>
        <w:bottom w:val="none" w:sz="0" w:space="0" w:color="auto"/>
        <w:right w:val="none" w:sz="0" w:space="0" w:color="auto"/>
      </w:divBdr>
    </w:div>
    <w:div w:id="21400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image" Target="media/image7.emf"/><Relationship Id="rId34" Type="http://schemas.openxmlformats.org/officeDocument/2006/relationships/footer" Target="footer9.xml"/><Relationship Id="rId42" Type="http://schemas.openxmlformats.org/officeDocument/2006/relationships/image" Target="media/image10.emf"/><Relationship Id="rId47" Type="http://schemas.openxmlformats.org/officeDocument/2006/relationships/header" Target="header15.xml"/><Relationship Id="rId50" Type="http://schemas.openxmlformats.org/officeDocument/2006/relationships/header" Target="header16.xml"/><Relationship Id="rId55"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7.xml"/><Relationship Id="rId41" Type="http://schemas.openxmlformats.org/officeDocument/2006/relationships/footer" Target="footer12.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3.xml"/><Relationship Id="rId53"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8.emf"/><Relationship Id="rId36" Type="http://schemas.openxmlformats.org/officeDocument/2006/relationships/header" Target="header10.xml"/><Relationship Id="rId49" Type="http://schemas.openxmlformats.org/officeDocument/2006/relationships/image" Target="media/image11.emf"/><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7.xml"/><Relationship Id="rId44" Type="http://schemas.openxmlformats.org/officeDocument/2006/relationships/header" Target="header14.xml"/><Relationship Id="rId52"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image" Target="media/image9.emf"/><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ergy/en/studies" TargetMode="External"/><Relationship Id="rId2" Type="http://schemas.openxmlformats.org/officeDocument/2006/relationships/hyperlink" Target="http://ec.europa.eu/energy/en/studies" TargetMode="External"/><Relationship Id="rId1" Type="http://schemas.openxmlformats.org/officeDocument/2006/relationships/hyperlink" Target="http://eur-lex.europa.eu/legal-content/EN/ALL/?uri=CELEX:32009L0028" TargetMode="External"/><Relationship Id="rId5" Type="http://schemas.openxmlformats.org/officeDocument/2006/relationships/hyperlink" Target="http://comtrade.un.org/" TargetMode="External"/><Relationship Id="rId4" Type="http://schemas.openxmlformats.org/officeDocument/2006/relationships/hyperlink" Target="https://ec.europa.eu/energy/sites/ener/files/documents/20160713%20draft_publication_REF2016_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3530-9D56-4DC5-AD49-AAD05A24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23</Pages>
  <Words>5165</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43</cp:revision>
  <cp:lastPrinted>2017-01-20T12:39:00Z</cp:lastPrinted>
  <dcterms:created xsi:type="dcterms:W3CDTF">2017-01-25T17:10:00Z</dcterms:created>
  <dcterms:modified xsi:type="dcterms:W3CDTF">2017-02-13T10:15:00Z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