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E8C" w:rsidRDefault="004678FF">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1D549C7023B46018ED494E7F78EF334" style="width:450.75pt;height:320.25pt">
            <v:imagedata r:id="rId9" o:title=""/>
          </v:shape>
        </w:pict>
      </w:r>
    </w:p>
    <w:bookmarkEnd w:id="0"/>
    <w:p w:rsidR="003B6E8C" w:rsidRDefault="003B6E8C">
      <w:pPr>
        <w:rPr>
          <w:noProof/>
        </w:rPr>
        <w:sectPr w:rsidR="003B6E8C">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3B6E8C" w:rsidRDefault="004678FF">
      <w:pPr>
        <w:pStyle w:val="Heading1"/>
        <w:rPr>
          <w:noProof/>
        </w:rPr>
      </w:pPr>
      <w:r>
        <w:rPr>
          <w:noProof/>
        </w:rPr>
        <w:lastRenderedPageBreak/>
        <w:t>INTRODUCTION</w:t>
      </w:r>
    </w:p>
    <w:p w:rsidR="003B6E8C" w:rsidRDefault="004678FF">
      <w:pPr>
        <w:spacing w:after="180" w:line="280" w:lineRule="atLeast"/>
        <w:jc w:val="both"/>
        <w:rPr>
          <w:rFonts w:ascii="Times New Roman" w:hAnsi="Times New Roman" w:cs="Times New Roman"/>
          <w:noProof/>
          <w:sz w:val="24"/>
          <w:szCs w:val="24"/>
        </w:rPr>
      </w:pPr>
      <w:r>
        <w:rPr>
          <w:rFonts w:ascii="Times New Roman" w:hAnsi="Times New Roman" w:cs="Times New Roman"/>
          <w:noProof/>
          <w:sz w:val="24"/>
          <w:szCs w:val="24"/>
        </w:rPr>
        <w:t>Renewable Energy is at the core of the Energy Union's priorities. The Renewable Energy</w:t>
      </w:r>
      <w:r>
        <w:rPr>
          <w:rFonts w:ascii="Times New Roman" w:hAnsi="Times New Roman" w:cs="Times New Roman"/>
          <w:noProof/>
          <w:sz w:val="24"/>
          <w:szCs w:val="24"/>
        </w:rPr>
        <w:t xml:space="preserve"> Directive</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has been and will continue being a central element of the Energy Union policy and a key driver for providing clean energy for all Europeans, in view of making the EU world number one in renewables while contributing to the five dimensions of th</w:t>
      </w:r>
      <w:r>
        <w:rPr>
          <w:rFonts w:ascii="Times New Roman" w:hAnsi="Times New Roman" w:cs="Times New Roman"/>
          <w:noProof/>
          <w:sz w:val="24"/>
          <w:szCs w:val="24"/>
        </w:rPr>
        <w:t>e Energy Union.</w:t>
      </w:r>
    </w:p>
    <w:p w:rsidR="003B6E8C" w:rsidRDefault="004678FF">
      <w:pPr>
        <w:spacing w:after="180" w:line="28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First, renewables have played a major role in </w:t>
      </w:r>
      <w:r>
        <w:rPr>
          <w:rFonts w:ascii="Times New Roman" w:hAnsi="Times New Roman" w:cs="Times New Roman"/>
          <w:b/>
          <w:noProof/>
          <w:sz w:val="24"/>
          <w:szCs w:val="24"/>
        </w:rPr>
        <w:t>energy security</w:t>
      </w:r>
      <w:r>
        <w:rPr>
          <w:rFonts w:ascii="Times New Roman" w:hAnsi="Times New Roman" w:cs="Times New Roman"/>
          <w:noProof/>
          <w:sz w:val="24"/>
          <w:szCs w:val="24"/>
        </w:rPr>
        <w:t>. Their estimated contribution to fossil fuel import savings in 2015 was €16bn and it is projected to be €58bn in 2030</w:t>
      </w:r>
      <w:r>
        <w:rPr>
          <w:rFonts w:ascii="Times New Roman" w:hAnsi="Times New Roman" w:cs="Times New Roman"/>
          <w:noProof/>
          <w:sz w:val="24"/>
          <w:szCs w:val="24"/>
          <w:vertAlign w:val="superscript"/>
        </w:rPr>
        <w:footnoteReference w:id="3"/>
      </w:r>
      <w:r>
        <w:rPr>
          <w:rFonts w:ascii="Times New Roman" w:hAnsi="Times New Roman" w:cs="Times New Roman"/>
          <w:noProof/>
          <w:sz w:val="24"/>
          <w:szCs w:val="24"/>
        </w:rPr>
        <w:t>. Second, thanks to fast decreasing costs owing to technolog</w:t>
      </w:r>
      <w:r>
        <w:rPr>
          <w:rFonts w:ascii="Times New Roman" w:hAnsi="Times New Roman" w:cs="Times New Roman"/>
          <w:noProof/>
          <w:sz w:val="24"/>
          <w:szCs w:val="24"/>
        </w:rPr>
        <w:t xml:space="preserve">ical advancement, especially in the power sector, renewables can also be gradually further </w:t>
      </w:r>
      <w:r>
        <w:rPr>
          <w:rFonts w:ascii="Times New Roman" w:hAnsi="Times New Roman" w:cs="Times New Roman"/>
          <w:b/>
          <w:noProof/>
          <w:sz w:val="24"/>
          <w:szCs w:val="24"/>
        </w:rPr>
        <w:t>integrated in the market</w:t>
      </w:r>
      <w:r>
        <w:rPr>
          <w:rFonts w:ascii="Times New Roman" w:hAnsi="Times New Roman" w:cs="Times New Roman"/>
          <w:noProof/>
          <w:sz w:val="24"/>
          <w:szCs w:val="24"/>
        </w:rPr>
        <w:t>. The recast of the Renewables Directive for the period after 2020 together with the Market Design proposals</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as part of the </w:t>
      </w:r>
      <w:r>
        <w:rPr>
          <w:rFonts w:ascii="Times New Roman" w:hAnsi="Times New Roman" w:cs="Times New Roman"/>
          <w:i/>
          <w:noProof/>
          <w:sz w:val="24"/>
          <w:szCs w:val="24"/>
        </w:rPr>
        <w:t>Clean Energy for</w:t>
      </w:r>
      <w:r>
        <w:rPr>
          <w:rFonts w:ascii="Times New Roman" w:hAnsi="Times New Roman" w:cs="Times New Roman"/>
          <w:i/>
          <w:noProof/>
          <w:sz w:val="24"/>
          <w:szCs w:val="24"/>
        </w:rPr>
        <w:t xml:space="preserve"> all Europeans </w:t>
      </w:r>
      <w:r>
        <w:rPr>
          <w:rFonts w:ascii="Times New Roman" w:hAnsi="Times New Roman" w:cs="Times New Roman"/>
          <w:noProof/>
          <w:sz w:val="24"/>
          <w:szCs w:val="24"/>
        </w:rPr>
        <w:t xml:space="preserve">package will further enable renewables participation on equal footing with other energy sources. Third, renewables also walk hand and hand with </w:t>
      </w:r>
      <w:r>
        <w:rPr>
          <w:rFonts w:ascii="Times New Roman" w:hAnsi="Times New Roman" w:cs="Times New Roman"/>
          <w:b/>
          <w:noProof/>
          <w:sz w:val="24"/>
          <w:szCs w:val="24"/>
        </w:rPr>
        <w:t>energy efficiency</w:t>
      </w:r>
      <w:r>
        <w:rPr>
          <w:rFonts w:ascii="Times New Roman" w:hAnsi="Times New Roman" w:cs="Times New Roman"/>
          <w:noProof/>
          <w:sz w:val="24"/>
          <w:szCs w:val="24"/>
        </w:rPr>
        <w:t>. In the electricity sector, fuel-switching from combustible fossil fuels to non</w:t>
      </w:r>
      <w:r>
        <w:rPr>
          <w:rFonts w:ascii="Times New Roman" w:hAnsi="Times New Roman" w:cs="Times New Roman"/>
          <w:noProof/>
          <w:sz w:val="24"/>
          <w:szCs w:val="24"/>
        </w:rPr>
        <w:t>-combustible renewables could reduce primary energy consumption</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In the building sector, renewables solutions can improve the energy performance of building in a cost-effective way. Fourth, renewables are also a crucial driver for the </w:t>
      </w:r>
      <w:r>
        <w:rPr>
          <w:rFonts w:ascii="Times New Roman" w:hAnsi="Times New Roman" w:cs="Times New Roman"/>
          <w:b/>
          <w:noProof/>
          <w:sz w:val="24"/>
          <w:szCs w:val="24"/>
        </w:rPr>
        <w:t>decarbonization</w:t>
      </w:r>
      <w:r>
        <w:rPr>
          <w:rFonts w:ascii="Times New Roman" w:hAnsi="Times New Roman" w:cs="Times New Roman"/>
          <w:noProof/>
          <w:sz w:val="24"/>
          <w:szCs w:val="24"/>
        </w:rPr>
        <w:t xml:space="preserve"> of t</w:t>
      </w:r>
      <w:r>
        <w:rPr>
          <w:rFonts w:ascii="Times New Roman" w:hAnsi="Times New Roman" w:cs="Times New Roman"/>
          <w:noProof/>
          <w:sz w:val="24"/>
          <w:szCs w:val="24"/>
        </w:rPr>
        <w:t>he Union's energy system. In 2015, renewables contributed to gross avoided greenhouse gases (GHG) emissions of the equivalent of the emissions of Italy</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Last but not least, renewables play a major role in making the EU a global leader on </w:t>
      </w:r>
      <w:r>
        <w:rPr>
          <w:rFonts w:ascii="Times New Roman" w:hAnsi="Times New Roman" w:cs="Times New Roman"/>
          <w:b/>
          <w:noProof/>
          <w:sz w:val="24"/>
          <w:szCs w:val="24"/>
        </w:rPr>
        <w:t>innovation</w:t>
      </w:r>
      <w:r>
        <w:rPr>
          <w:rFonts w:ascii="Times New Roman" w:hAnsi="Times New Roman" w:cs="Times New Roman"/>
          <w:noProof/>
          <w:sz w:val="24"/>
          <w:szCs w:val="24"/>
        </w:rPr>
        <w:t xml:space="preserve">. With </w:t>
      </w:r>
      <w:r>
        <w:rPr>
          <w:rFonts w:ascii="Times New Roman" w:hAnsi="Times New Roman" w:cs="Times New Roman"/>
          <w:noProof/>
          <w:sz w:val="24"/>
          <w:szCs w:val="24"/>
        </w:rPr>
        <w:t>30% of global patents in renewables, the EU has been a pioneer in this field, and is committed to prioritise research and innovation to further drive the energy transition</w:t>
      </w:r>
      <w:r>
        <w:rPr>
          <w:rStyle w:val="FootnoteReference"/>
          <w:rFonts w:ascii="Times New Roman" w:hAnsi="Times New Roman" w:cs="Times New Roman"/>
          <w:noProof/>
        </w:rPr>
        <w:footnoteReference w:id="7"/>
      </w:r>
      <w:r>
        <w:rPr>
          <w:rFonts w:ascii="Times New Roman" w:hAnsi="Times New Roman" w:cs="Times New Roman"/>
          <w:noProof/>
          <w:sz w:val="24"/>
          <w:szCs w:val="24"/>
        </w:rPr>
        <w:t>.</w:t>
      </w:r>
    </w:p>
    <w:p w:rsidR="003B6E8C" w:rsidRDefault="004678FF">
      <w:pPr>
        <w:spacing w:after="180" w:line="28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the benefits of renewables expand well beyond the above. Renewable </w:t>
      </w:r>
      <w:r>
        <w:rPr>
          <w:rFonts w:ascii="Times New Roman" w:hAnsi="Times New Roman" w:cs="Times New Roman"/>
          <w:noProof/>
          <w:sz w:val="24"/>
          <w:szCs w:val="24"/>
        </w:rPr>
        <w:t>energies are source of economic growth and jobs for Europeans</w:t>
      </w:r>
      <w:r>
        <w:rPr>
          <w:rStyle w:val="FootnoteReference"/>
          <w:rFonts w:ascii="Times New Roman" w:hAnsi="Times New Roman" w:cs="Times New Roman"/>
          <w:noProof/>
        </w:rPr>
        <w:footnoteReference w:id="8"/>
      </w:r>
      <w:r>
        <w:rPr>
          <w:rFonts w:ascii="Times New Roman" w:hAnsi="Times New Roman" w:cs="Times New Roman"/>
          <w:noProof/>
          <w:sz w:val="24"/>
          <w:szCs w:val="24"/>
        </w:rPr>
        <w:t>. They also contribute to lowering air pollution and helping developing countries with access to affordable and clean energy.</w:t>
      </w:r>
    </w:p>
    <w:p w:rsidR="003B6E8C" w:rsidRDefault="004678FF">
      <w:pPr>
        <w:spacing w:after="180" w:line="280" w:lineRule="atLeast"/>
        <w:jc w:val="both"/>
        <w:rPr>
          <w:rFonts w:ascii="Times New Roman" w:hAnsi="Times New Roman" w:cs="Times New Roman"/>
          <w:noProof/>
          <w:sz w:val="24"/>
          <w:szCs w:val="24"/>
        </w:rPr>
      </w:pPr>
      <w:r>
        <w:rPr>
          <w:rFonts w:ascii="Times New Roman" w:hAnsi="Times New Roman" w:cs="Times New Roman"/>
          <w:noProof/>
          <w:sz w:val="24"/>
          <w:szCs w:val="24"/>
        </w:rPr>
        <w:t>In 2014, the EU and a vast majority of Member States were on track t</w:t>
      </w:r>
      <w:r>
        <w:rPr>
          <w:rFonts w:ascii="Times New Roman" w:hAnsi="Times New Roman" w:cs="Times New Roman"/>
          <w:noProof/>
          <w:sz w:val="24"/>
          <w:szCs w:val="24"/>
        </w:rPr>
        <w:t>o their 2020 binding targets. Progress has been fastest in the electricity sector, while the largest absolute contribution continues to be provided in the heating and cooling sector. Progress in transport has been slowest so far. The existence of a large u</w:t>
      </w:r>
      <w:r>
        <w:rPr>
          <w:rFonts w:ascii="Times New Roman" w:hAnsi="Times New Roman" w:cs="Times New Roman"/>
          <w:noProof/>
          <w:sz w:val="24"/>
          <w:szCs w:val="24"/>
        </w:rPr>
        <w:t xml:space="preserve">ntapped potential in the heating and cooling and transport sectors calls for further action as set out in the proposal for a recast of the Renewable Energy Directive for the period after 2020, as part of the </w:t>
      </w:r>
      <w:r>
        <w:rPr>
          <w:rFonts w:ascii="Times New Roman" w:hAnsi="Times New Roman" w:cs="Times New Roman"/>
          <w:i/>
          <w:noProof/>
          <w:sz w:val="24"/>
          <w:szCs w:val="24"/>
        </w:rPr>
        <w:t>Clean Energy for all Europeans</w:t>
      </w:r>
      <w:r>
        <w:rPr>
          <w:rFonts w:ascii="Times New Roman" w:hAnsi="Times New Roman" w:cs="Times New Roman"/>
          <w:noProof/>
          <w:sz w:val="24"/>
          <w:szCs w:val="24"/>
        </w:rPr>
        <w:t xml:space="preserve"> package presented</w:t>
      </w:r>
      <w:r>
        <w:rPr>
          <w:rFonts w:ascii="Times New Roman" w:hAnsi="Times New Roman" w:cs="Times New Roman"/>
          <w:noProof/>
          <w:sz w:val="24"/>
          <w:szCs w:val="24"/>
        </w:rPr>
        <w:t xml:space="preserve"> in November 2016. This package confirms the commitment of the European Commission to make the </w:t>
      </w:r>
      <w:r>
        <w:rPr>
          <w:rFonts w:ascii="Times New Roman" w:hAnsi="Times New Roman" w:cs="Times New Roman"/>
          <w:b/>
          <w:noProof/>
          <w:sz w:val="24"/>
          <w:szCs w:val="24"/>
        </w:rPr>
        <w:t>European Union the world number one in renewables</w:t>
      </w:r>
      <w:r>
        <w:rPr>
          <w:rFonts w:ascii="Times New Roman" w:hAnsi="Times New Roman" w:cs="Times New Roman"/>
          <w:noProof/>
          <w:sz w:val="24"/>
          <w:szCs w:val="24"/>
        </w:rPr>
        <w:t xml:space="preserve"> and provide a fair deal for energy consumers. </w:t>
      </w:r>
    </w:p>
    <w:p w:rsidR="003B6E8C" w:rsidRDefault="004678FF">
      <w:pPr>
        <w:spacing w:after="180" w:line="280" w:lineRule="atLeast"/>
        <w:jc w:val="both"/>
        <w:rPr>
          <w:rFonts w:ascii="Times New Roman" w:hAnsi="Times New Roman" w:cs="Times New Roman"/>
          <w:b/>
          <w:noProof/>
          <w:sz w:val="24"/>
          <w:szCs w:val="24"/>
        </w:rPr>
      </w:pPr>
      <w:r>
        <w:rPr>
          <w:rFonts w:ascii="Times New Roman" w:hAnsi="Times New Roman" w:cs="Times New Roman"/>
          <w:noProof/>
          <w:sz w:val="24"/>
          <w:szCs w:val="24"/>
        </w:rPr>
        <w:t>In accordance with the requirements set out in the Renewable Ene</w:t>
      </w:r>
      <w:r>
        <w:rPr>
          <w:rFonts w:ascii="Times New Roman" w:hAnsi="Times New Roman" w:cs="Times New Roman"/>
          <w:noProof/>
          <w:sz w:val="24"/>
          <w:szCs w:val="24"/>
        </w:rPr>
        <w:t>rgy Directive, this report provides a comprehensive overview of renewable energy deployment in the EU. It also includes an assessment of administrative barriers, as well as biofuel sustainability. Unless otherwise specified, data from 2004 to 2014 is based</w:t>
      </w:r>
      <w:r>
        <w:rPr>
          <w:rFonts w:ascii="Times New Roman" w:hAnsi="Times New Roman" w:cs="Times New Roman"/>
          <w:noProof/>
          <w:sz w:val="24"/>
          <w:szCs w:val="24"/>
        </w:rPr>
        <w:t xml:space="preserve"> on Eurostat Shares and 2015 data from </w:t>
      </w:r>
      <w:r>
        <w:rPr>
          <w:rFonts w:ascii="Times New Roman" w:hAnsi="Times New Roman" w:cs="Times New Roman"/>
          <w:noProof/>
          <w:sz w:val="24"/>
          <w:szCs w:val="24"/>
        </w:rPr>
        <w:lastRenderedPageBreak/>
        <w:t>early estimates</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Overarching progress is assessed versus trajectories set out in Annex I of the Renewable Energy Directive, while sector- and technology-specific assessments are performed versus the trajectories from</w:t>
      </w:r>
      <w:r>
        <w:rPr>
          <w:rFonts w:ascii="Times New Roman" w:hAnsi="Times New Roman" w:cs="Times New Roman"/>
          <w:noProof/>
          <w:sz w:val="24"/>
          <w:szCs w:val="24"/>
        </w:rPr>
        <w:t xml:space="preserve"> Member States' National Renewable Energy Action Plans (NREAPs)</w:t>
      </w:r>
      <w:r>
        <w:rPr>
          <w:rStyle w:val="FootnoteReference"/>
          <w:rFonts w:ascii="Times New Roman" w:hAnsi="Times New Roman" w:cs="Times New Roman"/>
          <w:noProof/>
        </w:rPr>
        <w:footnoteReference w:id="10"/>
      </w:r>
      <w:r>
        <w:rPr>
          <w:rFonts w:ascii="Times New Roman" w:hAnsi="Times New Roman" w:cs="Times New Roman"/>
          <w:noProof/>
          <w:sz w:val="24"/>
          <w:szCs w:val="24"/>
        </w:rPr>
        <w:t>. 2020 projections are based on PRIMES Ref2016 scenario</w:t>
      </w:r>
      <w:r>
        <w:rPr>
          <w:rFonts w:ascii="Times New Roman" w:hAnsi="Times New Roman" w:cs="Times New Roman"/>
          <w:noProof/>
          <w:sz w:val="24"/>
          <w:szCs w:val="24"/>
          <w:vertAlign w:val="superscript"/>
        </w:rPr>
        <w:footnoteReference w:id="11"/>
      </w:r>
      <w:r>
        <w:rPr>
          <w:rFonts w:ascii="Times New Roman" w:hAnsi="Times New Roman" w:cs="Times New Roman"/>
          <w:noProof/>
          <w:sz w:val="24"/>
          <w:szCs w:val="24"/>
        </w:rPr>
        <w:t>.</w:t>
      </w:r>
      <w:r>
        <w:rPr>
          <w:rFonts w:ascii="Times New Roman" w:hAnsi="Times New Roman" w:cs="Times New Roman"/>
          <w:noProof/>
          <w:sz w:val="24"/>
          <w:szCs w:val="24"/>
        </w:rPr>
        <w:br w:type="page"/>
      </w:r>
    </w:p>
    <w:p w:rsidR="003B6E8C" w:rsidRDefault="004678FF">
      <w:pPr>
        <w:pStyle w:val="Heading1"/>
        <w:rPr>
          <w:noProof/>
        </w:rPr>
      </w:pPr>
      <w:r>
        <w:rPr>
          <w:noProof/>
        </w:rPr>
        <w:t>1. PROGRESS IN DEPLOYING RENEWABLE ENERGY</w:t>
      </w:r>
    </w:p>
    <w:p w:rsidR="003B6E8C" w:rsidRDefault="004678FF">
      <w:pPr>
        <w:pStyle w:val="Heading2"/>
        <w:rPr>
          <w:noProof/>
        </w:rPr>
      </w:pPr>
      <w:r>
        <w:rPr>
          <w:noProof/>
        </w:rPr>
        <w:t>EU28 progress in deploying renewable energy</w:t>
      </w:r>
    </w:p>
    <w:p w:rsidR="003B6E8C" w:rsidRDefault="004678FF">
      <w:pPr>
        <w:pStyle w:val="Standardtext"/>
        <w:rPr>
          <w:noProof/>
        </w:rPr>
      </w:pPr>
      <w:r>
        <w:rPr>
          <w:noProof/>
        </w:rPr>
        <w:t xml:space="preserve">In 2014, the share of renewable energy sources </w:t>
      </w:r>
      <w:r>
        <w:rPr>
          <w:noProof/>
        </w:rPr>
        <w:t>(RES share) reached 16% of gross final energy consumption. The average RES share of the EU-28 in 2013/2014 amounted to 15.5%, substantially above the indicative trajectory (2013/2014) for the EU-28 of 12.1%</w:t>
      </w:r>
      <w:r>
        <w:rPr>
          <w:rStyle w:val="FootnoteReference"/>
          <w:noProof/>
          <w:sz w:val="24"/>
          <w:szCs w:val="24"/>
        </w:rPr>
        <w:footnoteReference w:id="12"/>
      </w:r>
      <w:r>
        <w:rPr>
          <w:noProof/>
        </w:rPr>
        <w:t xml:space="preserve">. In 2015, RES shares are estimated to be around </w:t>
      </w:r>
      <w:r>
        <w:rPr>
          <w:noProof/>
        </w:rPr>
        <w:t xml:space="preserve">16.4% of gross final energy consumption, while the indicative trajectory for 2015/2016 is 13.8%. However, as the trajectory becomes steeper in the years ahead, efforts to keep on track will need to intensify, as shown in </w:t>
      </w:r>
      <w:r>
        <w:rPr>
          <w:noProof/>
        </w:rPr>
        <w:fldChar w:fldCharType="begin"/>
      </w:r>
      <w:r>
        <w:rPr>
          <w:noProof/>
        </w:rPr>
        <w:instrText xml:space="preserve"> REF _Ref472585144 \h </w:instrText>
      </w:r>
      <w:r>
        <w:rPr>
          <w:noProof/>
        </w:rPr>
      </w:r>
      <w:r>
        <w:rPr>
          <w:noProof/>
        </w:rPr>
        <w:fldChar w:fldCharType="separate"/>
      </w:r>
      <w:r>
        <w:rPr>
          <w:noProof/>
        </w:rPr>
        <w:t>Figure 1</w:t>
      </w:r>
      <w:r>
        <w:rPr>
          <w:noProof/>
        </w:rPr>
        <w:fldChar w:fldCharType="end"/>
      </w:r>
      <w:r>
        <w:rPr>
          <w:noProof/>
        </w:rPr>
        <w:t>.</w:t>
      </w:r>
    </w:p>
    <w:p w:rsidR="003B6E8C" w:rsidRDefault="003B6E8C">
      <w:pPr>
        <w:pStyle w:val="Standardtext"/>
        <w:rPr>
          <w:noProof/>
        </w:rPr>
      </w:pPr>
    </w:p>
    <w:p w:rsidR="003B6E8C" w:rsidRDefault="004678FF">
      <w:pPr>
        <w:pStyle w:val="Standardtext"/>
        <w:rPr>
          <w:noProof/>
        </w:rPr>
      </w:pPr>
      <w:r>
        <w:rPr>
          <w:noProof/>
          <w:lang w:eastAsia="en-GB"/>
        </w:rPr>
        <w:drawing>
          <wp:inline distT="0" distB="0" distL="0" distR="0">
            <wp:extent cx="5389245" cy="2965450"/>
            <wp:effectExtent l="0" t="0" r="1905" b="635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6" cstate="print">
                      <a:extLst>
                        <a:ext uri="{28A0092B-C50C-407E-A947-70E740481C1C}">
                          <a14:useLocalDpi xmlns:a14="http://schemas.microsoft.com/office/drawing/2010/main" val="0"/>
                        </a:ext>
                      </a:extLst>
                    </a:blip>
                    <a:srcRect t="15744"/>
                    <a:stretch/>
                  </pic:blipFill>
                  <pic:spPr bwMode="auto">
                    <a:xfrm>
                      <a:off x="0" y="0"/>
                      <a:ext cx="5389245" cy="2965450"/>
                    </a:xfrm>
                    <a:prstGeom prst="rect">
                      <a:avLst/>
                    </a:prstGeom>
                    <a:noFill/>
                    <a:ln>
                      <a:noFill/>
                    </a:ln>
                    <a:extLst>
                      <a:ext uri="{53640926-AAD7-44D8-BBD7-CCE9431645EC}">
                        <a14:shadowObscured xmlns:a14="http://schemas.microsoft.com/office/drawing/2010/main"/>
                      </a:ext>
                    </a:extLst>
                  </pic:spPr>
                </pic:pic>
              </a:graphicData>
            </a:graphic>
          </wp:inline>
        </w:drawing>
      </w:r>
    </w:p>
    <w:p w:rsidR="003B6E8C" w:rsidRDefault="004678FF">
      <w:pPr>
        <w:pStyle w:val="Caption"/>
        <w:rPr>
          <w:noProof/>
        </w:rPr>
      </w:pPr>
      <w:bookmarkStart w:id="2" w:name="_Ref472585144"/>
      <w:r>
        <w:rPr>
          <w:noProof/>
        </w:rP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2"/>
      <w:r>
        <w:rPr>
          <w:noProof/>
        </w:rPr>
        <w:t xml:space="preserve">: Renewable energy shares in the EU vs. Renewable Energy Directive (RED) and National Renewable Energy Action Plan (NREAP) trajectories (based on EUROSTAT, </w:t>
      </w:r>
      <w:r>
        <w:rPr>
          <w:noProof/>
        </w:rPr>
        <w:t>Öko-Institut)</w:t>
      </w:r>
    </w:p>
    <w:p w:rsidR="003B6E8C" w:rsidRDefault="003B6E8C">
      <w:pPr>
        <w:pStyle w:val="Caption"/>
        <w:jc w:val="left"/>
        <w:rPr>
          <w:noProof/>
        </w:rPr>
      </w:pPr>
    </w:p>
    <w:p w:rsidR="003B6E8C" w:rsidRDefault="004678FF">
      <w:pPr>
        <w:pStyle w:val="Standardtext"/>
        <w:rPr>
          <w:bCs/>
          <w:noProof/>
        </w:rPr>
      </w:pPr>
      <w:r>
        <w:rPr>
          <w:noProof/>
        </w:rPr>
        <w:t xml:space="preserve">As shown in </w:t>
      </w:r>
      <w:r>
        <w:rPr>
          <w:noProof/>
        </w:rPr>
        <w:fldChar w:fldCharType="begin"/>
      </w:r>
      <w:r>
        <w:rPr>
          <w:noProof/>
        </w:rPr>
        <w:instrText xml:space="preserve"> REF _Ref469424234 \h  \* MERGEFORMAT </w:instrText>
      </w:r>
      <w:r>
        <w:rPr>
          <w:noProof/>
        </w:rPr>
      </w:r>
      <w:r>
        <w:rPr>
          <w:noProof/>
        </w:rPr>
        <w:fldChar w:fldCharType="separate"/>
      </w:r>
      <w:r>
        <w:rPr>
          <w:noProof/>
        </w:rPr>
        <w:t>Figure 2</w:t>
      </w:r>
      <w:r>
        <w:rPr>
          <w:noProof/>
        </w:rPr>
        <w:fldChar w:fldCharType="end"/>
      </w:r>
      <w:r>
        <w:rPr>
          <w:noProof/>
        </w:rPr>
        <w:t xml:space="preserve">, </w:t>
      </w:r>
      <w:r>
        <w:rPr>
          <w:b/>
          <w:noProof/>
        </w:rPr>
        <w:t>heating and cooling</w:t>
      </w:r>
      <w:r>
        <w:rPr>
          <w:noProof/>
        </w:rPr>
        <w:t xml:space="preserve"> remains the largest sector in terms of absolute renewable energy deployment. The highest RES s</w:t>
      </w:r>
      <w:r>
        <w:rPr>
          <w:noProof/>
        </w:rPr>
        <w:t>hare and the largest growth are however in the electricity sector, where the RES share grew by 1.4 percentage points per year between 2004 and 2014. The RES share in the heating and cooling sector grew by 0.8 percentage points per year over the same period</w:t>
      </w:r>
      <w:r>
        <w:rPr>
          <w:noProof/>
        </w:rPr>
        <w:t xml:space="preserve"> of time, while the transport sector showed the slowest growth, with 0.5 percentage points on average per year.</w:t>
      </w:r>
    </w:p>
    <w:p w:rsidR="003B6E8C" w:rsidRDefault="003B6E8C">
      <w:pPr>
        <w:pStyle w:val="Standardtext"/>
        <w:jc w:val="center"/>
        <w:rPr>
          <w:noProof/>
          <w:lang w:eastAsia="en-GB"/>
        </w:rPr>
      </w:pPr>
    </w:p>
    <w:p w:rsidR="003B6E8C" w:rsidRDefault="003B6E8C">
      <w:pPr>
        <w:pStyle w:val="Standardtext"/>
        <w:jc w:val="center"/>
        <w:rPr>
          <w:noProof/>
          <w:lang w:eastAsia="en-GB"/>
        </w:rPr>
      </w:pPr>
    </w:p>
    <w:p w:rsidR="003B6E8C" w:rsidRDefault="004678FF">
      <w:pPr>
        <w:pStyle w:val="Standardtext"/>
        <w:jc w:val="center"/>
        <w:rPr>
          <w:noProof/>
        </w:rPr>
      </w:pPr>
      <w:r>
        <w:rPr>
          <w:noProof/>
          <w:lang w:eastAsia="en-GB"/>
        </w:rPr>
        <w:drawing>
          <wp:inline distT="0" distB="0" distL="0" distR="0">
            <wp:extent cx="4457700" cy="3327842"/>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7">
                      <a:extLst>
                        <a:ext uri="{28A0092B-C50C-407E-A947-70E740481C1C}">
                          <a14:useLocalDpi xmlns:a14="http://schemas.microsoft.com/office/drawing/2010/main" val="0"/>
                        </a:ext>
                      </a:extLst>
                    </a:blip>
                    <a:srcRect l="9511" t="3495" r="8671" b="6585"/>
                    <a:stretch/>
                  </pic:blipFill>
                  <pic:spPr bwMode="auto">
                    <a:xfrm>
                      <a:off x="0" y="0"/>
                      <a:ext cx="4464454" cy="3332884"/>
                    </a:xfrm>
                    <a:prstGeom prst="rect">
                      <a:avLst/>
                    </a:prstGeom>
                    <a:noFill/>
                    <a:ln>
                      <a:noFill/>
                    </a:ln>
                    <a:extLst>
                      <a:ext uri="{53640926-AAD7-44D8-BBD7-CCE9431645EC}">
                        <a14:shadowObscured xmlns:a14="http://schemas.microsoft.com/office/drawing/2010/main"/>
                      </a:ext>
                    </a:extLst>
                  </pic:spPr>
                </pic:pic>
              </a:graphicData>
            </a:graphic>
          </wp:inline>
        </w:drawing>
      </w:r>
    </w:p>
    <w:p w:rsidR="003B6E8C" w:rsidRDefault="004678FF">
      <w:pPr>
        <w:pStyle w:val="Caption"/>
        <w:rPr>
          <w:noProof/>
        </w:rPr>
      </w:pPr>
      <w:bookmarkStart w:id="3" w:name="_Ref469424234"/>
      <w:r>
        <w:rPr>
          <w:noProof/>
        </w:rP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3"/>
      <w:r>
        <w:rPr>
          <w:noProof/>
        </w:rPr>
        <w:t>: final energy consumption in the EU28 in 2015 (source: Öko-Institut)</w:t>
      </w:r>
    </w:p>
    <w:p w:rsidR="003B6E8C" w:rsidRDefault="003B6E8C">
      <w:pPr>
        <w:rPr>
          <w:rFonts w:ascii="Times New Roman" w:hAnsi="Times New Roman" w:cs="Times New Roman"/>
          <w:bCs/>
          <w:i/>
          <w:noProof/>
          <w:sz w:val="24"/>
          <w:szCs w:val="24"/>
        </w:rPr>
      </w:pPr>
    </w:p>
    <w:p w:rsidR="003B6E8C" w:rsidRDefault="004678FF">
      <w:pPr>
        <w:pStyle w:val="Heading3"/>
        <w:rPr>
          <w:noProof/>
        </w:rPr>
      </w:pPr>
      <w:r>
        <w:rPr>
          <w:noProof/>
        </w:rPr>
        <w:t xml:space="preserve">Heating and cooling </w:t>
      </w:r>
    </w:p>
    <w:p w:rsidR="003B6E8C" w:rsidRDefault="004678FF">
      <w:pPr>
        <w:spacing w:after="80"/>
        <w:jc w:val="center"/>
        <w:rPr>
          <w:rFonts w:ascii="Times New Roman" w:hAnsi="Times New Roman" w:cs="Times New Roman"/>
          <w:noProof/>
          <w:sz w:val="24"/>
          <w:szCs w:val="24"/>
        </w:rPr>
      </w:pPr>
      <w:r>
        <w:rPr>
          <w:noProof/>
          <w:lang w:eastAsia="en-GB"/>
        </w:rPr>
        <w:drawing>
          <wp:inline distT="0" distB="0" distL="0" distR="0">
            <wp:extent cx="5300134" cy="2743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20780"/>
                    <a:stretch/>
                  </pic:blipFill>
                  <pic:spPr bwMode="auto">
                    <a:xfrm>
                      <a:off x="0" y="0"/>
                      <a:ext cx="5295280" cy="2740688"/>
                    </a:xfrm>
                    <a:prstGeom prst="rect">
                      <a:avLst/>
                    </a:prstGeom>
                    <a:noFill/>
                    <a:ln>
                      <a:noFill/>
                    </a:ln>
                    <a:extLst>
                      <a:ext uri="{53640926-AAD7-44D8-BBD7-CCE9431645EC}">
                        <a14:shadowObscured xmlns:a14="http://schemas.microsoft.com/office/drawing/2010/main"/>
                      </a:ext>
                    </a:extLst>
                  </pic:spPr>
                </pic:pic>
              </a:graphicData>
            </a:graphic>
          </wp:inline>
        </w:drawing>
      </w:r>
    </w:p>
    <w:p w:rsidR="003B6E8C" w:rsidRDefault="004678FF">
      <w:pPr>
        <w:pStyle w:val="Caption"/>
        <w:rPr>
          <w:noProof/>
        </w:rPr>
      </w:pPr>
      <w:bookmarkStart w:id="4" w:name="_Ref469406681"/>
      <w:r>
        <w:rPr>
          <w:noProof/>
        </w:rPr>
        <w:t xml:space="preserve">Figure </w:t>
      </w:r>
      <w:r>
        <w:rPr>
          <w:noProof/>
        </w:rPr>
        <w:fldChar w:fldCharType="begin"/>
      </w:r>
      <w:r>
        <w:rPr>
          <w:noProof/>
        </w:rPr>
        <w:instrText xml:space="preserve"> SEQ F</w:instrText>
      </w:r>
      <w:r>
        <w:rPr>
          <w:noProof/>
        </w:rPr>
        <w:instrText xml:space="preserve">igure \* ARABIC </w:instrText>
      </w:r>
      <w:r>
        <w:rPr>
          <w:noProof/>
        </w:rPr>
        <w:fldChar w:fldCharType="separate"/>
      </w:r>
      <w:r>
        <w:rPr>
          <w:noProof/>
        </w:rPr>
        <w:t>3</w:t>
      </w:r>
      <w:r>
        <w:rPr>
          <w:noProof/>
        </w:rPr>
        <w:fldChar w:fldCharType="end"/>
      </w:r>
      <w:bookmarkEnd w:id="4"/>
      <w:r>
        <w:rPr>
          <w:noProof/>
        </w:rPr>
        <w:t xml:space="preserve"> : EU-28 renewable heating and cooling production by source (source: EUROSTAT, Öko-Institut)</w:t>
      </w:r>
    </w:p>
    <w:p w:rsidR="003B6E8C" w:rsidRDefault="004678FF">
      <w:pPr>
        <w:spacing w:after="180" w:line="280" w:lineRule="atLeast"/>
        <w:jc w:val="both"/>
        <w:rPr>
          <w:rFonts w:ascii="Times New Roman" w:hAnsi="Times New Roman" w:cs="Times New Roman"/>
          <w:noProof/>
          <w:color w:val="141413"/>
          <w:sz w:val="24"/>
          <w:szCs w:val="24"/>
        </w:rPr>
      </w:pPr>
      <w:r>
        <w:rPr>
          <w:rFonts w:ascii="Times New Roman" w:hAnsi="Times New Roman" w:cs="Times New Roman"/>
          <w:noProof/>
          <w:sz w:val="24"/>
          <w:szCs w:val="24"/>
        </w:rPr>
        <w:t>With an estimated renewable share of 18.1% in 2015, the EU as a whole is above its aggregated NREAP trajectory when it comes to heating and coo</w:t>
      </w:r>
      <w:r>
        <w:rPr>
          <w:rFonts w:ascii="Times New Roman" w:hAnsi="Times New Roman" w:cs="Times New Roman"/>
          <w:noProof/>
          <w:sz w:val="24"/>
          <w:szCs w:val="24"/>
        </w:rPr>
        <w:t>ling</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As shown in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REF _Ref469406681 \h  \* MERGEFORMAT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Figure 3</w:t>
      </w:r>
      <w:r>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w:t>
      </w:r>
      <w:r>
        <w:rPr>
          <w:rFonts w:ascii="Times New Roman" w:hAnsi="Times New Roman" w:cs="Times New Roman"/>
          <w:b/>
          <w:noProof/>
          <w:sz w:val="24"/>
          <w:szCs w:val="24"/>
        </w:rPr>
        <w:t>solid biomass</w:t>
      </w:r>
      <w:r>
        <w:rPr>
          <w:rFonts w:ascii="Times New Roman" w:hAnsi="Times New Roman" w:cs="Times New Roman"/>
          <w:noProof/>
          <w:sz w:val="24"/>
          <w:szCs w:val="24"/>
        </w:rPr>
        <w:t xml:space="preserve"> continues to remain by far the largest contributor (82%) to renewable heat production (72 Mtoe)</w:t>
      </w:r>
      <w:r>
        <w:rPr>
          <w:rFonts w:ascii="Times New Roman" w:hAnsi="Times New Roman" w:cs="Times New Roman"/>
          <w:noProof/>
          <w:color w:val="141413"/>
          <w:sz w:val="24"/>
          <w:szCs w:val="24"/>
        </w:rPr>
        <w:t>.</w:t>
      </w:r>
    </w:p>
    <w:p w:rsidR="003B6E8C" w:rsidRDefault="004678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280" w:lineRule="atLeast"/>
        <w:jc w:val="both"/>
        <w:rPr>
          <w:rFonts w:ascii="Times New Roman" w:hAnsi="Times New Roman" w:cs="Times New Roman"/>
          <w:noProof/>
          <w:color w:val="141413"/>
          <w:sz w:val="24"/>
          <w:szCs w:val="24"/>
        </w:rPr>
      </w:pPr>
      <w:r>
        <w:rPr>
          <w:rFonts w:ascii="Times New Roman" w:hAnsi="Times New Roman" w:cs="Times New Roman"/>
          <w:noProof/>
          <w:sz w:val="24"/>
          <w:szCs w:val="24"/>
        </w:rPr>
        <w:t xml:space="preserve">The </w:t>
      </w:r>
      <w:r>
        <w:rPr>
          <w:rFonts w:ascii="Times New Roman" w:hAnsi="Times New Roman" w:cs="Times New Roman"/>
          <w:noProof/>
          <w:sz w:val="24"/>
          <w:szCs w:val="24"/>
        </w:rPr>
        <w:t>production from</w:t>
      </w:r>
      <w:r>
        <w:rPr>
          <w:rFonts w:ascii="Times New Roman" w:hAnsi="Times New Roman" w:cs="Times New Roman"/>
          <w:b/>
          <w:noProof/>
          <w:sz w:val="24"/>
          <w:szCs w:val="24"/>
        </w:rPr>
        <w:t xml:space="preserve"> heat pumps</w:t>
      </w:r>
      <w:r>
        <w:rPr>
          <w:rFonts w:ascii="Times New Roman" w:hAnsi="Times New Roman" w:cs="Times New Roman"/>
          <w:noProof/>
          <w:sz w:val="24"/>
          <w:szCs w:val="24"/>
        </w:rPr>
        <w:t xml:space="preserve"> steadily increased from 1.8 Mtoe in 2004 to 9.7 Mtoe in 2015, </w:t>
      </w:r>
      <w:r>
        <w:rPr>
          <w:rFonts w:ascii="Times New Roman" w:hAnsi="Times New Roman" w:cs="Times New Roman"/>
          <w:noProof/>
          <w:color w:val="141413"/>
          <w:sz w:val="24"/>
          <w:szCs w:val="24"/>
        </w:rPr>
        <w:t>exceeding the indicative trajectory from NREAPs (7.3 Mtoe). Italy is the leading country in its deployment, with most heat pumps however primarily used for cooling. Al</w:t>
      </w:r>
      <w:r>
        <w:rPr>
          <w:rFonts w:ascii="Times New Roman" w:hAnsi="Times New Roman" w:cs="Times New Roman"/>
          <w:noProof/>
          <w:color w:val="141413"/>
          <w:sz w:val="24"/>
          <w:szCs w:val="24"/>
        </w:rPr>
        <w:t>though the EU market of heat pumps has been slowing down since 2013, has potential to increase in the coming years</w:t>
      </w:r>
      <w:r>
        <w:rPr>
          <w:rStyle w:val="FootnoteReference"/>
          <w:rFonts w:ascii="Times New Roman" w:hAnsi="Times New Roman" w:cs="Times New Roman"/>
          <w:noProof/>
          <w:color w:val="141413"/>
          <w:sz w:val="24"/>
          <w:szCs w:val="24"/>
        </w:rPr>
        <w:footnoteReference w:id="14"/>
      </w:r>
      <w:r>
        <w:rPr>
          <w:rFonts w:ascii="Times New Roman" w:hAnsi="Times New Roman" w:cs="Times New Roman"/>
          <w:noProof/>
          <w:color w:val="141413"/>
          <w:sz w:val="24"/>
          <w:szCs w:val="24"/>
        </w:rPr>
        <w:t>.</w:t>
      </w:r>
    </w:p>
    <w:p w:rsidR="003B6E8C" w:rsidRDefault="004678FF">
      <w:pPr>
        <w:pStyle w:val="Standardtext"/>
        <w:rPr>
          <w:noProof/>
        </w:rPr>
      </w:pPr>
      <w:r>
        <w:rPr>
          <w:b/>
          <w:noProof/>
        </w:rPr>
        <w:t>Renewable waste</w:t>
      </w:r>
      <w:r>
        <w:rPr>
          <w:rStyle w:val="FootnoteReference"/>
          <w:b/>
          <w:noProof/>
        </w:rPr>
        <w:footnoteReference w:id="15"/>
      </w:r>
      <w:r>
        <w:rPr>
          <w:noProof/>
        </w:rPr>
        <w:t xml:space="preserve"> deployment amounted to 3.4 Mtoe in 2015. While the share of </w:t>
      </w:r>
      <w:r>
        <w:rPr>
          <w:b/>
          <w:noProof/>
        </w:rPr>
        <w:t>biogas</w:t>
      </w:r>
      <w:r>
        <w:rPr>
          <w:noProof/>
        </w:rPr>
        <w:t xml:space="preserve"> in heating and cooling was negligible in 2004 (0.7 Mtoe</w:t>
      </w:r>
      <w:r>
        <w:rPr>
          <w:noProof/>
        </w:rPr>
        <w:t xml:space="preserve">), in 2015 it surpassed the projected values with 3.2 Mtoe. </w:t>
      </w:r>
    </w:p>
    <w:p w:rsidR="003B6E8C" w:rsidRDefault="004678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280" w:lineRule="atLeast"/>
        <w:jc w:val="both"/>
        <w:rPr>
          <w:rFonts w:ascii="Times New Roman" w:hAnsi="Times New Roman" w:cs="Times New Roman"/>
          <w:noProof/>
          <w:color w:val="141413"/>
          <w:sz w:val="24"/>
          <w:szCs w:val="24"/>
        </w:rPr>
      </w:pPr>
      <w:r>
        <w:rPr>
          <w:rFonts w:ascii="Times New Roman" w:hAnsi="Times New Roman" w:cs="Times New Roman"/>
          <w:b/>
          <w:noProof/>
          <w:sz w:val="24"/>
          <w:szCs w:val="24"/>
        </w:rPr>
        <w:t>Solar thermal heat</w:t>
      </w:r>
      <w:r>
        <w:rPr>
          <w:rFonts w:ascii="Times New Roman" w:hAnsi="Times New Roman" w:cs="Times New Roman"/>
          <w:noProof/>
          <w:sz w:val="24"/>
          <w:szCs w:val="24"/>
        </w:rPr>
        <w:t xml:space="preserve"> production, with 2.0 Mtoe in 2015, </w:t>
      </w:r>
      <w:r>
        <w:rPr>
          <w:rFonts w:ascii="Times New Roman" w:hAnsi="Times New Roman" w:cs="Times New Roman"/>
          <w:noProof/>
          <w:color w:val="141413"/>
          <w:sz w:val="24"/>
          <w:szCs w:val="24"/>
        </w:rPr>
        <w:t>failed to keep up with the projections included in the NREAPs (3 Mtoe).</w:t>
      </w:r>
      <w:r>
        <w:rPr>
          <w:rFonts w:ascii="Times New Roman" w:hAnsi="Times New Roman" w:cs="Times New Roman"/>
          <w:noProof/>
          <w:sz w:val="24"/>
          <w:szCs w:val="24"/>
        </w:rPr>
        <w:t xml:space="preserve"> The annual capacity installed in 2015 was below what had been install</w:t>
      </w:r>
      <w:r>
        <w:rPr>
          <w:rFonts w:ascii="Times New Roman" w:hAnsi="Times New Roman" w:cs="Times New Roman"/>
          <w:noProof/>
          <w:sz w:val="24"/>
          <w:szCs w:val="24"/>
        </w:rPr>
        <w:t>ed in 2006, influenced by warm winters, low fossil prices, but also the competition of other renewable technologies such as heat pumps or solar photovoltaic.</w:t>
      </w:r>
    </w:p>
    <w:p w:rsidR="003B6E8C" w:rsidRDefault="004678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280" w:lineRule="atLeast"/>
        <w:jc w:val="both"/>
        <w:rPr>
          <w:rFonts w:ascii="Times New Roman" w:hAnsi="Times New Roman" w:cs="Times New Roman"/>
          <w:noProof/>
          <w:color w:val="141413"/>
          <w:sz w:val="24"/>
          <w:szCs w:val="24"/>
        </w:rPr>
      </w:pPr>
      <w:r>
        <w:rPr>
          <w:rFonts w:ascii="Times New Roman" w:hAnsi="Times New Roman" w:cs="Times New Roman"/>
          <w:noProof/>
          <w:color w:val="141413"/>
          <w:sz w:val="24"/>
          <w:szCs w:val="24"/>
        </w:rPr>
        <w:t>With output approximated at 0.7 Mtoe in 2015,</w:t>
      </w:r>
      <w:r>
        <w:rPr>
          <w:rFonts w:ascii="Times New Roman" w:hAnsi="Times New Roman" w:cs="Times New Roman"/>
          <w:b/>
          <w:noProof/>
          <w:color w:val="141413"/>
          <w:sz w:val="24"/>
          <w:szCs w:val="24"/>
        </w:rPr>
        <w:t xml:space="preserve"> geothermal</w:t>
      </w:r>
      <w:r>
        <w:rPr>
          <w:rFonts w:ascii="Times New Roman" w:hAnsi="Times New Roman" w:cs="Times New Roman"/>
          <w:noProof/>
          <w:color w:val="141413"/>
          <w:sz w:val="24"/>
          <w:szCs w:val="24"/>
        </w:rPr>
        <w:t xml:space="preserve"> deployment is below the NREAPs anticipate</w:t>
      </w:r>
      <w:r>
        <w:rPr>
          <w:rFonts w:ascii="Times New Roman" w:hAnsi="Times New Roman" w:cs="Times New Roman"/>
          <w:noProof/>
          <w:color w:val="141413"/>
          <w:sz w:val="24"/>
          <w:szCs w:val="24"/>
        </w:rPr>
        <w:t>d trajectory. Due to their high natural potential, three countries (Italy, France and Hungary)</w:t>
      </w:r>
      <w:r>
        <w:rPr>
          <w:rFonts w:ascii="Times New Roman" w:hAnsi="Times New Roman" w:cs="Times New Roman"/>
          <w:b/>
          <w:noProof/>
          <w:color w:val="141413"/>
          <w:sz w:val="24"/>
          <w:szCs w:val="24"/>
        </w:rPr>
        <w:t xml:space="preserve"> </w:t>
      </w:r>
      <w:r>
        <w:rPr>
          <w:rFonts w:ascii="Times New Roman" w:hAnsi="Times New Roman" w:cs="Times New Roman"/>
          <w:noProof/>
          <w:color w:val="141413"/>
          <w:sz w:val="24"/>
          <w:szCs w:val="24"/>
        </w:rPr>
        <w:t>are leading the European geothermal production. The slow deployment of this technology is mainly due to very high capital expenditures.</w:t>
      </w:r>
    </w:p>
    <w:p w:rsidR="003B6E8C" w:rsidRDefault="003B6E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280" w:lineRule="atLeast"/>
        <w:jc w:val="both"/>
        <w:rPr>
          <w:rFonts w:ascii="Times New Roman" w:hAnsi="Times New Roman" w:cs="Times New Roman"/>
          <w:noProof/>
          <w:color w:val="141413"/>
          <w:sz w:val="24"/>
          <w:szCs w:val="24"/>
        </w:rPr>
      </w:pPr>
    </w:p>
    <w:p w:rsidR="003B6E8C" w:rsidRDefault="004678FF">
      <w:pPr>
        <w:pStyle w:val="Heading3"/>
        <w:rPr>
          <w:noProof/>
          <w:lang w:val="en-US"/>
        </w:rPr>
      </w:pPr>
      <w:r>
        <w:rPr>
          <w:noProof/>
          <w:lang w:val="en-US"/>
        </w:rPr>
        <w:t>Electricity</w:t>
      </w:r>
    </w:p>
    <w:p w:rsidR="003B6E8C" w:rsidRDefault="004678FF">
      <w:pPr>
        <w:pStyle w:val="Caption"/>
        <w:rPr>
          <w:noProof/>
        </w:rPr>
      </w:pPr>
      <w:r>
        <w:rPr>
          <w:noProof/>
          <w:lang w:eastAsia="en-GB"/>
        </w:rPr>
        <w:drawing>
          <wp:inline distT="0" distB="0" distL="0" distR="0">
            <wp:extent cx="5615492" cy="2899010"/>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29751"/>
                    <a:stretch/>
                  </pic:blipFill>
                  <pic:spPr bwMode="auto">
                    <a:xfrm>
                      <a:off x="0" y="0"/>
                      <a:ext cx="5627148" cy="2905027"/>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rPr>
          <w:noProof/>
        </w:rPr>
        <w:t xml:space="preserve"> : EU-28 renewable electricity production by source (source: EUROSTAT, Öko-Institut)</w:t>
      </w:r>
    </w:p>
    <w:p w:rsidR="003B6E8C" w:rsidRDefault="004678FF">
      <w:pPr>
        <w:pStyle w:val="Standardtext"/>
        <w:rPr>
          <w:noProof/>
        </w:rPr>
      </w:pPr>
      <w:r>
        <w:rPr>
          <w:noProof/>
        </w:rPr>
        <w:t xml:space="preserve">With an estimated 28.3% RES-E in 2015, the EU is well ahead of its aggregated NREAP trajectory for renewable shares in electricity. </w:t>
      </w:r>
    </w:p>
    <w:p w:rsidR="003B6E8C" w:rsidRDefault="004678FF">
      <w:pPr>
        <w:pStyle w:val="Standardtext"/>
        <w:rPr>
          <w:noProof/>
          <w:color w:val="141413"/>
        </w:rPr>
      </w:pPr>
      <w:r>
        <w:rPr>
          <w:noProof/>
          <w:color w:val="141413"/>
        </w:rPr>
        <w:t xml:space="preserve">National </w:t>
      </w:r>
      <w:r>
        <w:rPr>
          <w:noProof/>
          <w:color w:val="141413"/>
        </w:rPr>
        <w:t>support schemes vary across the Union and have been subject to numerous changes</w:t>
      </w:r>
      <w:r>
        <w:rPr>
          <w:rStyle w:val="FootnoteReference"/>
          <w:noProof/>
          <w:color w:val="141413"/>
        </w:rPr>
        <w:footnoteReference w:id="16"/>
      </w:r>
      <w:r>
        <w:rPr>
          <w:noProof/>
          <w:color w:val="141413"/>
        </w:rPr>
        <w:t>. The proposal for a recast of this Directive contains several provisions aiming at increasing investor confidence by having a more Europeanised and market-based approach and p</w:t>
      </w:r>
      <w:r>
        <w:rPr>
          <w:noProof/>
          <w:color w:val="141413"/>
        </w:rPr>
        <w:t>reventing retroactive changes that compromise the economics of the supported projects.</w:t>
      </w:r>
    </w:p>
    <w:p w:rsidR="003B6E8C" w:rsidRDefault="004678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280" w:lineRule="atLeast"/>
        <w:jc w:val="both"/>
        <w:rPr>
          <w:rFonts w:ascii="Times New Roman" w:hAnsi="Times New Roman" w:cs="Times New Roman"/>
          <w:noProof/>
          <w:color w:val="141413"/>
          <w:sz w:val="24"/>
          <w:szCs w:val="24"/>
        </w:rPr>
      </w:pPr>
      <w:r>
        <w:rPr>
          <w:rFonts w:ascii="Times New Roman" w:hAnsi="Times New Roman" w:cs="Times New Roman"/>
          <w:b/>
          <w:noProof/>
          <w:sz w:val="24"/>
          <w:szCs w:val="24"/>
        </w:rPr>
        <w:t>Hydropower</w:t>
      </w:r>
      <w:r>
        <w:rPr>
          <w:rFonts w:ascii="Times New Roman" w:hAnsi="Times New Roman" w:cs="Times New Roman"/>
          <w:b/>
          <w:bCs/>
          <w:noProof/>
          <w:sz w:val="24"/>
          <w:szCs w:val="24"/>
        </w:rPr>
        <w:t xml:space="preserve"> </w:t>
      </w:r>
      <w:r>
        <w:rPr>
          <w:rFonts w:ascii="Times New Roman" w:hAnsi="Times New Roman" w:cs="Times New Roman"/>
          <w:noProof/>
          <w:sz w:val="24"/>
          <w:szCs w:val="24"/>
        </w:rPr>
        <w:t>still generates the largest share of renewable electricity, while its share declined from 74 % in 2004 to 38% in 2015.</w:t>
      </w:r>
      <w:r>
        <w:rPr>
          <w:rFonts w:ascii="Times New Roman" w:hAnsi="Times New Roman" w:cs="Times New Roman"/>
          <w:noProof/>
          <w:color w:val="141413"/>
          <w:sz w:val="24"/>
          <w:szCs w:val="24"/>
        </w:rPr>
        <w:t xml:space="preserve"> In 2015, the EU-28 was on track with it</w:t>
      </w:r>
      <w:r>
        <w:rPr>
          <w:rFonts w:ascii="Times New Roman" w:hAnsi="Times New Roman" w:cs="Times New Roman"/>
          <w:noProof/>
          <w:color w:val="141413"/>
          <w:sz w:val="24"/>
          <w:szCs w:val="24"/>
        </w:rPr>
        <w:t>s aggregated planned NREAPs trajectory. Sweden, France, Italy, Austria and Spain have around 70 % of all hydropower in the EU-28.</w:t>
      </w:r>
    </w:p>
    <w:p w:rsidR="003B6E8C" w:rsidRDefault="004678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280" w:lineRule="atLeast"/>
        <w:jc w:val="both"/>
        <w:rPr>
          <w:rFonts w:ascii="Times New Roman" w:hAnsi="Times New Roman" w:cs="Times New Roman"/>
          <w:noProof/>
          <w:color w:val="141413"/>
          <w:sz w:val="24"/>
          <w:szCs w:val="24"/>
        </w:rPr>
      </w:pPr>
      <w:r>
        <w:rPr>
          <w:rFonts w:ascii="Times New Roman" w:hAnsi="Times New Roman" w:cs="Times New Roman"/>
          <w:noProof/>
          <w:sz w:val="24"/>
          <w:szCs w:val="24"/>
        </w:rPr>
        <w:t xml:space="preserve">The deployment of </w:t>
      </w:r>
      <w:r>
        <w:rPr>
          <w:rFonts w:ascii="Times New Roman" w:hAnsi="Times New Roman" w:cs="Times New Roman"/>
          <w:b/>
          <w:noProof/>
          <w:sz w:val="24"/>
          <w:szCs w:val="24"/>
        </w:rPr>
        <w:t xml:space="preserve">wind power </w:t>
      </w:r>
      <w:r>
        <w:rPr>
          <w:rFonts w:ascii="Times New Roman" w:hAnsi="Times New Roman" w:cs="Times New Roman"/>
          <w:noProof/>
          <w:sz w:val="24"/>
          <w:szCs w:val="24"/>
        </w:rPr>
        <w:t>more than quadrupled over the period 2004-2015, and currently accounts for around one third of re</w:t>
      </w:r>
      <w:r>
        <w:rPr>
          <w:rFonts w:ascii="Times New Roman" w:hAnsi="Times New Roman" w:cs="Times New Roman"/>
          <w:noProof/>
          <w:sz w:val="24"/>
          <w:szCs w:val="24"/>
        </w:rPr>
        <w:t>newable electricity. Onshore wind deployment is rather close to the anticipated trajectory throughout the years.</w:t>
      </w:r>
      <w:r>
        <w:rPr>
          <w:rFonts w:ascii="Times New Roman" w:hAnsi="Times New Roman" w:cs="Times New Roman"/>
          <w:noProof/>
          <w:color w:val="141413"/>
          <w:sz w:val="24"/>
          <w:szCs w:val="24"/>
        </w:rPr>
        <w:t xml:space="preserve"> The largest contributions have come from Germany and Spain. Regarding offshore wind, four countries (Sweden, Germany, the United Kingdom and De</w:t>
      </w:r>
      <w:r>
        <w:rPr>
          <w:rFonts w:ascii="Times New Roman" w:hAnsi="Times New Roman" w:cs="Times New Roman"/>
          <w:noProof/>
          <w:color w:val="141413"/>
          <w:sz w:val="24"/>
          <w:szCs w:val="24"/>
        </w:rPr>
        <w:t>nmark) are also estimated to be above their anticipated 2015 trajectory. However, at EU level, offshore wind has shown a slower progress than expected, with a -12% deviation from the NREAP trajectory in 2015, mostly due to initially high costs (now substan</w:t>
      </w:r>
      <w:r>
        <w:rPr>
          <w:rFonts w:ascii="Times New Roman" w:hAnsi="Times New Roman" w:cs="Times New Roman"/>
          <w:noProof/>
          <w:color w:val="141413"/>
          <w:sz w:val="24"/>
          <w:szCs w:val="24"/>
        </w:rPr>
        <w:t>tially decreasing) and grid connections issues. The development has nevertheless accelerated significantly in recent years.</w:t>
      </w:r>
    </w:p>
    <w:p w:rsidR="003B6E8C" w:rsidRDefault="004678FF">
      <w:pPr>
        <w:pStyle w:val="Standardtext"/>
        <w:rPr>
          <w:noProof/>
          <w:color w:val="141413"/>
        </w:rPr>
      </w:pPr>
      <w:r>
        <w:rPr>
          <w:b/>
          <w:bCs/>
          <w:noProof/>
        </w:rPr>
        <w:t xml:space="preserve">Solar photovoltaic (solar-PV) </w:t>
      </w:r>
      <w:r>
        <w:rPr>
          <w:noProof/>
        </w:rPr>
        <w:t>increased rapidly and in 2015 accounted for 12% of all renewable electricity. In 2013 its deployment h</w:t>
      </w:r>
      <w:r>
        <w:rPr>
          <w:noProof/>
        </w:rPr>
        <w:t>ad surpassed that of solid biomass for the first time. I</w:t>
      </w:r>
      <w:r>
        <w:rPr>
          <w:noProof/>
          <w:color w:val="141413"/>
        </w:rPr>
        <w:t>n 2015, 38 % of the solar-PV electricity in the EU-28 was produced in Germany, Italy and Spain. The considerable growth in solar-PV electricity has been driven by rapid technological progress, cost re</w:t>
      </w:r>
      <w:r>
        <w:rPr>
          <w:noProof/>
          <w:color w:val="141413"/>
        </w:rPr>
        <w:t xml:space="preserve">ductions and relatively short project development times. </w:t>
      </w:r>
      <w:r>
        <w:rPr>
          <w:noProof/>
        </w:rPr>
        <w:t>This has not only enabled a rapid and cost-efficient deployment, it has also contributed to putting the consumer at the centre of the energy transition. This ambition regarding consumer empowerment h</w:t>
      </w:r>
      <w:r>
        <w:rPr>
          <w:noProof/>
        </w:rPr>
        <w:t xml:space="preserve">as been confirmed by the proposal for a recast of the Renewable Energy Directive and the Market Design proposals. </w:t>
      </w:r>
      <w:r>
        <w:rPr>
          <w:noProof/>
          <w:color w:val="141413"/>
        </w:rPr>
        <w:t>Regarding regional cooperation, in July 2016, Denmark and Germany signed a cooperation agreement on the mutual opening of auctions for solar-P</w:t>
      </w:r>
      <w:r>
        <w:rPr>
          <w:noProof/>
          <w:color w:val="141413"/>
        </w:rPr>
        <w:t>V installations. This agreement goes in the direction of the opening up of support schemes to cross-border participation that the recast of the Renewable Energy Directive proposes.</w:t>
      </w:r>
    </w:p>
    <w:p w:rsidR="003B6E8C" w:rsidRDefault="004678FF">
      <w:pPr>
        <w:pStyle w:val="Standardtext"/>
        <w:rPr>
          <w:bCs/>
          <w:i/>
          <w:noProof/>
          <w:color w:val="141413"/>
        </w:rPr>
      </w:pPr>
      <w:r>
        <w:rPr>
          <w:noProof/>
        </w:rPr>
        <w:t xml:space="preserve">Electricity generation from </w:t>
      </w:r>
      <w:r>
        <w:rPr>
          <w:b/>
          <w:noProof/>
        </w:rPr>
        <w:t>biomass</w:t>
      </w:r>
      <w:r>
        <w:rPr>
          <w:noProof/>
        </w:rPr>
        <w:t xml:space="preserve"> on EU-28 level grew from around 9 Mtoe in 2010 to 13 Mtoe in 2015. However, this technology did not reach the level planned for that year. The deployment of </w:t>
      </w:r>
      <w:r>
        <w:rPr>
          <w:b/>
          <w:noProof/>
        </w:rPr>
        <w:t>biogas and bioliquids</w:t>
      </w:r>
      <w:r>
        <w:rPr>
          <w:noProof/>
        </w:rPr>
        <w:t xml:space="preserve"> combined, both at negligible levels in 2004, reached 7% of renewable electri</w:t>
      </w:r>
      <w:r>
        <w:rPr>
          <w:noProof/>
        </w:rPr>
        <w:t xml:space="preserve">city in 2015. </w:t>
      </w:r>
      <w:bookmarkStart w:id="5" w:name="_Toc337888905"/>
      <w:bookmarkStart w:id="6" w:name="_Toc464037367"/>
      <w:bookmarkStart w:id="7" w:name="_Toc337893349"/>
      <w:bookmarkStart w:id="8" w:name="_Toc464039217"/>
      <w:bookmarkStart w:id="9" w:name="_Toc464056923"/>
      <w:bookmarkStart w:id="10" w:name="_Toc468364170"/>
      <w:bookmarkStart w:id="11" w:name="_Toc468367982"/>
      <w:bookmarkStart w:id="12" w:name="_Toc468368725"/>
      <w:r>
        <w:rPr>
          <w:noProof/>
        </w:rPr>
        <w:t>For what concerns</w:t>
      </w:r>
      <w:r>
        <w:rPr>
          <w:noProof/>
          <w:color w:val="141413"/>
        </w:rPr>
        <w:t xml:space="preserve"> biogas, its use has grown faster than expected, especially in Germany and Italy.</w:t>
      </w:r>
      <w:r>
        <w:rPr>
          <w:noProof/>
          <w:color w:val="141413"/>
        </w:rPr>
        <w:br w:type="page"/>
      </w:r>
    </w:p>
    <w:p w:rsidR="003B6E8C" w:rsidRDefault="004678FF">
      <w:pPr>
        <w:pStyle w:val="Heading3"/>
        <w:rPr>
          <w:noProof/>
        </w:rPr>
      </w:pPr>
      <w:r>
        <w:rPr>
          <w:noProof/>
        </w:rPr>
        <w:t>Transport</w:t>
      </w:r>
      <w:bookmarkEnd w:id="5"/>
      <w:bookmarkEnd w:id="6"/>
      <w:bookmarkEnd w:id="7"/>
      <w:bookmarkEnd w:id="8"/>
      <w:bookmarkEnd w:id="9"/>
      <w:bookmarkEnd w:id="10"/>
      <w:bookmarkEnd w:id="11"/>
      <w:bookmarkEnd w:id="12"/>
    </w:p>
    <w:p w:rsidR="003B6E8C" w:rsidRDefault="004678FF">
      <w:pPr>
        <w:pStyle w:val="Standardtext"/>
        <w:jc w:val="center"/>
        <w:rPr>
          <w:noProof/>
        </w:rPr>
      </w:pPr>
      <w:r>
        <w:rPr>
          <w:noProof/>
          <w:lang w:eastAsia="en-GB"/>
        </w:rPr>
        <w:drawing>
          <wp:inline distT="0" distB="0" distL="0" distR="0">
            <wp:extent cx="5519057" cy="2634342"/>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26941"/>
                    <a:stretch/>
                  </pic:blipFill>
                  <pic:spPr bwMode="auto">
                    <a:xfrm>
                      <a:off x="0" y="0"/>
                      <a:ext cx="5518732" cy="2634187"/>
                    </a:xfrm>
                    <a:prstGeom prst="rect">
                      <a:avLst/>
                    </a:prstGeom>
                    <a:noFill/>
                    <a:ln>
                      <a:noFill/>
                    </a:ln>
                    <a:extLst>
                      <a:ext uri="{53640926-AAD7-44D8-BBD7-CCE9431645EC}">
                        <a14:shadowObscured xmlns:a14="http://schemas.microsoft.com/office/drawing/2010/main"/>
                      </a:ext>
                    </a:extLst>
                  </pic:spPr>
                </pic:pic>
              </a:graphicData>
            </a:graphic>
          </wp:inline>
        </w:drawing>
      </w:r>
    </w:p>
    <w:p w:rsidR="003B6E8C" w:rsidRDefault="004678FF">
      <w:pPr>
        <w:pStyle w:val="Caption"/>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5</w:t>
      </w:r>
      <w:r>
        <w:rPr>
          <w:noProof/>
        </w:rPr>
        <w:fldChar w:fldCharType="end"/>
      </w:r>
      <w:r>
        <w:rPr>
          <w:noProof/>
        </w:rPr>
        <w:t>: EU-28 renewable energy in transport, by source (source: EUROSTAT, Öko-Institut)</w:t>
      </w:r>
    </w:p>
    <w:p w:rsidR="003B6E8C" w:rsidRDefault="004678FF">
      <w:pPr>
        <w:pStyle w:val="Standardtext"/>
        <w:rPr>
          <w:noProof/>
        </w:rPr>
      </w:pPr>
      <w:r>
        <w:rPr>
          <w:noProof/>
        </w:rPr>
        <w:t>Transport is th</w:t>
      </w:r>
      <w:r>
        <w:rPr>
          <w:noProof/>
        </w:rPr>
        <w:t>e only sector which is currently below aggregated NREAP trajectories at EU level, with a 6 % share of renewable energy in 2015</w:t>
      </w:r>
      <w:r>
        <w:rPr>
          <w:rStyle w:val="FootnoteReference"/>
          <w:noProof/>
        </w:rPr>
        <w:footnoteReference w:id="17"/>
      </w:r>
      <w:r>
        <w:rPr>
          <w:noProof/>
        </w:rPr>
        <w:t>. This confirms a rather slow progress to the mandatory 10% target in transport, due to various difficulties including relatively</w:t>
      </w:r>
      <w:r>
        <w:rPr>
          <w:noProof/>
        </w:rPr>
        <w:t xml:space="preserve"> high GHG mitigation costs and regulatory uncertainty</w:t>
      </w:r>
      <w:r>
        <w:rPr>
          <w:rStyle w:val="FootnoteReference"/>
          <w:noProof/>
          <w:sz w:val="24"/>
          <w:szCs w:val="24"/>
        </w:rPr>
        <w:footnoteReference w:id="18"/>
      </w:r>
      <w:r>
        <w:rPr>
          <w:noProof/>
        </w:rPr>
        <w:t>. Renewable energy in this sector comes largely from biofuels (88%), with electricity playing a more limited role at this stage.</w:t>
      </w:r>
    </w:p>
    <w:p w:rsidR="003B6E8C" w:rsidRDefault="004678FF">
      <w:pPr>
        <w:pStyle w:val="Standardtext"/>
        <w:rPr>
          <w:noProof/>
        </w:rPr>
      </w:pPr>
      <w:r>
        <w:rPr>
          <w:b/>
          <w:noProof/>
        </w:rPr>
        <w:t>Biodiesel</w:t>
      </w:r>
      <w:r>
        <w:rPr>
          <w:noProof/>
        </w:rPr>
        <w:t xml:space="preserve"> is the main biofuel used for transport in the EU, representing </w:t>
      </w:r>
      <w:r>
        <w:rPr>
          <w:noProof/>
        </w:rPr>
        <w:t>79% of total use of biofuels in 2015. Despite this leading position, biodiesel did not reach the expected deployment anticipated by the NREAPs trajectory for 2015 (10.9 Mtoe instead of 14.4 Mtoe). The main consumers of biodiesel are France, Germany and Ita</w:t>
      </w:r>
      <w:r>
        <w:rPr>
          <w:noProof/>
        </w:rPr>
        <w:t>ly.</w:t>
      </w:r>
    </w:p>
    <w:p w:rsidR="003B6E8C" w:rsidRDefault="004678FF">
      <w:pPr>
        <w:spacing w:after="180" w:line="280" w:lineRule="atLeast"/>
        <w:jc w:val="both"/>
        <w:rPr>
          <w:rFonts w:ascii="Times New Roman" w:hAnsi="Times New Roman" w:cs="Times New Roman"/>
          <w:noProof/>
          <w:sz w:val="24"/>
          <w:szCs w:val="24"/>
        </w:rPr>
      </w:pPr>
      <w:r>
        <w:rPr>
          <w:rFonts w:ascii="Times New Roman" w:hAnsi="Times New Roman" w:cs="Times New Roman"/>
          <w:b/>
          <w:noProof/>
          <w:sz w:val="24"/>
          <w:szCs w:val="24"/>
        </w:rPr>
        <w:t xml:space="preserve">Bioethanol </w:t>
      </w:r>
      <w:r>
        <w:rPr>
          <w:rFonts w:ascii="Times New Roman" w:hAnsi="Times New Roman" w:cs="Times New Roman"/>
          <w:noProof/>
          <w:sz w:val="24"/>
          <w:szCs w:val="24"/>
        </w:rPr>
        <w:t>is the second largest contributor of renewable energy sources to the transport sector and represents 20% of biofuels. However, its use did not reach by far the level expected in NREAPs in 2015 (2.6 Mtoe instead of 4.9 Mtoe). Main consumers i</w:t>
      </w:r>
      <w:r>
        <w:rPr>
          <w:rFonts w:ascii="Times New Roman" w:hAnsi="Times New Roman" w:cs="Times New Roman"/>
          <w:noProof/>
          <w:sz w:val="24"/>
          <w:szCs w:val="24"/>
        </w:rPr>
        <w:t>n 2015 were Germany, the United Kingdom and France, followed by Spain, Sweden, Poland and the Netherlands.</w:t>
      </w:r>
    </w:p>
    <w:p w:rsidR="003B6E8C" w:rsidRDefault="004678FF">
      <w:pPr>
        <w:pStyle w:val="Standardtext"/>
        <w:rPr>
          <w:b/>
          <w:noProof/>
        </w:rPr>
      </w:pPr>
      <w:r>
        <w:rPr>
          <w:b/>
          <w:noProof/>
        </w:rPr>
        <w:t>Renewable electricity</w:t>
      </w:r>
      <w:r>
        <w:rPr>
          <w:noProof/>
        </w:rPr>
        <w:t xml:space="preserve"> contributed 1.7 Mtoe to gross final energy consumption in transport in 2015</w:t>
      </w:r>
      <w:r>
        <w:rPr>
          <w:rStyle w:val="FootnoteReference"/>
          <w:noProof/>
        </w:rPr>
        <w:footnoteReference w:id="19"/>
      </w:r>
      <w:r>
        <w:rPr>
          <w:noProof/>
        </w:rPr>
        <w:t>, which is 13% lower than the expected aggregated N</w:t>
      </w:r>
      <w:r>
        <w:rPr>
          <w:noProof/>
        </w:rPr>
        <w:t>REAP trajectory.</w:t>
      </w:r>
    </w:p>
    <w:p w:rsidR="003B6E8C" w:rsidRDefault="004678FF">
      <w:pPr>
        <w:pStyle w:val="Standardtext"/>
        <w:rPr>
          <w:noProof/>
        </w:rPr>
      </w:pPr>
      <w:r>
        <w:rPr>
          <w:b/>
          <w:noProof/>
        </w:rPr>
        <w:t>Other renewable energy sources (including biogas)</w:t>
      </w:r>
      <w:r>
        <w:rPr>
          <w:noProof/>
        </w:rPr>
        <w:t xml:space="preserve"> do not play a prominent role in the transport sector at EU-28 level, but are deployed in some Member States (e.g. in Sweden and Finland).</w:t>
      </w:r>
    </w:p>
    <w:p w:rsidR="003B6E8C" w:rsidRDefault="004678FF">
      <w:pPr>
        <w:pStyle w:val="Standardtext"/>
        <w:rPr>
          <w:noProof/>
        </w:rPr>
      </w:pPr>
      <w:r>
        <w:rPr>
          <w:noProof/>
        </w:rPr>
        <w:t xml:space="preserve">The share of </w:t>
      </w:r>
      <w:r>
        <w:rPr>
          <w:b/>
          <w:noProof/>
        </w:rPr>
        <w:t>biofuels produced from wastes, residue</w:t>
      </w:r>
      <w:r>
        <w:rPr>
          <w:b/>
          <w:noProof/>
        </w:rPr>
        <w:t>s, ligno-cellulosic and non-food cellulosic material</w:t>
      </w:r>
      <w:r>
        <w:rPr>
          <w:rStyle w:val="FootnoteReference"/>
          <w:noProof/>
          <w:sz w:val="24"/>
          <w:szCs w:val="24"/>
        </w:rPr>
        <w:footnoteReference w:id="20"/>
      </w:r>
      <w:r>
        <w:rPr>
          <w:noProof/>
        </w:rPr>
        <w:t xml:space="preserve"> in the EU biofuel mix</w:t>
      </w:r>
      <w:r>
        <w:rPr>
          <w:rStyle w:val="FootnoteReference"/>
          <w:noProof/>
        </w:rPr>
        <w:footnoteReference w:id="21"/>
      </w:r>
      <w:r>
        <w:rPr>
          <w:noProof/>
        </w:rPr>
        <w:t xml:space="preserve"> has increased from 1% in 2009 to 23% in 2015</w:t>
      </w:r>
      <w:r>
        <w:rPr>
          <w:rStyle w:val="FootnoteReference"/>
          <w:noProof/>
        </w:rPr>
        <w:footnoteReference w:id="22"/>
      </w:r>
      <w:r>
        <w:rPr>
          <w:noProof/>
        </w:rPr>
        <w:t>, mostly driven by Sweden, the United Kingdom and Germany. At EU level, these biofuels exceeded by three times the planned trajectory,</w:t>
      </w:r>
      <w:r>
        <w:rPr>
          <w:noProof/>
        </w:rPr>
        <w:t xml:space="preserve"> with around 3 Mtoe in 2015, mainly because of the utilization of used cooking oil. </w:t>
      </w:r>
    </w:p>
    <w:p w:rsidR="003B6E8C" w:rsidRDefault="003B6E8C">
      <w:pPr>
        <w:pStyle w:val="Standardtext"/>
        <w:rPr>
          <w:noProof/>
        </w:rPr>
      </w:pPr>
    </w:p>
    <w:p w:rsidR="003B6E8C" w:rsidRDefault="004678FF">
      <w:pPr>
        <w:pStyle w:val="Heading2"/>
        <w:rPr>
          <w:noProof/>
        </w:rPr>
      </w:pPr>
      <w:r>
        <w:rPr>
          <w:noProof/>
        </w:rPr>
        <w:t>Detailed assessment by Member State and projections</w:t>
      </w:r>
    </w:p>
    <w:p w:rsidR="003B6E8C" w:rsidRDefault="004678FF">
      <w:pPr>
        <w:pStyle w:val="Standardtext"/>
        <w:rPr>
          <w:noProof/>
        </w:rPr>
      </w:pPr>
      <w:r>
        <w:rPr>
          <w:noProof/>
        </w:rPr>
        <w:t>All but one Member State (the Netherlands</w:t>
      </w:r>
      <w:r>
        <w:rPr>
          <w:rStyle w:val="FootnoteReference"/>
          <w:noProof/>
        </w:rPr>
        <w:footnoteReference w:id="23"/>
      </w:r>
      <w:r>
        <w:rPr>
          <w:noProof/>
        </w:rPr>
        <w:t>) showed average 2013/2014 RES shares which were equal or higher than their corresponding indicative RED trajectory. According to 2015 estimates, 25 Member States already exceeded their 2015/2016 indicative RED trajectories in 2015. Three Member States (th</w:t>
      </w:r>
      <w:r>
        <w:rPr>
          <w:noProof/>
        </w:rPr>
        <w:t xml:space="preserve">e Netherlands, France and Luxembourg) had 2015 RES estimated shares below their 2015/2016 indicative RED trajectory (see </w:t>
      </w:r>
      <w:r>
        <w:rPr>
          <w:noProof/>
        </w:rPr>
        <w:fldChar w:fldCharType="begin"/>
      </w:r>
      <w:r>
        <w:rPr>
          <w:noProof/>
        </w:rPr>
        <w:instrText xml:space="preserve"> REF _Ref469423443 \h  \* MERGEFORMAT </w:instrText>
      </w:r>
      <w:r>
        <w:rPr>
          <w:noProof/>
        </w:rPr>
      </w:r>
      <w:r>
        <w:rPr>
          <w:noProof/>
        </w:rPr>
        <w:fldChar w:fldCharType="separate"/>
      </w:r>
      <w:r>
        <w:rPr>
          <w:noProof/>
        </w:rPr>
        <w:t>Figure 6</w:t>
      </w:r>
      <w:r>
        <w:rPr>
          <w:noProof/>
        </w:rPr>
        <w:fldChar w:fldCharType="end"/>
      </w:r>
      <w:r>
        <w:rPr>
          <w:noProof/>
        </w:rPr>
        <w:t>).</w:t>
      </w:r>
    </w:p>
    <w:p w:rsidR="003B6E8C" w:rsidRDefault="004678FF">
      <w:pPr>
        <w:keepNext/>
        <w:jc w:val="center"/>
        <w:rPr>
          <w:rFonts w:ascii="Times New Roman" w:hAnsi="Times New Roman" w:cs="Times New Roman"/>
          <w:noProof/>
        </w:rPr>
      </w:pPr>
      <w:r>
        <w:rPr>
          <w:rFonts w:ascii="Times New Roman" w:hAnsi="Times New Roman" w:cs="Times New Roman"/>
          <w:noProof/>
          <w:lang w:eastAsia="en-GB"/>
        </w:rPr>
        <w:drawing>
          <wp:inline distT="0" distB="0" distL="0" distR="0">
            <wp:extent cx="5355771" cy="3410858"/>
            <wp:effectExtent l="0" t="0" r="0" b="0"/>
            <wp:docPr id="4384" name="Picture 4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60253" cy="3413712"/>
                    </a:xfrm>
                    <a:prstGeom prst="rect">
                      <a:avLst/>
                    </a:prstGeom>
                    <a:noFill/>
                  </pic:spPr>
                </pic:pic>
              </a:graphicData>
            </a:graphic>
          </wp:inline>
        </w:drawing>
      </w:r>
    </w:p>
    <w:p w:rsidR="003B6E8C" w:rsidRDefault="004678FF">
      <w:pPr>
        <w:pStyle w:val="Caption"/>
        <w:rPr>
          <w:b/>
          <w:bCs w:val="0"/>
          <w:noProof/>
          <w:sz w:val="24"/>
          <w:szCs w:val="24"/>
        </w:rPr>
      </w:pPr>
      <w:bookmarkStart w:id="13" w:name="_Ref469423443"/>
      <w:r>
        <w:rPr>
          <w:noProof/>
        </w:rPr>
        <w:t xml:space="preserve">Figure </w:t>
      </w:r>
      <w:r>
        <w:rPr>
          <w:noProof/>
        </w:rPr>
        <w:fldChar w:fldCharType="begin"/>
      </w:r>
      <w:r>
        <w:rPr>
          <w:noProof/>
        </w:rPr>
        <w:instrText xml:space="preserve"> SEQ Figur</w:instrText>
      </w:r>
      <w:r>
        <w:rPr>
          <w:noProof/>
        </w:rPr>
        <w:instrText xml:space="preserve">e \* ARABIC </w:instrText>
      </w:r>
      <w:r>
        <w:rPr>
          <w:noProof/>
        </w:rPr>
        <w:fldChar w:fldCharType="separate"/>
      </w:r>
      <w:r>
        <w:rPr>
          <w:noProof/>
        </w:rPr>
        <w:t>6</w:t>
      </w:r>
      <w:r>
        <w:rPr>
          <w:noProof/>
        </w:rPr>
        <w:fldChar w:fldCharType="end"/>
      </w:r>
      <w:bookmarkEnd w:id="13"/>
      <w:r>
        <w:rPr>
          <w:noProof/>
        </w:rPr>
        <w:t xml:space="preserve"> : Member States current progress towards their 2013/2014 and 2015/2016 indicative RED targets. (source: Öko-Institut, EUROSTAT)</w:t>
      </w:r>
    </w:p>
    <w:p w:rsidR="003B6E8C" w:rsidRDefault="004678FF">
      <w:pPr>
        <w:pStyle w:val="Standardtext"/>
        <w:rPr>
          <w:noProof/>
        </w:rPr>
      </w:pPr>
      <w:r>
        <w:rPr>
          <w:noProof/>
        </w:rPr>
        <w:t>The PRIMES Reference Scenario 2016 assumes that the EU as a whole and a majority of Member States will take suf</w:t>
      </w:r>
      <w:r>
        <w:rPr>
          <w:noProof/>
        </w:rPr>
        <w:t>ficient action up to 2020 to achieve their targets. Member States which are currently projected not to meet their national RES binding targets by 2020</w:t>
      </w:r>
      <w:r>
        <w:rPr>
          <w:rStyle w:val="FootnoteReference"/>
          <w:noProof/>
        </w:rPr>
        <w:footnoteReference w:id="24"/>
      </w:r>
      <w:r>
        <w:rPr>
          <w:noProof/>
        </w:rPr>
        <w:t xml:space="preserve"> will have the possibility to use cooperation mechanisms. </w:t>
      </w:r>
      <w:r>
        <w:rPr>
          <w:noProof/>
        </w:rPr>
        <w:fldChar w:fldCharType="begin"/>
      </w:r>
      <w:r>
        <w:rPr>
          <w:noProof/>
        </w:rPr>
        <w:instrText xml:space="preserve"> REF _Ref469424240 \h  \* MERGEFORMAT </w:instrText>
      </w:r>
      <w:r>
        <w:rPr>
          <w:noProof/>
        </w:rPr>
      </w:r>
      <w:r>
        <w:rPr>
          <w:noProof/>
        </w:rPr>
        <w:fldChar w:fldCharType="separate"/>
      </w:r>
      <w:r>
        <w:rPr>
          <w:noProof/>
        </w:rPr>
        <w:t>Table 1</w:t>
      </w:r>
      <w:r>
        <w:rPr>
          <w:noProof/>
        </w:rPr>
        <w:fldChar w:fldCharType="end"/>
      </w:r>
      <w:r>
        <w:rPr>
          <w:noProof/>
        </w:rPr>
        <w:t xml:space="preserve"> summarizes past, current and expected renewable deployment at Member States level, including current trajectory in the transport sector compared with the 10% specific target.</w:t>
      </w:r>
    </w:p>
    <w:p w:rsidR="003B6E8C" w:rsidRDefault="003B6E8C">
      <w:pPr>
        <w:pStyle w:val="Standardtext"/>
        <w:rPr>
          <w:noProof/>
        </w:rPr>
        <w:sectPr w:rsidR="003B6E8C">
          <w:headerReference w:type="even" r:id="rId22"/>
          <w:headerReference w:type="default" r:id="rId23"/>
          <w:footerReference w:type="even" r:id="rId24"/>
          <w:footerReference w:type="default" r:id="rId25"/>
          <w:headerReference w:type="first" r:id="rId26"/>
          <w:footerReference w:type="first" r:id="rId27"/>
          <w:pgSz w:w="11906" w:h="16838"/>
          <w:pgMar w:top="1134" w:right="1417" w:bottom="1134" w:left="1417" w:header="709" w:footer="709" w:gutter="0"/>
          <w:pgNumType w:start="2"/>
          <w:cols w:space="720"/>
          <w:docGrid w:linePitch="360"/>
        </w:sectPr>
      </w:pPr>
    </w:p>
    <w:p w:rsidR="003B6E8C" w:rsidRDefault="004678FF">
      <w:pPr>
        <w:pStyle w:val="Standardtext"/>
        <w:jc w:val="center"/>
        <w:rPr>
          <w:noProof/>
        </w:rPr>
      </w:pPr>
      <w:r>
        <w:rPr>
          <w:noProof/>
        </w:rPr>
        <w:t xml:space="preserve"> </w:t>
      </w:r>
      <w:r>
        <w:rPr>
          <w:noProof/>
          <w:lang w:eastAsia="en-GB"/>
        </w:rPr>
        <w:drawing>
          <wp:inline distT="0" distB="0" distL="0" distR="0">
            <wp:extent cx="7946572" cy="5174830"/>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944349" cy="5173383"/>
                    </a:xfrm>
                    <a:prstGeom prst="rect">
                      <a:avLst/>
                    </a:prstGeom>
                    <a:noFill/>
                    <a:ln>
                      <a:noFill/>
                    </a:ln>
                  </pic:spPr>
                </pic:pic>
              </a:graphicData>
            </a:graphic>
          </wp:inline>
        </w:drawing>
      </w:r>
    </w:p>
    <w:p w:rsidR="003B6E8C" w:rsidRDefault="004678FF">
      <w:pPr>
        <w:pStyle w:val="Caption"/>
        <w:rPr>
          <w:noProof/>
        </w:rPr>
        <w:sectPr w:rsidR="003B6E8C" w:rsidSect="004678FF">
          <w:headerReference w:type="even" r:id="rId29"/>
          <w:headerReference w:type="default" r:id="rId30"/>
          <w:footerReference w:type="even" r:id="rId31"/>
          <w:footerReference w:type="default" r:id="rId32"/>
          <w:headerReference w:type="first" r:id="rId33"/>
          <w:footerReference w:type="first" r:id="rId34"/>
          <w:pgSz w:w="16838" w:h="11906" w:orient="landscape"/>
          <w:pgMar w:top="1417" w:right="1134" w:bottom="1417" w:left="1134" w:header="709" w:footer="709" w:gutter="0"/>
          <w:pgNumType w:start="10"/>
          <w:cols w:space="720"/>
          <w:docGrid w:linePitch="360"/>
        </w:sectPr>
      </w:pPr>
      <w:bookmarkStart w:id="14" w:name="_Ref469424240"/>
      <w:r>
        <w:rPr>
          <w:noProof/>
        </w:rP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14"/>
      <w:r>
        <w:rPr>
          <w:noProof/>
        </w:rPr>
        <w:t>: Overview of Member States' progress towards 2020 targets in renewable energy (source: Öko-Institut, EUROSTAT)</w:t>
      </w:r>
    </w:p>
    <w:p w:rsidR="003B6E8C" w:rsidRDefault="004678FF">
      <w:pPr>
        <w:pStyle w:val="Heading1"/>
        <w:rPr>
          <w:noProof/>
          <w:lang w:val="en-US"/>
        </w:rPr>
      </w:pPr>
      <w:r>
        <w:rPr>
          <w:noProof/>
        </w:rPr>
        <w:t xml:space="preserve">2. </w:t>
      </w:r>
      <w:r>
        <w:rPr>
          <w:noProof/>
          <w:lang w:val="en-US"/>
        </w:rPr>
        <w:t xml:space="preserve">OVERVIEW OF ADMINISTRATIVE PROCEDURES </w:t>
      </w:r>
    </w:p>
    <w:p w:rsidR="003B6E8C" w:rsidRDefault="004678FF">
      <w:pPr>
        <w:spacing w:after="180" w:line="280" w:lineRule="atLeast"/>
        <w:jc w:val="both"/>
        <w:rPr>
          <w:rFonts w:ascii="Times New Roman" w:hAnsi="Times New Roman" w:cs="Times New Roman"/>
          <w:bCs/>
          <w:noProof/>
          <w:sz w:val="24"/>
          <w:szCs w:val="24"/>
          <w:lang w:val="en-US"/>
        </w:rPr>
      </w:pPr>
      <w:r>
        <w:rPr>
          <w:rFonts w:ascii="Times New Roman" w:hAnsi="Times New Roman" w:cs="Times New Roman"/>
          <w:bCs/>
          <w:noProof/>
          <w:sz w:val="24"/>
          <w:szCs w:val="24"/>
          <w:lang w:val="en-US"/>
        </w:rPr>
        <w:t>Administrative</w:t>
      </w:r>
      <w:r>
        <w:rPr>
          <w:rFonts w:ascii="Times New Roman" w:hAnsi="Times New Roman" w:cs="Times New Roman"/>
          <w:bCs/>
          <w:noProof/>
          <w:sz w:val="24"/>
          <w:szCs w:val="24"/>
        </w:rPr>
        <w:t xml:space="preserve"> barriers entail additional development costs stemming from uncertainty, which especially impacts renewable projects with higher capital costs compared to conventional energy projects. Such barriers c</w:t>
      </w:r>
      <w:r>
        <w:rPr>
          <w:rFonts w:ascii="Times New Roman" w:hAnsi="Times New Roman" w:cs="Times New Roman"/>
          <w:bCs/>
          <w:noProof/>
          <w:sz w:val="24"/>
          <w:szCs w:val="24"/>
        </w:rPr>
        <w:t>an lead to delays in deployment or even prevent projects from being realised.</w:t>
      </w:r>
      <w:r>
        <w:rPr>
          <w:rFonts w:ascii="Times New Roman" w:hAnsi="Times New Roman" w:cs="Times New Roman"/>
          <w:bCs/>
          <w:noProof/>
          <w:sz w:val="24"/>
          <w:szCs w:val="24"/>
          <w:lang w:val="en-US"/>
        </w:rPr>
        <w:t xml:space="preserve"> W</w:t>
      </w:r>
      <w:r>
        <w:rPr>
          <w:rFonts w:ascii="Times New Roman" w:hAnsi="Times New Roman" w:cs="Times New Roman"/>
          <w:bCs/>
          <w:noProof/>
          <w:sz w:val="24"/>
          <w:szCs w:val="24"/>
        </w:rPr>
        <w:t>ith rapidly decreasing technology costs, administrative procedures are proportionally gaining weight in the overall cost of renewable projects</w:t>
      </w:r>
      <w:r>
        <w:rPr>
          <w:rStyle w:val="FootnoteReference"/>
          <w:rFonts w:ascii="Times New Roman" w:hAnsi="Times New Roman" w:cs="Times New Roman"/>
          <w:bCs/>
          <w:noProof/>
          <w:lang w:val="en-US"/>
        </w:rPr>
        <w:footnoteReference w:id="25"/>
      </w:r>
      <w:r>
        <w:rPr>
          <w:rFonts w:ascii="Times New Roman" w:hAnsi="Times New Roman" w:cs="Times New Roman"/>
          <w:bCs/>
          <w:noProof/>
          <w:sz w:val="24"/>
          <w:szCs w:val="24"/>
        </w:rPr>
        <w:t xml:space="preserve">. </w:t>
      </w:r>
      <w:r>
        <w:rPr>
          <w:rFonts w:ascii="Times New Roman" w:hAnsi="Times New Roman" w:cs="Times New Roman"/>
          <w:bCs/>
          <w:noProof/>
          <w:sz w:val="24"/>
          <w:szCs w:val="24"/>
          <w:lang w:val="en-US"/>
        </w:rPr>
        <w:t>The Renewable Energy Directive r</w:t>
      </w:r>
      <w:r>
        <w:rPr>
          <w:rFonts w:ascii="Times New Roman" w:hAnsi="Times New Roman" w:cs="Times New Roman"/>
          <w:bCs/>
          <w:noProof/>
          <w:sz w:val="24"/>
          <w:szCs w:val="24"/>
          <w:lang w:val="en-US"/>
        </w:rPr>
        <w:t>equires Member States’ permitting procedures for renewable energy projects to be proportionate and necessary. It also includes the obligation for Member States to outline, in their first progress report, whether they intended to (i) establish a single admi</w:t>
      </w:r>
      <w:r>
        <w:rPr>
          <w:rFonts w:ascii="Times New Roman" w:hAnsi="Times New Roman" w:cs="Times New Roman"/>
          <w:bCs/>
          <w:noProof/>
          <w:sz w:val="24"/>
          <w:szCs w:val="24"/>
          <w:lang w:val="en-US"/>
        </w:rPr>
        <w:t xml:space="preserve">nistrative body for applications for renewable energy installations; (ii) provide for automatic approval of permit applications where the authorizing body has not responded within the set time limits; (iii) and indicate geographical locations suitable for </w:t>
      </w:r>
      <w:r>
        <w:rPr>
          <w:rFonts w:ascii="Times New Roman" w:hAnsi="Times New Roman" w:cs="Times New Roman"/>
          <w:bCs/>
          <w:noProof/>
          <w:sz w:val="24"/>
          <w:szCs w:val="24"/>
          <w:lang w:val="en-US"/>
        </w:rPr>
        <w:t xml:space="preserve">exploitation of energy from renewable sources. </w:t>
      </w:r>
    </w:p>
    <w:p w:rsidR="003B6E8C" w:rsidRDefault="004678FF">
      <w:pPr>
        <w:spacing w:after="180" w:line="280" w:lineRule="atLeast"/>
        <w:jc w:val="both"/>
        <w:rPr>
          <w:rFonts w:ascii="Times New Roman" w:hAnsi="Times New Roman" w:cs="Times New Roman"/>
          <w:bCs/>
          <w:noProof/>
          <w:sz w:val="24"/>
          <w:szCs w:val="24"/>
          <w:lang w:val="en-US"/>
        </w:rPr>
      </w:pPr>
      <w:r>
        <w:rPr>
          <w:rFonts w:ascii="Times New Roman" w:hAnsi="Times New Roman" w:cs="Times New Roman"/>
          <w:bCs/>
          <w:noProof/>
          <w:sz w:val="24"/>
          <w:szCs w:val="24"/>
          <w:lang w:val="en-US"/>
        </w:rPr>
        <w:t>Member States have made progress on reducing administrative burden since the entry into force of the Renewable Energy Directive. The majority of them have established maximum time limits for permitting proced</w:t>
      </w:r>
      <w:r>
        <w:rPr>
          <w:rFonts w:ascii="Times New Roman" w:hAnsi="Times New Roman" w:cs="Times New Roman"/>
          <w:bCs/>
          <w:noProof/>
          <w:sz w:val="24"/>
          <w:szCs w:val="24"/>
          <w:lang w:val="en-US"/>
        </w:rPr>
        <w:t>ures as well as facilitated procedures for small-scale projects, and most of them identify geographical sites for renewable projects. Furthermore, an increasing number of Member States offer project developers the possibility to submit online applications.</w:t>
      </w:r>
      <w:r>
        <w:rPr>
          <w:rFonts w:ascii="Times New Roman" w:hAnsi="Times New Roman" w:cs="Times New Roman"/>
          <w:bCs/>
          <w:noProof/>
          <w:sz w:val="24"/>
          <w:szCs w:val="24"/>
          <w:lang w:val="en-US"/>
        </w:rPr>
        <w:t xml:space="preserve"> However, as shown in </w:t>
      </w:r>
      <w:r>
        <w:rPr>
          <w:rFonts w:ascii="Times New Roman" w:hAnsi="Times New Roman" w:cs="Times New Roman"/>
          <w:bCs/>
          <w:noProof/>
          <w:sz w:val="24"/>
          <w:szCs w:val="24"/>
          <w:lang w:val="en-US"/>
        </w:rPr>
        <w:fldChar w:fldCharType="begin"/>
      </w:r>
      <w:r>
        <w:rPr>
          <w:rFonts w:ascii="Times New Roman" w:hAnsi="Times New Roman" w:cs="Times New Roman"/>
          <w:bCs/>
          <w:noProof/>
          <w:sz w:val="24"/>
          <w:szCs w:val="24"/>
          <w:lang w:val="en-US"/>
        </w:rPr>
        <w:instrText xml:space="preserve"> REF _Ref469751663 \h  \* MERGEFORMAT </w:instrText>
      </w:r>
      <w:r>
        <w:rPr>
          <w:rFonts w:ascii="Times New Roman" w:hAnsi="Times New Roman" w:cs="Times New Roman"/>
          <w:bCs/>
          <w:noProof/>
          <w:sz w:val="24"/>
          <w:szCs w:val="24"/>
          <w:lang w:val="en-US"/>
        </w:rPr>
      </w:r>
      <w:r>
        <w:rPr>
          <w:rFonts w:ascii="Times New Roman" w:hAnsi="Times New Roman" w:cs="Times New Roman"/>
          <w:bCs/>
          <w:noProof/>
          <w:sz w:val="24"/>
          <w:szCs w:val="24"/>
          <w:lang w:val="en-US"/>
        </w:rPr>
        <w:fldChar w:fldCharType="separate"/>
      </w:r>
      <w:r>
        <w:rPr>
          <w:rFonts w:ascii="Times New Roman" w:hAnsi="Times New Roman" w:cs="Times New Roman"/>
          <w:noProof/>
          <w:sz w:val="24"/>
          <w:szCs w:val="24"/>
        </w:rPr>
        <w:t>Figure 7</w:t>
      </w:r>
      <w:r>
        <w:rPr>
          <w:rFonts w:ascii="Times New Roman" w:hAnsi="Times New Roman" w:cs="Times New Roman"/>
          <w:bCs/>
          <w:noProof/>
          <w:sz w:val="24"/>
          <w:szCs w:val="24"/>
          <w:lang w:val="en-US"/>
        </w:rPr>
        <w:fldChar w:fldCharType="end"/>
      </w:r>
      <w:r>
        <w:rPr>
          <w:rFonts w:ascii="Times New Roman" w:hAnsi="Times New Roman" w:cs="Times New Roman"/>
          <w:bCs/>
          <w:noProof/>
          <w:sz w:val="24"/>
          <w:szCs w:val="24"/>
          <w:lang w:val="en-US"/>
        </w:rPr>
        <w:t>, barriers remain, e.g. for one-stop shops or automatic permission granting after the deadline.</w:t>
      </w:r>
    </w:p>
    <w:p w:rsidR="003B6E8C" w:rsidRDefault="004678FF">
      <w:pPr>
        <w:spacing w:after="180" w:line="280" w:lineRule="atLeast"/>
        <w:jc w:val="both"/>
        <w:rPr>
          <w:rFonts w:ascii="Times New Roman" w:hAnsi="Times New Roman" w:cs="Times New Roman"/>
          <w:bCs/>
          <w:noProof/>
          <w:sz w:val="24"/>
          <w:szCs w:val="24"/>
          <w:lang w:val="en-US"/>
        </w:rPr>
      </w:pPr>
      <w:r>
        <w:rPr>
          <w:rFonts w:ascii="Times New Roman" w:hAnsi="Times New Roman" w:cs="Times New Roman"/>
          <w:bCs/>
          <w:noProof/>
          <w:sz w:val="24"/>
          <w:szCs w:val="24"/>
          <w:lang w:val="en-US"/>
        </w:rPr>
        <w:t>In comparison to 2012, i</w:t>
      </w:r>
      <w:r>
        <w:rPr>
          <w:rFonts w:ascii="Times New Roman" w:hAnsi="Times New Roman" w:cs="Times New Roman"/>
          <w:bCs/>
          <w:noProof/>
          <w:sz w:val="24"/>
          <w:szCs w:val="24"/>
          <w:lang w:val="en-US"/>
        </w:rPr>
        <w:t>n 2014 the situation hardly changed regarding the implementation of a one-stop shop. Only a few countries like France, Belgium and Luxemburg adopted this measure. A slight improvement took also place regarding online applications, which Austria and Bulgari</w:t>
      </w:r>
      <w:r>
        <w:rPr>
          <w:rFonts w:ascii="Times New Roman" w:hAnsi="Times New Roman" w:cs="Times New Roman"/>
          <w:bCs/>
          <w:noProof/>
          <w:sz w:val="24"/>
          <w:szCs w:val="24"/>
          <w:lang w:val="en-US"/>
        </w:rPr>
        <w:t>a started to implement. Furthermore, the application of maximum time limits did extend to almost all Member States. However, the number of Member States applying facilitated procedures for small scale projects decreased. Table 2 provides a comprehensive ov</w:t>
      </w:r>
      <w:r>
        <w:rPr>
          <w:rFonts w:ascii="Times New Roman" w:hAnsi="Times New Roman" w:cs="Times New Roman"/>
          <w:bCs/>
          <w:noProof/>
          <w:sz w:val="24"/>
          <w:szCs w:val="24"/>
          <w:lang w:val="en-US"/>
        </w:rPr>
        <w:t>erview of facilitated procedures at Member State level.</w:t>
      </w:r>
    </w:p>
    <w:p w:rsidR="003B6E8C" w:rsidRDefault="004678FF">
      <w:pPr>
        <w:keepNext/>
        <w:spacing w:after="0" w:line="280" w:lineRule="atLeast"/>
        <w:jc w:val="center"/>
        <w:rPr>
          <w:noProof/>
        </w:rPr>
      </w:pPr>
      <w:r>
        <w:rPr>
          <w:noProof/>
          <w:lang w:eastAsia="en-GB"/>
        </w:rPr>
        <w:drawing>
          <wp:inline distT="0" distB="0" distL="0" distR="0">
            <wp:extent cx="5462270" cy="2036445"/>
            <wp:effectExtent l="0" t="0" r="508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62270" cy="2036445"/>
                    </a:xfrm>
                    <a:prstGeom prst="rect">
                      <a:avLst/>
                    </a:prstGeom>
                    <a:noFill/>
                  </pic:spPr>
                </pic:pic>
              </a:graphicData>
            </a:graphic>
          </wp:inline>
        </w:drawing>
      </w:r>
    </w:p>
    <w:p w:rsidR="003B6E8C" w:rsidRDefault="004678FF">
      <w:pPr>
        <w:pStyle w:val="Caption"/>
        <w:ind w:hanging="2297"/>
        <w:rPr>
          <w:bCs w:val="0"/>
          <w:noProof/>
          <w:sz w:val="24"/>
          <w:szCs w:val="24"/>
          <w:lang w:val="en-US"/>
        </w:rPr>
      </w:pPr>
      <w:bookmarkStart w:id="15" w:name="_Ref469751663"/>
      <w:bookmarkStart w:id="16" w:name="_Ref469751660"/>
      <w:r>
        <w:rPr>
          <w:noProof/>
        </w:rPr>
        <w:t xml:space="preserve">Figure </w:t>
      </w:r>
      <w:r>
        <w:rPr>
          <w:noProof/>
        </w:rPr>
        <w:fldChar w:fldCharType="begin"/>
      </w:r>
      <w:r>
        <w:rPr>
          <w:noProof/>
        </w:rPr>
        <w:instrText xml:space="preserve"> SEQ Figure \* ARABIC </w:instrText>
      </w:r>
      <w:r>
        <w:rPr>
          <w:noProof/>
        </w:rPr>
        <w:fldChar w:fldCharType="separate"/>
      </w:r>
      <w:r>
        <w:rPr>
          <w:noProof/>
        </w:rPr>
        <w:t>7</w:t>
      </w:r>
      <w:r>
        <w:rPr>
          <w:noProof/>
        </w:rPr>
        <w:fldChar w:fldCharType="end"/>
      </w:r>
      <w:bookmarkEnd w:id="15"/>
      <w:r>
        <w:rPr>
          <w:noProof/>
        </w:rPr>
        <w:t>: Administrative barriers in the EU in 2014 (number of Member States concerned) (source: Öko-Institut)</w:t>
      </w:r>
      <w:bookmarkEnd w:id="16"/>
    </w:p>
    <w:p w:rsidR="003B6E8C" w:rsidRDefault="004678FF">
      <w:pPr>
        <w:spacing w:after="180" w:line="280" w:lineRule="atLeast"/>
        <w:jc w:val="both"/>
        <w:rPr>
          <w:rFonts w:ascii="Times New Roman" w:hAnsi="Times New Roman" w:cs="Times New Roman"/>
          <w:bCs/>
          <w:noProof/>
          <w:sz w:val="24"/>
          <w:szCs w:val="24"/>
          <w:lang w:val="en-US"/>
        </w:rPr>
        <w:sectPr w:rsidR="003B6E8C" w:rsidSect="004678FF">
          <w:headerReference w:type="even" r:id="rId36"/>
          <w:headerReference w:type="default" r:id="rId37"/>
          <w:footerReference w:type="even" r:id="rId38"/>
          <w:footerReference w:type="default" r:id="rId39"/>
          <w:headerReference w:type="first" r:id="rId40"/>
          <w:footerReference w:type="first" r:id="rId41"/>
          <w:pgSz w:w="11906" w:h="16838"/>
          <w:pgMar w:top="1134" w:right="1417" w:bottom="1134" w:left="1417" w:header="709" w:footer="709" w:gutter="0"/>
          <w:pgNumType w:start="11"/>
          <w:cols w:space="720"/>
          <w:docGrid w:linePitch="360"/>
        </w:sectPr>
      </w:pPr>
      <w:r>
        <w:rPr>
          <w:noProof/>
          <w:lang w:val="en-US"/>
        </w:rPr>
        <w:br w:type="page"/>
      </w:r>
    </w:p>
    <w:p w:rsidR="003B6E8C" w:rsidRDefault="004678FF">
      <w:pPr>
        <w:keepNext/>
        <w:spacing w:after="180" w:line="280" w:lineRule="atLeast"/>
        <w:jc w:val="center"/>
        <w:rPr>
          <w:noProof/>
        </w:rPr>
      </w:pPr>
      <w:r>
        <w:rPr>
          <w:noProof/>
          <w:lang w:eastAsia="en-GB"/>
        </w:rPr>
        <w:drawing>
          <wp:inline distT="0" distB="0" distL="0" distR="0">
            <wp:extent cx="8336280" cy="4865218"/>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335134" cy="4864549"/>
                    </a:xfrm>
                    <a:prstGeom prst="rect">
                      <a:avLst/>
                    </a:prstGeom>
                    <a:noFill/>
                    <a:ln>
                      <a:noFill/>
                    </a:ln>
                  </pic:spPr>
                </pic:pic>
              </a:graphicData>
            </a:graphic>
          </wp:inline>
        </w:drawing>
      </w:r>
    </w:p>
    <w:p w:rsidR="003B6E8C" w:rsidRDefault="004678FF">
      <w:pPr>
        <w:pStyle w:val="Caption"/>
        <w:rPr>
          <w:noProof/>
          <w:lang w:val="en-US"/>
        </w:rPr>
      </w:pPr>
      <w:r>
        <w:rPr>
          <w:noProof/>
        </w:rP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Pr>
          <w:noProof/>
        </w:rPr>
        <w:t xml:space="preserve">: </w:t>
      </w:r>
      <w:r>
        <w:rPr>
          <w:noProof/>
          <w:lang w:val="en-US"/>
        </w:rPr>
        <w:t>State of play of the availability of facilitated administrative procedures in EU Member States in 2014 (source:</w:t>
      </w:r>
      <w:r>
        <w:rPr>
          <w:noProof/>
        </w:rPr>
        <w:t xml:space="preserve"> </w:t>
      </w:r>
      <w:r>
        <w:rPr>
          <w:noProof/>
          <w:lang w:val="en-US"/>
        </w:rPr>
        <w:t>Öko-Institut)</w:t>
      </w:r>
    </w:p>
    <w:p w:rsidR="003B6E8C" w:rsidRDefault="003B6E8C">
      <w:pPr>
        <w:spacing w:after="180" w:line="280" w:lineRule="atLeast"/>
        <w:jc w:val="both"/>
        <w:rPr>
          <w:rFonts w:ascii="Times New Roman" w:hAnsi="Times New Roman" w:cs="Times New Roman"/>
          <w:bCs/>
          <w:i/>
          <w:noProof/>
          <w:sz w:val="20"/>
          <w:szCs w:val="20"/>
          <w:lang w:val="en-US"/>
        </w:rPr>
      </w:pPr>
    </w:p>
    <w:p w:rsidR="003B6E8C" w:rsidRDefault="004678FF">
      <w:pPr>
        <w:spacing w:after="180" w:line="280" w:lineRule="atLeast"/>
        <w:jc w:val="both"/>
        <w:rPr>
          <w:rFonts w:ascii="Times New Roman" w:hAnsi="Times New Roman" w:cs="Times New Roman"/>
          <w:b/>
          <w:bCs/>
          <w:noProof/>
          <w:sz w:val="24"/>
          <w:szCs w:val="24"/>
          <w:lang w:val="en-US"/>
        </w:rPr>
        <w:sectPr w:rsidR="003B6E8C" w:rsidSect="004678FF">
          <w:headerReference w:type="even" r:id="rId43"/>
          <w:headerReference w:type="default" r:id="rId44"/>
          <w:footerReference w:type="even" r:id="rId45"/>
          <w:footerReference w:type="default" r:id="rId46"/>
          <w:headerReference w:type="first" r:id="rId47"/>
          <w:footerReference w:type="first" r:id="rId48"/>
          <w:pgSz w:w="16838" w:h="11906" w:orient="landscape"/>
          <w:pgMar w:top="1417" w:right="1134" w:bottom="1417" w:left="1134" w:header="709" w:footer="709" w:gutter="0"/>
          <w:pgNumType w:start="12"/>
          <w:cols w:space="720"/>
          <w:docGrid w:linePitch="360"/>
        </w:sectPr>
      </w:pPr>
      <w:r>
        <w:rPr>
          <w:rFonts w:ascii="Times New Roman" w:hAnsi="Times New Roman" w:cs="Times New Roman"/>
          <w:b/>
          <w:bCs/>
          <w:noProof/>
          <w:sz w:val="24"/>
          <w:szCs w:val="24"/>
          <w:lang w:val="en-US"/>
        </w:rPr>
        <w:br w:type="page"/>
      </w:r>
    </w:p>
    <w:p w:rsidR="003B6E8C" w:rsidRDefault="004678FF">
      <w:pPr>
        <w:pStyle w:val="Heading1"/>
        <w:rPr>
          <w:noProof/>
        </w:rPr>
      </w:pPr>
      <w:r>
        <w:rPr>
          <w:bCs/>
          <w:noProof/>
          <w:lang w:val="en-US"/>
        </w:rPr>
        <w:t xml:space="preserve">3. </w:t>
      </w:r>
      <w:r>
        <w:rPr>
          <w:noProof/>
        </w:rPr>
        <w:t xml:space="preserve">ASSESSMENT OF SUSTAINABILITY </w:t>
      </w:r>
      <w:r>
        <w:rPr>
          <w:noProof/>
        </w:rPr>
        <w:t>OF EU BIOFUELS</w:t>
      </w:r>
    </w:p>
    <w:p w:rsidR="003B6E8C" w:rsidRDefault="004678FF">
      <w:pPr>
        <w:pStyle w:val="Heading2"/>
        <w:numPr>
          <w:ilvl w:val="0"/>
          <w:numId w:val="3"/>
        </w:numPr>
        <w:rPr>
          <w:noProof/>
          <w:lang w:val="en-US"/>
        </w:rPr>
      </w:pPr>
      <w:r>
        <w:rPr>
          <w:noProof/>
          <w:lang w:val="en-US"/>
        </w:rPr>
        <w:t>GHG emission performance</w:t>
      </w:r>
    </w:p>
    <w:p w:rsidR="003B6E8C" w:rsidRDefault="004678FF">
      <w:pPr>
        <w:spacing w:after="180" w:line="280" w:lineRule="atLeast"/>
        <w:jc w:val="both"/>
        <w:rPr>
          <w:rFonts w:ascii="Times New Roman" w:hAnsi="Times New Roman" w:cs="Times New Roman"/>
          <w:bCs/>
          <w:noProof/>
          <w:sz w:val="24"/>
          <w:szCs w:val="24"/>
          <w:lang w:val="en-US"/>
        </w:rPr>
      </w:pPr>
      <w:r>
        <w:rPr>
          <w:rFonts w:ascii="Times New Roman" w:hAnsi="Times New Roman" w:cs="Times New Roman"/>
          <w:bCs/>
          <w:noProof/>
          <w:sz w:val="24"/>
          <w:szCs w:val="24"/>
          <w:lang w:val="en-US"/>
        </w:rPr>
        <w:t>The Member States reported net savings in greenhouse gas emissions resulting from the use of renewable energy in transport of around 35 Mt</w:t>
      </w:r>
      <w:r>
        <w:rPr>
          <w:rFonts w:ascii="Times New Roman" w:hAnsi="Times New Roman" w:cs="Times New Roman"/>
          <w:noProof/>
        </w:rPr>
        <w:t xml:space="preserve"> </w:t>
      </w:r>
      <w:r>
        <w:rPr>
          <w:rFonts w:ascii="Times New Roman" w:hAnsi="Times New Roman" w:cs="Times New Roman"/>
          <w:bCs/>
          <w:noProof/>
          <w:sz w:val="24"/>
          <w:szCs w:val="24"/>
          <w:lang w:val="en-US"/>
        </w:rPr>
        <w:t>CO</w:t>
      </w:r>
      <w:r>
        <w:rPr>
          <w:rFonts w:ascii="Times New Roman" w:hAnsi="Times New Roman" w:cs="Times New Roman"/>
          <w:bCs/>
          <w:noProof/>
          <w:sz w:val="24"/>
          <w:szCs w:val="24"/>
          <w:vertAlign w:val="subscript"/>
          <w:lang w:val="en-US"/>
        </w:rPr>
        <w:t>2</w:t>
      </w:r>
      <w:r>
        <w:rPr>
          <w:rFonts w:ascii="Times New Roman" w:hAnsi="Times New Roman" w:cs="Times New Roman"/>
          <w:bCs/>
          <w:noProof/>
          <w:sz w:val="24"/>
          <w:szCs w:val="24"/>
          <w:lang w:val="en-US"/>
        </w:rPr>
        <w:t>-equivalent in 2014.Most of these reported savings came from the use of bi</w:t>
      </w:r>
      <w:r>
        <w:rPr>
          <w:rFonts w:ascii="Times New Roman" w:hAnsi="Times New Roman" w:cs="Times New Roman"/>
          <w:bCs/>
          <w:noProof/>
          <w:sz w:val="24"/>
          <w:szCs w:val="24"/>
          <w:lang w:val="en-US"/>
        </w:rPr>
        <w:t xml:space="preserve">ofuels, with a small but growing role of renewable electricity. These savings cover only direct emissions and do not include emissions from Indirect Land Use Change (ILUC). </w:t>
      </w:r>
    </w:p>
    <w:p w:rsidR="003B6E8C" w:rsidRDefault="004678FF">
      <w:pPr>
        <w:spacing w:after="180" w:line="280" w:lineRule="atLeast"/>
        <w:jc w:val="both"/>
        <w:rPr>
          <w:rFonts w:ascii="Times New Roman" w:hAnsi="Times New Roman" w:cs="Times New Roman"/>
          <w:bCs/>
          <w:noProof/>
          <w:sz w:val="24"/>
          <w:szCs w:val="24"/>
        </w:rPr>
      </w:pPr>
      <w:r>
        <w:rPr>
          <w:rFonts w:ascii="Times New Roman" w:hAnsi="Times New Roman" w:cs="Times New Roman"/>
          <w:bCs/>
          <w:noProof/>
          <w:sz w:val="24"/>
          <w:szCs w:val="24"/>
          <w:lang w:val="en-US"/>
        </w:rPr>
        <w:t>ILUC emissions associated to biofuels consumed in the EU are estimated to be 23 Mt</w:t>
      </w:r>
      <w:r>
        <w:rPr>
          <w:rFonts w:ascii="Times New Roman" w:hAnsi="Times New Roman" w:cs="Times New Roman"/>
          <w:bCs/>
          <w:noProof/>
          <w:sz w:val="24"/>
          <w:szCs w:val="24"/>
          <w:lang w:val="en-US"/>
        </w:rPr>
        <w:t xml:space="preserve"> CO</w:t>
      </w:r>
      <w:r>
        <w:rPr>
          <w:rFonts w:ascii="Times New Roman" w:hAnsi="Times New Roman" w:cs="Times New Roman"/>
          <w:bCs/>
          <w:noProof/>
          <w:sz w:val="24"/>
          <w:szCs w:val="24"/>
          <w:vertAlign w:val="subscript"/>
          <w:lang w:val="en-US"/>
        </w:rPr>
        <w:t>2</w:t>
      </w:r>
      <w:r>
        <w:rPr>
          <w:rFonts w:ascii="Times New Roman" w:hAnsi="Times New Roman" w:cs="Times New Roman"/>
          <w:bCs/>
          <w:noProof/>
          <w:sz w:val="24"/>
          <w:szCs w:val="24"/>
          <w:lang w:val="en-US"/>
        </w:rPr>
        <w:t>-equivalent, leaving a net saving of 12 Mt CO</w:t>
      </w:r>
      <w:r>
        <w:rPr>
          <w:rFonts w:ascii="Times New Roman" w:hAnsi="Times New Roman" w:cs="Times New Roman"/>
          <w:bCs/>
          <w:noProof/>
          <w:sz w:val="24"/>
          <w:szCs w:val="24"/>
          <w:vertAlign w:val="subscript"/>
          <w:lang w:val="en-US"/>
        </w:rPr>
        <w:t>2</w:t>
      </w:r>
      <w:r>
        <w:rPr>
          <w:rFonts w:ascii="Times New Roman" w:hAnsi="Times New Roman" w:cs="Times New Roman"/>
          <w:bCs/>
          <w:noProof/>
          <w:sz w:val="24"/>
          <w:szCs w:val="24"/>
          <w:lang w:val="en-US"/>
        </w:rPr>
        <w:t>-equivalent</w:t>
      </w:r>
      <w:r>
        <w:rPr>
          <w:rFonts w:ascii="Times New Roman" w:hAnsi="Times New Roman" w:cs="Times New Roman"/>
          <w:bCs/>
          <w:noProof/>
          <w:sz w:val="24"/>
          <w:szCs w:val="24"/>
          <w:vertAlign w:val="superscript"/>
          <w:lang w:val="en-US"/>
        </w:rPr>
        <w:footnoteReference w:id="26"/>
      </w:r>
      <w:r>
        <w:rPr>
          <w:rFonts w:ascii="Times New Roman" w:hAnsi="Times New Roman" w:cs="Times New Roman"/>
          <w:bCs/>
          <w:noProof/>
          <w:sz w:val="24"/>
          <w:szCs w:val="24"/>
          <w:lang w:val="en-US"/>
        </w:rPr>
        <w:t>. Applying the associated sensitivity range as set out in Annex VIII of the Renewable Energy Directive, ILUC emissions would range between 14 and 28 Mt CO</w:t>
      </w:r>
      <w:r>
        <w:rPr>
          <w:rFonts w:ascii="Times New Roman" w:hAnsi="Times New Roman" w:cs="Times New Roman"/>
          <w:bCs/>
          <w:noProof/>
          <w:sz w:val="24"/>
          <w:szCs w:val="24"/>
          <w:vertAlign w:val="subscript"/>
          <w:lang w:val="en-US"/>
        </w:rPr>
        <w:t>2</w:t>
      </w:r>
      <w:r>
        <w:rPr>
          <w:rFonts w:ascii="Times New Roman" w:hAnsi="Times New Roman" w:cs="Times New Roman"/>
          <w:bCs/>
          <w:noProof/>
          <w:sz w:val="24"/>
          <w:szCs w:val="24"/>
          <w:lang w:val="en-US"/>
        </w:rPr>
        <w:t>-equivalent and the corresponding net s</w:t>
      </w:r>
      <w:r>
        <w:rPr>
          <w:rFonts w:ascii="Times New Roman" w:hAnsi="Times New Roman" w:cs="Times New Roman"/>
          <w:bCs/>
          <w:noProof/>
          <w:sz w:val="24"/>
          <w:szCs w:val="24"/>
          <w:lang w:val="en-US"/>
        </w:rPr>
        <w:t>avings between 7 and 21 Mt CO</w:t>
      </w:r>
      <w:r>
        <w:rPr>
          <w:rFonts w:ascii="Times New Roman" w:hAnsi="Times New Roman" w:cs="Times New Roman"/>
          <w:bCs/>
          <w:noProof/>
          <w:sz w:val="24"/>
          <w:szCs w:val="24"/>
          <w:vertAlign w:val="subscript"/>
          <w:lang w:val="en-US"/>
        </w:rPr>
        <w:t>2</w:t>
      </w:r>
      <w:r>
        <w:rPr>
          <w:rFonts w:ascii="Times New Roman" w:hAnsi="Times New Roman" w:cs="Times New Roman"/>
          <w:bCs/>
          <w:noProof/>
          <w:sz w:val="24"/>
          <w:szCs w:val="24"/>
          <w:lang w:val="en-US"/>
        </w:rPr>
        <w:t xml:space="preserve">-equivalent. </w:t>
      </w:r>
    </w:p>
    <w:p w:rsidR="003B6E8C" w:rsidRDefault="004678FF">
      <w:pPr>
        <w:spacing w:after="180" w:line="280" w:lineRule="atLeast"/>
        <w:jc w:val="both"/>
        <w:rPr>
          <w:rFonts w:ascii="Times New Roman" w:hAnsi="Times New Roman" w:cs="Times New Roman"/>
          <w:noProof/>
          <w:sz w:val="24"/>
          <w:lang w:val="en-US"/>
        </w:rPr>
      </w:pPr>
      <w:r>
        <w:rPr>
          <w:rFonts w:ascii="Times New Roman" w:hAnsi="Times New Roman" w:cs="Times New Roman"/>
          <w:noProof/>
          <w:sz w:val="24"/>
          <w:lang w:val="en-US"/>
        </w:rPr>
        <w:t>Recent modelling work</w:t>
      </w:r>
      <w:r>
        <w:rPr>
          <w:rStyle w:val="FootnoteReference"/>
          <w:rFonts w:ascii="Times New Roman" w:hAnsi="Times New Roman" w:cs="Times New Roman"/>
          <w:noProof/>
          <w:lang w:val="en-US"/>
        </w:rPr>
        <w:footnoteReference w:id="27"/>
      </w:r>
      <w:r>
        <w:rPr>
          <w:rFonts w:ascii="Times New Roman" w:hAnsi="Times New Roman" w:cs="Times New Roman"/>
          <w:noProof/>
          <w:sz w:val="24"/>
          <w:lang w:val="en-US"/>
        </w:rPr>
        <w:t xml:space="preserve"> of the ILUC impacts of individual biofuel feedstock confirms that ILUC emissions can be much higher for biofuels produced from vegetable oils compared to biofuels produced from starch or sugar. Advanced biofuels from non-food crops have generally very low</w:t>
      </w:r>
      <w:r>
        <w:rPr>
          <w:rFonts w:ascii="Times New Roman" w:hAnsi="Times New Roman" w:cs="Times New Roman"/>
          <w:noProof/>
          <w:sz w:val="24"/>
          <w:lang w:val="en-US"/>
        </w:rPr>
        <w:t xml:space="preserve"> or no ILUC emissions.</w:t>
      </w:r>
    </w:p>
    <w:p w:rsidR="003B6E8C" w:rsidRDefault="004678FF">
      <w:pPr>
        <w:pStyle w:val="Heading2"/>
        <w:numPr>
          <w:ilvl w:val="0"/>
          <w:numId w:val="3"/>
        </w:numPr>
        <w:rPr>
          <w:noProof/>
          <w:lang w:val="en-US"/>
        </w:rPr>
      </w:pPr>
      <w:r>
        <w:rPr>
          <w:noProof/>
          <w:lang w:val="en-US"/>
        </w:rPr>
        <w:t>Trade and main supplier countries</w:t>
      </w:r>
    </w:p>
    <w:p w:rsidR="003B6E8C" w:rsidRDefault="004678FF">
      <w:pPr>
        <w:spacing w:after="180" w:line="280" w:lineRule="atLeast"/>
        <w:jc w:val="both"/>
        <w:rPr>
          <w:rFonts w:ascii="Times New Roman" w:hAnsi="Times New Roman" w:cs="Times New Roman"/>
          <w:bCs/>
          <w:noProof/>
          <w:sz w:val="24"/>
          <w:szCs w:val="24"/>
          <w:lang w:val="en-US"/>
        </w:rPr>
      </w:pPr>
      <w:r>
        <w:rPr>
          <w:rFonts w:ascii="Times New Roman" w:hAnsi="Times New Roman" w:cs="Times New Roman"/>
          <w:bCs/>
          <w:noProof/>
          <w:sz w:val="24"/>
          <w:szCs w:val="24"/>
          <w:lang w:val="en-US"/>
        </w:rPr>
        <w:t xml:space="preserve">In 2014, around 10% of bioethanol and around 26% of biodiesel consumed in the EU was imported. The main exporting countries were Malaysia for biodiesel and </w:t>
      </w:r>
      <w:r>
        <w:rPr>
          <w:rFonts w:ascii="Times New Roman" w:hAnsi="Times New Roman" w:cs="Times New Roman"/>
          <w:bCs/>
          <w:noProof/>
          <w:sz w:val="24"/>
          <w:szCs w:val="24"/>
        </w:rPr>
        <w:t xml:space="preserve">Guatemala, Bolivia, Pakistan, Russia, Peru </w:t>
      </w:r>
      <w:r>
        <w:rPr>
          <w:rFonts w:ascii="Times New Roman" w:hAnsi="Times New Roman" w:cs="Times New Roman"/>
          <w:bCs/>
          <w:noProof/>
          <w:sz w:val="24"/>
          <w:szCs w:val="24"/>
        </w:rPr>
        <w:t>for bioethanol</w:t>
      </w:r>
      <w:r>
        <w:rPr>
          <w:rStyle w:val="FootnoteReference"/>
          <w:rFonts w:ascii="Times New Roman" w:hAnsi="Times New Roman" w:cs="Times New Roman"/>
          <w:bCs/>
          <w:noProof/>
          <w:lang w:val="en-US"/>
        </w:rPr>
        <w:footnoteReference w:id="28"/>
      </w:r>
      <w:r>
        <w:rPr>
          <w:rFonts w:ascii="Times New Roman" w:hAnsi="Times New Roman" w:cs="Times New Roman"/>
          <w:bCs/>
          <w:noProof/>
          <w:sz w:val="24"/>
          <w:szCs w:val="24"/>
        </w:rPr>
        <w:t>. Three</w:t>
      </w:r>
      <w:r>
        <w:rPr>
          <w:rFonts w:ascii="Times New Roman" w:hAnsi="Times New Roman" w:cs="Times New Roman"/>
          <w:bCs/>
          <w:noProof/>
          <w:sz w:val="24"/>
          <w:szCs w:val="24"/>
          <w:lang w:val="en-US"/>
        </w:rPr>
        <w:t xml:space="preserve"> of them</w:t>
      </w:r>
      <w:r>
        <w:rPr>
          <w:rStyle w:val="FootnoteReference"/>
          <w:rFonts w:ascii="Times New Roman" w:hAnsi="Times New Roman" w:cs="Times New Roman"/>
          <w:bCs/>
          <w:noProof/>
          <w:lang w:val="en-US"/>
        </w:rPr>
        <w:footnoteReference w:id="29"/>
      </w:r>
      <w:r>
        <w:rPr>
          <w:rFonts w:ascii="Times New Roman" w:hAnsi="Times New Roman" w:cs="Times New Roman"/>
          <w:bCs/>
          <w:noProof/>
          <w:sz w:val="24"/>
          <w:szCs w:val="24"/>
          <w:lang w:val="en-US"/>
        </w:rPr>
        <w:t xml:space="preserve"> participate in the EU Special Incentive Arrangement for Sustainable Development and Good Governance ("GSP+"). The first Report on the Generalized Scheme of Preferences for the period 2014-2015</w:t>
      </w:r>
      <w:r>
        <w:rPr>
          <w:rStyle w:val="FootnoteReference"/>
          <w:rFonts w:ascii="Times New Roman" w:hAnsi="Times New Roman" w:cs="Times New Roman"/>
          <w:bCs/>
          <w:noProof/>
          <w:lang w:val="en-US"/>
        </w:rPr>
        <w:footnoteReference w:id="30"/>
      </w:r>
      <w:r>
        <w:rPr>
          <w:rFonts w:ascii="Times New Roman" w:hAnsi="Times New Roman" w:cs="Times New Roman"/>
          <w:bCs/>
          <w:noProof/>
          <w:sz w:val="24"/>
          <w:szCs w:val="24"/>
          <w:lang w:val="en-US"/>
        </w:rPr>
        <w:t xml:space="preserve"> provides an analysis of the si</w:t>
      </w:r>
      <w:r>
        <w:rPr>
          <w:rFonts w:ascii="Times New Roman" w:hAnsi="Times New Roman" w:cs="Times New Roman"/>
          <w:bCs/>
          <w:noProof/>
          <w:sz w:val="24"/>
          <w:szCs w:val="24"/>
          <w:lang w:val="en-US"/>
        </w:rPr>
        <w:t xml:space="preserve">tuation on human and labor rights, environmental protection and good governance in these countries. In 2015, imports of bioethanol and biodiesel decreased with largest decrease of ethanol imports from GSP+ countries. </w:t>
      </w:r>
    </w:p>
    <w:p w:rsidR="003B6E8C" w:rsidRDefault="004678FF">
      <w:pPr>
        <w:spacing w:after="180" w:line="280" w:lineRule="atLeast"/>
        <w:jc w:val="both"/>
        <w:rPr>
          <w:rFonts w:ascii="Times New Roman" w:hAnsi="Times New Roman" w:cs="Times New Roman"/>
          <w:bCs/>
          <w:noProof/>
          <w:sz w:val="24"/>
          <w:szCs w:val="24"/>
          <w:lang w:val="en-US"/>
        </w:rPr>
      </w:pPr>
      <w:r>
        <w:rPr>
          <w:rFonts w:ascii="Times New Roman" w:hAnsi="Times New Roman" w:cs="Times New Roman"/>
          <w:bCs/>
          <w:noProof/>
          <w:sz w:val="24"/>
          <w:szCs w:val="24"/>
          <w:lang w:val="en-US"/>
        </w:rPr>
        <w:t xml:space="preserve">Data regarding the disaggregation by </w:t>
      </w:r>
      <w:r>
        <w:rPr>
          <w:rFonts w:ascii="Times New Roman" w:hAnsi="Times New Roman" w:cs="Times New Roman"/>
          <w:bCs/>
          <w:noProof/>
          <w:sz w:val="24"/>
          <w:szCs w:val="24"/>
          <w:lang w:val="en-US"/>
        </w:rPr>
        <w:t>feedstock for production of bioethanol and biodiesel consumed in the EU differs depending on information source</w:t>
      </w:r>
      <w:r>
        <w:rPr>
          <w:rFonts w:ascii="Times New Roman" w:hAnsi="Times New Roman" w:cs="Times New Roman"/>
          <w:bCs/>
          <w:noProof/>
          <w:sz w:val="24"/>
          <w:szCs w:val="24"/>
          <w:vertAlign w:val="superscript"/>
          <w:lang w:val="en-US"/>
        </w:rPr>
        <w:footnoteReference w:id="31"/>
      </w:r>
      <w:r>
        <w:rPr>
          <w:rFonts w:ascii="Times New Roman" w:hAnsi="Times New Roman" w:cs="Times New Roman"/>
          <w:bCs/>
          <w:noProof/>
          <w:sz w:val="24"/>
          <w:szCs w:val="24"/>
          <w:lang w:val="en-US"/>
        </w:rPr>
        <w:t xml:space="preserve">. All available sources however confirm that EU ethanol is mainly produced from wheat, maize and sugar beet, and that in 2014, more than 50% of </w:t>
      </w:r>
      <w:r>
        <w:rPr>
          <w:rFonts w:ascii="Times New Roman" w:hAnsi="Times New Roman" w:cs="Times New Roman"/>
          <w:bCs/>
          <w:noProof/>
          <w:sz w:val="24"/>
          <w:szCs w:val="24"/>
          <w:lang w:val="en-US"/>
        </w:rPr>
        <w:t>biodiesel consumed in the EU was produced from rapeseed while the use of waste oils and fats but also of palm oil has significantly increased since 2010</w:t>
      </w:r>
      <w:r>
        <w:rPr>
          <w:rStyle w:val="FootnoteReference"/>
          <w:rFonts w:ascii="Times New Roman" w:hAnsi="Times New Roman" w:cs="Times New Roman"/>
          <w:bCs/>
          <w:noProof/>
          <w:lang w:val="en-US"/>
        </w:rPr>
        <w:footnoteReference w:id="32"/>
      </w:r>
      <w:r>
        <w:rPr>
          <w:rFonts w:ascii="Times New Roman" w:hAnsi="Times New Roman" w:cs="Times New Roman"/>
          <w:bCs/>
          <w:noProof/>
          <w:sz w:val="24"/>
          <w:szCs w:val="24"/>
          <w:lang w:val="en-US"/>
        </w:rPr>
        <w:t>. In accordance with industry data, more than 60% of biodiesel and more than 90% of bioethanol consumed</w:t>
      </w:r>
      <w:r>
        <w:rPr>
          <w:rFonts w:ascii="Times New Roman" w:hAnsi="Times New Roman" w:cs="Times New Roman"/>
          <w:bCs/>
          <w:noProof/>
          <w:sz w:val="24"/>
          <w:szCs w:val="24"/>
          <w:lang w:val="en-US"/>
        </w:rPr>
        <w:t xml:space="preserve"> in the EU was produced from the EU feedstock</w:t>
      </w:r>
      <w:r>
        <w:rPr>
          <w:rStyle w:val="FootnoteReference"/>
          <w:rFonts w:ascii="Times New Roman" w:hAnsi="Times New Roman" w:cs="Times New Roman"/>
          <w:bCs/>
          <w:noProof/>
          <w:lang w:val="en-US"/>
        </w:rPr>
        <w:footnoteReference w:id="33"/>
      </w:r>
      <w:r>
        <w:rPr>
          <w:rFonts w:ascii="Times New Roman" w:hAnsi="Times New Roman" w:cs="Times New Roman"/>
          <w:bCs/>
          <w:noProof/>
          <w:sz w:val="24"/>
          <w:szCs w:val="24"/>
          <w:lang w:val="en-US"/>
        </w:rPr>
        <w:t>.</w:t>
      </w:r>
    </w:p>
    <w:p w:rsidR="003B6E8C" w:rsidRDefault="004678FF">
      <w:pPr>
        <w:spacing w:after="0" w:line="240" w:lineRule="auto"/>
        <w:jc w:val="both"/>
        <w:rPr>
          <w:rFonts w:ascii="Times New Roman" w:hAnsi="Times New Roman" w:cs="Times New Roman"/>
          <w:bCs/>
          <w:noProof/>
          <w:sz w:val="24"/>
          <w:szCs w:val="24"/>
          <w:lang w:val="en-US"/>
        </w:rPr>
      </w:pPr>
      <w:r>
        <w:rPr>
          <w:rFonts w:ascii="Times New Roman" w:hAnsi="Times New Roman" w:cs="Times New Roman"/>
          <w:bCs/>
          <w:noProof/>
          <w:sz w:val="24"/>
          <w:szCs w:val="24"/>
          <w:lang w:val="en-US"/>
        </w:rPr>
        <w:t>Non –EU bioethanol feedstock is imported from Ukraine (maize, wheat), Canada (wheat), Russia and Moldova (barley, ray), and Serbia (sugar beet).</w:t>
      </w:r>
      <w:r>
        <w:rPr>
          <w:rStyle w:val="FootnoteReference"/>
          <w:rFonts w:ascii="Times New Roman" w:hAnsi="Times New Roman" w:cs="Times New Roman"/>
          <w:bCs/>
          <w:noProof/>
          <w:lang w:val="en-US"/>
        </w:rPr>
        <w:footnoteReference w:id="34"/>
      </w:r>
      <w:r>
        <w:rPr>
          <w:rFonts w:ascii="Times New Roman" w:hAnsi="Times New Roman" w:cs="Times New Roman"/>
          <w:bCs/>
          <w:noProof/>
          <w:sz w:val="24"/>
          <w:szCs w:val="24"/>
          <w:lang w:val="en-US"/>
        </w:rPr>
        <w:t xml:space="preserve"> The largest exporters of biodiesel feedstock to the EU were In</w:t>
      </w:r>
      <w:r>
        <w:rPr>
          <w:rFonts w:ascii="Times New Roman" w:hAnsi="Times New Roman" w:cs="Times New Roman"/>
          <w:bCs/>
          <w:noProof/>
          <w:sz w:val="24"/>
          <w:szCs w:val="24"/>
          <w:lang w:val="en-US"/>
        </w:rPr>
        <w:t>donesia and Malaysia (palm oil), Brazil and the US (soybean)</w:t>
      </w:r>
      <w:r>
        <w:rPr>
          <w:rFonts w:ascii="Times New Roman" w:hAnsi="Times New Roman" w:cs="Times New Roman"/>
          <w:bCs/>
          <w:noProof/>
          <w:sz w:val="24"/>
          <w:szCs w:val="24"/>
          <w:vertAlign w:val="superscript"/>
          <w:lang w:val="en-US"/>
        </w:rPr>
        <w:footnoteReference w:id="35"/>
      </w:r>
      <w:r>
        <w:rPr>
          <w:rFonts w:ascii="Times New Roman" w:hAnsi="Times New Roman" w:cs="Times New Roman"/>
          <w:bCs/>
          <w:noProof/>
          <w:sz w:val="24"/>
          <w:szCs w:val="24"/>
          <w:lang w:val="en-US"/>
        </w:rPr>
        <w:t>. The majority of rapeseed oil is of EU origin</w:t>
      </w:r>
      <w:r>
        <w:rPr>
          <w:rStyle w:val="FootnoteReference"/>
          <w:rFonts w:ascii="Times New Roman" w:hAnsi="Times New Roman" w:cs="Times New Roman"/>
          <w:bCs/>
          <w:noProof/>
          <w:lang w:val="en-US"/>
        </w:rPr>
        <w:footnoteReference w:id="36"/>
      </w:r>
      <w:r>
        <w:rPr>
          <w:rFonts w:ascii="Times New Roman" w:hAnsi="Times New Roman" w:cs="Times New Roman"/>
          <w:bCs/>
          <w:noProof/>
          <w:sz w:val="24"/>
          <w:szCs w:val="24"/>
          <w:lang w:val="en-US"/>
        </w:rPr>
        <w:t>. Feedstock potential for advanced renewable fuels is very large, but production facilities at commercial scale are still limited.</w:t>
      </w:r>
    </w:p>
    <w:p w:rsidR="003B6E8C" w:rsidRDefault="003B6E8C">
      <w:pPr>
        <w:spacing w:after="0" w:line="240" w:lineRule="auto"/>
        <w:rPr>
          <w:rFonts w:ascii="Times New Roman" w:hAnsi="Times New Roman" w:cs="Times New Roman"/>
          <w:bCs/>
          <w:noProof/>
          <w:sz w:val="24"/>
          <w:szCs w:val="24"/>
          <w:lang w:val="en-US"/>
        </w:rPr>
      </w:pPr>
    </w:p>
    <w:p w:rsidR="003B6E8C" w:rsidRDefault="003B6E8C">
      <w:pPr>
        <w:keepNext/>
        <w:jc w:val="center"/>
        <w:rPr>
          <w:noProof/>
        </w:rPr>
      </w:pPr>
    </w:p>
    <w:p w:rsidR="003B6E8C" w:rsidRDefault="004678FF">
      <w:pPr>
        <w:keepNext/>
        <w:jc w:val="center"/>
        <w:rPr>
          <w:noProof/>
        </w:rPr>
      </w:pPr>
      <w:r>
        <w:rPr>
          <w:noProof/>
          <w:lang w:eastAsia="en-GB"/>
        </w:rPr>
        <w:drawing>
          <wp:inline distT="0" distB="0" distL="0" distR="0">
            <wp:extent cx="4276725" cy="3667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276725" cy="3667125"/>
                    </a:xfrm>
                    <a:prstGeom prst="rect">
                      <a:avLst/>
                    </a:prstGeom>
                    <a:noFill/>
                    <a:ln>
                      <a:noFill/>
                    </a:ln>
                  </pic:spPr>
                </pic:pic>
              </a:graphicData>
            </a:graphic>
          </wp:inline>
        </w:drawing>
      </w:r>
    </w:p>
    <w:p w:rsidR="003B6E8C" w:rsidRDefault="004678FF">
      <w:pPr>
        <w:pStyle w:val="Caption"/>
        <w:rPr>
          <w:noProof/>
        </w:rPr>
      </w:pPr>
      <w:r>
        <w:rPr>
          <w:noProof/>
        </w:rPr>
        <w:t xml:space="preserve">Table </w:t>
      </w:r>
      <w:r>
        <w:rPr>
          <w:noProof/>
        </w:rPr>
        <w:fldChar w:fldCharType="begin"/>
      </w:r>
      <w:r>
        <w:rPr>
          <w:noProof/>
        </w:rPr>
        <w:instrText xml:space="preserve"> SEQ Ta</w:instrText>
      </w:r>
      <w:r>
        <w:rPr>
          <w:noProof/>
        </w:rPr>
        <w:instrText xml:space="preserve">ble \* ARABIC </w:instrText>
      </w:r>
      <w:r>
        <w:rPr>
          <w:noProof/>
        </w:rPr>
        <w:fldChar w:fldCharType="separate"/>
      </w:r>
      <w:r>
        <w:rPr>
          <w:noProof/>
        </w:rPr>
        <w:t>3</w:t>
      </w:r>
      <w:r>
        <w:rPr>
          <w:noProof/>
        </w:rPr>
        <w:fldChar w:fldCharType="end"/>
      </w:r>
      <w:r>
        <w:rPr>
          <w:noProof/>
        </w:rPr>
        <w:t xml:space="preserve"> : Feedstock base of the EU-28 bioethanol and biodiesel production in 2014 (source: USDA FAS 2016)</w:t>
      </w:r>
    </w:p>
    <w:p w:rsidR="003B6E8C" w:rsidRDefault="004678FF">
      <w:pPr>
        <w:pStyle w:val="Heading2"/>
        <w:numPr>
          <w:ilvl w:val="0"/>
          <w:numId w:val="3"/>
        </w:numPr>
        <w:rPr>
          <w:noProof/>
          <w:lang w:val="en-US"/>
        </w:rPr>
      </w:pPr>
      <w:r>
        <w:rPr>
          <w:noProof/>
          <w:lang w:val="en-US"/>
        </w:rPr>
        <w:t>Land use and land use change</w:t>
      </w:r>
    </w:p>
    <w:p w:rsidR="003B6E8C" w:rsidRDefault="004678FF">
      <w:pPr>
        <w:spacing w:after="180" w:line="280" w:lineRule="atLeast"/>
        <w:jc w:val="both"/>
        <w:rPr>
          <w:rFonts w:ascii="Times New Roman" w:hAnsi="Times New Roman" w:cs="Times New Roman"/>
          <w:bCs/>
          <w:noProof/>
          <w:sz w:val="24"/>
          <w:szCs w:val="24"/>
          <w:lang w:val="en-US"/>
        </w:rPr>
      </w:pPr>
      <w:r>
        <w:rPr>
          <w:rFonts w:ascii="Times New Roman" w:hAnsi="Times New Roman" w:cs="Times New Roman"/>
          <w:bCs/>
          <w:noProof/>
          <w:sz w:val="24"/>
          <w:szCs w:val="24"/>
          <w:lang w:val="en-US"/>
        </w:rPr>
        <w:t xml:space="preserve">While the forest area, natural area and artificial area increased in the EU between 2000 and 2016, grassland </w:t>
      </w:r>
      <w:r>
        <w:rPr>
          <w:rFonts w:ascii="Times New Roman" w:hAnsi="Times New Roman" w:cs="Times New Roman"/>
          <w:bCs/>
          <w:noProof/>
          <w:sz w:val="24"/>
          <w:szCs w:val="24"/>
          <w:lang w:val="en-US"/>
        </w:rPr>
        <w:t>decreased. In 2015, the ratio of grassland to agricultural land declined by 2.01% as compared to the reference ratio calculated on the basis of 2005 data</w:t>
      </w:r>
      <w:r>
        <w:rPr>
          <w:rFonts w:ascii="Times New Roman" w:hAnsi="Times New Roman" w:cs="Times New Roman"/>
          <w:bCs/>
          <w:noProof/>
          <w:sz w:val="24"/>
          <w:szCs w:val="24"/>
          <w:vertAlign w:val="superscript"/>
          <w:lang w:val="en-US"/>
        </w:rPr>
        <w:footnoteReference w:id="37"/>
      </w:r>
      <w:r>
        <w:rPr>
          <w:rFonts w:ascii="Times New Roman" w:hAnsi="Times New Roman" w:cs="Times New Roman"/>
          <w:bCs/>
          <w:noProof/>
          <w:sz w:val="24"/>
          <w:szCs w:val="24"/>
          <w:lang w:val="en-US"/>
        </w:rPr>
        <w:t>. The loss of permanent grassland between 2006 and 2016 amounted to 3 Mha (-4.9%)</w:t>
      </w:r>
      <w:r>
        <w:rPr>
          <w:rFonts w:ascii="Times New Roman" w:hAnsi="Times New Roman" w:cs="Times New Roman"/>
          <w:bCs/>
          <w:noProof/>
          <w:sz w:val="24"/>
          <w:szCs w:val="24"/>
          <w:vertAlign w:val="superscript"/>
          <w:lang w:val="en-US"/>
        </w:rPr>
        <w:footnoteReference w:id="38"/>
      </w:r>
      <w:r>
        <w:rPr>
          <w:rFonts w:ascii="Times New Roman" w:hAnsi="Times New Roman" w:cs="Times New Roman"/>
          <w:bCs/>
          <w:noProof/>
          <w:sz w:val="24"/>
          <w:szCs w:val="24"/>
          <w:lang w:val="en-US"/>
        </w:rPr>
        <w:t xml:space="preserve">. While </w:t>
      </w:r>
      <w:r>
        <w:rPr>
          <w:rFonts w:ascii="Times New Roman" w:hAnsi="Times New Roman" w:cs="Times New Roman"/>
          <w:noProof/>
          <w:sz w:val="24"/>
        </w:rPr>
        <w:t>a direct cau</w:t>
      </w:r>
      <w:r>
        <w:rPr>
          <w:rFonts w:ascii="Times New Roman" w:hAnsi="Times New Roman" w:cs="Times New Roman"/>
          <w:noProof/>
          <w:sz w:val="24"/>
        </w:rPr>
        <w:t>sal relationship between the loss of grassland area and an increase in the area of cropland used for the production of biofuels could not be found in the Union as a whole, it has been reported by one Member State</w:t>
      </w:r>
      <w:r>
        <w:rPr>
          <w:rStyle w:val="FootnoteReference"/>
          <w:rFonts w:ascii="Times New Roman" w:hAnsi="Times New Roman" w:cs="Times New Roman"/>
          <w:noProof/>
        </w:rPr>
        <w:footnoteReference w:id="39"/>
      </w:r>
      <w:r>
        <w:rPr>
          <w:rFonts w:ascii="Times New Roman" w:hAnsi="Times New Roman" w:cs="Times New Roman"/>
          <w:noProof/>
          <w:sz w:val="24"/>
        </w:rPr>
        <w:t>.</w:t>
      </w:r>
    </w:p>
    <w:p w:rsidR="003B6E8C" w:rsidRDefault="004678FF">
      <w:pPr>
        <w:spacing w:after="180" w:line="280" w:lineRule="atLeast"/>
        <w:jc w:val="both"/>
        <w:rPr>
          <w:rFonts w:ascii="Times New Roman" w:hAnsi="Times New Roman" w:cs="Times New Roman"/>
          <w:noProof/>
          <w:sz w:val="24"/>
          <w:lang w:val="en-US"/>
        </w:rPr>
      </w:pPr>
      <w:r>
        <w:rPr>
          <w:rFonts w:ascii="Times New Roman" w:hAnsi="Times New Roman" w:cs="Times New Roman"/>
          <w:noProof/>
          <w:sz w:val="24"/>
          <w:lang w:val="en-US"/>
        </w:rPr>
        <w:t>The most recent ILUC modelling</w:t>
      </w:r>
      <w:r>
        <w:rPr>
          <w:rFonts w:ascii="Times New Roman" w:hAnsi="Times New Roman" w:cs="Times New Roman"/>
          <w:noProof/>
          <w:sz w:val="24"/>
          <w:vertAlign w:val="superscript"/>
          <w:lang w:val="en-US"/>
        </w:rPr>
        <w:footnoteReference w:id="40"/>
      </w:r>
      <w:r>
        <w:rPr>
          <w:rFonts w:ascii="Times New Roman" w:hAnsi="Times New Roman" w:cs="Times New Roman"/>
          <w:noProof/>
          <w:sz w:val="24"/>
        </w:rPr>
        <w:t xml:space="preserve"> </w:t>
      </w:r>
      <w:r>
        <w:rPr>
          <w:rFonts w:ascii="Times New Roman" w:hAnsi="Times New Roman" w:cs="Times New Roman"/>
          <w:noProof/>
          <w:sz w:val="24"/>
          <w:lang w:val="en-US"/>
        </w:rPr>
        <w:t>indicates</w:t>
      </w:r>
      <w:r>
        <w:rPr>
          <w:rFonts w:ascii="Times New Roman" w:hAnsi="Times New Roman" w:cs="Times New Roman"/>
          <w:noProof/>
          <w:sz w:val="24"/>
          <w:lang w:val="en-US"/>
        </w:rPr>
        <w:t xml:space="preserve"> that, by 2020, the EU biofuel policy could lead to an expansion of 1.8 Mha of cropland in the EU and to 0.6 Mha in the rest of the world, with 0.1 Mha at the expense of forest. Expansion of cropland at global level would occur at the expense of grassland </w:t>
      </w:r>
      <w:r>
        <w:rPr>
          <w:rFonts w:ascii="Times New Roman" w:hAnsi="Times New Roman" w:cs="Times New Roman"/>
          <w:noProof/>
          <w:sz w:val="24"/>
          <w:lang w:val="en-US"/>
        </w:rPr>
        <w:t>(-1.1 Mha), abandoned land (-0.9 Mha) and other natural vegetation (-0.4 Mha).</w:t>
      </w:r>
    </w:p>
    <w:p w:rsidR="003B6E8C" w:rsidRDefault="003B6E8C">
      <w:pPr>
        <w:spacing w:after="180" w:line="280" w:lineRule="atLeast"/>
        <w:jc w:val="both"/>
        <w:rPr>
          <w:rFonts w:ascii="Times New Roman" w:hAnsi="Times New Roman" w:cs="Times New Roman"/>
          <w:noProof/>
          <w:sz w:val="24"/>
          <w:lang w:val="en-US"/>
        </w:rPr>
      </w:pPr>
    </w:p>
    <w:p w:rsidR="003B6E8C" w:rsidRDefault="004678FF">
      <w:pPr>
        <w:pStyle w:val="Heading2"/>
        <w:numPr>
          <w:ilvl w:val="0"/>
          <w:numId w:val="3"/>
        </w:numPr>
        <w:rPr>
          <w:noProof/>
          <w:lang w:val="en-US"/>
        </w:rPr>
      </w:pPr>
      <w:r>
        <w:rPr>
          <w:noProof/>
          <w:lang w:val="en-US"/>
        </w:rPr>
        <w:t>Environment, economic and development issues</w:t>
      </w:r>
    </w:p>
    <w:p w:rsidR="003B6E8C" w:rsidRDefault="004678FF">
      <w:pPr>
        <w:spacing w:after="180" w:line="280" w:lineRule="atLeast"/>
        <w:jc w:val="both"/>
        <w:rPr>
          <w:rFonts w:ascii="Times New Roman" w:hAnsi="Times New Roman" w:cs="Times New Roman"/>
          <w:noProof/>
          <w:sz w:val="24"/>
        </w:rPr>
      </w:pPr>
      <w:r>
        <w:rPr>
          <w:rFonts w:ascii="Times New Roman" w:hAnsi="Times New Roman" w:cs="Times New Roman"/>
          <w:noProof/>
          <w:sz w:val="24"/>
          <w:lang w:val="en-US"/>
        </w:rPr>
        <w:t xml:space="preserve">No significant negative effects from the production of biofuels and bioliquids on biodiversity, water resources, water quality and </w:t>
      </w:r>
      <w:r>
        <w:rPr>
          <w:rFonts w:ascii="Times New Roman" w:hAnsi="Times New Roman" w:cs="Times New Roman"/>
          <w:noProof/>
          <w:sz w:val="24"/>
          <w:lang w:val="en-US"/>
        </w:rPr>
        <w:t>soil quality were found in the EU</w:t>
      </w:r>
      <w:r>
        <w:rPr>
          <w:rStyle w:val="FootnoteReference"/>
          <w:rFonts w:ascii="Times New Roman" w:hAnsi="Times New Roman" w:cs="Times New Roman"/>
          <w:noProof/>
          <w:lang w:val="en-US"/>
        </w:rPr>
        <w:footnoteReference w:id="41"/>
      </w:r>
      <w:r>
        <w:rPr>
          <w:rFonts w:ascii="Times New Roman" w:hAnsi="Times New Roman" w:cs="Times New Roman"/>
          <w:noProof/>
          <w:sz w:val="24"/>
          <w:lang w:val="en-US"/>
        </w:rPr>
        <w:t xml:space="preserve">. However, indirect land use change can cause biodiversity losses if additional land expansion takes place in sensitive </w:t>
      </w:r>
      <w:r>
        <w:rPr>
          <w:rFonts w:ascii="Times New Roman" w:hAnsi="Times New Roman" w:cs="Times New Roman"/>
          <w:noProof/>
          <w:sz w:val="24"/>
        </w:rPr>
        <w:t>areas, such as forests and highly biodiverse grassland.</w:t>
      </w:r>
    </w:p>
    <w:p w:rsidR="003B6E8C" w:rsidRDefault="004678FF">
      <w:pPr>
        <w:spacing w:after="180" w:line="280" w:lineRule="atLeast"/>
        <w:jc w:val="both"/>
        <w:rPr>
          <w:rFonts w:ascii="Times New Roman" w:hAnsi="Times New Roman" w:cs="Times New Roman"/>
          <w:noProof/>
          <w:sz w:val="24"/>
          <w:lang w:val="en-US"/>
        </w:rPr>
      </w:pPr>
      <w:r>
        <w:rPr>
          <w:rStyle w:val="Heading3Char"/>
          <w:i w:val="0"/>
          <w:noProof/>
        </w:rPr>
        <w:t>As regards</w:t>
      </w:r>
      <w:r>
        <w:rPr>
          <w:rFonts w:ascii="Times New Roman" w:hAnsi="Times New Roman" w:cs="Times New Roman"/>
          <w:noProof/>
          <w:sz w:val="24"/>
          <w:lang w:val="en-US"/>
        </w:rPr>
        <w:t xml:space="preserve"> </w:t>
      </w:r>
      <w:r>
        <w:rPr>
          <w:rFonts w:ascii="Times New Roman" w:hAnsi="Times New Roman" w:cs="Times New Roman"/>
          <w:b/>
          <w:noProof/>
          <w:sz w:val="24"/>
          <w:lang w:val="en-US"/>
        </w:rPr>
        <w:t>soil quality</w:t>
      </w:r>
      <w:r>
        <w:rPr>
          <w:rFonts w:ascii="Times New Roman" w:hAnsi="Times New Roman" w:cs="Times New Roman"/>
          <w:noProof/>
          <w:sz w:val="24"/>
          <w:lang w:val="en-US"/>
        </w:rPr>
        <w:t>, in the EU these risks</w:t>
      </w:r>
      <w:r>
        <w:rPr>
          <w:rFonts w:ascii="Times New Roman" w:hAnsi="Times New Roman" w:cs="Times New Roman"/>
          <w:noProof/>
          <w:sz w:val="24"/>
          <w:lang w:val="en-US"/>
        </w:rPr>
        <w:t xml:space="preserve"> are addressed by the Common Agricultural Policy and European and national environmental legislation. Concerning third countries, soil degradation could occur when biofuel expansion takes place on land which is not well-suited for agricultural use. Researc</w:t>
      </w:r>
      <w:r>
        <w:rPr>
          <w:rFonts w:ascii="Times New Roman" w:hAnsi="Times New Roman" w:cs="Times New Roman"/>
          <w:noProof/>
          <w:sz w:val="24"/>
          <w:lang w:val="en-US"/>
        </w:rPr>
        <w:t>h shows that a number of EU biofuel feedstock trading partners (e.g. Russia, Ukraine, Canada, Peru and Brazil) have cropland areas characterized by low suitability for cropping (irrespectively of the final use of crops), hence leading to soil impacts</w:t>
      </w:r>
      <w:r>
        <w:rPr>
          <w:rStyle w:val="FootnoteReference"/>
          <w:rFonts w:ascii="Times New Roman" w:hAnsi="Times New Roman" w:cs="Times New Roman"/>
          <w:noProof/>
          <w:lang w:val="en-US"/>
        </w:rPr>
        <w:footnoteReference w:id="42"/>
      </w:r>
      <w:r>
        <w:rPr>
          <w:rFonts w:ascii="Times New Roman" w:hAnsi="Times New Roman" w:cs="Times New Roman"/>
          <w:noProof/>
          <w:sz w:val="24"/>
          <w:lang w:val="en-US"/>
        </w:rPr>
        <w:t>.</w:t>
      </w:r>
    </w:p>
    <w:p w:rsidR="003B6E8C" w:rsidRDefault="004678FF">
      <w:pPr>
        <w:spacing w:after="180" w:line="280" w:lineRule="atLeast"/>
        <w:jc w:val="both"/>
        <w:rPr>
          <w:rFonts w:ascii="Times New Roman" w:hAnsi="Times New Roman" w:cs="Times New Roman"/>
          <w:noProof/>
          <w:sz w:val="24"/>
        </w:rPr>
      </w:pPr>
      <w:r>
        <w:rPr>
          <w:rFonts w:ascii="Times New Roman" w:hAnsi="Times New Roman"/>
          <w:noProof/>
          <w:sz w:val="24"/>
          <w:szCs w:val="24"/>
        </w:rPr>
        <w:t xml:space="preserve">No </w:t>
      </w:r>
      <w:r>
        <w:rPr>
          <w:rFonts w:ascii="Times New Roman" w:hAnsi="Times New Roman"/>
          <w:noProof/>
          <w:sz w:val="24"/>
          <w:szCs w:val="24"/>
        </w:rPr>
        <w:t xml:space="preserve">impacts of biofuel production on the availability of </w:t>
      </w:r>
      <w:r>
        <w:rPr>
          <w:rFonts w:ascii="Times New Roman" w:hAnsi="Times New Roman"/>
          <w:b/>
          <w:noProof/>
          <w:sz w:val="24"/>
          <w:szCs w:val="24"/>
        </w:rPr>
        <w:t>water</w:t>
      </w:r>
      <w:r>
        <w:rPr>
          <w:rFonts w:ascii="Times New Roman" w:hAnsi="Times New Roman"/>
          <w:noProof/>
          <w:sz w:val="24"/>
          <w:szCs w:val="24"/>
        </w:rPr>
        <w:t xml:space="preserve"> in the EU were reported. As regards water quality, Germany has reported negative impacts due to nitrates in areas </w:t>
      </w:r>
      <w:r>
        <w:rPr>
          <w:rFonts w:ascii="Times New Roman" w:hAnsi="Times New Roman"/>
          <w:bCs/>
          <w:noProof/>
          <w:sz w:val="24"/>
          <w:szCs w:val="24"/>
        </w:rPr>
        <w:t xml:space="preserve">with high livestock intensity and </w:t>
      </w:r>
      <w:r>
        <w:rPr>
          <w:rFonts w:ascii="Times New Roman" w:hAnsi="Times New Roman"/>
          <w:noProof/>
          <w:sz w:val="24"/>
          <w:szCs w:val="24"/>
        </w:rPr>
        <w:t>more than 50% of arable land used for maize produ</w:t>
      </w:r>
      <w:r>
        <w:rPr>
          <w:rFonts w:ascii="Times New Roman" w:hAnsi="Times New Roman"/>
          <w:noProof/>
          <w:sz w:val="24"/>
          <w:szCs w:val="24"/>
        </w:rPr>
        <w:t xml:space="preserve">ction for biogas, which however is mainly used for electricity generation. </w:t>
      </w:r>
      <w:r>
        <w:rPr>
          <w:rFonts w:ascii="Times New Roman" w:hAnsi="Times New Roman"/>
          <w:bCs/>
          <w:noProof/>
          <w:sz w:val="24"/>
          <w:szCs w:val="24"/>
        </w:rPr>
        <w:t>In third countries, no evidence of direct linkages between biofuel production and water stress were identified in the biofuel exporting partners to the EU.</w:t>
      </w:r>
    </w:p>
    <w:p w:rsidR="003B6E8C" w:rsidRDefault="004678FF">
      <w:pPr>
        <w:spacing w:after="180" w:line="280" w:lineRule="atLeast"/>
        <w:jc w:val="both"/>
        <w:rPr>
          <w:rFonts w:ascii="Times New Roman" w:hAnsi="Times New Roman" w:cs="Times New Roman"/>
          <w:noProof/>
          <w:sz w:val="24"/>
        </w:rPr>
      </w:pPr>
      <w:r>
        <w:rPr>
          <w:rStyle w:val="Heading3Char"/>
          <w:i w:val="0"/>
          <w:noProof/>
        </w:rPr>
        <w:t xml:space="preserve">Concerning </w:t>
      </w:r>
      <w:r>
        <w:rPr>
          <w:rStyle w:val="Heading3Char"/>
          <w:b/>
          <w:i w:val="0"/>
          <w:noProof/>
        </w:rPr>
        <w:t>food prices</w:t>
      </w:r>
      <w:r>
        <w:rPr>
          <w:rStyle w:val="Heading3Char"/>
          <w:i w:val="0"/>
          <w:noProof/>
        </w:rPr>
        <w:t>, i</w:t>
      </w:r>
      <w:r>
        <w:rPr>
          <w:rStyle w:val="Heading3Char"/>
          <w:i w:val="0"/>
          <w:noProof/>
        </w:rPr>
        <w:t xml:space="preserve">t should be noted that </w:t>
      </w:r>
      <w:r>
        <w:rPr>
          <w:rFonts w:ascii="Times New Roman" w:hAnsi="Times New Roman" w:cs="Times New Roman"/>
          <w:noProof/>
          <w:sz w:val="24"/>
        </w:rPr>
        <w:t>between 2012 and 2015, prices of agriculture commodities decreased. In 2015, the price of vegetable oils reached its lowest level since 2005 (in USD)</w:t>
      </w:r>
      <w:r>
        <w:rPr>
          <w:rStyle w:val="FootnoteReference"/>
          <w:rFonts w:ascii="Times New Roman" w:hAnsi="Times New Roman" w:cs="Times New Roman"/>
          <w:noProof/>
        </w:rPr>
        <w:footnoteReference w:id="43"/>
      </w:r>
      <w:r>
        <w:rPr>
          <w:rFonts w:ascii="Times New Roman" w:hAnsi="Times New Roman" w:cs="Times New Roman"/>
          <w:noProof/>
          <w:sz w:val="24"/>
        </w:rPr>
        <w:t xml:space="preserve">, while prices for oilseed based meals and cakes for feed increased. Lower biofuel </w:t>
      </w:r>
      <w:r>
        <w:rPr>
          <w:rFonts w:ascii="Times New Roman" w:hAnsi="Times New Roman" w:cs="Times New Roman"/>
          <w:noProof/>
          <w:sz w:val="24"/>
        </w:rPr>
        <w:t>demand for vegetable oils was among the factors contributing to the fall in oils/fats prices</w:t>
      </w:r>
      <w:r>
        <w:rPr>
          <w:rStyle w:val="FootnoteReference"/>
          <w:rFonts w:ascii="Times New Roman" w:hAnsi="Times New Roman" w:cs="Times New Roman"/>
          <w:noProof/>
        </w:rPr>
        <w:footnoteReference w:id="44"/>
      </w:r>
      <w:r>
        <w:rPr>
          <w:rFonts w:ascii="Times New Roman" w:hAnsi="Times New Roman" w:cs="Times New Roman"/>
          <w:noProof/>
          <w:sz w:val="24"/>
        </w:rPr>
        <w:t xml:space="preserve">. Other factors include: high supply and stocks of grains, substitution of meals with cereals, and low crude oil prices. </w:t>
      </w:r>
    </w:p>
    <w:p w:rsidR="003B6E8C" w:rsidRDefault="004678FF">
      <w:pPr>
        <w:spacing w:after="180" w:line="280" w:lineRule="atLeast"/>
        <w:jc w:val="both"/>
        <w:rPr>
          <w:rFonts w:ascii="Times New Roman" w:hAnsi="Times New Roman" w:cs="Times New Roman"/>
          <w:bCs/>
          <w:noProof/>
          <w:sz w:val="24"/>
          <w:szCs w:val="24"/>
          <w:lang w:val="en-US"/>
        </w:rPr>
      </w:pPr>
      <w:r>
        <w:rPr>
          <w:rFonts w:ascii="Times New Roman" w:hAnsi="Times New Roman" w:cs="Times New Roman"/>
          <w:noProof/>
          <w:sz w:val="24"/>
        </w:rPr>
        <w:t>The EU ethanol consumption had negligible</w:t>
      </w:r>
      <w:r>
        <w:rPr>
          <w:rFonts w:ascii="Times New Roman" w:hAnsi="Times New Roman" w:cs="Times New Roman"/>
          <w:noProof/>
          <w:sz w:val="24"/>
        </w:rPr>
        <w:t xml:space="preserve"> impact on cereal prices given that the EU share in the global ethanol market did not exceed 7%, and the global cereal market is driven mainly by demand for feed. </w:t>
      </w:r>
      <w:r>
        <w:rPr>
          <w:rFonts w:ascii="Times New Roman" w:hAnsi="Times New Roman" w:cs="Times New Roman"/>
          <w:bCs/>
          <w:noProof/>
          <w:sz w:val="24"/>
          <w:szCs w:val="24"/>
          <w:lang w:val="en-US"/>
        </w:rPr>
        <w:t xml:space="preserve">In the future, the strongest biofuel consumption growth is expected in developing countries, </w:t>
      </w:r>
      <w:r>
        <w:rPr>
          <w:rFonts w:ascii="Times New Roman" w:hAnsi="Times New Roman" w:cs="Times New Roman"/>
          <w:bCs/>
          <w:noProof/>
          <w:sz w:val="24"/>
          <w:szCs w:val="24"/>
          <w:lang w:val="en-US"/>
        </w:rPr>
        <w:t>while the increased demand for food and feed for a growing and more affluent population is projected to be mostly met through productivity gains, with yield improvements expected to account for about 80% of the increase in crop output</w:t>
      </w:r>
      <w:r>
        <w:rPr>
          <w:rStyle w:val="FootnoteReference"/>
          <w:rFonts w:ascii="Times New Roman" w:hAnsi="Times New Roman" w:cs="Times New Roman"/>
          <w:bCs/>
          <w:noProof/>
          <w:lang w:val="en-US"/>
        </w:rPr>
        <w:footnoteReference w:id="45"/>
      </w:r>
      <w:r>
        <w:rPr>
          <w:rFonts w:ascii="Times New Roman" w:hAnsi="Times New Roman" w:cs="Times New Roman"/>
          <w:bCs/>
          <w:noProof/>
          <w:sz w:val="24"/>
          <w:szCs w:val="24"/>
          <w:lang w:val="en-US"/>
        </w:rPr>
        <w:t>.</w:t>
      </w:r>
    </w:p>
    <w:p w:rsidR="003B6E8C" w:rsidRDefault="004678FF">
      <w:pPr>
        <w:jc w:val="both"/>
        <w:rPr>
          <w:rFonts w:ascii="Times New Roman" w:hAnsi="Times New Roman" w:cs="Times New Roman"/>
          <w:bCs/>
          <w:noProof/>
          <w:sz w:val="24"/>
          <w:szCs w:val="24"/>
        </w:rPr>
      </w:pPr>
      <w:r>
        <w:rPr>
          <w:rStyle w:val="Heading3Char"/>
          <w:i w:val="0"/>
          <w:noProof/>
        </w:rPr>
        <w:t xml:space="preserve">Regarding </w:t>
      </w:r>
      <w:r>
        <w:rPr>
          <w:rStyle w:val="Heading3Char"/>
          <w:b/>
          <w:i w:val="0"/>
          <w:noProof/>
        </w:rPr>
        <w:t xml:space="preserve">land use </w:t>
      </w:r>
      <w:r>
        <w:rPr>
          <w:rStyle w:val="Heading3Char"/>
          <w:b/>
          <w:i w:val="0"/>
          <w:noProof/>
        </w:rPr>
        <w:t>right</w:t>
      </w:r>
      <w:r>
        <w:rPr>
          <w:rStyle w:val="Heading3Char"/>
          <w:i w:val="0"/>
          <w:noProof/>
        </w:rPr>
        <w:t xml:space="preserve">, </w:t>
      </w:r>
      <w:r>
        <w:rPr>
          <w:rFonts w:ascii="Times New Roman" w:hAnsi="Times New Roman"/>
          <w:noProof/>
          <w:sz w:val="24"/>
        </w:rPr>
        <w:t>the most recent reports on large-scale land deals confirm the finding of the 2015 Commission progress report on renewable energy that only very small share of biofuel projects outside the EU have been developed with the EU market in mind. And many l</w:t>
      </w:r>
      <w:r>
        <w:rPr>
          <w:rFonts w:ascii="Times New Roman" w:hAnsi="Times New Roman"/>
          <w:noProof/>
          <w:sz w:val="24"/>
        </w:rPr>
        <w:t>and acquisition projects launched in early 2000s failed and did not materialise in real biofuel production projects.</w:t>
      </w:r>
      <w:r>
        <w:rPr>
          <w:rFonts w:ascii="Times New Roman" w:hAnsi="Times New Roman" w:cs="Times New Roman"/>
          <w:bCs/>
          <w:noProof/>
          <w:sz w:val="24"/>
          <w:szCs w:val="24"/>
        </w:rPr>
        <w:t xml:space="preserve"> </w:t>
      </w:r>
      <w:r>
        <w:rPr>
          <w:rFonts w:ascii="Times New Roman" w:hAnsi="Times New Roman" w:cs="Times New Roman"/>
          <w:noProof/>
          <w:sz w:val="24"/>
        </w:rPr>
        <w:t>The interest of investors was low in 2014 – 2015, with just over half (51%) of the acquired land left idle (67% in sub-Saharan Africa)</w:t>
      </w:r>
      <w:r>
        <w:rPr>
          <w:rStyle w:val="FootnoteReference"/>
          <w:rFonts w:ascii="Times New Roman" w:hAnsi="Times New Roman" w:cs="Times New Roman"/>
          <w:b/>
          <w:noProof/>
        </w:rPr>
        <w:footnoteReference w:id="46"/>
      </w:r>
      <w:r>
        <w:rPr>
          <w:rFonts w:ascii="Times New Roman" w:hAnsi="Times New Roman" w:cs="Times New Roman"/>
          <w:b/>
          <w:noProof/>
          <w:sz w:val="24"/>
        </w:rPr>
        <w:t xml:space="preserve">. </w:t>
      </w:r>
      <w:r>
        <w:rPr>
          <w:rFonts w:ascii="Times New Roman" w:hAnsi="Times New Roman" w:cs="Times New Roman"/>
          <w:noProof/>
          <w:sz w:val="24"/>
        </w:rPr>
        <w:t>Cl</w:t>
      </w:r>
      <w:r>
        <w:rPr>
          <w:rFonts w:ascii="Times New Roman" w:hAnsi="Times New Roman" w:cs="Times New Roman"/>
          <w:noProof/>
          <w:sz w:val="24"/>
        </w:rPr>
        <w:t>ear attribution of deals to biofuels is difficult as the agriculture crops may end up in the food chain depending on commodity prices at harvest time or other factors</w:t>
      </w:r>
      <w:r>
        <w:rPr>
          <w:rStyle w:val="FootnoteReference"/>
          <w:rFonts w:ascii="Times New Roman" w:hAnsi="Times New Roman" w:cs="Times New Roman"/>
          <w:noProof/>
        </w:rPr>
        <w:footnoteReference w:id="47"/>
      </w:r>
      <w:r>
        <w:rPr>
          <w:rFonts w:ascii="Times New Roman" w:hAnsi="Times New Roman" w:cs="Times New Roman"/>
          <w:noProof/>
          <w:sz w:val="24"/>
        </w:rPr>
        <w:t>. It should be also noted that, in order to address the concerns related to impacts on lo</w:t>
      </w:r>
      <w:r>
        <w:rPr>
          <w:rFonts w:ascii="Times New Roman" w:hAnsi="Times New Roman" w:cs="Times New Roman"/>
          <w:noProof/>
          <w:sz w:val="24"/>
        </w:rPr>
        <w:t>cal communities and land use rights in developing countries, the Food and Agriculture Organization (FAO) has adopted in 2012 the Guidelines on Responsible Governance of Tenure and in 2014 the Guidelines for Responsible Investments in Agriculture.</w:t>
      </w:r>
      <w:r>
        <w:rPr>
          <w:noProof/>
        </w:rPr>
        <w:t xml:space="preserve"> </w:t>
      </w:r>
      <w:r>
        <w:rPr>
          <w:rFonts w:ascii="Times New Roman" w:hAnsi="Times New Roman" w:cs="Times New Roman"/>
          <w:noProof/>
          <w:sz w:val="24"/>
        </w:rPr>
        <w:t>In develo</w:t>
      </w:r>
      <w:r>
        <w:rPr>
          <w:rFonts w:ascii="Times New Roman" w:hAnsi="Times New Roman" w:cs="Times New Roman"/>
          <w:noProof/>
          <w:sz w:val="24"/>
        </w:rPr>
        <w:t>ping countries, the multi-stakeholder EU sustainability certification schemes (e.g. ISCC, RSPO RED, RSB EU RED) cover also social, economic and environmental sustainability aspects that go beyond the EU mandatory sustainability criteria.</w:t>
      </w:r>
    </w:p>
    <w:p w:rsidR="003B6E8C" w:rsidRDefault="004678FF">
      <w:pPr>
        <w:shd w:val="clear" w:color="auto" w:fill="FFFFFF" w:themeFill="background1"/>
        <w:spacing w:before="240" w:after="0" w:line="240" w:lineRule="auto"/>
        <w:jc w:val="both"/>
        <w:rPr>
          <w:rFonts w:ascii="Times New Roman" w:hAnsi="Times New Roman" w:cs="Times New Roman"/>
          <w:noProof/>
          <w:sz w:val="24"/>
          <w:szCs w:val="24"/>
        </w:rPr>
      </w:pPr>
      <w:r>
        <w:rPr>
          <w:rFonts w:ascii="Times New Roman" w:hAnsi="Times New Roman" w:cs="Times New Roman"/>
          <w:noProof/>
          <w:sz w:val="24"/>
        </w:rPr>
        <w:br w:type="page"/>
      </w:r>
    </w:p>
    <w:p w:rsidR="003B6E8C" w:rsidRDefault="004678FF">
      <w:pPr>
        <w:pStyle w:val="Heading1"/>
        <w:rPr>
          <w:noProof/>
        </w:rPr>
      </w:pPr>
      <w:r>
        <w:rPr>
          <w:noProof/>
        </w:rPr>
        <w:t>4. CONCLUSIONS</w:t>
      </w:r>
    </w:p>
    <w:p w:rsidR="003B6E8C" w:rsidRDefault="004678FF">
      <w:pPr>
        <w:spacing w:after="180" w:line="280" w:lineRule="atLeast"/>
        <w:jc w:val="both"/>
        <w:rPr>
          <w:rFonts w:ascii="Times New Roman" w:hAnsi="Times New Roman" w:cs="Times New Roman"/>
          <w:noProof/>
          <w:sz w:val="24"/>
          <w:szCs w:val="24"/>
        </w:rPr>
      </w:pPr>
      <w:r>
        <w:rPr>
          <w:rFonts w:ascii="Times New Roman" w:hAnsi="Times New Roman" w:cs="Times New Roman"/>
          <w:noProof/>
          <w:sz w:val="24"/>
          <w:szCs w:val="24"/>
        </w:rPr>
        <w:t>T</w:t>
      </w:r>
      <w:r>
        <w:rPr>
          <w:rFonts w:ascii="Times New Roman" w:hAnsi="Times New Roman" w:cs="Times New Roman"/>
          <w:noProof/>
          <w:sz w:val="24"/>
          <w:szCs w:val="24"/>
        </w:rPr>
        <w:t xml:space="preserve">he promotion of renewable energy is an essential part of EU energy policy, as recognised in Article 194 TFEU, and largely contributes to the implementation of the Energy Union Framework strategy. The new regulatory framework for after 2020 proposed by the </w:t>
      </w:r>
      <w:r>
        <w:rPr>
          <w:rFonts w:ascii="Times New Roman" w:hAnsi="Times New Roman" w:cs="Times New Roman"/>
          <w:noProof/>
          <w:sz w:val="24"/>
          <w:szCs w:val="24"/>
        </w:rPr>
        <w:t>Commission as part of the '</w:t>
      </w:r>
      <w:r>
        <w:rPr>
          <w:rFonts w:ascii="Times New Roman" w:hAnsi="Times New Roman" w:cs="Times New Roman"/>
          <w:i/>
          <w:noProof/>
          <w:sz w:val="24"/>
          <w:szCs w:val="24"/>
        </w:rPr>
        <w:t>Clean Energy for All</w:t>
      </w:r>
      <w:r>
        <w:rPr>
          <w:rFonts w:ascii="Times New Roman" w:hAnsi="Times New Roman" w:cs="Times New Roman"/>
          <w:noProof/>
          <w:sz w:val="24"/>
          <w:szCs w:val="24"/>
        </w:rPr>
        <w:t xml:space="preserve"> </w:t>
      </w:r>
      <w:r>
        <w:rPr>
          <w:rFonts w:ascii="Times New Roman" w:hAnsi="Times New Roman" w:cs="Times New Roman"/>
          <w:i/>
          <w:noProof/>
          <w:sz w:val="24"/>
          <w:szCs w:val="24"/>
        </w:rPr>
        <w:t>Europeans'</w:t>
      </w:r>
      <w:r>
        <w:rPr>
          <w:rFonts w:ascii="Times New Roman" w:hAnsi="Times New Roman" w:cs="Times New Roman"/>
          <w:noProof/>
          <w:sz w:val="24"/>
          <w:szCs w:val="24"/>
        </w:rPr>
        <w:t xml:space="preserve"> package in November 2016 builds upon the experience accumulated under the existing Renewable Energy Directive. It aims at further Europeanising renewable energy policy and maximising its use in bui</w:t>
      </w:r>
      <w:r>
        <w:rPr>
          <w:rFonts w:ascii="Times New Roman" w:hAnsi="Times New Roman" w:cs="Times New Roman"/>
          <w:noProof/>
          <w:sz w:val="24"/>
          <w:szCs w:val="24"/>
        </w:rPr>
        <w:t xml:space="preserve">ldings, transport and industry sectors. The Commission has proposed reinforced provisions to set the conditions right for investments, including progressive cross-border opening of support, the principle of non-retroactivity and accelerated administrative </w:t>
      </w:r>
      <w:r>
        <w:rPr>
          <w:rFonts w:ascii="Times New Roman" w:hAnsi="Times New Roman" w:cs="Times New Roman"/>
          <w:noProof/>
          <w:sz w:val="24"/>
          <w:szCs w:val="24"/>
        </w:rPr>
        <w:t xml:space="preserve">procedures, as well consumers' empowerment. Electricity, transport and heating and cooling sectors are all targeted with a number of concrete measures, while it is proposed to use 2020 national targets as baseline for Member States' further progress after </w:t>
      </w:r>
      <w:r>
        <w:rPr>
          <w:rFonts w:ascii="Times New Roman" w:hAnsi="Times New Roman" w:cs="Times New Roman"/>
          <w:noProof/>
          <w:sz w:val="24"/>
          <w:szCs w:val="24"/>
        </w:rPr>
        <w:t>2020. In relation to bioenergy, the Commission has proposed to strengthen the EU sustainability framework for bioenergy by extending it to cover also biomass and biogas used for heat and power in large energy installations.</w:t>
      </w:r>
    </w:p>
    <w:p w:rsidR="003B6E8C" w:rsidRDefault="004678FF">
      <w:pPr>
        <w:spacing w:after="180" w:line="280" w:lineRule="atLeast"/>
        <w:jc w:val="both"/>
        <w:rPr>
          <w:rFonts w:ascii="Times New Roman" w:hAnsi="Times New Roman" w:cs="Times New Roman"/>
          <w:noProof/>
          <w:sz w:val="24"/>
          <w:szCs w:val="24"/>
        </w:rPr>
      </w:pPr>
      <w:r>
        <w:rPr>
          <w:rFonts w:ascii="Times New Roman" w:hAnsi="Times New Roman" w:cs="Times New Roman"/>
          <w:noProof/>
          <w:sz w:val="24"/>
          <w:szCs w:val="24"/>
        </w:rPr>
        <w:t>With a 16% share in final energy</w:t>
      </w:r>
      <w:r>
        <w:rPr>
          <w:rFonts w:ascii="Times New Roman" w:hAnsi="Times New Roman" w:cs="Times New Roman"/>
          <w:noProof/>
          <w:sz w:val="24"/>
          <w:szCs w:val="24"/>
        </w:rPr>
        <w:t xml:space="preserve"> consumption in 2014, the EU and the vast majority of Member States</w:t>
      </w:r>
      <w:r>
        <w:rPr>
          <w:rStyle w:val="FootnoteReference"/>
          <w:rFonts w:ascii="Times New Roman" w:hAnsi="Times New Roman" w:cs="Times New Roman"/>
          <w:noProof/>
          <w:sz w:val="24"/>
          <w:szCs w:val="24"/>
        </w:rPr>
        <w:footnoteReference w:id="48"/>
      </w:r>
      <w:r>
        <w:rPr>
          <w:rFonts w:ascii="Times New Roman" w:hAnsi="Times New Roman" w:cs="Times New Roman"/>
          <w:noProof/>
          <w:sz w:val="24"/>
          <w:szCs w:val="24"/>
        </w:rPr>
        <w:t xml:space="preserve"> are well on track in terms of renewable energy deployment</w:t>
      </w:r>
      <w:r>
        <w:rPr>
          <w:rStyle w:val="FootnoteReference"/>
          <w:rFonts w:ascii="Times New Roman" w:hAnsi="Times New Roman" w:cs="Times New Roman"/>
          <w:noProof/>
          <w:sz w:val="24"/>
          <w:szCs w:val="24"/>
        </w:rPr>
        <w:footnoteReference w:id="49"/>
      </w:r>
      <w:r>
        <w:rPr>
          <w:rFonts w:ascii="Times New Roman" w:hAnsi="Times New Roman" w:cs="Times New Roman"/>
          <w:noProof/>
          <w:sz w:val="24"/>
          <w:szCs w:val="24"/>
        </w:rPr>
        <w:t>. However, 2015 estimates show that Member States will have to continue their efforts to reach their 2020 binding targets, as the</w:t>
      </w:r>
      <w:r>
        <w:rPr>
          <w:rFonts w:ascii="Times New Roman" w:hAnsi="Times New Roman" w:cs="Times New Roman"/>
          <w:noProof/>
          <w:sz w:val="24"/>
          <w:szCs w:val="24"/>
        </w:rPr>
        <w:t xml:space="preserve"> trajectory becomes steeper. This especially applies for France, Luxembourg and the Netherlands, which will have to substantially increase their shares in 2016 in order to keep on track with their respective trajectories. On a more forward-looking perspect</w:t>
      </w:r>
      <w:r>
        <w:rPr>
          <w:rFonts w:ascii="Times New Roman" w:hAnsi="Times New Roman" w:cs="Times New Roman"/>
          <w:noProof/>
          <w:sz w:val="24"/>
          <w:szCs w:val="24"/>
        </w:rPr>
        <w:t>ive, projections show that the EU as a whole would reach its 20% target by 2020. However, some Member States such as Ireland, Luxembourg, the Netherlands and the United Kingdom might have to reinforce cooperation with other Member States by using cooperati</w:t>
      </w:r>
      <w:r>
        <w:rPr>
          <w:rFonts w:ascii="Times New Roman" w:hAnsi="Times New Roman" w:cs="Times New Roman"/>
          <w:noProof/>
          <w:sz w:val="24"/>
          <w:szCs w:val="24"/>
        </w:rPr>
        <w:t>on mechanisms such as statistical transfers to timely reach their national binding targets.</w:t>
      </w:r>
    </w:p>
    <w:p w:rsidR="003B6E8C" w:rsidRDefault="004678FF">
      <w:pPr>
        <w:pStyle w:val="Standardtext"/>
        <w:rPr>
          <w:noProof/>
          <w:lang w:val="en-US"/>
        </w:rPr>
      </w:pPr>
      <w:r>
        <w:rPr>
          <w:noProof/>
        </w:rPr>
        <w:t>Representing around half</w:t>
      </w:r>
      <w:r>
        <w:rPr>
          <w:rStyle w:val="FootnoteReference"/>
          <w:noProof/>
          <w:sz w:val="24"/>
          <w:szCs w:val="24"/>
        </w:rPr>
        <w:footnoteReference w:id="50"/>
      </w:r>
      <w:r>
        <w:rPr>
          <w:noProof/>
        </w:rPr>
        <w:t xml:space="preserve"> of the final energy consumption at EU level, </w:t>
      </w:r>
      <w:r>
        <w:rPr>
          <w:b/>
          <w:noProof/>
        </w:rPr>
        <w:t>heating and cooling</w:t>
      </w:r>
      <w:r>
        <w:rPr>
          <w:noProof/>
        </w:rPr>
        <w:t xml:space="preserve"> remains the largest sector in terms of energy consumption</w:t>
      </w:r>
      <w:r>
        <w:rPr>
          <w:rStyle w:val="FootnoteReference"/>
          <w:noProof/>
        </w:rPr>
        <w:footnoteReference w:id="51"/>
      </w:r>
      <w:r>
        <w:rPr>
          <w:noProof/>
        </w:rPr>
        <w:t xml:space="preserve">. It is also </w:t>
      </w:r>
      <w:r>
        <w:rPr>
          <w:noProof/>
        </w:rPr>
        <w:t>the largest contributor to the renewable energy target, with half of the renewable energy consumption</w:t>
      </w:r>
      <w:r>
        <w:rPr>
          <w:rStyle w:val="FootnoteReference"/>
          <w:noProof/>
          <w:sz w:val="24"/>
          <w:szCs w:val="24"/>
        </w:rPr>
        <w:footnoteReference w:id="52"/>
      </w:r>
      <w:r>
        <w:rPr>
          <w:noProof/>
        </w:rPr>
        <w:t>, even if its growth rate has been slower than in the electricity sector. In 2015, around 18.1% of EU heating and cooling was renewable, with biomass repr</w:t>
      </w:r>
      <w:r>
        <w:rPr>
          <w:noProof/>
        </w:rPr>
        <w:t>esenting</w:t>
      </w:r>
      <w:r>
        <w:rPr>
          <w:noProof/>
          <w:lang w:val="en-US"/>
        </w:rPr>
        <w:t>, by a wide margin, the largest contribution.</w:t>
      </w:r>
    </w:p>
    <w:p w:rsidR="003B6E8C" w:rsidRDefault="004678FF">
      <w:pPr>
        <w:pStyle w:val="Standardtext"/>
        <w:rPr>
          <w:noProof/>
          <w:lang w:val="en-US"/>
        </w:rPr>
      </w:pPr>
      <w:r>
        <w:rPr>
          <w:noProof/>
        </w:rPr>
        <w:t xml:space="preserve">The </w:t>
      </w:r>
      <w:r>
        <w:rPr>
          <w:b/>
          <w:noProof/>
        </w:rPr>
        <w:t xml:space="preserve">electricity </w:t>
      </w:r>
      <w:r>
        <w:rPr>
          <w:noProof/>
        </w:rPr>
        <w:t xml:space="preserve">sector has seen the fastest growth in renewable share, which currently reaches 28.3% of total electricity production. </w:t>
      </w:r>
      <w:r>
        <w:rPr>
          <w:noProof/>
          <w:lang w:val="en-US"/>
        </w:rPr>
        <w:t>In 2015, the largest contributor to renewable electricity remained h</w:t>
      </w:r>
      <w:r>
        <w:rPr>
          <w:noProof/>
          <w:lang w:val="en-US"/>
        </w:rPr>
        <w:t>ydropower. The strongest performer in terms of growth is onshore wind. Solar photovoltaic development has been uneven, with a growth peak in 2011 and 2012, but lower growth rates each year since. Together, variable renewables</w:t>
      </w:r>
      <w:r>
        <w:rPr>
          <w:rStyle w:val="FootnoteReference"/>
          <w:noProof/>
          <w:sz w:val="24"/>
          <w:szCs w:val="24"/>
          <w:lang w:val="en-US"/>
        </w:rPr>
        <w:footnoteReference w:id="53"/>
      </w:r>
      <w:r>
        <w:rPr>
          <w:noProof/>
          <w:lang w:val="en-US"/>
        </w:rPr>
        <w:t xml:space="preserve"> represent 12% of the EU gross</w:t>
      </w:r>
      <w:r>
        <w:rPr>
          <w:noProof/>
          <w:lang w:val="en-US"/>
        </w:rPr>
        <w:t xml:space="preserve"> electricity generation.</w:t>
      </w:r>
    </w:p>
    <w:p w:rsidR="003B6E8C" w:rsidRDefault="004678FF">
      <w:pPr>
        <w:spacing w:after="180" w:line="280" w:lineRule="atLeast"/>
        <w:jc w:val="both"/>
        <w:rPr>
          <w:rFonts w:ascii="Times New Roman" w:hAnsi="Times New Roman" w:cs="Times New Roman"/>
          <w:noProof/>
          <w:sz w:val="24"/>
          <w:szCs w:val="24"/>
        </w:rPr>
      </w:pPr>
      <w:r>
        <w:rPr>
          <w:rFonts w:ascii="Times New Roman" w:hAnsi="Times New Roman" w:cs="Times New Roman"/>
          <w:b/>
          <w:noProof/>
          <w:sz w:val="24"/>
          <w:szCs w:val="24"/>
        </w:rPr>
        <w:t>Transport</w:t>
      </w:r>
      <w:r>
        <w:rPr>
          <w:rFonts w:ascii="Times New Roman" w:hAnsi="Times New Roman" w:cs="Times New Roman"/>
          <w:noProof/>
          <w:sz w:val="24"/>
          <w:szCs w:val="24"/>
        </w:rPr>
        <w:t xml:space="preserve"> is the sector which continues to show the slowest growth of renewables, with 0.5 percentage points on average per year from 2005-2014 and a marked slowdown after 2011</w:t>
      </w:r>
      <w:r>
        <w:rPr>
          <w:rStyle w:val="FootnoteReference"/>
          <w:rFonts w:ascii="Times New Roman" w:hAnsi="Times New Roman" w:cs="Times New Roman"/>
          <w:noProof/>
          <w:sz w:val="24"/>
          <w:szCs w:val="24"/>
        </w:rPr>
        <w:footnoteReference w:id="54"/>
      </w:r>
      <w:r>
        <w:rPr>
          <w:rFonts w:ascii="Times New Roman" w:hAnsi="Times New Roman" w:cs="Times New Roman"/>
          <w:noProof/>
          <w:sz w:val="24"/>
          <w:szCs w:val="24"/>
        </w:rPr>
        <w:t>. Its renewable energy share was 5.9 % in 2014 (and es</w:t>
      </w:r>
      <w:r>
        <w:rPr>
          <w:rFonts w:ascii="Times New Roman" w:hAnsi="Times New Roman" w:cs="Times New Roman"/>
          <w:noProof/>
          <w:sz w:val="24"/>
          <w:szCs w:val="24"/>
        </w:rPr>
        <w:t>timated at only 6.0 % in 2015) out of a sector specific target of 10 % for 2020. This slow progress is due to various difficulties, including regulatory uncertainty and a late uptake of advanced biofuels</w:t>
      </w:r>
    </w:p>
    <w:p w:rsidR="003B6E8C" w:rsidRDefault="004678FF">
      <w:pPr>
        <w:spacing w:after="180" w:line="28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On administrative barriers, Member States have made </w:t>
      </w:r>
      <w:r>
        <w:rPr>
          <w:rFonts w:ascii="Times New Roman" w:hAnsi="Times New Roman" w:cs="Times New Roman"/>
          <w:noProof/>
          <w:sz w:val="24"/>
          <w:szCs w:val="24"/>
        </w:rPr>
        <w:t xml:space="preserve">progress on removing them, but this progress have not been uniform across the Union and there is still ample room for improvement, especially for automatically granting the permit after the administrative procedure's deadline and for establishing one-stop </w:t>
      </w:r>
      <w:r>
        <w:rPr>
          <w:rFonts w:ascii="Times New Roman" w:hAnsi="Times New Roman" w:cs="Times New Roman"/>
          <w:noProof/>
          <w:sz w:val="24"/>
          <w:szCs w:val="24"/>
        </w:rPr>
        <w:t>shops.</w:t>
      </w:r>
    </w:p>
    <w:p w:rsidR="003B6E8C" w:rsidRDefault="004678FF">
      <w:pPr>
        <w:jc w:val="both"/>
        <w:rPr>
          <w:rFonts w:ascii="Times New Roman" w:hAnsi="Times New Roman" w:cs="Times New Roman"/>
          <w:noProof/>
          <w:sz w:val="24"/>
        </w:rPr>
      </w:pPr>
      <w:r>
        <w:rPr>
          <w:rFonts w:ascii="Times New Roman" w:hAnsi="Times New Roman" w:cs="Times New Roman"/>
          <w:noProof/>
          <w:sz w:val="24"/>
        </w:rPr>
        <w:t xml:space="preserve">On biofuel sustainability, the majority of biofuels consumed in the EU are produced within the Union from domestic feedstock. No significant direct adverse effects on biodiversity, soil and water, food security nor on developing countries have been </w:t>
      </w:r>
      <w:r>
        <w:rPr>
          <w:rFonts w:ascii="Times New Roman" w:hAnsi="Times New Roman" w:cs="Times New Roman"/>
          <w:noProof/>
          <w:sz w:val="24"/>
        </w:rPr>
        <w:t>identified. However, risks of indirect land use change impacts remain of concern. Modelling analysis has found risks of indirect land use change (ILUC) resulting from food based biofuels. This is why, with the adoption of the ILUC Directive, the EU has lim</w:t>
      </w:r>
      <w:r>
        <w:rPr>
          <w:rFonts w:ascii="Times New Roman" w:hAnsi="Times New Roman" w:cs="Times New Roman"/>
          <w:noProof/>
          <w:sz w:val="24"/>
        </w:rPr>
        <w:t>ited the contribution of these biofuels to the 10% renewables transport target. Furthermore the Commission has recently made proposals to gradually reduce the share of food-based biofuels after 2020, while promoting their progressive replacement through ad</w:t>
      </w:r>
      <w:r>
        <w:rPr>
          <w:rFonts w:ascii="Times New Roman" w:hAnsi="Times New Roman" w:cs="Times New Roman"/>
          <w:noProof/>
          <w:sz w:val="24"/>
        </w:rPr>
        <w:t xml:space="preserve">vanced biofuels and renewable electricity. </w:t>
      </w:r>
    </w:p>
    <w:p w:rsidR="003B6E8C" w:rsidRDefault="004678FF">
      <w:pPr>
        <w:jc w:val="both"/>
        <w:rPr>
          <w:rFonts w:ascii="Times New Roman" w:hAnsi="Times New Roman" w:cs="Times New Roman"/>
          <w:noProof/>
          <w:sz w:val="24"/>
        </w:rPr>
      </w:pPr>
      <w:r>
        <w:rPr>
          <w:rFonts w:ascii="Times New Roman" w:hAnsi="Times New Roman" w:cs="Times New Roman"/>
          <w:noProof/>
          <w:sz w:val="24"/>
        </w:rPr>
        <w:t>In conclusion, the proposal for a recast of the Renewables Directive together with the other proposals of the "</w:t>
      </w:r>
      <w:r>
        <w:rPr>
          <w:rFonts w:ascii="Times New Roman" w:hAnsi="Times New Roman" w:cs="Times New Roman"/>
          <w:i/>
          <w:noProof/>
          <w:sz w:val="24"/>
        </w:rPr>
        <w:t>Clean Energy for all Europeans</w:t>
      </w:r>
      <w:r>
        <w:rPr>
          <w:rFonts w:ascii="Times New Roman" w:hAnsi="Times New Roman" w:cs="Times New Roman"/>
          <w:noProof/>
          <w:sz w:val="24"/>
        </w:rPr>
        <w:t>" package, now under examination of both the European Parliament and Co</w:t>
      </w:r>
      <w:r>
        <w:rPr>
          <w:rFonts w:ascii="Times New Roman" w:hAnsi="Times New Roman" w:cs="Times New Roman"/>
          <w:noProof/>
          <w:sz w:val="24"/>
        </w:rPr>
        <w:t>uncil, aims to tackle the above-mentioned barriers limiting further renewable energy growth, confirming the determination of the European Commission to make the European Union the world number one in renewables.</w:t>
      </w:r>
    </w:p>
    <w:sectPr w:rsidR="003B6E8C">
      <w:headerReference w:type="even" r:id="rId50"/>
      <w:headerReference w:type="default" r:id="rId51"/>
      <w:footerReference w:type="even" r:id="rId52"/>
      <w:footerReference w:type="default" r:id="rId53"/>
      <w:headerReference w:type="first" r:id="rId54"/>
      <w:footerReference w:type="first" r:id="rId55"/>
      <w:pgSz w:w="11906" w:h="16838"/>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E8C" w:rsidRDefault="004678FF">
      <w:pPr>
        <w:spacing w:after="0" w:line="240" w:lineRule="auto"/>
      </w:pPr>
      <w:r>
        <w:separator/>
      </w:r>
    </w:p>
  </w:endnote>
  <w:endnote w:type="continuationSeparator" w:id="0">
    <w:p w:rsidR="003B6E8C" w:rsidRDefault="004678FF">
      <w:pPr>
        <w:spacing w:after="0" w:line="240" w:lineRule="auto"/>
      </w:pPr>
      <w:r>
        <w:continuationSeparator/>
      </w:r>
    </w:p>
  </w:endnote>
  <w:endnote w:type="continuationNotice" w:id="1">
    <w:p w:rsidR="003B6E8C" w:rsidRDefault="003B6E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8FF" w:rsidRDefault="004678FF">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E8C" w:rsidRDefault="003B6E8C">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5991537"/>
      <w:docPartObj>
        <w:docPartGallery w:val="Page Numbers (Bottom of Page)"/>
        <w:docPartUnique/>
      </w:docPartObj>
    </w:sdtPr>
    <w:sdtEndPr>
      <w:rPr>
        <w:noProof/>
      </w:rPr>
    </w:sdtEndPr>
    <w:sdtContent>
      <w:p w:rsidR="003B6E8C" w:rsidRDefault="004678FF">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3B6E8C" w:rsidRDefault="003B6E8C">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E8C" w:rsidRDefault="003B6E8C">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E8C" w:rsidRDefault="003B6E8C">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127002"/>
      <w:docPartObj>
        <w:docPartGallery w:val="Page Numbers (Bottom of Page)"/>
        <w:docPartUnique/>
      </w:docPartObj>
    </w:sdtPr>
    <w:sdtEndPr>
      <w:rPr>
        <w:noProof/>
      </w:rPr>
    </w:sdtEndPr>
    <w:sdtContent>
      <w:p w:rsidR="003B6E8C" w:rsidRDefault="004678FF">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3B6E8C" w:rsidRDefault="003B6E8C">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E8C" w:rsidRDefault="003B6E8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E8C" w:rsidRDefault="003B6E8C">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715715"/>
      <w:docPartObj>
        <w:docPartGallery w:val="Page Numbers (Bottom of Page)"/>
        <w:docPartUnique/>
      </w:docPartObj>
    </w:sdtPr>
    <w:sdtEndPr>
      <w:rPr>
        <w:noProof/>
      </w:rPr>
    </w:sdtEndPr>
    <w:sdtContent>
      <w:p w:rsidR="003B6E8C" w:rsidRDefault="004678FF">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rsidR="003B6E8C" w:rsidRDefault="003B6E8C">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E8C" w:rsidRDefault="003B6E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E8C" w:rsidRDefault="004678FF">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8FF" w:rsidRDefault="004678F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E8C" w:rsidRDefault="003B6E8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099836"/>
      <w:docPartObj>
        <w:docPartGallery w:val="Page Numbers (Bottom of Page)"/>
        <w:docPartUnique/>
      </w:docPartObj>
    </w:sdtPr>
    <w:sdtEndPr>
      <w:rPr>
        <w:noProof/>
      </w:rPr>
    </w:sdtEndPr>
    <w:sdtContent>
      <w:p w:rsidR="003B6E8C" w:rsidRDefault="004678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B6E8C" w:rsidRDefault="003B6E8C">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E8C" w:rsidRDefault="003B6E8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E8C" w:rsidRDefault="003B6E8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248994"/>
      <w:docPartObj>
        <w:docPartGallery w:val="Page Numbers (Bottom of Page)"/>
        <w:docPartUnique/>
      </w:docPartObj>
    </w:sdtPr>
    <w:sdtEndPr>
      <w:rPr>
        <w:noProof/>
      </w:rPr>
    </w:sdtEndPr>
    <w:sdtContent>
      <w:p w:rsidR="003B6E8C" w:rsidRDefault="004678FF">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3B6E8C" w:rsidRDefault="003B6E8C">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E8C" w:rsidRDefault="003B6E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E8C" w:rsidRDefault="004678FF">
      <w:pPr>
        <w:spacing w:after="0" w:line="240" w:lineRule="auto"/>
      </w:pPr>
      <w:r>
        <w:separator/>
      </w:r>
    </w:p>
  </w:footnote>
  <w:footnote w:type="continuationSeparator" w:id="0">
    <w:p w:rsidR="003B6E8C" w:rsidRDefault="004678FF">
      <w:pPr>
        <w:spacing w:after="0" w:line="240" w:lineRule="auto"/>
      </w:pPr>
      <w:r>
        <w:continuationSeparator/>
      </w:r>
    </w:p>
  </w:footnote>
  <w:footnote w:type="continuationNotice" w:id="1">
    <w:p w:rsidR="003B6E8C" w:rsidRDefault="003B6E8C">
      <w:pPr>
        <w:spacing w:after="0" w:line="240" w:lineRule="auto"/>
      </w:pPr>
    </w:p>
  </w:footnote>
  <w:footnote w:id="2">
    <w:p w:rsidR="003B6E8C" w:rsidRDefault="004678FF">
      <w:pPr>
        <w:pStyle w:val="FootnoteText"/>
      </w:pPr>
      <w:r>
        <w:rPr>
          <w:rStyle w:val="FootnoteReference"/>
        </w:rPr>
        <w:footnoteRef/>
      </w:r>
      <w:r>
        <w:tab/>
      </w:r>
      <w:hyperlink r:id="rId1" w:history="1">
        <w:r>
          <w:t>Directive 2009/28/EC on the promotion of the use of energy from renewable sources, OJ L 140, 5.6.2009</w:t>
        </w:r>
      </w:hyperlink>
    </w:p>
  </w:footnote>
  <w:footnote w:id="3">
    <w:p w:rsidR="003B6E8C" w:rsidRDefault="004678FF">
      <w:pPr>
        <w:pStyle w:val="FootnoteText"/>
      </w:pPr>
      <w:r>
        <w:rPr>
          <w:rStyle w:val="FootnoteReference"/>
          <w:sz w:val="18"/>
          <w:szCs w:val="18"/>
          <w:vertAlign w:val="baseline"/>
          <w:lang w:eastAsia="en-US"/>
        </w:rPr>
        <w:footnoteRef/>
      </w:r>
      <w:r>
        <w:t xml:space="preserve"> </w:t>
      </w:r>
      <w:r>
        <w:tab/>
        <w:t>Compared with 2005 baseline, source: Öko-Institut, Study on Tech</w:t>
      </w:r>
      <w:r>
        <w:t xml:space="preserve">nical Assistance in Realisation of the 2016 Report on Renewable Energy, available under: </w:t>
      </w:r>
      <w:hyperlink r:id="rId2" w:history="1">
        <w:r>
          <w:rPr>
            <w:rStyle w:val="Hyperlink"/>
          </w:rPr>
          <w:t>http://ec.europa.eu/energy/en/studies</w:t>
        </w:r>
      </w:hyperlink>
    </w:p>
  </w:footnote>
  <w:footnote w:id="4">
    <w:p w:rsidR="003B6E8C" w:rsidRDefault="004678FF">
      <w:pPr>
        <w:pStyle w:val="FootnoteText"/>
      </w:pPr>
      <w:r>
        <w:rPr>
          <w:rStyle w:val="FootnoteReference"/>
          <w:sz w:val="18"/>
          <w:szCs w:val="18"/>
          <w:vertAlign w:val="baseline"/>
          <w:lang w:eastAsia="en-US"/>
        </w:rPr>
        <w:footnoteRef/>
      </w:r>
      <w:r>
        <w:t xml:space="preserve"> </w:t>
      </w:r>
      <w:r>
        <w:tab/>
        <w:t>as part of the “Clean Energy for All Europeans” package, issued on 30</w:t>
      </w:r>
      <w:r>
        <w:rPr>
          <w:vertAlign w:val="superscript"/>
        </w:rPr>
        <w:t>th</w:t>
      </w:r>
      <w:r>
        <w:t xml:space="preserve"> </w:t>
      </w:r>
      <w:r>
        <w:t>November 2016</w:t>
      </w:r>
    </w:p>
  </w:footnote>
  <w:footnote w:id="5">
    <w:p w:rsidR="003B6E8C" w:rsidRDefault="004678FF">
      <w:pPr>
        <w:pStyle w:val="FootnoteText"/>
      </w:pPr>
      <w:r>
        <w:rPr>
          <w:rStyle w:val="FootnoteReference"/>
          <w:sz w:val="18"/>
          <w:szCs w:val="18"/>
          <w:vertAlign w:val="baseline"/>
          <w:lang w:eastAsia="en-US"/>
        </w:rPr>
        <w:footnoteRef/>
      </w:r>
      <w:r>
        <w:t xml:space="preserve"> </w:t>
      </w:r>
      <w:r>
        <w:tab/>
        <w:t>assuming a Primary Energy Factor of 2.5, 1 unit of renewable could replace 2.5 units of fossil electricity</w:t>
      </w:r>
    </w:p>
  </w:footnote>
  <w:footnote w:id="6">
    <w:p w:rsidR="003B6E8C" w:rsidRDefault="004678FF">
      <w:pPr>
        <w:pStyle w:val="FootnoteText"/>
      </w:pPr>
      <w:r>
        <w:rPr>
          <w:rStyle w:val="FootnoteReference"/>
          <w:sz w:val="18"/>
          <w:szCs w:val="18"/>
          <w:vertAlign w:val="baseline"/>
          <w:lang w:eastAsia="en-US"/>
        </w:rPr>
        <w:footnoteRef/>
      </w:r>
      <w:r>
        <w:t xml:space="preserve"> </w:t>
      </w:r>
      <w:r>
        <w:tab/>
        <w:t>436 MtCO2eq compared with 2005 baseline. Source :EEA</w:t>
      </w:r>
    </w:p>
  </w:footnote>
  <w:footnote w:id="7">
    <w:p w:rsidR="003B6E8C" w:rsidRDefault="004678FF">
      <w:pPr>
        <w:pStyle w:val="FootnoteText"/>
      </w:pPr>
      <w:r>
        <w:rPr>
          <w:rStyle w:val="FootnoteReference"/>
        </w:rPr>
        <w:footnoteRef/>
      </w:r>
      <w:r>
        <w:t xml:space="preserve"> </w:t>
      </w:r>
      <w:r>
        <w:tab/>
        <w:t>See Commission Communication “Accelerating Clean Energy Innovation” Com(2</w:t>
      </w:r>
      <w:r>
        <w:t>016) 763</w:t>
      </w:r>
    </w:p>
  </w:footnote>
  <w:footnote w:id="8">
    <w:p w:rsidR="003B6E8C" w:rsidRDefault="004678FF">
      <w:pPr>
        <w:pStyle w:val="FootnoteText"/>
      </w:pPr>
      <w:r>
        <w:rPr>
          <w:rStyle w:val="FootnoteReference"/>
        </w:rPr>
        <w:footnoteRef/>
      </w:r>
      <w:r>
        <w:t xml:space="preserve"> </w:t>
      </w:r>
      <w:r>
        <w:tab/>
        <w:t>in 2014, above 1million persons were employed in this sector and the combined turnover reached around 144 billion euro (EurObser'ER report)</w:t>
      </w:r>
    </w:p>
  </w:footnote>
  <w:footnote w:id="9">
    <w:p w:rsidR="003B6E8C" w:rsidRDefault="004678FF">
      <w:pPr>
        <w:pStyle w:val="FootnoteText"/>
      </w:pPr>
      <w:r>
        <w:rPr>
          <w:rStyle w:val="FootnoteReference"/>
          <w:sz w:val="18"/>
          <w:szCs w:val="18"/>
          <w:vertAlign w:val="baseline"/>
          <w:lang w:eastAsia="en-US"/>
        </w:rPr>
        <w:footnoteRef/>
      </w:r>
      <w:r>
        <w:t xml:space="preserve"> </w:t>
      </w:r>
      <w:r>
        <w:tab/>
        <w:t>2015 estimates. source: Öko-Institut, Study on Technical Assistance in Realisation of the 2016 Report</w:t>
      </w:r>
      <w:r>
        <w:t xml:space="preserve"> on Renewable Energy, available under: </w:t>
      </w:r>
      <w:hyperlink r:id="rId3" w:history="1">
        <w:r>
          <w:rPr>
            <w:rStyle w:val="Hyperlink"/>
          </w:rPr>
          <w:t>http://ec.europa.eu/energy/en/studies</w:t>
        </w:r>
      </w:hyperlink>
    </w:p>
  </w:footnote>
  <w:footnote w:id="10">
    <w:p w:rsidR="003B6E8C" w:rsidRDefault="004678FF">
      <w:pPr>
        <w:pStyle w:val="FootnoteText"/>
      </w:pPr>
      <w:r>
        <w:rPr>
          <w:rStyle w:val="FootnoteReference"/>
        </w:rPr>
        <w:footnoteRef/>
      </w:r>
      <w:r>
        <w:t xml:space="preserve"> </w:t>
      </w:r>
      <w:r>
        <w:tab/>
        <w:t>Aggregated trajectories at EU-level are provided for illustrative purpose and have no legal value</w:t>
      </w:r>
    </w:p>
  </w:footnote>
  <w:footnote w:id="11">
    <w:p w:rsidR="003B6E8C" w:rsidRDefault="004678FF">
      <w:pPr>
        <w:pStyle w:val="FootnoteText"/>
        <w:jc w:val="left"/>
      </w:pPr>
      <w:r>
        <w:rPr>
          <w:rStyle w:val="FootnoteReference"/>
        </w:rPr>
        <w:footnoteRef/>
      </w:r>
      <w:r>
        <w:t xml:space="preserve"> </w:t>
      </w:r>
      <w:r>
        <w:tab/>
      </w:r>
      <w:r>
        <w:t xml:space="preserve">detailed description available under : </w:t>
      </w:r>
      <w:hyperlink r:id="rId4" w:history="1">
        <w:r>
          <w:rPr>
            <w:rStyle w:val="Hyperlink"/>
          </w:rPr>
          <w:t>https://ec.europa.eu/energy/sites/ener/files/documents/20160713%20draft_publication_REF2016_v13.pdf</w:t>
        </w:r>
      </w:hyperlink>
    </w:p>
    <w:p w:rsidR="003B6E8C" w:rsidRDefault="003B6E8C">
      <w:pPr>
        <w:pStyle w:val="FootnoteText"/>
      </w:pPr>
    </w:p>
  </w:footnote>
  <w:footnote w:id="12">
    <w:p w:rsidR="003B6E8C" w:rsidRDefault="004678FF">
      <w:pPr>
        <w:pStyle w:val="FootnoteText"/>
      </w:pPr>
      <w:r>
        <w:rPr>
          <w:rStyle w:val="FootnoteReference"/>
        </w:rPr>
        <w:footnoteRef/>
      </w:r>
      <w:r>
        <w:t xml:space="preserve"> </w:t>
      </w:r>
      <w:r>
        <w:tab/>
        <w:t>On its Annex I, the renewable energy directive sets out a formula to calculate indicative trajectory for two years as an average for each Member State. One can derive from the formula an indicative trajectory for the EU-28 as a whole. However, this extr</w:t>
      </w:r>
      <w:r>
        <w:t>apolation is presented for illustrative purposes only and has no legal value, i.e. the EU as a whole does not have any indicative RES trajectory under the renewable energy directive.</w:t>
      </w:r>
    </w:p>
  </w:footnote>
  <w:footnote w:id="13">
    <w:p w:rsidR="003B6E8C" w:rsidRDefault="004678FF">
      <w:pPr>
        <w:pStyle w:val="FootnoteText"/>
      </w:pPr>
      <w:r>
        <w:rPr>
          <w:rStyle w:val="FootnoteReference"/>
        </w:rPr>
        <w:footnoteRef/>
      </w:r>
      <w:r>
        <w:t xml:space="preserve"> </w:t>
      </w:r>
      <w:r>
        <w:tab/>
        <w:t>NREAP aggregation indicates an expected share of 15.0 % and 16% respec</w:t>
      </w:r>
      <w:r>
        <w:t>tively in 2014 and 2015.</w:t>
      </w:r>
    </w:p>
  </w:footnote>
  <w:footnote w:id="14">
    <w:p w:rsidR="003B6E8C" w:rsidRDefault="004678FF">
      <w:pPr>
        <w:pStyle w:val="FootnoteText"/>
      </w:pPr>
      <w:r>
        <w:rPr>
          <w:rStyle w:val="FootnoteReference"/>
        </w:rPr>
        <w:footnoteRef/>
      </w:r>
      <w:r>
        <w:t xml:space="preserve"> </w:t>
      </w:r>
      <w:r>
        <w:tab/>
        <w:t>based on PRIMES EUCO30 scenario</w:t>
      </w:r>
    </w:p>
  </w:footnote>
  <w:footnote w:id="15">
    <w:p w:rsidR="003B6E8C" w:rsidRDefault="004678FF">
      <w:pPr>
        <w:pStyle w:val="FootnoteText"/>
      </w:pPr>
      <w:r>
        <w:rPr>
          <w:rStyle w:val="FootnoteReference"/>
        </w:rPr>
        <w:footnoteRef/>
      </w:r>
      <w:r>
        <w:t xml:space="preserve"> </w:t>
      </w:r>
      <w:r>
        <w:tab/>
        <w:t>as accounted by Eurostat under "renewable municipal solid waste"</w:t>
      </w:r>
    </w:p>
  </w:footnote>
  <w:footnote w:id="16">
    <w:p w:rsidR="003B6E8C" w:rsidRDefault="004678FF">
      <w:pPr>
        <w:pStyle w:val="FootnoteText"/>
      </w:pPr>
      <w:r>
        <w:rPr>
          <w:rStyle w:val="FootnoteReference"/>
        </w:rPr>
        <w:footnoteRef/>
      </w:r>
      <w:r>
        <w:t xml:space="preserve"> </w:t>
      </w:r>
      <w:r>
        <w:tab/>
        <w:t>National support schemes implemented by Member States are subject to state aid rules, as set out in the Guidelines on State a</w:t>
      </w:r>
      <w:r>
        <w:t>id for environmental protection and energy 2014 – 2020</w:t>
      </w:r>
    </w:p>
  </w:footnote>
  <w:footnote w:id="17">
    <w:p w:rsidR="003B6E8C" w:rsidRDefault="004678FF">
      <w:pPr>
        <w:pStyle w:val="FootnoteText"/>
      </w:pPr>
      <w:r>
        <w:rPr>
          <w:rStyle w:val="FootnoteReference"/>
        </w:rPr>
        <w:footnoteRef/>
      </w:r>
      <w:r>
        <w:t xml:space="preserve"> </w:t>
      </w:r>
      <w:r>
        <w:tab/>
        <w:t>including multiple counting</w:t>
      </w:r>
    </w:p>
  </w:footnote>
  <w:footnote w:id="18">
    <w:p w:rsidR="003B6E8C" w:rsidRDefault="004678FF">
      <w:pPr>
        <w:pStyle w:val="FootnoteText"/>
      </w:pPr>
      <w:r>
        <w:rPr>
          <w:rStyle w:val="FootnoteReference"/>
        </w:rPr>
        <w:footnoteRef/>
      </w:r>
      <w:r>
        <w:t xml:space="preserve"> </w:t>
      </w:r>
      <w:r>
        <w:tab/>
        <w:t xml:space="preserve">Influenced by the discussions on the legal framework for biofuels produced from crops grown on agricultural land and ILUC </w:t>
      </w:r>
    </w:p>
  </w:footnote>
  <w:footnote w:id="19">
    <w:p w:rsidR="003B6E8C" w:rsidRDefault="004678FF">
      <w:pPr>
        <w:pStyle w:val="FootnoteText"/>
      </w:pPr>
      <w:r>
        <w:rPr>
          <w:rStyle w:val="FootnoteReference"/>
        </w:rPr>
        <w:footnoteRef/>
      </w:r>
      <w:r>
        <w:t xml:space="preserve"> </w:t>
      </w:r>
      <w:r>
        <w:tab/>
        <w:t>without multiplicators</w:t>
      </w:r>
    </w:p>
  </w:footnote>
  <w:footnote w:id="20">
    <w:p w:rsidR="003B6E8C" w:rsidRDefault="004678FF">
      <w:pPr>
        <w:pStyle w:val="FootnoteText"/>
      </w:pPr>
      <w:r>
        <w:rPr>
          <w:rStyle w:val="FootnoteReference"/>
        </w:rPr>
        <w:footnoteRef/>
      </w:r>
      <w:r>
        <w:t xml:space="preserve"> </w:t>
      </w:r>
      <w:r>
        <w:tab/>
        <w:t xml:space="preserve">Former Article </w:t>
      </w:r>
      <w:r>
        <w:t>21(2) of Directive 2009/28/EC</w:t>
      </w:r>
    </w:p>
  </w:footnote>
  <w:footnote w:id="21">
    <w:p w:rsidR="003B6E8C" w:rsidRDefault="004678FF">
      <w:pPr>
        <w:pStyle w:val="FootnoteText"/>
      </w:pPr>
      <w:r>
        <w:rPr>
          <w:rStyle w:val="FootnoteReference"/>
        </w:rPr>
        <w:footnoteRef/>
      </w:r>
      <w:r>
        <w:t xml:space="preserve"> </w:t>
      </w:r>
      <w:r>
        <w:tab/>
        <w:t>compliant biofuels as accounted towards the renewable energy target</w:t>
      </w:r>
    </w:p>
  </w:footnote>
  <w:footnote w:id="22">
    <w:p w:rsidR="003B6E8C" w:rsidRDefault="004678FF">
      <w:pPr>
        <w:pStyle w:val="FootnoteText"/>
        <w:ind w:firstLine="0"/>
      </w:pPr>
      <w:r>
        <w:rPr>
          <w:rStyle w:val="FootnoteReference"/>
        </w:rPr>
        <w:footnoteRef/>
      </w:r>
      <w:r>
        <w:t xml:space="preserve"> in ktoe, without mutiple counting</w:t>
      </w:r>
    </w:p>
  </w:footnote>
  <w:footnote w:id="23">
    <w:p w:rsidR="003B6E8C" w:rsidRDefault="004678FF">
      <w:pPr>
        <w:pStyle w:val="FootnoteText"/>
      </w:pPr>
      <w:r>
        <w:rPr>
          <w:rStyle w:val="FootnoteReference"/>
        </w:rPr>
        <w:footnoteRef/>
      </w:r>
      <w:r>
        <w:t xml:space="preserve"> </w:t>
      </w:r>
      <w:r>
        <w:tab/>
        <w:t>It has informed the Commission on the adoption of new measures to regain its trajectory and ensure compliance with i</w:t>
      </w:r>
      <w:r>
        <w:t>ts target.</w:t>
      </w:r>
    </w:p>
  </w:footnote>
  <w:footnote w:id="24">
    <w:p w:rsidR="003B6E8C" w:rsidRDefault="004678FF">
      <w:pPr>
        <w:pStyle w:val="FootnoteText"/>
      </w:pPr>
      <w:r>
        <w:rPr>
          <w:rStyle w:val="FootnoteReference"/>
        </w:rPr>
        <w:footnoteRef/>
      </w:r>
      <w:r>
        <w:t xml:space="preserve"> </w:t>
      </w:r>
      <w:r>
        <w:tab/>
        <w:t>Ireland, Luxembourg, the Netherlands and the United Kingdom. For the UK the expected gap is however very short (around 0.2%). Hungary, with a gap below 0.01%, has not been included here</w:t>
      </w:r>
    </w:p>
  </w:footnote>
  <w:footnote w:id="25">
    <w:p w:rsidR="003B6E8C" w:rsidRDefault="004678FF">
      <w:pPr>
        <w:pStyle w:val="FootnoteText"/>
      </w:pPr>
      <w:r>
        <w:rPr>
          <w:rStyle w:val="FootnoteReference"/>
        </w:rPr>
        <w:footnoteRef/>
      </w:r>
      <w:r>
        <w:t xml:space="preserve"> </w:t>
      </w:r>
      <w:r>
        <w:tab/>
        <w:t>Refit Evaluation of the Renewable energy directive, S</w:t>
      </w:r>
      <w:r>
        <w:t>WD (2016) 416 final</w:t>
      </w:r>
    </w:p>
  </w:footnote>
  <w:footnote w:id="26">
    <w:p w:rsidR="003B6E8C" w:rsidRDefault="004678FF">
      <w:pPr>
        <w:pStyle w:val="FootnoteText"/>
      </w:pPr>
      <w:r>
        <w:rPr>
          <w:rStyle w:val="FootnoteReference"/>
        </w:rPr>
        <w:footnoteRef/>
      </w:r>
      <w:r>
        <w:t xml:space="preserve"> </w:t>
      </w:r>
      <w:r>
        <w:tab/>
        <w:t>In accordance with Directive (EU) 2015/1513 of 9 September 2015 (so-called ILUC Directive), the Commission is required to report on biofuel GHG emissions, including ILUC emission by using feedstock data from the Member States' report</w:t>
      </w:r>
      <w:r>
        <w:t>s due by end of 2017. Since the transposition of Directive (EU) 2015/153 is not yet complete and the Member States have not yet started reporting the required data, the Commission based its assessment on data from Eurostat (amounts of biodiesel, other liqu</w:t>
      </w:r>
      <w:r>
        <w:t>id biofuels and biogasoline consumed in the EU) and data from the feedstock mix from USDA FAS 2016 and industry data</w:t>
      </w:r>
    </w:p>
  </w:footnote>
  <w:footnote w:id="27">
    <w:p w:rsidR="003B6E8C" w:rsidRDefault="004678FF">
      <w:pPr>
        <w:pStyle w:val="FootnoteText"/>
      </w:pPr>
      <w:r>
        <w:rPr>
          <w:rStyle w:val="FootnoteReference"/>
        </w:rPr>
        <w:footnoteRef/>
      </w:r>
      <w:r>
        <w:t xml:space="preserve"> </w:t>
      </w:r>
      <w:r>
        <w:tab/>
        <w:t>Ecofys, IIASA, E4Tech, 2015</w:t>
      </w:r>
    </w:p>
  </w:footnote>
  <w:footnote w:id="28">
    <w:p w:rsidR="003B6E8C" w:rsidRDefault="004678FF">
      <w:pPr>
        <w:pStyle w:val="FootnoteText"/>
      </w:pPr>
      <w:r>
        <w:rPr>
          <w:rStyle w:val="FootnoteReference"/>
        </w:rPr>
        <w:footnoteRef/>
      </w:r>
      <w:r>
        <w:t xml:space="preserve"> </w:t>
      </w:r>
      <w:r>
        <w:tab/>
        <w:t>Industry data: see ePUR statistics, published on 22 September 2016.</w:t>
      </w:r>
    </w:p>
  </w:footnote>
  <w:footnote w:id="29">
    <w:p w:rsidR="003B6E8C" w:rsidRDefault="004678FF">
      <w:pPr>
        <w:pStyle w:val="FootnoteText"/>
      </w:pPr>
      <w:r>
        <w:rPr>
          <w:rStyle w:val="FootnoteReference"/>
        </w:rPr>
        <w:footnoteRef/>
      </w:r>
      <w:r>
        <w:t xml:space="preserve"> </w:t>
      </w:r>
      <w:r>
        <w:tab/>
        <w:t xml:space="preserve">Bolivia, Pakistan and Peru. Since </w:t>
      </w:r>
      <w:r>
        <w:t>January 2016 Guatemala is no longer beneficiaries of the GSP+ instrument</w:t>
      </w:r>
    </w:p>
  </w:footnote>
  <w:footnote w:id="30">
    <w:p w:rsidR="003B6E8C" w:rsidRDefault="004678FF">
      <w:pPr>
        <w:pStyle w:val="FootnoteText"/>
      </w:pPr>
      <w:r>
        <w:rPr>
          <w:rStyle w:val="FootnoteReference"/>
        </w:rPr>
        <w:footnoteRef/>
      </w:r>
      <w:r>
        <w:t xml:space="preserve"> </w:t>
      </w:r>
      <w:r>
        <w:tab/>
        <w:t>COM(2016) 29 final, 28 January 2016.</w:t>
      </w:r>
    </w:p>
  </w:footnote>
  <w:footnote w:id="31">
    <w:p w:rsidR="003B6E8C" w:rsidRDefault="004678FF">
      <w:pPr>
        <w:pStyle w:val="FootnoteText"/>
      </w:pPr>
      <w:r>
        <w:rPr>
          <w:rStyle w:val="FootnoteReference"/>
        </w:rPr>
        <w:footnoteRef/>
      </w:r>
      <w:r>
        <w:t xml:space="preserve"> </w:t>
      </w:r>
      <w:r>
        <w:tab/>
        <w:t>For EU-28 sources analysed: publicly available data (industry assocaitions and USDA FAS), commercial data</w:t>
      </w:r>
    </w:p>
  </w:footnote>
  <w:footnote w:id="32">
    <w:p w:rsidR="003B6E8C" w:rsidRDefault="004678FF">
      <w:pPr>
        <w:pStyle w:val="FootnoteText"/>
      </w:pPr>
      <w:r>
        <w:rPr>
          <w:rStyle w:val="FootnoteReference"/>
        </w:rPr>
        <w:footnoteRef/>
      </w:r>
      <w:r>
        <w:t xml:space="preserve"> </w:t>
      </w:r>
      <w:r>
        <w:tab/>
        <w:t>Publicly available data indicat</w:t>
      </w:r>
      <w:r>
        <w:t>es that in 2014, the use of waste oils and fats has increased more than 3 times compared to 2010 and the use of palm oil has more than doubled compared to 2010.</w:t>
      </w:r>
    </w:p>
  </w:footnote>
  <w:footnote w:id="33">
    <w:p w:rsidR="003B6E8C" w:rsidRDefault="004678FF">
      <w:pPr>
        <w:pStyle w:val="FootnoteText"/>
        <w:rPr>
          <w:lang w:val="it-IT"/>
        </w:rPr>
      </w:pPr>
      <w:r>
        <w:rPr>
          <w:rStyle w:val="FootnoteReference"/>
        </w:rPr>
        <w:footnoteRef/>
      </w:r>
      <w:r>
        <w:rPr>
          <w:lang w:val="it-IT"/>
        </w:rPr>
        <w:t xml:space="preserve"> </w:t>
      </w:r>
      <w:r>
        <w:rPr>
          <w:lang w:val="it-IT"/>
        </w:rPr>
        <w:tab/>
        <w:t>Fediol, ePure, EurObserver</w:t>
      </w:r>
    </w:p>
  </w:footnote>
  <w:footnote w:id="34">
    <w:p w:rsidR="003B6E8C" w:rsidRDefault="004678FF">
      <w:pPr>
        <w:pStyle w:val="FootnoteText"/>
        <w:rPr>
          <w:lang w:val="it-IT"/>
        </w:rPr>
      </w:pPr>
      <w:r>
        <w:rPr>
          <w:rStyle w:val="FootnoteReference"/>
        </w:rPr>
        <w:footnoteRef/>
      </w:r>
      <w:r>
        <w:rPr>
          <w:lang w:val="it-IT"/>
        </w:rPr>
        <w:t xml:space="preserve"> </w:t>
      </w:r>
      <w:r>
        <w:rPr>
          <w:lang w:val="it-IT"/>
        </w:rPr>
        <w:tab/>
        <w:t>USDA FAS, UN Comtrade data: http://comtrade.un.org/</w:t>
      </w:r>
    </w:p>
  </w:footnote>
  <w:footnote w:id="35">
    <w:p w:rsidR="003B6E8C" w:rsidRDefault="004678FF">
      <w:pPr>
        <w:pStyle w:val="FootnoteText"/>
        <w:rPr>
          <w:lang w:val="it-IT"/>
        </w:rPr>
      </w:pPr>
      <w:r>
        <w:rPr>
          <w:rStyle w:val="FootnoteReference"/>
        </w:rPr>
        <w:footnoteRef/>
      </w:r>
      <w:r>
        <w:rPr>
          <w:lang w:val="it-IT"/>
        </w:rPr>
        <w:t xml:space="preserve"> </w:t>
      </w:r>
      <w:r>
        <w:rPr>
          <w:lang w:val="it-IT"/>
        </w:rPr>
        <w:tab/>
        <w:t>USDA FA</w:t>
      </w:r>
      <w:r>
        <w:rPr>
          <w:lang w:val="it-IT"/>
        </w:rPr>
        <w:t>S, UN Comtrade data: http://comtrade.un.org/</w:t>
      </w:r>
    </w:p>
  </w:footnote>
  <w:footnote w:id="36">
    <w:p w:rsidR="003B6E8C" w:rsidRDefault="004678FF">
      <w:pPr>
        <w:pStyle w:val="FootnoteText"/>
      </w:pPr>
      <w:r>
        <w:rPr>
          <w:rStyle w:val="FootnoteReference"/>
        </w:rPr>
        <w:footnoteRef/>
      </w:r>
      <w:r>
        <w:t xml:space="preserve"> </w:t>
      </w:r>
      <w:r>
        <w:tab/>
        <w:t xml:space="preserve">USDA FAS and UN Comtrade data: </w:t>
      </w:r>
      <w:hyperlink r:id="rId5" w:history="1">
        <w:r>
          <w:rPr>
            <w:rStyle w:val="Hyperlink"/>
          </w:rPr>
          <w:t>http://comtrade.un.org/</w:t>
        </w:r>
      </w:hyperlink>
    </w:p>
  </w:footnote>
  <w:footnote w:id="37">
    <w:p w:rsidR="003B6E8C" w:rsidRDefault="004678FF">
      <w:pPr>
        <w:pStyle w:val="FootnoteText"/>
      </w:pPr>
      <w:r>
        <w:rPr>
          <w:rStyle w:val="FootnoteReference"/>
        </w:rPr>
        <w:footnoteRef/>
      </w:r>
      <w:r>
        <w:t xml:space="preserve"> </w:t>
      </w:r>
      <w:r>
        <w:tab/>
        <w:t>SWD(2016) 218 final Review of greening after one year</w:t>
      </w:r>
    </w:p>
  </w:footnote>
  <w:footnote w:id="38">
    <w:p w:rsidR="003B6E8C" w:rsidRDefault="004678FF">
      <w:pPr>
        <w:pStyle w:val="FootnoteText"/>
      </w:pPr>
      <w:r>
        <w:rPr>
          <w:rStyle w:val="FootnoteReference"/>
        </w:rPr>
        <w:footnoteRef/>
      </w:r>
      <w:r>
        <w:t xml:space="preserve"> </w:t>
      </w:r>
      <w:r>
        <w:tab/>
        <w:t>EU Agriculture Outlook 2016</w:t>
      </w:r>
    </w:p>
  </w:footnote>
  <w:footnote w:id="39">
    <w:p w:rsidR="003B6E8C" w:rsidRDefault="004678FF">
      <w:pPr>
        <w:pStyle w:val="FootnoteText"/>
      </w:pPr>
      <w:r>
        <w:rPr>
          <w:rStyle w:val="FootnoteReference"/>
        </w:rPr>
        <w:footnoteRef/>
      </w:r>
      <w:r>
        <w:t xml:space="preserve"> </w:t>
      </w:r>
      <w:r>
        <w:tab/>
        <w:t xml:space="preserve">Germany, in its </w:t>
      </w:r>
      <w:r>
        <w:t>progress report</w:t>
      </w:r>
    </w:p>
  </w:footnote>
  <w:footnote w:id="40">
    <w:p w:rsidR="003B6E8C" w:rsidRDefault="004678FF">
      <w:pPr>
        <w:pStyle w:val="FootnoteText"/>
      </w:pPr>
      <w:r>
        <w:rPr>
          <w:rStyle w:val="FootnoteReference"/>
        </w:rPr>
        <w:footnoteRef/>
      </w:r>
      <w:r>
        <w:t xml:space="preserve"> </w:t>
      </w:r>
      <w:r>
        <w:tab/>
        <w:t>GLOBIOM modelling, Valin 2016</w:t>
      </w:r>
    </w:p>
  </w:footnote>
  <w:footnote w:id="41">
    <w:p w:rsidR="003B6E8C" w:rsidRDefault="004678FF">
      <w:pPr>
        <w:pStyle w:val="FootnoteText"/>
      </w:pPr>
      <w:r>
        <w:rPr>
          <w:rStyle w:val="FootnoteReference"/>
        </w:rPr>
        <w:footnoteRef/>
      </w:r>
      <w:r>
        <w:t xml:space="preserve"> </w:t>
      </w:r>
      <w:r>
        <w:tab/>
        <w:t>Member States' reports</w:t>
      </w:r>
    </w:p>
  </w:footnote>
  <w:footnote w:id="42">
    <w:p w:rsidR="003B6E8C" w:rsidRDefault="004678FF">
      <w:pPr>
        <w:pStyle w:val="FootnoteText"/>
      </w:pPr>
      <w:r>
        <w:rPr>
          <w:rStyle w:val="FootnoteReference"/>
        </w:rPr>
        <w:footnoteRef/>
      </w:r>
      <w:r>
        <w:t xml:space="preserve"> </w:t>
      </w:r>
      <w:r>
        <w:tab/>
        <w:t>IIASA (Soils suitability mapping, national assesments)</w:t>
      </w:r>
    </w:p>
  </w:footnote>
  <w:footnote w:id="43">
    <w:p w:rsidR="003B6E8C" w:rsidRDefault="004678FF">
      <w:pPr>
        <w:pStyle w:val="FootnoteText"/>
      </w:pPr>
      <w:r>
        <w:rPr>
          <w:rStyle w:val="FootnoteReference"/>
        </w:rPr>
        <w:footnoteRef/>
      </w:r>
      <w:r>
        <w:t xml:space="preserve"> </w:t>
      </w:r>
      <w:r>
        <w:tab/>
        <w:t>EU Agriculture Outlook 2016</w:t>
      </w:r>
    </w:p>
  </w:footnote>
  <w:footnote w:id="44">
    <w:p w:rsidR="003B6E8C" w:rsidRDefault="004678FF">
      <w:pPr>
        <w:pStyle w:val="FootnoteText"/>
      </w:pPr>
      <w:r>
        <w:rPr>
          <w:rStyle w:val="FootnoteReference"/>
        </w:rPr>
        <w:footnoteRef/>
      </w:r>
      <w:r>
        <w:t xml:space="preserve"> </w:t>
      </w:r>
      <w:r>
        <w:tab/>
        <w:t>FAO Food Outlook October 2015</w:t>
      </w:r>
    </w:p>
  </w:footnote>
  <w:footnote w:id="45">
    <w:p w:rsidR="003B6E8C" w:rsidRDefault="004678FF">
      <w:pPr>
        <w:pStyle w:val="FootnoteText"/>
      </w:pPr>
      <w:r>
        <w:rPr>
          <w:rStyle w:val="FootnoteReference"/>
        </w:rPr>
        <w:footnoteRef/>
      </w:r>
      <w:r>
        <w:t xml:space="preserve"> </w:t>
      </w:r>
      <w:r>
        <w:tab/>
        <w:t>OECD-FAO (2016) Agriculture Outlook 2016 - 2025</w:t>
      </w:r>
    </w:p>
  </w:footnote>
  <w:footnote w:id="46">
    <w:p w:rsidR="003B6E8C" w:rsidRDefault="004678FF">
      <w:pPr>
        <w:pStyle w:val="FootnoteText"/>
      </w:pPr>
      <w:r>
        <w:rPr>
          <w:rStyle w:val="FootnoteReference"/>
        </w:rPr>
        <w:footnoteRef/>
      </w:r>
      <w:r>
        <w:t xml:space="preserve"> </w:t>
      </w:r>
      <w:r>
        <w:tab/>
        <w:t xml:space="preserve">IMF, </w:t>
      </w:r>
      <w:r>
        <w:t>World Economic Outlook: subdued demand – symptoms and remedies. October 2016</w:t>
      </w:r>
    </w:p>
  </w:footnote>
  <w:footnote w:id="47">
    <w:p w:rsidR="003B6E8C" w:rsidRDefault="004678FF">
      <w:pPr>
        <w:pStyle w:val="FootnoteText"/>
      </w:pPr>
      <w:r>
        <w:rPr>
          <w:rStyle w:val="FootnoteReference"/>
        </w:rPr>
        <w:footnoteRef/>
      </w:r>
      <w:r>
        <w:t xml:space="preserve"> </w:t>
      </w:r>
      <w:r>
        <w:tab/>
        <w:t>GRAIN report 2016.</w:t>
      </w:r>
    </w:p>
  </w:footnote>
  <w:footnote w:id="48">
    <w:p w:rsidR="003B6E8C" w:rsidRDefault="004678FF">
      <w:pPr>
        <w:pStyle w:val="FootnoteText"/>
      </w:pPr>
      <w:r>
        <w:rPr>
          <w:rStyle w:val="FootnoteReference"/>
        </w:rPr>
        <w:footnoteRef/>
      </w:r>
      <w:r>
        <w:t xml:space="preserve"> Except the Netherlands</w:t>
      </w:r>
    </w:p>
  </w:footnote>
  <w:footnote w:id="49">
    <w:p w:rsidR="003B6E8C" w:rsidRDefault="004678FF">
      <w:pPr>
        <w:pStyle w:val="FootnoteText"/>
      </w:pPr>
      <w:r>
        <w:rPr>
          <w:rStyle w:val="FootnoteReference"/>
        </w:rPr>
        <w:footnoteRef/>
      </w:r>
      <w:r>
        <w:t xml:space="preserve"> As set ut in Annex I of Directive 2009/28/EC</w:t>
      </w:r>
    </w:p>
  </w:footnote>
  <w:footnote w:id="50">
    <w:p w:rsidR="003B6E8C" w:rsidRDefault="004678FF">
      <w:pPr>
        <w:pStyle w:val="FootnoteText"/>
      </w:pPr>
      <w:r>
        <w:rPr>
          <w:rStyle w:val="FootnoteReference"/>
        </w:rPr>
        <w:footnoteRef/>
      </w:r>
      <w:r>
        <w:t xml:space="preserve"> Based on 2015 proxies, Öko Institut. 45% in 2015 based on RES-denominators</w:t>
      </w:r>
    </w:p>
  </w:footnote>
  <w:footnote w:id="51">
    <w:p w:rsidR="003B6E8C" w:rsidRDefault="004678FF">
      <w:pPr>
        <w:pStyle w:val="FootnoteText"/>
      </w:pPr>
      <w:r>
        <w:rPr>
          <w:rStyle w:val="FootnoteReference"/>
        </w:rPr>
        <w:footnoteRef/>
      </w:r>
      <w:r>
        <w:t xml:space="preserve"> In terms of CO2 emissions however, electricity remains a major contirbutor with 41% of EU CO2 emissions</w:t>
      </w:r>
    </w:p>
  </w:footnote>
  <w:footnote w:id="52">
    <w:p w:rsidR="003B6E8C" w:rsidRDefault="004678FF">
      <w:pPr>
        <w:pStyle w:val="FootnoteText"/>
      </w:pPr>
      <w:r>
        <w:rPr>
          <w:rStyle w:val="FootnoteReference"/>
        </w:rPr>
        <w:footnoteRef/>
      </w:r>
      <w:r>
        <w:t xml:space="preserve"> Based on 2015 proxies, Öko Institut. 50% in 2015, excluding multiple counting for transport</w:t>
      </w:r>
    </w:p>
  </w:footnote>
  <w:footnote w:id="53">
    <w:p w:rsidR="003B6E8C" w:rsidRDefault="004678FF">
      <w:pPr>
        <w:pStyle w:val="FootnoteText"/>
      </w:pPr>
      <w:r>
        <w:rPr>
          <w:rStyle w:val="FootnoteReference"/>
        </w:rPr>
        <w:footnoteRef/>
      </w:r>
      <w:r>
        <w:t xml:space="preserve"> Here, wind and solar</w:t>
      </w:r>
    </w:p>
  </w:footnote>
  <w:footnote w:id="54">
    <w:p w:rsidR="003B6E8C" w:rsidRDefault="004678FF">
      <w:pPr>
        <w:pStyle w:val="FootnoteText"/>
      </w:pPr>
      <w:r>
        <w:rPr>
          <w:rStyle w:val="FootnoteReference"/>
        </w:rPr>
        <w:footnoteRef/>
      </w:r>
      <w:r>
        <w:t xml:space="preserve"> Mostly due to changes in account</w:t>
      </w:r>
      <w:r>
        <w:t>ing compliant biofuels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8FF" w:rsidRDefault="004678F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E8C" w:rsidRDefault="003B6E8C">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E8C" w:rsidRDefault="003B6E8C">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E8C" w:rsidRDefault="003B6E8C">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E8C" w:rsidRDefault="003B6E8C">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E8C" w:rsidRDefault="003B6E8C">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E8C" w:rsidRDefault="003B6E8C">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E8C" w:rsidRDefault="003B6E8C">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E8C" w:rsidRDefault="003B6E8C">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E8C" w:rsidRDefault="003B6E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8FF" w:rsidRDefault="004678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8FF" w:rsidRDefault="004678F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E8C" w:rsidRDefault="003B6E8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E8C" w:rsidRDefault="003B6E8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E8C" w:rsidRDefault="003B6E8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E8C" w:rsidRDefault="003B6E8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E8C" w:rsidRDefault="003B6E8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E8C" w:rsidRDefault="003B6E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74266"/>
    <w:multiLevelType w:val="hybridMultilevel"/>
    <w:tmpl w:val="D2A2332A"/>
    <w:lvl w:ilvl="0" w:tplc="56FA5132">
      <w:start w:val="1"/>
      <w:numFmt w:val="lowerLetter"/>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B5E0D25"/>
    <w:multiLevelType w:val="hybridMultilevel"/>
    <w:tmpl w:val="82BA9D7C"/>
    <w:lvl w:ilvl="0" w:tplc="3F5625A2">
      <w:start w:val="1"/>
      <w:numFmt w:val="lowerRoman"/>
      <w:pStyle w:val="Heading3"/>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1D549C7023B46018ED494E7F78EF334"/>
    <w:docVar w:name="LW_CROSSREFERENCE" w:val="&lt;UNUSED&gt;"/>
    <w:docVar w:name="LW_DocType" w:val="NORMAL"/>
    <w:docVar w:name="LW_EMISSION" w:val="1.2.2017"/>
    <w:docVar w:name="LW_EMISSION_ISODATE" w:val="2017-02-01"/>
    <w:docVar w:name="LW_EMISSION_LOCATION" w:val="BRX"/>
    <w:docVar w:name="LW_EMISSION_PREFIX" w:val="Brussels, "/>
    <w:docVar w:name="LW_EMISSION_SUFFIX" w:val=" "/>
    <w:docVar w:name="LW_ID_DOCTYPE_NONLW" w:val="CP-008"/>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57"/>
    <w:docVar w:name="LW_REF.INTERNE" w:val="&lt;UNUSED&gt;"/>
    <w:docVar w:name="LW_SOUS.TITRE.OBJ.CP" w:val="&lt;UNUSED&gt;"/>
    <w:docVar w:name="LW_SUPERTITRE" w:val="&lt;UNUSED&gt;"/>
    <w:docVar w:name="LW_TITRE.OBJ.CP" w:val="Renewable Energy Progress Report"/>
    <w:docVar w:name="LW_TYPE.DOC.CP" w:val="REPORT FROM THE COMMISSION TO THE EUROPEAN PARLIAMENT, THE COUNCIL, THE EUROPEAN ECONOMIC AND SOCIAL COMMITTEE AND THE COMMITTEE OF THE REGIONS"/>
  </w:docVars>
  <w:rsids>
    <w:rsidRoot w:val="003B6E8C"/>
    <w:rsid w:val="003B6E8C"/>
    <w:rsid w:val="004678F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Standardtext"/>
    <w:link w:val="Heading1Char"/>
    <w:qFormat/>
    <w:pPr>
      <w:jc w:val="both"/>
      <w:outlineLvl w:val="0"/>
    </w:pPr>
    <w:rPr>
      <w:rFonts w:ascii="Times New Roman" w:hAnsi="Times New Roman" w:cs="Times New Roman"/>
      <w:b/>
      <w:sz w:val="24"/>
      <w:szCs w:val="24"/>
    </w:rPr>
  </w:style>
  <w:style w:type="paragraph" w:styleId="Heading2">
    <w:name w:val="heading 2"/>
    <w:basedOn w:val="Normal"/>
    <w:next w:val="Standardtext"/>
    <w:link w:val="Heading2Char"/>
    <w:qFormat/>
    <w:pPr>
      <w:numPr>
        <w:numId w:val="1"/>
      </w:numPr>
      <w:jc w:val="both"/>
      <w:outlineLvl w:val="1"/>
    </w:pPr>
    <w:rPr>
      <w:rFonts w:ascii="Times New Roman" w:hAnsi="Times New Roman" w:cs="Times New Roman"/>
      <w:b/>
      <w:bCs/>
      <w:sz w:val="24"/>
      <w:szCs w:val="24"/>
    </w:rPr>
  </w:style>
  <w:style w:type="paragraph" w:styleId="Heading3">
    <w:name w:val="heading 3"/>
    <w:basedOn w:val="Normal"/>
    <w:next w:val="Standardtext"/>
    <w:link w:val="Heading3Char"/>
    <w:qFormat/>
    <w:pPr>
      <w:numPr>
        <w:numId w:val="2"/>
      </w:numPr>
      <w:jc w:val="both"/>
      <w:outlineLvl w:val="2"/>
    </w:pPr>
    <w:rPr>
      <w:rFonts w:ascii="Times New Roman" w:hAnsi="Times New Roman" w:cs="Times New Roman"/>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hAnsi="Times New Roman" w:cs="Times New Roman"/>
      <w:b/>
      <w:sz w:val="24"/>
      <w:szCs w:val="24"/>
    </w:rPr>
  </w:style>
  <w:style w:type="character" w:customStyle="1" w:styleId="Heading2Char">
    <w:name w:val="Heading 2 Char"/>
    <w:basedOn w:val="DefaultParagraphFont"/>
    <w:link w:val="Heading2"/>
    <w:rPr>
      <w:rFonts w:ascii="Times New Roman" w:hAnsi="Times New Roman" w:cs="Times New Roman"/>
      <w:b/>
      <w:bCs/>
      <w:sz w:val="24"/>
      <w:szCs w:val="24"/>
    </w:rPr>
  </w:style>
  <w:style w:type="character" w:customStyle="1" w:styleId="Heading3Char">
    <w:name w:val="Heading 3 Char"/>
    <w:basedOn w:val="DefaultParagraphFont"/>
    <w:link w:val="Heading3"/>
    <w:uiPriority w:val="9"/>
    <w:rPr>
      <w:rFonts w:ascii="Times New Roman" w:hAnsi="Times New Roman" w:cs="Times New Roman"/>
      <w:bCs/>
      <w:i/>
      <w:sz w:val="24"/>
      <w:szCs w:val="24"/>
    </w:rPr>
  </w:style>
  <w:style w:type="character" w:styleId="Hyperlink">
    <w:name w:val="Hyperlink"/>
    <w:uiPriority w:val="99"/>
    <w:rPr>
      <w:color w:val="0000FF"/>
      <w:u w:val="single"/>
    </w:rPr>
  </w:style>
  <w:style w:type="paragraph" w:styleId="FootnoteText">
    <w:name w:val="footnote text"/>
    <w:aliases w:val=" Footnote,-E Fußnotentext,Footnote text,Lábjegyzetszöveg Char1,Lábjegyzetszöveg Char Char,Lábjegyzetszöveg Char1 Char Char Char1,Lábjegyzetszöveg Char Char Char Char Char1,Lábjegyzetszöveg Char2 Char Char Char Char Char,f,labjegyzet_szo,fn"/>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noProof/>
      <w:sz w:val="18"/>
      <w:szCs w:val="18"/>
    </w:rPr>
  </w:style>
  <w:style w:type="character" w:customStyle="1" w:styleId="FootnoteTextChar">
    <w:name w:val="Footnote Text Char"/>
    <w:aliases w:val=" Footnote Char,-E Fußnotentext Char,Footnote text Char,Lábjegyzetszöveg Char1 Char,Lábjegyzetszöveg Char Char Char,Lábjegyzetszöveg Char1 Char Char Char1 Char,Lábjegyzetszöveg Char Char Char Char Char1 Char,f Char,labjegyzet_szo Char"/>
    <w:basedOn w:val="DefaultParagraphFont"/>
    <w:link w:val="FootnoteText"/>
    <w:uiPriority w:val="99"/>
    <w:rPr>
      <w:rFonts w:ascii="Times New Roman" w:eastAsia="Times New Roman" w:hAnsi="Times New Roman" w:cs="Times New Roman"/>
      <w:noProof/>
      <w:sz w:val="18"/>
      <w:szCs w:val="18"/>
    </w:rPr>
  </w:style>
  <w:style w:type="character" w:styleId="FootnoteReference">
    <w:name w:val="footnote reference"/>
    <w:aliases w:val="-E Fuﬂnotenzeichen,-E Fuûnotenzeichen,-E Fußnotenzeichen,number,SUPERS,Footnote Reference Superscript,stylish,Footnote symbol,Footnote Reference Number,Footnote reference number,note TESI,ftref,EN Footnote Reference,(Diplomarbeit FZ)"/>
    <w:link w:val="FootnotesymbolCarZchn"/>
    <w:autoRedefine/>
    <w:uiPriority w:val="99"/>
    <w:unhideWhenUsed/>
    <w:qFormat/>
    <w:rPr>
      <w:sz w:val="20"/>
      <w:szCs w:val="20"/>
      <w:vertAlign w:val="superscript"/>
      <w:lang w:eastAsia="nl-NL"/>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sz w:val="20"/>
      <w:szCs w:val="20"/>
      <w:vertAlign w:val="superscript"/>
      <w:lang w:eastAsia="nl-NL"/>
    </w:rPr>
  </w:style>
  <w:style w:type="paragraph" w:customStyle="1" w:styleId="Standardtext">
    <w:name w:val="Standardtext"/>
    <w:basedOn w:val="Normal"/>
    <w:link w:val="StandardtextZchn"/>
    <w:qFormat/>
    <w:pPr>
      <w:spacing w:after="180" w:line="280" w:lineRule="atLeast"/>
      <w:jc w:val="both"/>
    </w:pPr>
    <w:rPr>
      <w:rFonts w:ascii="Times New Roman" w:hAnsi="Times New Roman" w:cs="Times New Roman"/>
      <w:sz w:val="24"/>
      <w:szCs w:val="24"/>
    </w:rPr>
  </w:style>
  <w:style w:type="character" w:customStyle="1" w:styleId="StandardtextZchn">
    <w:name w:val="Standardtext Zchn"/>
    <w:basedOn w:val="DefaultParagraphFont"/>
    <w:link w:val="Standardtext"/>
    <w:rPr>
      <w:rFonts w:ascii="Times New Roman" w:hAnsi="Times New Roman" w:cs="Times New Roman"/>
      <w:sz w:val="24"/>
      <w:szCs w:val="24"/>
    </w:rPr>
  </w:style>
  <w:style w:type="paragraph" w:styleId="Caption">
    <w:name w:val="caption"/>
    <w:aliases w:val="Tabelle,légende,Legende,Car Car Car Car Car Car,Car Car Car Car Car Car Car,Car Car Car Car Car,Car Car Car Car Car Car Car Car,Car Car Car Car Car Car2 Car Car Car C Car,Car5,Tabelle (Titel),Caption-tables,F10 Table Figure and Chart Title"/>
    <w:basedOn w:val="Normal"/>
    <w:link w:val="CaptionChar"/>
    <w:uiPriority w:val="35"/>
    <w:qFormat/>
    <w:pPr>
      <w:keepNext/>
      <w:tabs>
        <w:tab w:val="left" w:pos="1871"/>
      </w:tabs>
      <w:spacing w:before="140" w:after="140" w:line="280" w:lineRule="atLeast"/>
      <w:ind w:left="1871" w:hanging="1871"/>
      <w:jc w:val="center"/>
    </w:pPr>
    <w:rPr>
      <w:rFonts w:ascii="Times New Roman" w:hAnsi="Times New Roman" w:cs="Times New Roman"/>
      <w:bCs/>
      <w:i/>
      <w:sz w:val="20"/>
      <w:szCs w:val="20"/>
    </w:rPr>
  </w:style>
  <w:style w:type="character" w:customStyle="1" w:styleId="CaptionChar">
    <w:name w:val="Caption Char"/>
    <w:aliases w:val="Tabelle Char,légende Char,Legende Char,Car Car Car Car Car Car Char,Car Car Car Car Car Car Car Char,Car Car Car Car Car Char,Car Car Car Car Car Car Car Car Char,Car Car Car Car Car Car2 Car Car Car C Car Char,Car5 Char,Caption-tables Char"/>
    <w:basedOn w:val="DefaultParagraphFont"/>
    <w:link w:val="Caption"/>
    <w:uiPriority w:val="35"/>
    <w:locked/>
    <w:rPr>
      <w:rFonts w:ascii="Times New Roman" w:hAnsi="Times New Roman" w:cs="Times New Roman"/>
      <w:bCs/>
      <w:i/>
      <w:sz w:val="20"/>
      <w:szCs w:val="20"/>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Heading1Char"/>
    <w:link w:val="HeaderCoverPage"/>
    <w:rPr>
      <w:rFonts w:ascii="Times New Roman" w:hAnsi="Times New Roman" w:cs="Times New Roman"/>
      <w:b w:val="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rPr>
      <w:rFonts w:ascii="Cambria" w:hAnsi="Cambria" w:cs="Times New Roman"/>
      <w:sz w:val="20"/>
      <w:szCs w:val="20"/>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Standardtext"/>
    <w:link w:val="Heading1Char"/>
    <w:qFormat/>
    <w:pPr>
      <w:jc w:val="both"/>
      <w:outlineLvl w:val="0"/>
    </w:pPr>
    <w:rPr>
      <w:rFonts w:ascii="Times New Roman" w:hAnsi="Times New Roman" w:cs="Times New Roman"/>
      <w:b/>
      <w:sz w:val="24"/>
      <w:szCs w:val="24"/>
    </w:rPr>
  </w:style>
  <w:style w:type="paragraph" w:styleId="Heading2">
    <w:name w:val="heading 2"/>
    <w:basedOn w:val="Normal"/>
    <w:next w:val="Standardtext"/>
    <w:link w:val="Heading2Char"/>
    <w:qFormat/>
    <w:pPr>
      <w:numPr>
        <w:numId w:val="1"/>
      </w:numPr>
      <w:jc w:val="both"/>
      <w:outlineLvl w:val="1"/>
    </w:pPr>
    <w:rPr>
      <w:rFonts w:ascii="Times New Roman" w:hAnsi="Times New Roman" w:cs="Times New Roman"/>
      <w:b/>
      <w:bCs/>
      <w:sz w:val="24"/>
      <w:szCs w:val="24"/>
    </w:rPr>
  </w:style>
  <w:style w:type="paragraph" w:styleId="Heading3">
    <w:name w:val="heading 3"/>
    <w:basedOn w:val="Normal"/>
    <w:next w:val="Standardtext"/>
    <w:link w:val="Heading3Char"/>
    <w:qFormat/>
    <w:pPr>
      <w:numPr>
        <w:numId w:val="2"/>
      </w:numPr>
      <w:jc w:val="both"/>
      <w:outlineLvl w:val="2"/>
    </w:pPr>
    <w:rPr>
      <w:rFonts w:ascii="Times New Roman" w:hAnsi="Times New Roman" w:cs="Times New Roman"/>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hAnsi="Times New Roman" w:cs="Times New Roman"/>
      <w:b/>
      <w:sz w:val="24"/>
      <w:szCs w:val="24"/>
    </w:rPr>
  </w:style>
  <w:style w:type="character" w:customStyle="1" w:styleId="Heading2Char">
    <w:name w:val="Heading 2 Char"/>
    <w:basedOn w:val="DefaultParagraphFont"/>
    <w:link w:val="Heading2"/>
    <w:rPr>
      <w:rFonts w:ascii="Times New Roman" w:hAnsi="Times New Roman" w:cs="Times New Roman"/>
      <w:b/>
      <w:bCs/>
      <w:sz w:val="24"/>
      <w:szCs w:val="24"/>
    </w:rPr>
  </w:style>
  <w:style w:type="character" w:customStyle="1" w:styleId="Heading3Char">
    <w:name w:val="Heading 3 Char"/>
    <w:basedOn w:val="DefaultParagraphFont"/>
    <w:link w:val="Heading3"/>
    <w:uiPriority w:val="9"/>
    <w:rPr>
      <w:rFonts w:ascii="Times New Roman" w:hAnsi="Times New Roman" w:cs="Times New Roman"/>
      <w:bCs/>
      <w:i/>
      <w:sz w:val="24"/>
      <w:szCs w:val="24"/>
    </w:rPr>
  </w:style>
  <w:style w:type="character" w:styleId="Hyperlink">
    <w:name w:val="Hyperlink"/>
    <w:uiPriority w:val="99"/>
    <w:rPr>
      <w:color w:val="0000FF"/>
      <w:u w:val="single"/>
    </w:rPr>
  </w:style>
  <w:style w:type="paragraph" w:styleId="FootnoteText">
    <w:name w:val="footnote text"/>
    <w:aliases w:val=" Footnote,-E Fußnotentext,Footnote text,Lábjegyzetszöveg Char1,Lábjegyzetszöveg Char Char,Lábjegyzetszöveg Char1 Char Char Char1,Lábjegyzetszöveg Char Char Char Char Char1,Lábjegyzetszöveg Char2 Char Char Char Char Char,f,labjegyzet_szo,fn"/>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noProof/>
      <w:sz w:val="18"/>
      <w:szCs w:val="18"/>
    </w:rPr>
  </w:style>
  <w:style w:type="character" w:customStyle="1" w:styleId="FootnoteTextChar">
    <w:name w:val="Footnote Text Char"/>
    <w:aliases w:val=" Footnote Char,-E Fußnotentext Char,Footnote text Char,Lábjegyzetszöveg Char1 Char,Lábjegyzetszöveg Char Char Char,Lábjegyzetszöveg Char1 Char Char Char1 Char,Lábjegyzetszöveg Char Char Char Char Char1 Char,f Char,labjegyzet_szo Char"/>
    <w:basedOn w:val="DefaultParagraphFont"/>
    <w:link w:val="FootnoteText"/>
    <w:uiPriority w:val="99"/>
    <w:rPr>
      <w:rFonts w:ascii="Times New Roman" w:eastAsia="Times New Roman" w:hAnsi="Times New Roman" w:cs="Times New Roman"/>
      <w:noProof/>
      <w:sz w:val="18"/>
      <w:szCs w:val="18"/>
    </w:rPr>
  </w:style>
  <w:style w:type="character" w:styleId="FootnoteReference">
    <w:name w:val="footnote reference"/>
    <w:aliases w:val="-E Fuﬂnotenzeichen,-E Fuûnotenzeichen,-E Fußnotenzeichen,number,SUPERS,Footnote Reference Superscript,stylish,Footnote symbol,Footnote Reference Number,Footnote reference number,note TESI,ftref,EN Footnote Reference,(Diplomarbeit FZ)"/>
    <w:link w:val="FootnotesymbolCarZchn"/>
    <w:autoRedefine/>
    <w:uiPriority w:val="99"/>
    <w:unhideWhenUsed/>
    <w:qFormat/>
    <w:rPr>
      <w:sz w:val="20"/>
      <w:szCs w:val="20"/>
      <w:vertAlign w:val="superscript"/>
      <w:lang w:eastAsia="nl-NL"/>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sz w:val="20"/>
      <w:szCs w:val="20"/>
      <w:vertAlign w:val="superscript"/>
      <w:lang w:eastAsia="nl-NL"/>
    </w:rPr>
  </w:style>
  <w:style w:type="paragraph" w:customStyle="1" w:styleId="Standardtext">
    <w:name w:val="Standardtext"/>
    <w:basedOn w:val="Normal"/>
    <w:link w:val="StandardtextZchn"/>
    <w:qFormat/>
    <w:pPr>
      <w:spacing w:after="180" w:line="280" w:lineRule="atLeast"/>
      <w:jc w:val="both"/>
    </w:pPr>
    <w:rPr>
      <w:rFonts w:ascii="Times New Roman" w:hAnsi="Times New Roman" w:cs="Times New Roman"/>
      <w:sz w:val="24"/>
      <w:szCs w:val="24"/>
    </w:rPr>
  </w:style>
  <w:style w:type="character" w:customStyle="1" w:styleId="StandardtextZchn">
    <w:name w:val="Standardtext Zchn"/>
    <w:basedOn w:val="DefaultParagraphFont"/>
    <w:link w:val="Standardtext"/>
    <w:rPr>
      <w:rFonts w:ascii="Times New Roman" w:hAnsi="Times New Roman" w:cs="Times New Roman"/>
      <w:sz w:val="24"/>
      <w:szCs w:val="24"/>
    </w:rPr>
  </w:style>
  <w:style w:type="paragraph" w:styleId="Caption">
    <w:name w:val="caption"/>
    <w:aliases w:val="Tabelle,légende,Legende,Car Car Car Car Car Car,Car Car Car Car Car Car Car,Car Car Car Car Car,Car Car Car Car Car Car Car Car,Car Car Car Car Car Car2 Car Car Car C Car,Car5,Tabelle (Titel),Caption-tables,F10 Table Figure and Chart Title"/>
    <w:basedOn w:val="Normal"/>
    <w:link w:val="CaptionChar"/>
    <w:uiPriority w:val="35"/>
    <w:qFormat/>
    <w:pPr>
      <w:keepNext/>
      <w:tabs>
        <w:tab w:val="left" w:pos="1871"/>
      </w:tabs>
      <w:spacing w:before="140" w:after="140" w:line="280" w:lineRule="atLeast"/>
      <w:ind w:left="1871" w:hanging="1871"/>
      <w:jc w:val="center"/>
    </w:pPr>
    <w:rPr>
      <w:rFonts w:ascii="Times New Roman" w:hAnsi="Times New Roman" w:cs="Times New Roman"/>
      <w:bCs/>
      <w:i/>
      <w:sz w:val="20"/>
      <w:szCs w:val="20"/>
    </w:rPr>
  </w:style>
  <w:style w:type="character" w:customStyle="1" w:styleId="CaptionChar">
    <w:name w:val="Caption Char"/>
    <w:aliases w:val="Tabelle Char,légende Char,Legende Char,Car Car Car Car Car Car Char,Car Car Car Car Car Car Car Char,Car Car Car Car Car Char,Car Car Car Car Car Car Car Car Char,Car Car Car Car Car Car2 Car Car Car C Car Char,Car5 Char,Caption-tables Char"/>
    <w:basedOn w:val="DefaultParagraphFont"/>
    <w:link w:val="Caption"/>
    <w:uiPriority w:val="35"/>
    <w:locked/>
    <w:rPr>
      <w:rFonts w:ascii="Times New Roman" w:hAnsi="Times New Roman" w:cs="Times New Roman"/>
      <w:bCs/>
      <w:i/>
      <w:sz w:val="20"/>
      <w:szCs w:val="20"/>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Heading1Char"/>
    <w:link w:val="HeaderCoverPage"/>
    <w:rPr>
      <w:rFonts w:ascii="Times New Roman" w:hAnsi="Times New Roman" w:cs="Times New Roman"/>
      <w:b w:val="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rPr>
      <w:rFonts w:ascii="Cambria" w:hAnsi="Cambria" w:cs="Times New Roman"/>
      <w:sz w:val="20"/>
      <w:szCs w:val="20"/>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04567">
      <w:bodyDiv w:val="1"/>
      <w:marLeft w:val="0"/>
      <w:marRight w:val="0"/>
      <w:marTop w:val="0"/>
      <w:marBottom w:val="0"/>
      <w:divBdr>
        <w:top w:val="none" w:sz="0" w:space="0" w:color="auto"/>
        <w:left w:val="none" w:sz="0" w:space="0" w:color="auto"/>
        <w:bottom w:val="none" w:sz="0" w:space="0" w:color="auto"/>
        <w:right w:val="none" w:sz="0" w:space="0" w:color="auto"/>
      </w:divBdr>
    </w:div>
    <w:div w:id="295532287">
      <w:bodyDiv w:val="1"/>
      <w:marLeft w:val="0"/>
      <w:marRight w:val="0"/>
      <w:marTop w:val="0"/>
      <w:marBottom w:val="0"/>
      <w:divBdr>
        <w:top w:val="none" w:sz="0" w:space="0" w:color="auto"/>
        <w:left w:val="none" w:sz="0" w:space="0" w:color="auto"/>
        <w:bottom w:val="none" w:sz="0" w:space="0" w:color="auto"/>
        <w:right w:val="none" w:sz="0" w:space="0" w:color="auto"/>
      </w:divBdr>
    </w:div>
    <w:div w:id="416636698">
      <w:bodyDiv w:val="1"/>
      <w:marLeft w:val="0"/>
      <w:marRight w:val="0"/>
      <w:marTop w:val="0"/>
      <w:marBottom w:val="0"/>
      <w:divBdr>
        <w:top w:val="none" w:sz="0" w:space="0" w:color="auto"/>
        <w:left w:val="none" w:sz="0" w:space="0" w:color="auto"/>
        <w:bottom w:val="none" w:sz="0" w:space="0" w:color="auto"/>
        <w:right w:val="none" w:sz="0" w:space="0" w:color="auto"/>
      </w:divBdr>
    </w:div>
    <w:div w:id="467091014">
      <w:bodyDiv w:val="1"/>
      <w:marLeft w:val="0"/>
      <w:marRight w:val="0"/>
      <w:marTop w:val="0"/>
      <w:marBottom w:val="0"/>
      <w:divBdr>
        <w:top w:val="none" w:sz="0" w:space="0" w:color="auto"/>
        <w:left w:val="none" w:sz="0" w:space="0" w:color="auto"/>
        <w:bottom w:val="none" w:sz="0" w:space="0" w:color="auto"/>
        <w:right w:val="none" w:sz="0" w:space="0" w:color="auto"/>
      </w:divBdr>
    </w:div>
    <w:div w:id="578901452">
      <w:bodyDiv w:val="1"/>
      <w:marLeft w:val="0"/>
      <w:marRight w:val="0"/>
      <w:marTop w:val="0"/>
      <w:marBottom w:val="0"/>
      <w:divBdr>
        <w:top w:val="none" w:sz="0" w:space="0" w:color="auto"/>
        <w:left w:val="none" w:sz="0" w:space="0" w:color="auto"/>
        <w:bottom w:val="none" w:sz="0" w:space="0" w:color="auto"/>
        <w:right w:val="none" w:sz="0" w:space="0" w:color="auto"/>
      </w:divBdr>
    </w:div>
    <w:div w:id="594477077">
      <w:bodyDiv w:val="1"/>
      <w:marLeft w:val="0"/>
      <w:marRight w:val="0"/>
      <w:marTop w:val="0"/>
      <w:marBottom w:val="0"/>
      <w:divBdr>
        <w:top w:val="none" w:sz="0" w:space="0" w:color="auto"/>
        <w:left w:val="none" w:sz="0" w:space="0" w:color="auto"/>
        <w:bottom w:val="none" w:sz="0" w:space="0" w:color="auto"/>
        <w:right w:val="none" w:sz="0" w:space="0" w:color="auto"/>
      </w:divBdr>
    </w:div>
    <w:div w:id="606277845">
      <w:bodyDiv w:val="1"/>
      <w:marLeft w:val="0"/>
      <w:marRight w:val="0"/>
      <w:marTop w:val="0"/>
      <w:marBottom w:val="0"/>
      <w:divBdr>
        <w:top w:val="none" w:sz="0" w:space="0" w:color="auto"/>
        <w:left w:val="none" w:sz="0" w:space="0" w:color="auto"/>
        <w:bottom w:val="none" w:sz="0" w:space="0" w:color="auto"/>
        <w:right w:val="none" w:sz="0" w:space="0" w:color="auto"/>
      </w:divBdr>
    </w:div>
    <w:div w:id="658340770">
      <w:bodyDiv w:val="1"/>
      <w:marLeft w:val="0"/>
      <w:marRight w:val="0"/>
      <w:marTop w:val="0"/>
      <w:marBottom w:val="0"/>
      <w:divBdr>
        <w:top w:val="none" w:sz="0" w:space="0" w:color="auto"/>
        <w:left w:val="none" w:sz="0" w:space="0" w:color="auto"/>
        <w:bottom w:val="none" w:sz="0" w:space="0" w:color="auto"/>
        <w:right w:val="none" w:sz="0" w:space="0" w:color="auto"/>
      </w:divBdr>
    </w:div>
    <w:div w:id="678166952">
      <w:bodyDiv w:val="1"/>
      <w:marLeft w:val="0"/>
      <w:marRight w:val="0"/>
      <w:marTop w:val="0"/>
      <w:marBottom w:val="0"/>
      <w:divBdr>
        <w:top w:val="none" w:sz="0" w:space="0" w:color="auto"/>
        <w:left w:val="none" w:sz="0" w:space="0" w:color="auto"/>
        <w:bottom w:val="none" w:sz="0" w:space="0" w:color="auto"/>
        <w:right w:val="none" w:sz="0" w:space="0" w:color="auto"/>
      </w:divBdr>
    </w:div>
    <w:div w:id="735395933">
      <w:bodyDiv w:val="1"/>
      <w:marLeft w:val="0"/>
      <w:marRight w:val="0"/>
      <w:marTop w:val="0"/>
      <w:marBottom w:val="0"/>
      <w:divBdr>
        <w:top w:val="none" w:sz="0" w:space="0" w:color="auto"/>
        <w:left w:val="none" w:sz="0" w:space="0" w:color="auto"/>
        <w:bottom w:val="none" w:sz="0" w:space="0" w:color="auto"/>
        <w:right w:val="none" w:sz="0" w:space="0" w:color="auto"/>
      </w:divBdr>
    </w:div>
    <w:div w:id="785121862">
      <w:bodyDiv w:val="1"/>
      <w:marLeft w:val="0"/>
      <w:marRight w:val="0"/>
      <w:marTop w:val="0"/>
      <w:marBottom w:val="0"/>
      <w:divBdr>
        <w:top w:val="none" w:sz="0" w:space="0" w:color="auto"/>
        <w:left w:val="none" w:sz="0" w:space="0" w:color="auto"/>
        <w:bottom w:val="none" w:sz="0" w:space="0" w:color="auto"/>
        <w:right w:val="none" w:sz="0" w:space="0" w:color="auto"/>
      </w:divBdr>
    </w:div>
    <w:div w:id="807285114">
      <w:bodyDiv w:val="1"/>
      <w:marLeft w:val="0"/>
      <w:marRight w:val="0"/>
      <w:marTop w:val="0"/>
      <w:marBottom w:val="0"/>
      <w:divBdr>
        <w:top w:val="none" w:sz="0" w:space="0" w:color="auto"/>
        <w:left w:val="none" w:sz="0" w:space="0" w:color="auto"/>
        <w:bottom w:val="none" w:sz="0" w:space="0" w:color="auto"/>
        <w:right w:val="none" w:sz="0" w:space="0" w:color="auto"/>
      </w:divBdr>
    </w:div>
    <w:div w:id="807749120">
      <w:bodyDiv w:val="1"/>
      <w:marLeft w:val="0"/>
      <w:marRight w:val="0"/>
      <w:marTop w:val="0"/>
      <w:marBottom w:val="0"/>
      <w:divBdr>
        <w:top w:val="none" w:sz="0" w:space="0" w:color="auto"/>
        <w:left w:val="none" w:sz="0" w:space="0" w:color="auto"/>
        <w:bottom w:val="none" w:sz="0" w:space="0" w:color="auto"/>
        <w:right w:val="none" w:sz="0" w:space="0" w:color="auto"/>
      </w:divBdr>
    </w:div>
    <w:div w:id="829369065">
      <w:bodyDiv w:val="1"/>
      <w:marLeft w:val="0"/>
      <w:marRight w:val="0"/>
      <w:marTop w:val="0"/>
      <w:marBottom w:val="0"/>
      <w:divBdr>
        <w:top w:val="none" w:sz="0" w:space="0" w:color="auto"/>
        <w:left w:val="none" w:sz="0" w:space="0" w:color="auto"/>
        <w:bottom w:val="none" w:sz="0" w:space="0" w:color="auto"/>
        <w:right w:val="none" w:sz="0" w:space="0" w:color="auto"/>
      </w:divBdr>
    </w:div>
    <w:div w:id="1037896932">
      <w:bodyDiv w:val="1"/>
      <w:marLeft w:val="0"/>
      <w:marRight w:val="0"/>
      <w:marTop w:val="0"/>
      <w:marBottom w:val="0"/>
      <w:divBdr>
        <w:top w:val="none" w:sz="0" w:space="0" w:color="auto"/>
        <w:left w:val="none" w:sz="0" w:space="0" w:color="auto"/>
        <w:bottom w:val="none" w:sz="0" w:space="0" w:color="auto"/>
        <w:right w:val="none" w:sz="0" w:space="0" w:color="auto"/>
      </w:divBdr>
    </w:div>
    <w:div w:id="1068839928">
      <w:bodyDiv w:val="1"/>
      <w:marLeft w:val="0"/>
      <w:marRight w:val="0"/>
      <w:marTop w:val="0"/>
      <w:marBottom w:val="0"/>
      <w:divBdr>
        <w:top w:val="none" w:sz="0" w:space="0" w:color="auto"/>
        <w:left w:val="none" w:sz="0" w:space="0" w:color="auto"/>
        <w:bottom w:val="none" w:sz="0" w:space="0" w:color="auto"/>
        <w:right w:val="none" w:sz="0" w:space="0" w:color="auto"/>
      </w:divBdr>
    </w:div>
    <w:div w:id="1115947901">
      <w:bodyDiv w:val="1"/>
      <w:marLeft w:val="0"/>
      <w:marRight w:val="0"/>
      <w:marTop w:val="0"/>
      <w:marBottom w:val="0"/>
      <w:divBdr>
        <w:top w:val="none" w:sz="0" w:space="0" w:color="auto"/>
        <w:left w:val="none" w:sz="0" w:space="0" w:color="auto"/>
        <w:bottom w:val="none" w:sz="0" w:space="0" w:color="auto"/>
        <w:right w:val="none" w:sz="0" w:space="0" w:color="auto"/>
      </w:divBdr>
    </w:div>
    <w:div w:id="1289359372">
      <w:bodyDiv w:val="1"/>
      <w:marLeft w:val="0"/>
      <w:marRight w:val="0"/>
      <w:marTop w:val="0"/>
      <w:marBottom w:val="0"/>
      <w:divBdr>
        <w:top w:val="none" w:sz="0" w:space="0" w:color="auto"/>
        <w:left w:val="none" w:sz="0" w:space="0" w:color="auto"/>
        <w:bottom w:val="none" w:sz="0" w:space="0" w:color="auto"/>
        <w:right w:val="none" w:sz="0" w:space="0" w:color="auto"/>
      </w:divBdr>
    </w:div>
    <w:div w:id="1321494889">
      <w:bodyDiv w:val="1"/>
      <w:marLeft w:val="0"/>
      <w:marRight w:val="0"/>
      <w:marTop w:val="0"/>
      <w:marBottom w:val="0"/>
      <w:divBdr>
        <w:top w:val="none" w:sz="0" w:space="0" w:color="auto"/>
        <w:left w:val="none" w:sz="0" w:space="0" w:color="auto"/>
        <w:bottom w:val="none" w:sz="0" w:space="0" w:color="auto"/>
        <w:right w:val="none" w:sz="0" w:space="0" w:color="auto"/>
      </w:divBdr>
    </w:div>
    <w:div w:id="1331562500">
      <w:bodyDiv w:val="1"/>
      <w:marLeft w:val="0"/>
      <w:marRight w:val="0"/>
      <w:marTop w:val="0"/>
      <w:marBottom w:val="0"/>
      <w:divBdr>
        <w:top w:val="none" w:sz="0" w:space="0" w:color="auto"/>
        <w:left w:val="none" w:sz="0" w:space="0" w:color="auto"/>
        <w:bottom w:val="none" w:sz="0" w:space="0" w:color="auto"/>
        <w:right w:val="none" w:sz="0" w:space="0" w:color="auto"/>
      </w:divBdr>
    </w:div>
    <w:div w:id="1369913299">
      <w:bodyDiv w:val="1"/>
      <w:marLeft w:val="0"/>
      <w:marRight w:val="0"/>
      <w:marTop w:val="0"/>
      <w:marBottom w:val="0"/>
      <w:divBdr>
        <w:top w:val="none" w:sz="0" w:space="0" w:color="auto"/>
        <w:left w:val="none" w:sz="0" w:space="0" w:color="auto"/>
        <w:bottom w:val="none" w:sz="0" w:space="0" w:color="auto"/>
        <w:right w:val="none" w:sz="0" w:space="0" w:color="auto"/>
      </w:divBdr>
    </w:div>
    <w:div w:id="1415204480">
      <w:bodyDiv w:val="1"/>
      <w:marLeft w:val="0"/>
      <w:marRight w:val="0"/>
      <w:marTop w:val="0"/>
      <w:marBottom w:val="0"/>
      <w:divBdr>
        <w:top w:val="none" w:sz="0" w:space="0" w:color="auto"/>
        <w:left w:val="none" w:sz="0" w:space="0" w:color="auto"/>
        <w:bottom w:val="none" w:sz="0" w:space="0" w:color="auto"/>
        <w:right w:val="none" w:sz="0" w:space="0" w:color="auto"/>
      </w:divBdr>
    </w:div>
    <w:div w:id="1429425477">
      <w:bodyDiv w:val="1"/>
      <w:marLeft w:val="0"/>
      <w:marRight w:val="0"/>
      <w:marTop w:val="0"/>
      <w:marBottom w:val="0"/>
      <w:divBdr>
        <w:top w:val="none" w:sz="0" w:space="0" w:color="auto"/>
        <w:left w:val="none" w:sz="0" w:space="0" w:color="auto"/>
        <w:bottom w:val="none" w:sz="0" w:space="0" w:color="auto"/>
        <w:right w:val="none" w:sz="0" w:space="0" w:color="auto"/>
      </w:divBdr>
    </w:div>
    <w:div w:id="1437867755">
      <w:bodyDiv w:val="1"/>
      <w:marLeft w:val="0"/>
      <w:marRight w:val="0"/>
      <w:marTop w:val="0"/>
      <w:marBottom w:val="0"/>
      <w:divBdr>
        <w:top w:val="none" w:sz="0" w:space="0" w:color="auto"/>
        <w:left w:val="none" w:sz="0" w:space="0" w:color="auto"/>
        <w:bottom w:val="none" w:sz="0" w:space="0" w:color="auto"/>
        <w:right w:val="none" w:sz="0" w:space="0" w:color="auto"/>
      </w:divBdr>
    </w:div>
    <w:div w:id="1474443766">
      <w:bodyDiv w:val="1"/>
      <w:marLeft w:val="0"/>
      <w:marRight w:val="0"/>
      <w:marTop w:val="0"/>
      <w:marBottom w:val="0"/>
      <w:divBdr>
        <w:top w:val="none" w:sz="0" w:space="0" w:color="auto"/>
        <w:left w:val="none" w:sz="0" w:space="0" w:color="auto"/>
        <w:bottom w:val="none" w:sz="0" w:space="0" w:color="auto"/>
        <w:right w:val="none" w:sz="0" w:space="0" w:color="auto"/>
      </w:divBdr>
    </w:div>
    <w:div w:id="1689599085">
      <w:bodyDiv w:val="1"/>
      <w:marLeft w:val="0"/>
      <w:marRight w:val="0"/>
      <w:marTop w:val="0"/>
      <w:marBottom w:val="0"/>
      <w:divBdr>
        <w:top w:val="none" w:sz="0" w:space="0" w:color="auto"/>
        <w:left w:val="none" w:sz="0" w:space="0" w:color="auto"/>
        <w:bottom w:val="none" w:sz="0" w:space="0" w:color="auto"/>
        <w:right w:val="none" w:sz="0" w:space="0" w:color="auto"/>
      </w:divBdr>
    </w:div>
    <w:div w:id="1728801409">
      <w:bodyDiv w:val="1"/>
      <w:marLeft w:val="0"/>
      <w:marRight w:val="0"/>
      <w:marTop w:val="0"/>
      <w:marBottom w:val="0"/>
      <w:divBdr>
        <w:top w:val="none" w:sz="0" w:space="0" w:color="auto"/>
        <w:left w:val="none" w:sz="0" w:space="0" w:color="auto"/>
        <w:bottom w:val="none" w:sz="0" w:space="0" w:color="auto"/>
        <w:right w:val="none" w:sz="0" w:space="0" w:color="auto"/>
      </w:divBdr>
    </w:div>
    <w:div w:id="1872648082">
      <w:bodyDiv w:val="1"/>
      <w:marLeft w:val="0"/>
      <w:marRight w:val="0"/>
      <w:marTop w:val="0"/>
      <w:marBottom w:val="0"/>
      <w:divBdr>
        <w:top w:val="none" w:sz="0" w:space="0" w:color="auto"/>
        <w:left w:val="none" w:sz="0" w:space="0" w:color="auto"/>
        <w:bottom w:val="none" w:sz="0" w:space="0" w:color="auto"/>
        <w:right w:val="none" w:sz="0" w:space="0" w:color="auto"/>
      </w:divBdr>
    </w:div>
    <w:div w:id="1977375479">
      <w:bodyDiv w:val="1"/>
      <w:marLeft w:val="0"/>
      <w:marRight w:val="0"/>
      <w:marTop w:val="0"/>
      <w:marBottom w:val="0"/>
      <w:divBdr>
        <w:top w:val="none" w:sz="0" w:space="0" w:color="auto"/>
        <w:left w:val="none" w:sz="0" w:space="0" w:color="auto"/>
        <w:bottom w:val="none" w:sz="0" w:space="0" w:color="auto"/>
        <w:right w:val="none" w:sz="0" w:space="0" w:color="auto"/>
      </w:divBdr>
    </w:div>
    <w:div w:id="2052337973">
      <w:bodyDiv w:val="1"/>
      <w:marLeft w:val="0"/>
      <w:marRight w:val="0"/>
      <w:marTop w:val="0"/>
      <w:marBottom w:val="0"/>
      <w:divBdr>
        <w:top w:val="none" w:sz="0" w:space="0" w:color="auto"/>
        <w:left w:val="none" w:sz="0" w:space="0" w:color="auto"/>
        <w:bottom w:val="none" w:sz="0" w:space="0" w:color="auto"/>
        <w:right w:val="none" w:sz="0" w:space="0" w:color="auto"/>
      </w:divBdr>
    </w:div>
    <w:div w:id="214002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eader" Target="header6.xml"/><Relationship Id="rId39" Type="http://schemas.openxmlformats.org/officeDocument/2006/relationships/footer" Target="footer11.xml"/><Relationship Id="rId21" Type="http://schemas.openxmlformats.org/officeDocument/2006/relationships/image" Target="media/image7.png"/><Relationship Id="rId34" Type="http://schemas.openxmlformats.org/officeDocument/2006/relationships/footer" Target="footer9.xml"/><Relationship Id="rId42" Type="http://schemas.openxmlformats.org/officeDocument/2006/relationships/image" Target="media/image10.emf"/><Relationship Id="rId47" Type="http://schemas.openxmlformats.org/officeDocument/2006/relationships/header" Target="header15.xml"/><Relationship Id="rId50" Type="http://schemas.openxmlformats.org/officeDocument/2006/relationships/header" Target="header16.xml"/><Relationship Id="rId55" Type="http://schemas.openxmlformats.org/officeDocument/2006/relationships/footer" Target="footer1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oter" Target="footer5.xml"/><Relationship Id="rId33" Type="http://schemas.openxmlformats.org/officeDocument/2006/relationships/header" Target="header9.xml"/><Relationship Id="rId38" Type="http://schemas.openxmlformats.org/officeDocument/2006/relationships/footer" Target="footer10.xml"/><Relationship Id="rId46"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eader" Target="header7.xml"/><Relationship Id="rId41" Type="http://schemas.openxmlformats.org/officeDocument/2006/relationships/footer" Target="footer12.xml"/><Relationship Id="rId54"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32" Type="http://schemas.openxmlformats.org/officeDocument/2006/relationships/footer" Target="footer8.xml"/><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footer" Target="footer13.xml"/><Relationship Id="rId53" Type="http://schemas.openxmlformats.org/officeDocument/2006/relationships/footer" Target="footer1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image" Target="media/image8.emf"/><Relationship Id="rId36" Type="http://schemas.openxmlformats.org/officeDocument/2006/relationships/header" Target="header10.xml"/><Relationship Id="rId49" Type="http://schemas.openxmlformats.org/officeDocument/2006/relationships/image" Target="media/image11.emf"/><Relationship Id="rId57"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footer" Target="footer7.xml"/><Relationship Id="rId44" Type="http://schemas.openxmlformats.org/officeDocument/2006/relationships/header" Target="header14.xml"/><Relationship Id="rId52" Type="http://schemas.openxmlformats.org/officeDocument/2006/relationships/footer" Target="footer1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eader" Target="header8.xml"/><Relationship Id="rId35" Type="http://schemas.openxmlformats.org/officeDocument/2006/relationships/image" Target="media/image9.png"/><Relationship Id="rId43" Type="http://schemas.openxmlformats.org/officeDocument/2006/relationships/header" Target="header13.xml"/><Relationship Id="rId48" Type="http://schemas.openxmlformats.org/officeDocument/2006/relationships/footer" Target="footer15.xm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17.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ergy/en/studies" TargetMode="External"/><Relationship Id="rId2" Type="http://schemas.openxmlformats.org/officeDocument/2006/relationships/hyperlink" Target="http://ec.europa.eu/energy/en/studies" TargetMode="External"/><Relationship Id="rId1" Type="http://schemas.openxmlformats.org/officeDocument/2006/relationships/hyperlink" Target="http://eur-lex.europa.eu/legal-content/EN/ALL/?uri=CELEX%3A32009L0028" TargetMode="External"/><Relationship Id="rId5" Type="http://schemas.openxmlformats.org/officeDocument/2006/relationships/hyperlink" Target="http://comtrade.un.org/" TargetMode="External"/><Relationship Id="rId4" Type="http://schemas.openxmlformats.org/officeDocument/2006/relationships/hyperlink" Target="https://ec.europa.eu/energy/sites/ener/files/documents/20160713%20draft_publication_REF2016_v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2DB6C-8731-4FB7-B9C8-8D175F040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4299</Words>
  <Characters>24506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WADHWANIA Nadia (MARE-EXT)</cp:lastModifiedBy>
  <cp:revision>18</cp:revision>
  <cp:lastPrinted>2017-01-26T17:22:00Z</cp:lastPrinted>
  <dcterms:created xsi:type="dcterms:W3CDTF">2017-01-26T17:44:00Z</dcterms:created>
  <dcterms:modified xsi:type="dcterms:W3CDTF">2017-01-31T12:08:00Z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