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D9" w:rsidRDefault="00731628" w:rsidP="0073162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E2B932840524A48AF7874E3F5199E0C" style="width:450.7pt;height:477.8pt">
            <v:imagedata r:id="rId12" o:title=""/>
          </v:shape>
        </w:pict>
      </w:r>
    </w:p>
    <w:bookmarkEnd w:id="0"/>
    <w:p w:rsidR="00A67AD9" w:rsidRDefault="00A67AD9">
      <w:pPr>
        <w:spacing w:after="120"/>
        <w:rPr>
          <w:noProof/>
        </w:rPr>
        <w:sectPr w:rsidR="00A67AD9" w:rsidSect="00731628">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A67AD9" w:rsidRDefault="00A67AD9">
      <w:pPr>
        <w:spacing w:after="120"/>
        <w:jc w:val="left"/>
        <w:rPr>
          <w:b/>
          <w:noProof/>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A67AD9">
        <w:tc>
          <w:tcPr>
            <w:tcW w:w="9889" w:type="dxa"/>
            <w:tcBorders>
              <w:right w:val="single" w:sz="4" w:space="0" w:color="auto"/>
            </w:tcBorders>
            <w:shd w:val="clear" w:color="auto" w:fill="0000FF"/>
            <w:vAlign w:val="center"/>
          </w:tcPr>
          <w:p w:rsidR="00A67AD9" w:rsidRDefault="00731628">
            <w:pPr>
              <w:jc w:val="center"/>
              <w:rPr>
                <w:b/>
                <w:noProof/>
              </w:rPr>
            </w:pPr>
            <w:r>
              <w:rPr>
                <w:b/>
                <w:noProof/>
              </w:rPr>
              <w:t>A. Nécessité d’une action</w:t>
            </w:r>
          </w:p>
        </w:tc>
      </w:tr>
      <w:tr w:rsidR="00A67AD9">
        <w:tc>
          <w:tcPr>
            <w:tcW w:w="9889" w:type="dxa"/>
            <w:tcBorders>
              <w:right w:val="single" w:sz="4" w:space="0" w:color="auto"/>
            </w:tcBorders>
            <w:shd w:val="clear" w:color="auto" w:fill="E6E6E6"/>
            <w:vAlign w:val="center"/>
          </w:tcPr>
          <w:p w:rsidR="00A67AD9" w:rsidRDefault="00731628">
            <w:pPr>
              <w:rPr>
                <w:b/>
                <w:noProof/>
              </w:rPr>
            </w:pPr>
            <w:r>
              <w:rPr>
                <w:b/>
                <w:noProof/>
              </w:rPr>
              <w:t>Quel est le problème et en quoi est-ce un problème?</w:t>
            </w:r>
          </w:p>
        </w:tc>
      </w:tr>
      <w:tr w:rsidR="00A67AD9">
        <w:tc>
          <w:tcPr>
            <w:tcW w:w="9889" w:type="dxa"/>
            <w:tcBorders>
              <w:right w:val="single" w:sz="4" w:space="0" w:color="auto"/>
            </w:tcBorders>
            <w:shd w:val="clear" w:color="auto" w:fill="auto"/>
            <w:vAlign w:val="center"/>
          </w:tcPr>
          <w:p w:rsidR="00A67AD9" w:rsidRDefault="00731628">
            <w:pPr>
              <w:spacing w:after="120"/>
              <w:rPr>
                <w:noProof/>
              </w:rPr>
            </w:pPr>
            <w:bookmarkStart w:id="1" w:name="_GoBack"/>
            <w:r>
              <w:rPr>
                <w:noProof/>
              </w:rPr>
              <w:t xml:space="preserve">L’analyse d’impact a été réalisée parallèlement à l’évaluation ex post de la directive «vie privée et communications électroniques» (ePD) dans le cadre du programme pour une réglementation affûtée et performante (REFIT). </w:t>
            </w:r>
          </w:p>
          <w:p w:rsidR="00A67AD9" w:rsidRDefault="00731628">
            <w:pPr>
              <w:spacing w:after="120"/>
              <w:rPr>
                <w:noProof/>
                <w:color w:val="000000"/>
              </w:rPr>
            </w:pPr>
            <w:r>
              <w:rPr>
                <w:noProof/>
              </w:rPr>
              <w:t xml:space="preserve">La conclusion générale est que </w:t>
            </w:r>
            <w:r>
              <w:rPr>
                <w:noProof/>
                <w:color w:val="000000"/>
              </w:rPr>
              <w:t>les</w:t>
            </w:r>
            <w:r>
              <w:rPr>
                <w:noProof/>
                <w:color w:val="000000"/>
              </w:rPr>
              <w:t xml:space="preserve"> objectifs de la directive ePD sont toujours pertinents</w:t>
            </w:r>
            <w:r>
              <w:rPr>
                <w:noProof/>
              </w:rPr>
              <w:t>.</w:t>
            </w:r>
          </w:p>
          <w:p w:rsidR="00A67AD9" w:rsidRDefault="00731628">
            <w:pPr>
              <w:rPr>
                <w:noProof/>
              </w:rPr>
            </w:pPr>
            <w:r>
              <w:rPr>
                <w:noProof/>
              </w:rPr>
              <w:t>L’évaluation REFIT a permis de relever trois principales catégories de problèmes:</w:t>
            </w:r>
          </w:p>
          <w:p w:rsidR="00A67AD9" w:rsidRDefault="00731628">
            <w:pPr>
              <w:pStyle w:val="ListParagraph"/>
              <w:numPr>
                <w:ilvl w:val="0"/>
                <w:numId w:val="40"/>
              </w:numPr>
              <w:pBdr>
                <w:top w:val="nil"/>
                <w:left w:val="nil"/>
                <w:bottom w:val="nil"/>
                <w:right w:val="nil"/>
                <w:between w:val="nil"/>
                <w:bar w:val="nil"/>
              </w:pBdr>
              <w:spacing w:before="0" w:after="200"/>
              <w:rPr>
                <w:noProof/>
              </w:rPr>
            </w:pPr>
            <w:r>
              <w:rPr>
                <w:noProof/>
              </w:rPr>
              <w:t>la vie privée des citoyens lorsqu’ils communiquent en ligne n’est pas suffisamment et efficacement protégée;</w:t>
            </w:r>
          </w:p>
          <w:p w:rsidR="00A67AD9" w:rsidRDefault="00731628">
            <w:pPr>
              <w:pStyle w:val="ListParagraph"/>
              <w:numPr>
                <w:ilvl w:val="0"/>
                <w:numId w:val="40"/>
              </w:numPr>
              <w:pBdr>
                <w:top w:val="nil"/>
                <w:left w:val="nil"/>
                <w:bottom w:val="nil"/>
                <w:right w:val="nil"/>
                <w:between w:val="nil"/>
                <w:bar w:val="nil"/>
              </w:pBdr>
              <w:spacing w:before="0" w:after="200"/>
              <w:rPr>
                <w:noProof/>
              </w:rPr>
            </w:pPr>
            <w:r>
              <w:rPr>
                <w:noProof/>
              </w:rPr>
              <w:t xml:space="preserve">les </w:t>
            </w:r>
            <w:r>
              <w:rPr>
                <w:noProof/>
              </w:rPr>
              <w:t>citoyens ne sont pas protégés efficacement contre les communications commerciales non sollicitées;</w:t>
            </w:r>
          </w:p>
          <w:p w:rsidR="00A67AD9" w:rsidRDefault="00731628">
            <w:pPr>
              <w:pStyle w:val="ListParagraph"/>
              <w:numPr>
                <w:ilvl w:val="0"/>
                <w:numId w:val="40"/>
              </w:numPr>
              <w:pBdr>
                <w:top w:val="nil"/>
                <w:left w:val="nil"/>
                <w:bottom w:val="nil"/>
                <w:right w:val="nil"/>
                <w:between w:val="nil"/>
                <w:bar w:val="nil"/>
              </w:pBdr>
              <w:spacing w:before="0" w:after="200"/>
              <w:rPr>
                <w:noProof/>
              </w:rPr>
            </w:pPr>
            <w:r>
              <w:rPr>
                <w:noProof/>
              </w:rPr>
              <w:t>les entreprises sont confrontées à des obstacles dus au morcellement de la législation et à des interprétations juridiques divergentes dans les différents Ét</w:t>
            </w:r>
            <w:r>
              <w:rPr>
                <w:noProof/>
              </w:rPr>
              <w:t>ats membres ainsi qu’à des dispositions obscures et obsolètes.</w:t>
            </w:r>
          </w:p>
          <w:p w:rsidR="00A67AD9" w:rsidRDefault="00731628">
            <w:pPr>
              <w:spacing w:after="120"/>
              <w:rPr>
                <w:noProof/>
                <w:color w:val="000000"/>
              </w:rPr>
            </w:pPr>
            <w:r>
              <w:rPr>
                <w:noProof/>
                <w:color w:val="000000"/>
              </w:rPr>
              <w:t>L’évaluation REFIT a également conclu qu’il existe des possibilités de simplification, notamment en ce qui concerne certaines dispositions obsolètes ou inutiles et les règles d’application.</w:t>
            </w:r>
          </w:p>
          <w:p w:rsidR="00A67AD9" w:rsidRDefault="00731628">
            <w:pPr>
              <w:spacing w:after="120"/>
              <w:rPr>
                <w:b/>
                <w:i/>
                <w:noProof/>
              </w:rPr>
            </w:pPr>
            <w:r>
              <w:rPr>
                <w:noProof/>
                <w:color w:val="000000"/>
              </w:rPr>
              <w:t>Cet</w:t>
            </w:r>
            <w:r>
              <w:rPr>
                <w:noProof/>
                <w:color w:val="000000"/>
              </w:rPr>
              <w:t>te conclusion est également corroborée par un avis de la plateforme REFIT, qui recommande que la protection de la vie privée du citoyen soit renforcée grâce à un alignement de la directive «vie privée et communications électroniques» avec le règlement géné</w:t>
            </w:r>
            <w:r>
              <w:rPr>
                <w:noProof/>
                <w:color w:val="000000"/>
              </w:rPr>
              <w:t>ral sur la protection des données, que des exceptions soient ajoutées à la règle du «consentement» pour le dépôt de cookies et que la Commission traite les problèmes nationaux de mise en œuvre.</w:t>
            </w:r>
          </w:p>
        </w:tc>
      </w:tr>
      <w:bookmarkEnd w:id="1"/>
      <w:tr w:rsidR="00A67AD9">
        <w:tc>
          <w:tcPr>
            <w:tcW w:w="9889" w:type="dxa"/>
            <w:tcBorders>
              <w:right w:val="single" w:sz="4" w:space="0" w:color="auto"/>
            </w:tcBorders>
            <w:shd w:val="clear" w:color="auto" w:fill="E6E6E6"/>
            <w:vAlign w:val="center"/>
          </w:tcPr>
          <w:p w:rsidR="00A67AD9" w:rsidRDefault="00731628">
            <w:pPr>
              <w:rPr>
                <w:b/>
                <w:noProof/>
              </w:rPr>
            </w:pPr>
            <w:r>
              <w:rPr>
                <w:b/>
                <w:noProof/>
              </w:rPr>
              <w:t>Quels sont les objectifs à atteindre?</w:t>
            </w:r>
          </w:p>
        </w:tc>
      </w:tr>
      <w:tr w:rsidR="00A67AD9">
        <w:tc>
          <w:tcPr>
            <w:tcW w:w="9889" w:type="dxa"/>
            <w:tcBorders>
              <w:right w:val="single" w:sz="4" w:space="0" w:color="auto"/>
            </w:tcBorders>
            <w:shd w:val="clear" w:color="auto" w:fill="auto"/>
            <w:vAlign w:val="center"/>
          </w:tcPr>
          <w:p w:rsidR="00A67AD9" w:rsidRDefault="00731628">
            <w:pPr>
              <w:rPr>
                <w:bCs/>
                <w:noProof/>
              </w:rPr>
            </w:pPr>
            <w:r>
              <w:rPr>
                <w:noProof/>
              </w:rPr>
              <w:t xml:space="preserve">Les objectifs </w:t>
            </w:r>
            <w:r>
              <w:rPr>
                <w:noProof/>
              </w:rPr>
              <w:t>spécifiques de la révision sont les suivants:</w:t>
            </w:r>
          </w:p>
          <w:p w:rsidR="00A67AD9" w:rsidRDefault="00731628">
            <w:pPr>
              <w:pStyle w:val="ListParagraph"/>
              <w:numPr>
                <w:ilvl w:val="0"/>
                <w:numId w:val="38"/>
              </w:numPr>
              <w:spacing w:before="0"/>
              <w:ind w:right="-29"/>
              <w:rPr>
                <w:noProof/>
              </w:rPr>
            </w:pPr>
            <w:r>
              <w:rPr>
                <w:noProof/>
              </w:rPr>
              <w:t>garantir la confidentialité effective des communications électroniques;</w:t>
            </w:r>
          </w:p>
          <w:p w:rsidR="00A67AD9" w:rsidRDefault="00731628">
            <w:pPr>
              <w:pStyle w:val="ListParagraph"/>
              <w:numPr>
                <w:ilvl w:val="0"/>
                <w:numId w:val="38"/>
              </w:numPr>
              <w:spacing w:before="0"/>
              <w:ind w:right="-29"/>
              <w:rPr>
                <w:noProof/>
              </w:rPr>
            </w:pPr>
            <w:r>
              <w:rPr>
                <w:noProof/>
              </w:rPr>
              <w:t>assurer une protection réelle contre les communications commerciales non sollicitées;</w:t>
            </w:r>
          </w:p>
          <w:p w:rsidR="00A67AD9" w:rsidRDefault="00731628">
            <w:pPr>
              <w:pStyle w:val="ListParagraph"/>
              <w:numPr>
                <w:ilvl w:val="0"/>
                <w:numId w:val="38"/>
              </w:numPr>
              <w:spacing w:before="0"/>
              <w:ind w:right="-29"/>
              <w:rPr>
                <w:noProof/>
              </w:rPr>
            </w:pPr>
            <w:r>
              <w:rPr>
                <w:noProof/>
              </w:rPr>
              <w:t xml:space="preserve">renforcer l’harmonisation et la </w:t>
            </w:r>
            <w:r>
              <w:rPr>
                <w:noProof/>
              </w:rPr>
              <w:t>simplification/l’actualisation du cadre juridique.</w:t>
            </w:r>
          </w:p>
        </w:tc>
      </w:tr>
      <w:tr w:rsidR="00A67AD9">
        <w:trPr>
          <w:trHeight w:val="351"/>
        </w:trPr>
        <w:tc>
          <w:tcPr>
            <w:tcW w:w="9889" w:type="dxa"/>
            <w:tcBorders>
              <w:right w:val="single" w:sz="4" w:space="0" w:color="auto"/>
            </w:tcBorders>
            <w:shd w:val="clear" w:color="auto" w:fill="E6E6E6"/>
            <w:vAlign w:val="center"/>
          </w:tcPr>
          <w:p w:rsidR="00A67AD9" w:rsidRDefault="00731628">
            <w:pPr>
              <w:rPr>
                <w:b/>
                <w:noProof/>
              </w:rPr>
            </w:pPr>
            <w:r>
              <w:rPr>
                <w:b/>
                <w:noProof/>
              </w:rPr>
              <w:t>Quelle est la valeur ajoutée de l’action au niveau de l’Union?</w:t>
            </w:r>
          </w:p>
        </w:tc>
      </w:tr>
      <w:tr w:rsidR="00A67AD9">
        <w:tc>
          <w:tcPr>
            <w:tcW w:w="9889" w:type="dxa"/>
            <w:tcBorders>
              <w:right w:val="single" w:sz="4" w:space="0" w:color="auto"/>
            </w:tcBorders>
            <w:shd w:val="clear" w:color="auto" w:fill="auto"/>
            <w:vAlign w:val="center"/>
          </w:tcPr>
          <w:p w:rsidR="00A67AD9" w:rsidRDefault="00731628">
            <w:pPr>
              <w:rPr>
                <w:noProof/>
              </w:rPr>
            </w:pPr>
            <w:r>
              <w:rPr>
                <w:noProof/>
              </w:rPr>
              <w:t>Étant donné que les communications électroniques, en particulier celles fondées sur les protocoles Internet, ont une portée mondiale, la dimension du problème dépasse largement le territoire de chaque État membre. Les règles nationales sur la confidentiali</w:t>
            </w:r>
            <w:r>
              <w:rPr>
                <w:noProof/>
              </w:rPr>
              <w:t xml:space="preserve">té des communications diffèrent grandement en termes de portée et de contenu. Bien qu’il soit possible pour les États membres d’adopter des mesures qui garantissent le respect de ce droit, l'objectif ne serait pas atteint de façon uniforme en l’absence de </w:t>
            </w:r>
            <w:r>
              <w:rPr>
                <w:noProof/>
              </w:rPr>
              <w:t>règles communes à l’Union et cela entraverait les flux transfrontières de données à caractère personnel liés à l’utilisation de services de communications électroniques vers d’autres États membres qui ne respectent pas les mêmes normes en matière de protec</w:t>
            </w:r>
            <w:r>
              <w:rPr>
                <w:noProof/>
              </w:rPr>
              <w:t xml:space="preserve">tion des données. </w:t>
            </w:r>
          </w:p>
          <w:p w:rsidR="00A67AD9" w:rsidRDefault="00731628">
            <w:pPr>
              <w:autoSpaceDE w:val="0"/>
              <w:autoSpaceDN w:val="0"/>
              <w:adjustRightInd w:val="0"/>
              <w:rPr>
                <w:b/>
                <w:i/>
                <w:noProof/>
              </w:rPr>
            </w:pPr>
            <w:r>
              <w:rPr>
                <w:noProof/>
                <w:color w:val="000000"/>
              </w:rPr>
              <w:t>La révision à venir de la directive «vie privée et communications électroniques» est jugée conforme aux principes de subsidiarité et de proportionnalité car elle préserve à la fois la volonté d’harmonisation et les mécanismes de coopérat</w:t>
            </w:r>
            <w:r>
              <w:rPr>
                <w:noProof/>
                <w:color w:val="000000"/>
              </w:rPr>
              <w:t xml:space="preserve">ion, tout en autorisant les États membres à prendre </w:t>
            </w:r>
            <w:r>
              <w:rPr>
                <w:noProof/>
                <w:color w:val="000000"/>
              </w:rPr>
              <w:lastRenderedPageBreak/>
              <w:t>des mesures dérogatoires nationales à des fins légitimes spécifiques.</w:t>
            </w:r>
          </w:p>
        </w:tc>
      </w:tr>
      <w:tr w:rsidR="00A67AD9">
        <w:trPr>
          <w:trHeight w:val="338"/>
        </w:trPr>
        <w:tc>
          <w:tcPr>
            <w:tcW w:w="9889" w:type="dxa"/>
            <w:tcBorders>
              <w:right w:val="single" w:sz="4" w:space="0" w:color="auto"/>
            </w:tcBorders>
            <w:shd w:val="clear" w:color="auto" w:fill="0000FF"/>
            <w:vAlign w:val="center"/>
          </w:tcPr>
          <w:p w:rsidR="00A67AD9" w:rsidRDefault="00731628">
            <w:pPr>
              <w:jc w:val="center"/>
              <w:rPr>
                <w:b/>
                <w:noProof/>
              </w:rPr>
            </w:pPr>
            <w:r>
              <w:rPr>
                <w:b/>
                <w:noProof/>
              </w:rPr>
              <w:lastRenderedPageBreak/>
              <w:t>B. Les solutions</w:t>
            </w:r>
          </w:p>
        </w:tc>
      </w:tr>
      <w:tr w:rsidR="00A67AD9">
        <w:tc>
          <w:tcPr>
            <w:tcW w:w="9889" w:type="dxa"/>
            <w:tcBorders>
              <w:right w:val="single" w:sz="4" w:space="0" w:color="auto"/>
            </w:tcBorders>
            <w:shd w:val="clear" w:color="auto" w:fill="E6E6E6"/>
            <w:vAlign w:val="center"/>
          </w:tcPr>
          <w:p w:rsidR="00A67AD9" w:rsidRDefault="00731628">
            <w:pPr>
              <w:rPr>
                <w:b/>
                <w:noProof/>
              </w:rPr>
            </w:pPr>
            <w:r>
              <w:rPr>
                <w:b/>
                <w:noProof/>
              </w:rPr>
              <w:t xml:space="preserve">Quelles sont les différentes options pour atteindre les objectifs? Y a-t-il une option privilégiée? Si tel n'est </w:t>
            </w:r>
            <w:r>
              <w:rPr>
                <w:b/>
                <w:noProof/>
              </w:rPr>
              <w:t>pas le cas, pourquoi?</w:t>
            </w:r>
          </w:p>
        </w:tc>
      </w:tr>
      <w:tr w:rsidR="00A67AD9">
        <w:tc>
          <w:tcPr>
            <w:tcW w:w="9889" w:type="dxa"/>
            <w:tcBorders>
              <w:right w:val="single" w:sz="4" w:space="0" w:color="auto"/>
            </w:tcBorders>
            <w:shd w:val="clear" w:color="auto" w:fill="auto"/>
            <w:vAlign w:val="center"/>
          </w:tcPr>
          <w:p w:rsidR="00A67AD9" w:rsidRDefault="00731628">
            <w:pPr>
              <w:spacing w:after="120"/>
              <w:rPr>
                <w:bCs/>
                <w:noProof/>
                <w:color w:val="000000"/>
              </w:rPr>
            </w:pPr>
            <w:r>
              <w:rPr>
                <w:noProof/>
              </w:rPr>
              <w:t>Les options sont regroupées par ordre croissant d’ambition (l’option 1 est la moins ambitieuse et l’option 4 est la plus ambitieuse) quant à la réalisation des objectifs susmentionnés (vie privée et simplification). L’option 5 envisa</w:t>
            </w:r>
            <w:r>
              <w:rPr>
                <w:noProof/>
              </w:rPr>
              <w:t>ge l’abrogation de la directive ePD.</w:t>
            </w:r>
          </w:p>
          <w:p w:rsidR="00A67AD9" w:rsidRDefault="00731628">
            <w:pPr>
              <w:pStyle w:val="ListParagraph"/>
              <w:numPr>
                <w:ilvl w:val="0"/>
                <w:numId w:val="42"/>
              </w:numPr>
              <w:rPr>
                <w:b/>
                <w:noProof/>
              </w:rPr>
            </w:pPr>
            <w:bookmarkStart w:id="2" w:name="_Toc460514682"/>
            <w:r>
              <w:rPr>
                <w:b/>
                <w:noProof/>
                <w:u w:val="single"/>
              </w:rPr>
              <w:t>Option 1</w:t>
            </w:r>
            <w:r>
              <w:rPr>
                <w:b/>
                <w:noProof/>
              </w:rPr>
              <w:t>: Mesures non législatives (non contraignantes)</w:t>
            </w:r>
            <w:bookmarkEnd w:id="2"/>
            <w:r>
              <w:rPr>
                <w:noProof/>
              </w:rPr>
              <w:t>:</w:t>
            </w:r>
            <w:r>
              <w:rPr>
                <w:b/>
                <w:noProof/>
              </w:rPr>
              <w:t xml:space="preserve"> </w:t>
            </w:r>
            <w:r>
              <w:rPr>
                <w:noProof/>
              </w:rPr>
              <w:t>elle prévoit des instructions fournies par la Commission, la promotion d’initiatives d’autorégulation et d’autres mesures non contraignantes.</w:t>
            </w:r>
          </w:p>
          <w:p w:rsidR="00A67AD9" w:rsidRDefault="00731628">
            <w:pPr>
              <w:pStyle w:val="ListParagraph"/>
              <w:numPr>
                <w:ilvl w:val="0"/>
                <w:numId w:val="42"/>
              </w:numPr>
              <w:rPr>
                <w:b/>
                <w:noProof/>
              </w:rPr>
            </w:pPr>
            <w:bookmarkStart w:id="3" w:name="_Toc460514683"/>
            <w:r>
              <w:rPr>
                <w:b/>
                <w:noProof/>
                <w:u w:val="single"/>
              </w:rPr>
              <w:t>Option 2</w:t>
            </w:r>
            <w:r>
              <w:rPr>
                <w:b/>
                <w:noProof/>
              </w:rPr>
              <w:t>: Renforceme</w:t>
            </w:r>
            <w:r>
              <w:rPr>
                <w:b/>
                <w:noProof/>
              </w:rPr>
              <w:t xml:space="preserve">nt limité du respect de la vie privée/confidentialité et </w:t>
            </w:r>
            <w:bookmarkEnd w:id="3"/>
            <w:r>
              <w:rPr>
                <w:b/>
                <w:noProof/>
              </w:rPr>
              <w:t>harmonisation</w:t>
            </w:r>
            <w:r>
              <w:rPr>
                <w:noProof/>
              </w:rPr>
              <w:t xml:space="preserve">: cette option prévoit un renforcement minimal des droits liés au respect de la vie privée/confidentialité (en clarifiant le champ d’application de l’instrument juridique «vie privée et </w:t>
            </w:r>
            <w:r>
              <w:rPr>
                <w:noProof/>
              </w:rPr>
              <w:t>communications électroniques» pour couvrir les OTT, le WiFi accessible au public et les dispositifs IdO) et une protection contre les appels non sollicités (en précisant les règles actuelles et en imposant un indicatif standard) ainsi qu’une simplification</w:t>
            </w:r>
            <w:r>
              <w:rPr>
                <w:noProof/>
              </w:rPr>
              <w:t xml:space="preserve"> (abrogation des dispositions en matière de sécurité, renforcement de la coopération dans les affaires transfrontières).</w:t>
            </w:r>
          </w:p>
          <w:p w:rsidR="00A67AD9" w:rsidRDefault="00731628">
            <w:pPr>
              <w:pStyle w:val="ListParagraph"/>
              <w:numPr>
                <w:ilvl w:val="0"/>
                <w:numId w:val="42"/>
              </w:numPr>
              <w:rPr>
                <w:b/>
                <w:noProof/>
              </w:rPr>
            </w:pPr>
            <w:r>
              <w:rPr>
                <w:b/>
                <w:noProof/>
                <w:u w:val="single"/>
              </w:rPr>
              <w:t>Option 3</w:t>
            </w:r>
            <w:r>
              <w:rPr>
                <w:b/>
                <w:noProof/>
              </w:rPr>
              <w:t>: Renforcement modéré du respect de la vie privée/confidentialité et harmonisation</w:t>
            </w:r>
            <w:r>
              <w:rPr>
                <w:noProof/>
              </w:rPr>
              <w:t>:</w:t>
            </w:r>
            <w:r>
              <w:rPr>
                <w:b/>
                <w:noProof/>
              </w:rPr>
              <w:t xml:space="preserve"> </w:t>
            </w:r>
            <w:r>
              <w:rPr>
                <w:noProof/>
              </w:rPr>
              <w:t>cette option prévoit un renforcement plus s</w:t>
            </w:r>
            <w:r>
              <w:rPr>
                <w:noProof/>
              </w:rPr>
              <w:t>ignificatif des droits liés au respect de la vie privée/confidentialité (extension du champ d’application, transparence accrue des paramètres de confidentialité, plus grande transparence, renforcement des pouvoirs d’exécution), une protection contre les co</w:t>
            </w:r>
            <w:r>
              <w:rPr>
                <w:noProof/>
              </w:rPr>
              <w:t>mmunications non sollicitées (introduction du consentement préalable pour les appels commerciaux) et une simplification (extension des exceptions, poursuite de l’abrogation des dispositions inutiles et rationalisation de l’exécution en confiant des pouvoir</w:t>
            </w:r>
            <w:r>
              <w:rPr>
                <w:noProof/>
              </w:rPr>
              <w:t>s aux autorités chargées de la mise en œuvre du règlement général sur la protection des données et en étendant le mécanisme de contrôle de la cohérence dudit règlement).</w:t>
            </w:r>
          </w:p>
          <w:p w:rsidR="00A67AD9" w:rsidRDefault="00731628">
            <w:pPr>
              <w:pStyle w:val="ListParagraph"/>
              <w:numPr>
                <w:ilvl w:val="0"/>
                <w:numId w:val="42"/>
              </w:numPr>
              <w:rPr>
                <w:b/>
                <w:noProof/>
              </w:rPr>
            </w:pPr>
            <w:r>
              <w:rPr>
                <w:b/>
                <w:noProof/>
                <w:u w:val="single"/>
              </w:rPr>
              <w:t>Option 4</w:t>
            </w:r>
            <w:r>
              <w:rPr>
                <w:b/>
                <w:noProof/>
              </w:rPr>
              <w:t>: Renforcement important du respect de la vie privée/confidentialité et harmon</w:t>
            </w:r>
            <w:r>
              <w:rPr>
                <w:b/>
                <w:noProof/>
              </w:rPr>
              <w:t xml:space="preserve">isation: </w:t>
            </w:r>
            <w:r>
              <w:rPr>
                <w:noProof/>
              </w:rPr>
              <w:t>cette option prévoit des mesures beaucoup plus ambitieuses que l’option 3, telle qu’une interdiction générale des «cookie walls», l’abrogation de l’exception relative aux relations commerciales antérieures pour les courriels et les SMS commerciaux</w:t>
            </w:r>
            <w:r>
              <w:rPr>
                <w:noProof/>
              </w:rPr>
              <w:t>, ainsi que de nouvelles abrogations et de nouveaux pouvoirs d’exécution de la Commission.</w:t>
            </w:r>
          </w:p>
          <w:p w:rsidR="00A67AD9" w:rsidRDefault="00731628">
            <w:pPr>
              <w:pStyle w:val="ListParagraph"/>
              <w:numPr>
                <w:ilvl w:val="0"/>
                <w:numId w:val="42"/>
              </w:numPr>
              <w:rPr>
                <w:b/>
                <w:noProof/>
              </w:rPr>
            </w:pPr>
            <w:r>
              <w:rPr>
                <w:b/>
                <w:noProof/>
                <w:u w:val="single"/>
              </w:rPr>
              <w:t>Option 5</w:t>
            </w:r>
            <w:r>
              <w:rPr>
                <w:b/>
                <w:noProof/>
              </w:rPr>
              <w:t>: Abrogation de la directive ePD</w:t>
            </w:r>
            <w:r>
              <w:rPr>
                <w:noProof/>
              </w:rPr>
              <w:t xml:space="preserve">: cette option prévoit l’abrogation de la directive ePD et l’applicabilité du règlement général sur la protection des </w:t>
            </w:r>
            <w:r>
              <w:rPr>
                <w:noProof/>
              </w:rPr>
              <w:t>données, y compris le système de contrôle d’application, pour protéger la confidentialité des données à caractère personnel liées à des communications électroniques; l’application généralisée d’un régime de retrait («opt-out») pour les communications non s</w:t>
            </w:r>
            <w:r>
              <w:rPr>
                <w:noProof/>
              </w:rPr>
              <w:t>ollicitées et l’application du mécanisme de contrôle de la cohérence du règlement général sur la protection des données.</w:t>
            </w:r>
          </w:p>
        </w:tc>
      </w:tr>
      <w:tr w:rsidR="00A67AD9">
        <w:tc>
          <w:tcPr>
            <w:tcW w:w="9889" w:type="dxa"/>
            <w:tcBorders>
              <w:right w:val="single" w:sz="4" w:space="0" w:color="auto"/>
            </w:tcBorders>
            <w:shd w:val="clear" w:color="auto" w:fill="F2F2F2" w:themeFill="background1" w:themeFillShade="F2"/>
            <w:vAlign w:val="center"/>
          </w:tcPr>
          <w:p w:rsidR="00A67AD9" w:rsidRDefault="00731628">
            <w:pPr>
              <w:rPr>
                <w:b/>
                <w:noProof/>
              </w:rPr>
            </w:pPr>
            <w:r>
              <w:rPr>
                <w:b/>
                <w:noProof/>
              </w:rPr>
              <w:t>Quelles sont les différentes parties prenantes? Qui soutient quelle option?</w:t>
            </w:r>
          </w:p>
        </w:tc>
      </w:tr>
      <w:tr w:rsidR="00A67AD9">
        <w:tc>
          <w:tcPr>
            <w:tcW w:w="9889" w:type="dxa"/>
            <w:tcBorders>
              <w:right w:val="single" w:sz="4" w:space="0" w:color="auto"/>
            </w:tcBorders>
            <w:shd w:val="clear" w:color="auto" w:fill="auto"/>
            <w:vAlign w:val="center"/>
          </w:tcPr>
          <w:p w:rsidR="00A67AD9" w:rsidRDefault="00731628">
            <w:pPr>
              <w:numPr>
                <w:ilvl w:val="0"/>
                <w:numId w:val="41"/>
              </w:numPr>
              <w:spacing w:after="0"/>
              <w:rPr>
                <w:b/>
                <w:i/>
                <w:noProof/>
              </w:rPr>
            </w:pPr>
            <w:r>
              <w:rPr>
                <w:noProof/>
              </w:rPr>
              <w:t xml:space="preserve">Les </w:t>
            </w:r>
            <w:r>
              <w:rPr>
                <w:b/>
                <w:noProof/>
                <w:color w:val="000000"/>
              </w:rPr>
              <w:t>citoyens</w:t>
            </w:r>
            <w:r>
              <w:rPr>
                <w:noProof/>
              </w:rPr>
              <w:t xml:space="preserve"> sont concernés par le niveau de protection d</w:t>
            </w:r>
            <w:r>
              <w:rPr>
                <w:noProof/>
              </w:rPr>
              <w:t>e la confidentialité de leurs communications.</w:t>
            </w:r>
            <w:r>
              <w:rPr>
                <w:noProof/>
                <w:color w:val="000000"/>
              </w:rPr>
              <w:t xml:space="preserve"> Ils seraient favorables à des options renforçant leurs droits, telles que les options 2, 3 et 4.</w:t>
            </w:r>
          </w:p>
          <w:p w:rsidR="00A67AD9" w:rsidRDefault="00731628">
            <w:pPr>
              <w:numPr>
                <w:ilvl w:val="0"/>
                <w:numId w:val="41"/>
              </w:numPr>
              <w:spacing w:after="0"/>
              <w:rPr>
                <w:b/>
                <w:i/>
                <w:noProof/>
              </w:rPr>
            </w:pPr>
            <w:r>
              <w:rPr>
                <w:noProof/>
              </w:rPr>
              <w:lastRenderedPageBreak/>
              <w:t xml:space="preserve">Les </w:t>
            </w:r>
            <w:r>
              <w:rPr>
                <w:b/>
                <w:noProof/>
                <w:color w:val="000000"/>
              </w:rPr>
              <w:t>autorités nationales et le CEPD</w:t>
            </w:r>
            <w:r>
              <w:rPr>
                <w:noProof/>
              </w:rPr>
              <w:t xml:space="preserve"> appuieraient des options conduisant à renforcer l’étendue et la cohérence de </w:t>
            </w:r>
            <w:r>
              <w:rPr>
                <w:noProof/>
              </w:rPr>
              <w:t>la protection de la vie privée, telles que les options 2, 3 et 4.</w:t>
            </w:r>
          </w:p>
          <w:p w:rsidR="00A67AD9" w:rsidRDefault="00731628">
            <w:pPr>
              <w:numPr>
                <w:ilvl w:val="0"/>
                <w:numId w:val="41"/>
              </w:numPr>
              <w:spacing w:after="0"/>
              <w:rPr>
                <w:b/>
                <w:i/>
                <w:noProof/>
              </w:rPr>
            </w:pPr>
            <w:r>
              <w:rPr>
                <w:noProof/>
              </w:rPr>
              <w:t xml:space="preserve">Les </w:t>
            </w:r>
            <w:r>
              <w:rPr>
                <w:b/>
                <w:noProof/>
                <w:color w:val="000000"/>
              </w:rPr>
              <w:t>fournisseurs de communications électroniques</w:t>
            </w:r>
            <w:r>
              <w:rPr>
                <w:noProof/>
                <w:color w:val="000000"/>
              </w:rPr>
              <w:t xml:space="preserve"> sont les principaux destinataires des obligations imposées par la directive ePD. Ils se prononceraient largement en faveur de l’option 5. À d</w:t>
            </w:r>
            <w:r>
              <w:rPr>
                <w:noProof/>
                <w:color w:val="000000"/>
              </w:rPr>
              <w:t>éfaut, ils pourraient accepter les options 2 et 3, qui garantissent que les opérateurs de communication par contournement (OTT) concurrents soient soumis aux mêmes règles.</w:t>
            </w:r>
          </w:p>
          <w:p w:rsidR="00A67AD9" w:rsidRDefault="00731628">
            <w:pPr>
              <w:numPr>
                <w:ilvl w:val="0"/>
                <w:numId w:val="41"/>
              </w:numPr>
              <w:spacing w:after="0"/>
              <w:rPr>
                <w:b/>
                <w:i/>
                <w:noProof/>
              </w:rPr>
            </w:pPr>
            <w:r>
              <w:rPr>
                <w:noProof/>
              </w:rPr>
              <w:t xml:space="preserve">Les </w:t>
            </w:r>
            <w:r>
              <w:rPr>
                <w:b/>
                <w:noProof/>
              </w:rPr>
              <w:t>opérateurs OTT</w:t>
            </w:r>
            <w:r>
              <w:rPr>
                <w:noProof/>
              </w:rPr>
              <w:t xml:space="preserve"> seraient également favorables aux options 1 et 5 puisqu’ils préfé</w:t>
            </w:r>
            <w:r>
              <w:rPr>
                <w:noProof/>
              </w:rPr>
              <w:t>reraient, en principe, ne pas être soumis à des exigences réglementaires plus strictes. L’option 3 serait la plus acceptable après ces deux options, compte tenu de la marge de manœuvre qu’elle prévoit.</w:t>
            </w:r>
          </w:p>
          <w:p w:rsidR="00A67AD9" w:rsidRDefault="00731628">
            <w:pPr>
              <w:numPr>
                <w:ilvl w:val="0"/>
                <w:numId w:val="41"/>
              </w:numPr>
              <w:spacing w:after="0"/>
              <w:rPr>
                <w:b/>
                <w:i/>
                <w:noProof/>
              </w:rPr>
            </w:pPr>
            <w:r>
              <w:rPr>
                <w:noProof/>
              </w:rPr>
              <w:t xml:space="preserve">Les </w:t>
            </w:r>
            <w:r>
              <w:rPr>
                <w:b/>
                <w:noProof/>
              </w:rPr>
              <w:t xml:space="preserve">éditeurs de sites Web et les opérateurs de </w:t>
            </w:r>
            <w:r>
              <w:rPr>
                <w:b/>
                <w:noProof/>
              </w:rPr>
              <w:t>publicité comportementale en ligne</w:t>
            </w:r>
            <w:r>
              <w:rPr>
                <w:noProof/>
              </w:rPr>
              <w:t xml:space="preserve"> privilégieraient clairement l’option 5 pour les mêmes raisons que les fournisseurs de communications électroniques et les opérateurs OTT.</w:t>
            </w:r>
          </w:p>
          <w:p w:rsidR="00A67AD9" w:rsidRDefault="00731628">
            <w:pPr>
              <w:numPr>
                <w:ilvl w:val="0"/>
                <w:numId w:val="41"/>
              </w:numPr>
              <w:spacing w:after="0"/>
              <w:rPr>
                <w:b/>
                <w:i/>
                <w:noProof/>
              </w:rPr>
            </w:pPr>
            <w:r>
              <w:rPr>
                <w:noProof/>
              </w:rPr>
              <w:t xml:space="preserve">Les </w:t>
            </w:r>
            <w:r>
              <w:rPr>
                <w:b/>
                <w:noProof/>
              </w:rPr>
              <w:t>fournisseurs de navigateurs</w:t>
            </w:r>
            <w:r>
              <w:rPr>
                <w:noProof/>
              </w:rPr>
              <w:t xml:space="preserve"> seraient soumis à des responsabilités spécifiques dans le cadre de l’option 3. Ils ne seraient donc pas favorables aux options 3 et 4.</w:t>
            </w:r>
          </w:p>
          <w:p w:rsidR="00A67AD9" w:rsidRDefault="00731628">
            <w:pPr>
              <w:numPr>
                <w:ilvl w:val="0"/>
                <w:numId w:val="41"/>
              </w:numPr>
              <w:spacing w:after="0"/>
              <w:rPr>
                <w:b/>
                <w:i/>
                <w:noProof/>
              </w:rPr>
            </w:pPr>
            <w:r>
              <w:rPr>
                <w:noProof/>
              </w:rPr>
              <w:t xml:space="preserve">Les </w:t>
            </w:r>
            <w:r>
              <w:rPr>
                <w:b/>
                <w:noProof/>
              </w:rPr>
              <w:t>PME</w:t>
            </w:r>
            <w:r>
              <w:rPr>
                <w:noProof/>
              </w:rPr>
              <w:t xml:space="preserve"> seraient généralement favorables aux options 1 et 5. Les PME qui fournissent des communications électroniques se</w:t>
            </w:r>
            <w:r>
              <w:rPr>
                <w:noProof/>
              </w:rPr>
              <w:t>raient favorables aux options 2 et 3 pour l’égalité des conditions de concurrence avec les opérateurs OTT. Les PME actives en tant qu’opérateurs OTT préféreraient les options 1 et 5, l’option 3 étant la plus acceptable après celles-ci.</w:t>
            </w:r>
          </w:p>
        </w:tc>
      </w:tr>
      <w:tr w:rsidR="00A67AD9">
        <w:trPr>
          <w:trHeight w:val="338"/>
        </w:trPr>
        <w:tc>
          <w:tcPr>
            <w:tcW w:w="9889" w:type="dxa"/>
            <w:tcBorders>
              <w:right w:val="single" w:sz="4" w:space="0" w:color="auto"/>
            </w:tcBorders>
            <w:shd w:val="clear" w:color="auto" w:fill="0000FF"/>
            <w:vAlign w:val="center"/>
          </w:tcPr>
          <w:p w:rsidR="00A67AD9" w:rsidRDefault="00731628">
            <w:pPr>
              <w:jc w:val="center"/>
              <w:rPr>
                <w:b/>
                <w:noProof/>
              </w:rPr>
            </w:pPr>
            <w:r>
              <w:rPr>
                <w:b/>
                <w:noProof/>
              </w:rPr>
              <w:lastRenderedPageBreak/>
              <w:t>C. Incidences de l’</w:t>
            </w:r>
            <w:r>
              <w:rPr>
                <w:b/>
                <w:noProof/>
              </w:rPr>
              <w:t>option privilégiée</w:t>
            </w:r>
          </w:p>
        </w:tc>
      </w:tr>
      <w:tr w:rsidR="00A67AD9">
        <w:tc>
          <w:tcPr>
            <w:tcW w:w="9889" w:type="dxa"/>
            <w:tcBorders>
              <w:right w:val="single" w:sz="4" w:space="0" w:color="auto"/>
            </w:tcBorders>
            <w:shd w:val="clear" w:color="auto" w:fill="E6E6E6"/>
            <w:vAlign w:val="center"/>
          </w:tcPr>
          <w:p w:rsidR="00A67AD9" w:rsidRDefault="00731628">
            <w:pPr>
              <w:rPr>
                <w:b/>
                <w:noProof/>
              </w:rPr>
            </w:pPr>
            <w:r>
              <w:rPr>
                <w:b/>
                <w:noProof/>
              </w:rPr>
              <w:t xml:space="preserve">Quels sont les avantages de l'option privilégiée (ou, à défaut, des options principales)? </w:t>
            </w:r>
          </w:p>
        </w:tc>
      </w:tr>
      <w:tr w:rsidR="00A67AD9">
        <w:tc>
          <w:tcPr>
            <w:tcW w:w="9889" w:type="dxa"/>
            <w:tcBorders>
              <w:right w:val="single" w:sz="4" w:space="0" w:color="auto"/>
            </w:tcBorders>
            <w:shd w:val="clear" w:color="auto" w:fill="auto"/>
            <w:vAlign w:val="center"/>
          </w:tcPr>
          <w:p w:rsidR="00A67AD9" w:rsidRDefault="00731628">
            <w:pPr>
              <w:rPr>
                <w:noProof/>
              </w:rPr>
            </w:pPr>
            <w:r>
              <w:rPr>
                <w:noProof/>
              </w:rPr>
              <w:t>L’option privilégiée est l’option 3. Ses principaux avantages sont les suivants:</w:t>
            </w:r>
          </w:p>
          <w:p w:rsidR="00A67AD9" w:rsidRDefault="00731628">
            <w:pPr>
              <w:numPr>
                <w:ilvl w:val="0"/>
                <w:numId w:val="41"/>
              </w:numPr>
              <w:pBdr>
                <w:top w:val="nil"/>
                <w:left w:val="nil"/>
                <w:bottom w:val="nil"/>
                <w:right w:val="nil"/>
                <w:between w:val="nil"/>
                <w:bar w:val="nil"/>
              </w:pBdr>
              <w:spacing w:after="0"/>
              <w:rPr>
                <w:noProof/>
              </w:rPr>
            </w:pPr>
            <w:r>
              <w:rPr>
                <w:noProof/>
              </w:rPr>
              <w:t xml:space="preserve">l’amélioration de la protection de la confidentialité par une </w:t>
            </w:r>
            <w:r>
              <w:rPr>
                <w:noProof/>
              </w:rPr>
              <w:t>définition technologiquement neutre, le renforcement des exigences en matière de transparence et de contrôle exercé par les utilisateurs et une mise en œuvre plus efficace;</w:t>
            </w:r>
          </w:p>
          <w:p w:rsidR="00A67AD9" w:rsidRDefault="00731628">
            <w:pPr>
              <w:numPr>
                <w:ilvl w:val="0"/>
                <w:numId w:val="41"/>
              </w:numPr>
              <w:pBdr>
                <w:top w:val="nil"/>
                <w:left w:val="nil"/>
                <w:bottom w:val="nil"/>
                <w:right w:val="nil"/>
                <w:between w:val="nil"/>
                <w:bar w:val="nil"/>
              </w:pBdr>
              <w:spacing w:after="0"/>
              <w:rPr>
                <w:noProof/>
              </w:rPr>
            </w:pPr>
            <w:r>
              <w:rPr>
                <w:noProof/>
              </w:rPr>
              <w:t xml:space="preserve">l’amélioration de la protection contre les communications non sollicitées, grâce à </w:t>
            </w:r>
            <w:r>
              <w:rPr>
                <w:noProof/>
              </w:rPr>
              <w:t>l’introduction du consentement préalable («opt-in») pour les appels commerciaux, l’introduction d’un indicatif et, partant, l’interdiction des appels commerciaux anonymes et les possibilités accrues de bloquer les appels émanant de numéros indésirables;</w:t>
            </w:r>
          </w:p>
          <w:p w:rsidR="00A67AD9" w:rsidRDefault="00731628">
            <w:pPr>
              <w:numPr>
                <w:ilvl w:val="0"/>
                <w:numId w:val="41"/>
              </w:numPr>
              <w:pBdr>
                <w:top w:val="nil"/>
                <w:left w:val="nil"/>
                <w:bottom w:val="nil"/>
                <w:right w:val="nil"/>
                <w:between w:val="nil"/>
                <w:bar w:val="nil"/>
              </w:pBdr>
              <w:spacing w:after="0"/>
              <w:rPr>
                <w:noProof/>
              </w:rPr>
            </w:pPr>
            <w:r>
              <w:rPr>
                <w:noProof/>
              </w:rPr>
              <w:t>la</w:t>
            </w:r>
            <w:r>
              <w:rPr>
                <w:noProof/>
              </w:rPr>
              <w:t xml:space="preserve"> simplification grâce à l’harmonisation et à la clarification de l’environnement réglementaire par la réduction de la marge de manœuvre laissée aux États membres, l’abrogation des dispositions obsolètes et l’extension des exceptions aux règles de consentem</w:t>
            </w:r>
            <w:r>
              <w:rPr>
                <w:noProof/>
              </w:rPr>
              <w:t>ent.</w:t>
            </w:r>
          </w:p>
        </w:tc>
      </w:tr>
      <w:tr w:rsidR="00A67AD9">
        <w:tc>
          <w:tcPr>
            <w:tcW w:w="9889" w:type="dxa"/>
            <w:tcBorders>
              <w:right w:val="single" w:sz="4" w:space="0" w:color="auto"/>
            </w:tcBorders>
            <w:shd w:val="clear" w:color="auto" w:fill="E6E6E6"/>
            <w:vAlign w:val="center"/>
          </w:tcPr>
          <w:p w:rsidR="00A67AD9" w:rsidRDefault="00731628">
            <w:pPr>
              <w:rPr>
                <w:b/>
                <w:noProof/>
              </w:rPr>
            </w:pPr>
            <w:r>
              <w:rPr>
                <w:b/>
                <w:noProof/>
              </w:rPr>
              <w:t>Quels sont les coûts de l'option privilégiée (le cas échéant, sinon des options principales)?</w:t>
            </w:r>
          </w:p>
        </w:tc>
      </w:tr>
      <w:tr w:rsidR="00A67AD9">
        <w:tc>
          <w:tcPr>
            <w:tcW w:w="9889" w:type="dxa"/>
            <w:tcBorders>
              <w:right w:val="single" w:sz="4" w:space="0" w:color="auto"/>
            </w:tcBorders>
            <w:shd w:val="clear" w:color="auto" w:fill="auto"/>
            <w:vAlign w:val="center"/>
          </w:tcPr>
          <w:p w:rsidR="00A67AD9" w:rsidRDefault="00731628">
            <w:pPr>
              <w:rPr>
                <w:noProof/>
              </w:rPr>
            </w:pPr>
            <w:r>
              <w:rPr>
                <w:noProof/>
              </w:rPr>
              <w:t xml:space="preserve">L’option privilégiée devrait générer des économies du fait de l’harmonisation et de la simplification accrues. Par exemple, une gestion centralisée des </w:t>
            </w:r>
            <w:r>
              <w:rPr>
                <w:noProof/>
              </w:rPr>
              <w:t>paramètres de confidentialité une seule fois pour tous les sites Web et toutes les applications permettrait de réaliser des économies allant jusqu’à 70 % des coûts liés au respect de la vie privée dans les communications électroniques.</w:t>
            </w:r>
          </w:p>
          <w:p w:rsidR="00A67AD9" w:rsidRDefault="00731628">
            <w:pPr>
              <w:rPr>
                <w:b/>
                <w:i/>
                <w:noProof/>
              </w:rPr>
            </w:pPr>
            <w:r>
              <w:rPr>
                <w:noProof/>
              </w:rPr>
              <w:t>Au niveau de certain</w:t>
            </w:r>
            <w:r>
              <w:rPr>
                <w:noProof/>
              </w:rPr>
              <w:t xml:space="preserve">es catégories de parties prenantes, les </w:t>
            </w:r>
            <w:r>
              <w:rPr>
                <w:b/>
                <w:noProof/>
              </w:rPr>
              <w:t>fournisseurs de services OTT</w:t>
            </w:r>
            <w:r>
              <w:rPr>
                <w:noProof/>
              </w:rPr>
              <w:t xml:space="preserve"> auraient à supporter certains coûts liés au réexamen de la légalité de leurs modèles commerciaux. Toutefois, ces coûts ne devraient pas être significatifs. Les </w:t>
            </w:r>
            <w:r>
              <w:rPr>
                <w:b/>
                <w:noProof/>
              </w:rPr>
              <w:t>éditeurs de sites Web</w:t>
            </w:r>
            <w:r>
              <w:rPr>
                <w:noProof/>
              </w:rPr>
              <w:t xml:space="preserve"> pourr</w:t>
            </w:r>
            <w:r>
              <w:rPr>
                <w:noProof/>
              </w:rPr>
              <w:t xml:space="preserve">aient devoir supporter de faibles coûts d’adaptation. Les </w:t>
            </w:r>
            <w:r>
              <w:rPr>
                <w:b/>
                <w:noProof/>
              </w:rPr>
              <w:t>fournisseurs de navigateurs et d’applications similaires permettant d’accéder à Internet</w:t>
            </w:r>
            <w:r>
              <w:rPr>
                <w:noProof/>
              </w:rPr>
              <w:t xml:space="preserve"> auraient à supporter des coûts importants pour proposer aux utilisateurs les choix appropriés en ce qui conce</w:t>
            </w:r>
            <w:r>
              <w:rPr>
                <w:noProof/>
              </w:rPr>
              <w:t xml:space="preserve">rne leurs paramètres de confidentialité. Les </w:t>
            </w:r>
            <w:r>
              <w:rPr>
                <w:b/>
                <w:noProof/>
              </w:rPr>
              <w:t>responsables commerciaux</w:t>
            </w:r>
            <w:r>
              <w:rPr>
                <w:noProof/>
              </w:rPr>
              <w:t xml:space="preserve"> encourraient certains coûts à la suite de l’introduction du consentement préalable pour les appels commerciaux.</w:t>
            </w:r>
          </w:p>
        </w:tc>
      </w:tr>
      <w:tr w:rsidR="00A67AD9">
        <w:tc>
          <w:tcPr>
            <w:tcW w:w="9889" w:type="dxa"/>
            <w:tcBorders>
              <w:right w:val="single" w:sz="4" w:space="0" w:color="auto"/>
            </w:tcBorders>
            <w:shd w:val="clear" w:color="auto" w:fill="E6E6E6"/>
            <w:vAlign w:val="center"/>
          </w:tcPr>
          <w:p w:rsidR="00A67AD9" w:rsidRDefault="00731628">
            <w:pPr>
              <w:rPr>
                <w:b/>
                <w:noProof/>
              </w:rPr>
            </w:pPr>
            <w:r>
              <w:rPr>
                <w:b/>
                <w:noProof/>
              </w:rPr>
              <w:t>Y aura-t-il une incidence notable sur les budgets nationaux et les admini</w:t>
            </w:r>
            <w:r>
              <w:rPr>
                <w:b/>
                <w:noProof/>
              </w:rPr>
              <w:t>strations nationales?</w:t>
            </w:r>
          </w:p>
        </w:tc>
      </w:tr>
      <w:tr w:rsidR="00A67AD9">
        <w:tc>
          <w:tcPr>
            <w:tcW w:w="9889" w:type="dxa"/>
            <w:tcBorders>
              <w:right w:val="single" w:sz="4" w:space="0" w:color="auto"/>
            </w:tcBorders>
            <w:shd w:val="clear" w:color="auto" w:fill="auto"/>
            <w:vAlign w:val="center"/>
          </w:tcPr>
          <w:p w:rsidR="00A67AD9" w:rsidRDefault="00731628">
            <w:pPr>
              <w:rPr>
                <w:b/>
                <w:i/>
                <w:noProof/>
              </w:rPr>
            </w:pPr>
            <w:r>
              <w:rPr>
                <w:noProof/>
              </w:rPr>
              <w:t>Les principales incidences sur les budgets nationaux et les administrations nationales découleraient de la mise en œuvre du mécanisme de contrôle de la cohérence et de la nécessité éventuelle de réattribuer les compétences d’exécutio</w:t>
            </w:r>
            <w:r>
              <w:rPr>
                <w:noProof/>
              </w:rPr>
              <w:t>n aux autorités chargées de la protection des données uniquement. L’impact n’est pas considéré comme important, étant donné que les synergies avec les instances de coordination existant déjà au niveau de l’UE (par exemple dans le domaine de la protection d</w:t>
            </w:r>
            <w:r>
              <w:rPr>
                <w:noProof/>
              </w:rPr>
              <w:t>es données) sont susceptibles d’être exploitées.</w:t>
            </w:r>
          </w:p>
        </w:tc>
      </w:tr>
      <w:tr w:rsidR="00A67AD9">
        <w:tc>
          <w:tcPr>
            <w:tcW w:w="9889" w:type="dxa"/>
            <w:tcBorders>
              <w:right w:val="single" w:sz="4" w:space="0" w:color="auto"/>
            </w:tcBorders>
            <w:shd w:val="clear" w:color="auto" w:fill="E6E6E6"/>
            <w:vAlign w:val="center"/>
          </w:tcPr>
          <w:p w:rsidR="00A67AD9" w:rsidRDefault="00731628">
            <w:pPr>
              <w:rPr>
                <w:b/>
                <w:noProof/>
              </w:rPr>
            </w:pPr>
            <w:r>
              <w:rPr>
                <w:b/>
                <w:noProof/>
              </w:rPr>
              <w:t>Y aura-t-il d’autres incidences notables?</w:t>
            </w:r>
          </w:p>
        </w:tc>
      </w:tr>
      <w:tr w:rsidR="00A67AD9">
        <w:tc>
          <w:tcPr>
            <w:tcW w:w="9889" w:type="dxa"/>
            <w:tcBorders>
              <w:right w:val="single" w:sz="4" w:space="0" w:color="auto"/>
            </w:tcBorders>
            <w:shd w:val="clear" w:color="auto" w:fill="auto"/>
            <w:vAlign w:val="center"/>
          </w:tcPr>
          <w:p w:rsidR="00A67AD9" w:rsidRDefault="00731628">
            <w:pPr>
              <w:rPr>
                <w:noProof/>
              </w:rPr>
            </w:pPr>
            <w:r>
              <w:rPr>
                <w:noProof/>
              </w:rPr>
              <w:t>Non</w:t>
            </w:r>
          </w:p>
        </w:tc>
      </w:tr>
      <w:tr w:rsidR="00A67AD9">
        <w:tc>
          <w:tcPr>
            <w:tcW w:w="9889" w:type="dxa"/>
            <w:tcBorders>
              <w:right w:val="single" w:sz="4" w:space="0" w:color="auto"/>
            </w:tcBorders>
            <w:shd w:val="clear" w:color="auto" w:fill="F2F2F2" w:themeFill="background1" w:themeFillShade="F2"/>
            <w:vAlign w:val="center"/>
          </w:tcPr>
          <w:p w:rsidR="00A67AD9" w:rsidRDefault="00731628">
            <w:pPr>
              <w:rPr>
                <w:b/>
                <w:noProof/>
              </w:rPr>
            </w:pPr>
            <w:r>
              <w:rPr>
                <w:b/>
                <w:noProof/>
              </w:rPr>
              <w:t>Proportionnalité?</w:t>
            </w:r>
          </w:p>
        </w:tc>
      </w:tr>
      <w:tr w:rsidR="00A67AD9">
        <w:tc>
          <w:tcPr>
            <w:tcW w:w="9889" w:type="dxa"/>
            <w:tcBorders>
              <w:right w:val="single" w:sz="4" w:space="0" w:color="auto"/>
            </w:tcBorders>
            <w:shd w:val="clear" w:color="auto" w:fill="auto"/>
            <w:vAlign w:val="center"/>
          </w:tcPr>
          <w:p w:rsidR="00A67AD9" w:rsidRDefault="00731628">
            <w:pPr>
              <w:rPr>
                <w:noProof/>
              </w:rPr>
            </w:pPr>
            <w:r>
              <w:rPr>
                <w:noProof/>
              </w:rPr>
              <w:t>L’option privilégiée prévoit des mesures équilibrées, toutes jugées nécessaires pour atteindre les objectifs visés, sans imposer de charges</w:t>
            </w:r>
            <w:r>
              <w:rPr>
                <w:noProof/>
              </w:rPr>
              <w:t xml:space="preserve"> excessives aux acteurs concernés. De plus, ces mesures sont conçues de manière souple, afin de permettre les nécessaires exceptions, et elles sont technologiquement neutres, pour minimiser les distorsions de concurrence et garantir des conditions de concu</w:t>
            </w:r>
            <w:r>
              <w:rPr>
                <w:noProof/>
              </w:rPr>
              <w:t>rrence équitables.</w:t>
            </w:r>
          </w:p>
        </w:tc>
      </w:tr>
      <w:tr w:rsidR="00A67AD9">
        <w:trPr>
          <w:trHeight w:val="338"/>
        </w:trPr>
        <w:tc>
          <w:tcPr>
            <w:tcW w:w="9889" w:type="dxa"/>
            <w:tcBorders>
              <w:right w:val="single" w:sz="4" w:space="0" w:color="auto"/>
            </w:tcBorders>
            <w:shd w:val="clear" w:color="auto" w:fill="0000FF"/>
            <w:vAlign w:val="center"/>
          </w:tcPr>
          <w:p w:rsidR="00A67AD9" w:rsidRDefault="00731628">
            <w:pPr>
              <w:jc w:val="center"/>
              <w:rPr>
                <w:b/>
                <w:noProof/>
              </w:rPr>
            </w:pPr>
            <w:r>
              <w:rPr>
                <w:b/>
                <w:noProof/>
              </w:rPr>
              <w:t>D. Suivi</w:t>
            </w:r>
          </w:p>
        </w:tc>
      </w:tr>
      <w:tr w:rsidR="00A67AD9">
        <w:tc>
          <w:tcPr>
            <w:tcW w:w="9889" w:type="dxa"/>
            <w:tcBorders>
              <w:right w:val="single" w:sz="4" w:space="0" w:color="auto"/>
            </w:tcBorders>
            <w:shd w:val="clear" w:color="auto" w:fill="E6E6E6"/>
            <w:vAlign w:val="center"/>
          </w:tcPr>
          <w:p w:rsidR="00A67AD9" w:rsidRDefault="00731628">
            <w:pPr>
              <w:rPr>
                <w:b/>
                <w:noProof/>
              </w:rPr>
            </w:pPr>
            <w:r>
              <w:rPr>
                <w:b/>
                <w:noProof/>
              </w:rPr>
              <w:t>Quand la législation sera-t-elle réexaminée?</w:t>
            </w:r>
          </w:p>
        </w:tc>
      </w:tr>
      <w:tr w:rsidR="00A67AD9">
        <w:tc>
          <w:tcPr>
            <w:tcW w:w="9889" w:type="dxa"/>
            <w:tcBorders>
              <w:right w:val="single" w:sz="4" w:space="0" w:color="auto"/>
            </w:tcBorders>
            <w:shd w:val="clear" w:color="auto" w:fill="auto"/>
            <w:vAlign w:val="center"/>
          </w:tcPr>
          <w:p w:rsidR="00A67AD9" w:rsidRDefault="00731628">
            <w:pPr>
              <w:rPr>
                <w:noProof/>
              </w:rPr>
            </w:pPr>
            <w:r>
              <w:rPr>
                <w:noProof/>
              </w:rPr>
              <w:t xml:space="preserve">Une surveillance continue sera assurée, entre autres, au moyen de rapports des États membres à la Commission et de la Commission au Parlement européen, au Conseil et au Comité </w:t>
            </w:r>
            <w:r>
              <w:rPr>
                <w:noProof/>
              </w:rPr>
              <w:t>économique et social.</w:t>
            </w:r>
          </w:p>
        </w:tc>
      </w:tr>
    </w:tbl>
    <w:p w:rsidR="00A67AD9" w:rsidRDefault="00A67AD9">
      <w:pPr>
        <w:spacing w:after="120"/>
        <w:rPr>
          <w:noProof/>
        </w:rPr>
      </w:pPr>
    </w:p>
    <w:sectPr w:rsidR="00A67AD9">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AD9" w:rsidRDefault="00731628">
      <w:pPr>
        <w:spacing w:after="0"/>
      </w:pPr>
      <w:r>
        <w:separator/>
      </w:r>
    </w:p>
  </w:endnote>
  <w:endnote w:type="continuationSeparator" w:id="0">
    <w:p w:rsidR="00A67AD9" w:rsidRDefault="00731628">
      <w:pPr>
        <w:spacing w:after="0"/>
      </w:pPr>
      <w:r>
        <w:continuationSeparator/>
      </w:r>
    </w:p>
  </w:endnote>
  <w:endnote w:type="continuationNotice" w:id="1">
    <w:p w:rsidR="00A67AD9" w:rsidRDefault="00A67A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Gothic">
    <w:altName w:val="TradeGoth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28" w:rsidRPr="00731628" w:rsidRDefault="00731628" w:rsidP="007316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28" w:rsidRPr="00731628" w:rsidRDefault="00731628" w:rsidP="00731628">
    <w:pPr>
      <w:pStyle w:val="FooterCoverPage"/>
      <w:rPr>
        <w:rFonts w:ascii="Arial" w:hAnsi="Arial" w:cs="Arial"/>
        <w:b/>
        <w:sz w:val="48"/>
      </w:rPr>
    </w:pPr>
    <w:r w:rsidRPr="00731628">
      <w:rPr>
        <w:rFonts w:ascii="Arial" w:hAnsi="Arial" w:cs="Arial"/>
        <w:b/>
        <w:sz w:val="48"/>
      </w:rPr>
      <w:t>FR</w:t>
    </w:r>
    <w:r w:rsidRPr="00731628">
      <w:rPr>
        <w:rFonts w:ascii="Arial" w:hAnsi="Arial" w:cs="Arial"/>
        <w:b/>
        <w:sz w:val="48"/>
      </w:rPr>
      <w:tab/>
    </w:r>
    <w:r w:rsidRPr="00731628">
      <w:rPr>
        <w:rFonts w:ascii="Arial" w:hAnsi="Arial" w:cs="Arial"/>
        <w:b/>
        <w:sz w:val="48"/>
      </w:rPr>
      <w:tab/>
    </w:r>
    <w:fldSimple w:instr=" DOCVARIABLE &quot;LW_Confidence&quot; \* MERGEFORMAT ">
      <w:r>
        <w:t xml:space="preserve"> </w:t>
      </w:r>
    </w:fldSimple>
    <w:r w:rsidRPr="00731628">
      <w:tab/>
    </w:r>
    <w:r w:rsidRPr="00731628">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28" w:rsidRPr="00731628" w:rsidRDefault="00731628" w:rsidP="0073162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D9" w:rsidRDefault="00A67A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15550"/>
      <w:docPartObj>
        <w:docPartGallery w:val="Page Numbers (Bottom of Page)"/>
        <w:docPartUnique/>
      </w:docPartObj>
    </w:sdtPr>
    <w:sdtEndPr>
      <w:rPr>
        <w:noProof/>
      </w:rPr>
    </w:sdtEndPr>
    <w:sdtContent>
      <w:p w:rsidR="00A67AD9" w:rsidRDefault="0073162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A67AD9" w:rsidRDefault="00A67AD9">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D9" w:rsidRDefault="00A67AD9">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AD9" w:rsidRDefault="00731628">
      <w:pPr>
        <w:spacing w:after="0"/>
      </w:pPr>
      <w:r>
        <w:separator/>
      </w:r>
    </w:p>
  </w:footnote>
  <w:footnote w:type="continuationSeparator" w:id="0">
    <w:p w:rsidR="00A67AD9" w:rsidRDefault="00731628">
      <w:pPr>
        <w:spacing w:after="0"/>
      </w:pPr>
      <w:r>
        <w:continuationSeparator/>
      </w:r>
    </w:p>
  </w:footnote>
  <w:footnote w:type="continuationNotice" w:id="1">
    <w:p w:rsidR="00A67AD9" w:rsidRDefault="00A67AD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28" w:rsidRPr="00731628" w:rsidRDefault="00731628" w:rsidP="007316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28" w:rsidRPr="00731628" w:rsidRDefault="00731628" w:rsidP="0073162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28" w:rsidRPr="00731628" w:rsidRDefault="00731628" w:rsidP="0073162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D9" w:rsidRDefault="00A67A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D9" w:rsidRDefault="00A67A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D9" w:rsidRDefault="00A67AD9">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515EFB"/>
    <w:multiLevelType w:val="multilevel"/>
    <w:tmpl w:val="22266CAE"/>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3969"/>
        </w:tabs>
        <w:ind w:left="5046" w:hanging="1077"/>
      </w:pPr>
      <w:rPr>
        <w:rFonts w:ascii="Calibri" w:hAnsi="Calibri" w:hint="default"/>
        <w:color w:val="0067AC"/>
      </w:rPr>
    </w:lvl>
    <w:lvl w:ilvl="6">
      <w:start w:val="1"/>
      <w:numFmt w:val="decimal"/>
      <w:lvlRestart w:val="1"/>
      <w:lvlText w:val="Table %1.%7"/>
      <w:lvlJc w:val="left"/>
      <w:pPr>
        <w:tabs>
          <w:tab w:val="num" w:pos="709"/>
        </w:tabs>
        <w:ind w:left="1786"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980843"/>
    <w:multiLevelType w:val="multilevel"/>
    <w:tmpl w:val="120CCAB6"/>
    <w:name w:val="NumPar__1"/>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897051D"/>
    <w:multiLevelType w:val="multilevel"/>
    <w:tmpl w:val="E7FC4010"/>
    <w:numStyleLink w:val="NumbLstTableBullet"/>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DD3599"/>
    <w:multiLevelType w:val="multilevel"/>
    <w:tmpl w:val="4EAA5BA6"/>
    <w:styleLink w:val="NumbLstBTBullet"/>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9801475"/>
    <w:multiLevelType w:val="multilevel"/>
    <w:tmpl w:val="321482F0"/>
    <w:styleLink w:val="NumbLstBTBullet1"/>
    <w:lvl w:ilvl="0">
      <w:start w:val="1"/>
      <w:numFmt w:val="bullet"/>
      <w:lvlText w:val=""/>
      <w:lvlJc w:val="left"/>
      <w:pPr>
        <w:tabs>
          <w:tab w:val="num" w:pos="1191"/>
        </w:tabs>
        <w:ind w:left="1191" w:hanging="340"/>
      </w:pPr>
      <w:rPr>
        <w:rFonts w:ascii="Symbol" w:hAnsi="Symbo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0">
    <w:nsid w:val="3F2F3B3C"/>
    <w:multiLevelType w:val="hybridMultilevel"/>
    <w:tmpl w:val="6A8A8CB0"/>
    <w:lvl w:ilvl="0" w:tplc="CB5864D6">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3F5C7292"/>
    <w:multiLevelType w:val="hybridMultilevel"/>
    <w:tmpl w:val="1974BDFA"/>
    <w:lvl w:ilvl="0" w:tplc="FFFFFFFF">
      <w:start w:val="1"/>
      <w:numFmt w:val="bullet"/>
      <w:pStyle w:val="Bullet"/>
      <w:lvlText w:val=""/>
      <w:lvlJc w:val="left"/>
      <w:pPr>
        <w:tabs>
          <w:tab w:val="num" w:pos="1264"/>
        </w:tabs>
        <w:ind w:left="1267" w:hanging="360"/>
      </w:pPr>
      <w:rPr>
        <w:rFonts w:ascii="Wingdings" w:hAnsi="Wingdings" w:hint="default"/>
      </w:rPr>
    </w:lvl>
    <w:lvl w:ilvl="1" w:tplc="FFFFFFFF">
      <w:start w:val="1"/>
      <w:numFmt w:val="bullet"/>
      <w:lvlText w:val="o"/>
      <w:lvlJc w:val="left"/>
      <w:pPr>
        <w:tabs>
          <w:tab w:val="num" w:pos="2347"/>
        </w:tabs>
        <w:ind w:left="2347" w:hanging="360"/>
      </w:pPr>
      <w:rPr>
        <w:rFonts w:ascii="Courier New" w:hAnsi="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7">
    <w:nsid w:val="504936E5"/>
    <w:multiLevelType w:val="multilevel"/>
    <w:tmpl w:val="4EAA5BA6"/>
    <w:numStyleLink w:val="NumbLstBTBullet"/>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nsid w:val="5E105E7B"/>
    <w:multiLevelType w:val="multilevel"/>
    <w:tmpl w:val="302201A0"/>
    <w:lvl w:ilvl="0">
      <w:start w:val="1"/>
      <w:numFmt w:val="decimal"/>
      <w:pStyle w:val="Heading1"/>
      <w:lvlText w:val="%1."/>
      <w:lvlJc w:val="left"/>
      <w:pPr>
        <w:tabs>
          <w:tab w:val="num" w:pos="480"/>
        </w:tabs>
        <w:ind w:left="480" w:hanging="480"/>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u w:val="none"/>
        <w:effect w:val="none"/>
        <w:vertAlign w:val="baseline"/>
        <w:em w:val="none"/>
      </w:rPr>
    </w:lvl>
    <w:lvl w:ilvl="1">
      <w:start w:val="1"/>
      <w:numFmt w:val="decimal"/>
      <w:pStyle w:val="Heading2"/>
      <w:lvlText w:val="%1.%2."/>
      <w:lvlJc w:val="left"/>
      <w:pPr>
        <w:tabs>
          <w:tab w:val="num" w:pos="1200"/>
        </w:tabs>
        <w:ind w:left="1200" w:hanging="72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nsid w:val="63563915"/>
    <w:multiLevelType w:val="hybridMultilevel"/>
    <w:tmpl w:val="732AB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3863789"/>
    <w:multiLevelType w:val="multilevel"/>
    <w:tmpl w:val="A57E5CD4"/>
    <w:lvl w:ilvl="0">
      <w:numFmt w:val="bullet"/>
      <w:lvlText w:val="-"/>
      <w:lvlJc w:val="left"/>
      <w:pPr>
        <w:tabs>
          <w:tab w:val="num" w:pos="360"/>
        </w:tabs>
        <w:ind w:left="360" w:hanging="360"/>
      </w:pPr>
      <w:rPr>
        <w:rFonts w:ascii="Calibri" w:eastAsiaTheme="minorHAnsi" w:hAnsi="Calibri"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nsid w:val="7E24014D"/>
    <w:multiLevelType w:val="hybridMultilevel"/>
    <w:tmpl w:val="16589DFC"/>
    <w:lvl w:ilvl="0" w:tplc="9674723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9"/>
  </w:num>
  <w:num w:numId="5">
    <w:abstractNumId w:val="17"/>
  </w:num>
  <w:num w:numId="6">
    <w:abstractNumId w:val="36"/>
  </w:num>
  <w:num w:numId="7">
    <w:abstractNumId w:val="39"/>
  </w:num>
  <w:num w:numId="8">
    <w:abstractNumId w:val="14"/>
  </w:num>
  <w:num w:numId="9">
    <w:abstractNumId w:val="35"/>
  </w:num>
  <w:num w:numId="10">
    <w:abstractNumId w:val="33"/>
  </w:num>
  <w:num w:numId="11">
    <w:abstractNumId w:val="25"/>
  </w:num>
  <w:num w:numId="12">
    <w:abstractNumId w:val="28"/>
  </w:num>
  <w:num w:numId="13">
    <w:abstractNumId w:val="8"/>
  </w:num>
  <w:num w:numId="14">
    <w:abstractNumId w:val="15"/>
  </w:num>
  <w:num w:numId="15">
    <w:abstractNumId w:val="6"/>
  </w:num>
  <w:num w:numId="16">
    <w:abstractNumId w:val="10"/>
  </w:num>
  <w:num w:numId="17">
    <w:abstractNumId w:val="40"/>
  </w:num>
  <w:num w:numId="18">
    <w:abstractNumId w:val="3"/>
  </w:num>
  <w:num w:numId="19">
    <w:abstractNumId w:val="32"/>
  </w:num>
  <w:num w:numId="20">
    <w:abstractNumId w:val="22"/>
  </w:num>
  <w:num w:numId="21">
    <w:abstractNumId w:val="38"/>
  </w:num>
  <w:num w:numId="22">
    <w:abstractNumId w:val="12"/>
  </w:num>
  <w:num w:numId="23">
    <w:abstractNumId w:val="23"/>
  </w:num>
  <w:num w:numId="24">
    <w:abstractNumId w:val="7"/>
  </w:num>
  <w:num w:numId="25">
    <w:abstractNumId w:val="24"/>
  </w:num>
  <w:num w:numId="26">
    <w:abstractNumId w:val="30"/>
  </w:num>
  <w:num w:numId="27">
    <w:abstractNumId w:val="31"/>
  </w:num>
  <w:num w:numId="28">
    <w:abstractNumId w:val="11"/>
  </w:num>
  <w:num w:numId="29">
    <w:abstractNumId w:val="29"/>
  </w:num>
  <w:num w:numId="30">
    <w:abstractNumId w:val="43"/>
  </w:num>
  <w:num w:numId="31">
    <w:abstractNumId w:val="27"/>
  </w:num>
  <w:num w:numId="32">
    <w:abstractNumId w:val="21"/>
  </w:num>
  <w:num w:numId="33">
    <w:abstractNumId w:val="19"/>
  </w:num>
  <w:num w:numId="34">
    <w:abstractNumId w:val="26"/>
  </w:num>
  <w:num w:numId="35">
    <w:abstractNumId w:val="5"/>
  </w:num>
  <w:num w:numId="36">
    <w:abstractNumId w:val="16"/>
  </w:num>
  <w:num w:numId="37">
    <w:abstractNumId w:val="2"/>
  </w:num>
  <w:num w:numId="38">
    <w:abstractNumId w:val="37"/>
  </w:num>
  <w:num w:numId="39">
    <w:abstractNumId w:val="34"/>
  </w:num>
  <w:num w:numId="40">
    <w:abstractNumId w:val="20"/>
  </w:num>
  <w:num w:numId="41">
    <w:abstractNumId w:val="41"/>
  </w:num>
  <w:num w:numId="42">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3C58CE69-B144-4892-A461-6389D7D62F37}"/>
    <w:docVar w:name="dgnword-eventsink" w:val="348310808"/>
    <w:docVar w:name="dgnword-lastRevisionsView" w:val="0"/>
    <w:docVar w:name="DocStatus" w:val="Green"/>
    <w:docVar w:name="LW_ACCOMPAGNANT.CP" w:val="accompagnant le document:"/>
    <w:docVar w:name="LW_CONFIDENCE" w:val=" "/>
    <w:docVar w:name="LW_CONST_RESTREINT_UE" w:val="RESTREINT UE/EU RESTRICTED"/>
    <w:docVar w:name="LW_CORRIGENDUM" w:val="&lt;UNUSED&gt;"/>
    <w:docVar w:name="LW_COVERPAGE_GUID" w:val="4E2B932840524A48AF7874E3F5199E0C"/>
    <w:docVar w:name="LW_CROSSREFERENCE" w:val="{COM(2017) 10 final}_x000b_{SWD(2017) 3 final}_x000b_{SWD(2017) 5 final}_x000b_{SWD(2017) 6 final}"/>
    <w:docVar w:name="LW_DocType" w:val="REP"/>
    <w:docVar w:name="LW_EMISSION" w:val="10.1.2017"/>
    <w:docVar w:name="LW_EMISSION_ISODATE" w:val="2017-01-10"/>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concernant le respect de la vie privée et la protection des données à caractère personnel dans les communications électroniques et abrogeant la directive 2002/58/CE (règlement «vie privée et communications électroniques»)_x000b__x000b_"/>
    <w:docVar w:name="LW_PART_NBR" w:val="1"/>
    <w:docVar w:name="LW_PART_NBR_TOTAL" w:val="1"/>
    <w:docVar w:name="LW_REF.INST.NEW" w:val="SWD"/>
    <w:docVar w:name="LW_REF.INST.NEW_ADOPTED" w:val="final"/>
    <w:docVar w:name="LW_REF.INST.NEW_TEXT" w:val="(2017) 4"/>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w:rsids>
    <w:rsidRoot w:val="00A67AD9"/>
    <w:rsid w:val="00731628"/>
    <w:rsid w:val="00A67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2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header" w:uiPriority="2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Title" w:semiHidden="0" w:unhideWhenUsed="0" w:qFormat="1"/>
    <w:lsdException w:name="Default Paragraph Font" w:uiPriority="1"/>
    <w:lsdException w:name="Body Text" w:uiPriority="1" w:qFormat="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39"/>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39"/>
      </w:numPr>
      <w:outlineLvl w:val="1"/>
    </w:pPr>
  </w:style>
  <w:style w:type="paragraph" w:styleId="Heading3">
    <w:name w:val="heading 3"/>
    <w:basedOn w:val="Normal"/>
    <w:next w:val="Text3"/>
    <w:link w:val="Heading3Char"/>
    <w:qFormat/>
    <w:pPr>
      <w:keepNext/>
      <w:numPr>
        <w:ilvl w:val="2"/>
        <w:numId w:val="39"/>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39"/>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29"/>
    <w:rPr>
      <w:sz w:val="24"/>
      <w:lang w:eastAsia="fr-FR"/>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rPr>
      <w:lang w:eastAsia="fr-FR"/>
    </w:rPr>
  </w:style>
  <w:style w:type="paragraph" w:customStyle="1" w:styleId="astandard3520normal">
    <w:name w:val="a_standard__35__20_normal"/>
    <w:basedOn w:val="Normal"/>
    <w:pPr>
      <w:spacing w:after="120"/>
      <w:ind w:right="57"/>
    </w:pPr>
    <w:rPr>
      <w:b/>
      <w:bCs/>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uiPriority w:val="99"/>
    <w:rPr>
      <w:lang w:eastAsia="fr-FR"/>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basedOn w:val="DefaultParagraphFont"/>
    <w:link w:val="CommentText"/>
    <w:rPr>
      <w:lang w:eastAsia="fr-FR"/>
    </w:rPr>
  </w:style>
  <w:style w:type="character" w:customStyle="1" w:styleId="CommentSubjectChar">
    <w:name w:val="Comment Subject Char"/>
    <w:basedOn w:val="CommentTextChar1"/>
    <w:link w:val="CommentSubject"/>
    <w:rPr>
      <w:b/>
      <w:bCs/>
      <w:lang w:val="fr-FR" w:eastAsia="fr-FR"/>
    </w:rPr>
  </w:style>
  <w:style w:type="paragraph" w:styleId="BalloonText">
    <w:name w:val="Balloon Text"/>
    <w:basedOn w:val="Normal"/>
    <w:link w:val="BalloonTextChar"/>
    <w:pPr>
      <w:spacing w:after="0"/>
    </w:pPr>
    <w:rPr>
      <w:rFonts w:ascii="Tahoma" w:hAnsi="Tahoma"/>
      <w:sz w:val="16"/>
      <w:szCs w:val="16"/>
    </w:rPr>
  </w:style>
  <w:style w:type="character" w:customStyle="1" w:styleId="BalloonTextChar">
    <w:name w:val="Balloon Text Char"/>
    <w:basedOn w:val="DefaultParagraphFont"/>
    <w:link w:val="BalloonText"/>
    <w:rPr>
      <w:rFonts w:ascii="Tahoma" w:hAnsi="Tahoma"/>
      <w:sz w:val="16"/>
      <w:szCs w:val="16"/>
      <w:lang w:val="fr-FR" w:eastAsia="fr-FR"/>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fr-FR"/>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fr-FR"/>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fr-FR"/>
    </w:rPr>
  </w:style>
  <w:style w:type="paragraph" w:customStyle="1" w:styleId="Heaing2">
    <w:name w:val="Heaing 2"/>
    <w:basedOn w:val="Heading3"/>
    <w:pPr>
      <w:tabs>
        <w:tab w:val="clear" w:pos="1920"/>
      </w:tabs>
      <w:spacing w:before="240" w:after="120"/>
      <w:ind w:left="720"/>
    </w:pPr>
    <w:rPr>
      <w:szCs w:val="26"/>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fr-FR"/>
    </w:rPr>
  </w:style>
  <w:style w:type="character" w:customStyle="1" w:styleId="Heading6Char">
    <w:name w:val="Heading 6 Char"/>
    <w:link w:val="Heading6"/>
    <w:rPr>
      <w:rFonts w:ascii="Arial" w:hAnsi="Arial"/>
      <w:i/>
      <w:sz w:val="22"/>
      <w:lang w:eastAsia="fr-FR"/>
    </w:rPr>
  </w:style>
  <w:style w:type="character" w:customStyle="1" w:styleId="Heading7Char">
    <w:name w:val="Heading 7 Char"/>
    <w:link w:val="Heading7"/>
    <w:rPr>
      <w:rFonts w:ascii="Arial" w:hAnsi="Arial"/>
      <w:lang w:eastAsia="fr-FR"/>
    </w:rPr>
  </w:style>
  <w:style w:type="character" w:customStyle="1" w:styleId="Heading8Char">
    <w:name w:val="Heading 8 Char"/>
    <w:link w:val="Heading8"/>
    <w:rPr>
      <w:rFonts w:ascii="Arial" w:hAnsi="Arial"/>
      <w:i/>
      <w:lang w:eastAsia="fr-FR"/>
    </w:rPr>
  </w:style>
  <w:style w:type="character" w:customStyle="1" w:styleId="Heading9Char">
    <w:name w:val="Heading 9 Char"/>
    <w:link w:val="Heading9"/>
    <w:rPr>
      <w:rFonts w:ascii="Arial" w:hAnsi="Arial"/>
      <w:i/>
      <w:sz w:val="18"/>
      <w:lang w:eastAsia="fr-FR"/>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fr-FR"/>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after="120" w:line="260" w:lineRule="atLeast"/>
      <w:jc w:val="left"/>
    </w:pPr>
    <w:rPr>
      <w:rFonts w:ascii="Calibri" w:hAnsi="Calibri"/>
      <w:bCs/>
      <w:color w:val="0067AC"/>
      <w:sz w:val="26"/>
      <w:szCs w:val="26"/>
    </w:rPr>
  </w:style>
  <w:style w:type="character" w:customStyle="1" w:styleId="Text1Char">
    <w:name w:val="Text 1 Char"/>
    <w:link w:val="Text1"/>
    <w:rPr>
      <w:sz w:val="24"/>
      <w:lang w:eastAsia="fr-FR"/>
    </w:rPr>
  </w:style>
  <w:style w:type="character" w:customStyle="1" w:styleId="Heading3Char">
    <w:name w:val="Heading 3 Char"/>
    <w:link w:val="Heading3"/>
    <w:rPr>
      <w:i/>
      <w:sz w:val="24"/>
      <w:lang w:eastAsia="fr-FR"/>
    </w:rPr>
  </w:style>
  <w:style w:type="paragraph" w:customStyle="1" w:styleId="Bullet">
    <w:name w:val="Bullet"/>
    <w:basedOn w:val="Normal"/>
    <w:pPr>
      <w:numPr>
        <w:numId w:val="32"/>
      </w:numPr>
      <w:spacing w:after="120" w:line="264" w:lineRule="auto"/>
    </w:pPr>
    <w:rPr>
      <w:rFonts w:ascii="Arial" w:hAnsi="Arial"/>
      <w:sz w:val="20"/>
    </w:rPr>
  </w:style>
  <w:style w:type="character" w:customStyle="1" w:styleId="DateChar">
    <w:name w:val="Date Char"/>
    <w:link w:val="Date"/>
    <w:uiPriority w:val="99"/>
    <w:rPr>
      <w:sz w:val="24"/>
      <w:lang w:eastAsia="fr-FR"/>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fr-FR"/>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sz w:val="24"/>
      <w:lang w:eastAsia="fr-FR"/>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fr-FR"/>
    </w:rPr>
  </w:style>
  <w:style w:type="character" w:customStyle="1" w:styleId="ListBullet2Char">
    <w:name w:val="List Bullet 2 Char"/>
    <w:link w:val="ListBullet2"/>
    <w:rPr>
      <w:sz w:val="24"/>
      <w:lang w:eastAsia="fr-FR"/>
    </w:rPr>
  </w:style>
  <w:style w:type="character" w:customStyle="1" w:styleId="bullet1Char">
    <w:name w:val="bullet1 Char"/>
    <w:basedOn w:val="ListBullet2Char"/>
    <w:link w:val="bullet11"/>
    <w:rPr>
      <w:sz w:val="24"/>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ind w:left="284" w:hanging="284"/>
    </w:pPr>
    <w:rPr>
      <w:sz w:val="20"/>
      <w:vertAlign w:val="superscript"/>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7"/>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fr-FR"/>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fr-FR"/>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rPr>
  </w:style>
  <w:style w:type="character" w:customStyle="1" w:styleId="None">
    <w:name w:val="Non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2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header" w:uiPriority="2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Title" w:semiHidden="0" w:unhideWhenUsed="0" w:qFormat="1"/>
    <w:lsdException w:name="Default Paragraph Font" w:uiPriority="1"/>
    <w:lsdException w:name="Body Text" w:uiPriority="1" w:qFormat="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39"/>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39"/>
      </w:numPr>
      <w:outlineLvl w:val="1"/>
    </w:pPr>
  </w:style>
  <w:style w:type="paragraph" w:styleId="Heading3">
    <w:name w:val="heading 3"/>
    <w:basedOn w:val="Normal"/>
    <w:next w:val="Text3"/>
    <w:link w:val="Heading3Char"/>
    <w:qFormat/>
    <w:pPr>
      <w:keepNext/>
      <w:numPr>
        <w:ilvl w:val="2"/>
        <w:numId w:val="39"/>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39"/>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29"/>
    <w:rPr>
      <w:sz w:val="24"/>
      <w:lang w:eastAsia="fr-FR"/>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rPr>
      <w:lang w:eastAsia="fr-FR"/>
    </w:rPr>
  </w:style>
  <w:style w:type="paragraph" w:customStyle="1" w:styleId="astandard3520normal">
    <w:name w:val="a_standard__35__20_normal"/>
    <w:basedOn w:val="Normal"/>
    <w:pPr>
      <w:spacing w:after="120"/>
      <w:ind w:right="57"/>
    </w:pPr>
    <w:rPr>
      <w:b/>
      <w:bCs/>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uiPriority w:val="99"/>
    <w:rPr>
      <w:lang w:eastAsia="fr-FR"/>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basedOn w:val="DefaultParagraphFont"/>
    <w:link w:val="CommentText"/>
    <w:rPr>
      <w:lang w:eastAsia="fr-FR"/>
    </w:rPr>
  </w:style>
  <w:style w:type="character" w:customStyle="1" w:styleId="CommentSubjectChar">
    <w:name w:val="Comment Subject Char"/>
    <w:basedOn w:val="CommentTextChar1"/>
    <w:link w:val="CommentSubject"/>
    <w:rPr>
      <w:b/>
      <w:bCs/>
      <w:lang w:val="fr-FR" w:eastAsia="fr-FR"/>
    </w:rPr>
  </w:style>
  <w:style w:type="paragraph" w:styleId="BalloonText">
    <w:name w:val="Balloon Text"/>
    <w:basedOn w:val="Normal"/>
    <w:link w:val="BalloonTextChar"/>
    <w:pPr>
      <w:spacing w:after="0"/>
    </w:pPr>
    <w:rPr>
      <w:rFonts w:ascii="Tahoma" w:hAnsi="Tahoma"/>
      <w:sz w:val="16"/>
      <w:szCs w:val="16"/>
    </w:rPr>
  </w:style>
  <w:style w:type="character" w:customStyle="1" w:styleId="BalloonTextChar">
    <w:name w:val="Balloon Text Char"/>
    <w:basedOn w:val="DefaultParagraphFont"/>
    <w:link w:val="BalloonText"/>
    <w:rPr>
      <w:rFonts w:ascii="Tahoma" w:hAnsi="Tahoma"/>
      <w:sz w:val="16"/>
      <w:szCs w:val="16"/>
      <w:lang w:val="fr-FR" w:eastAsia="fr-FR"/>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fr-FR"/>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fr-FR"/>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fr-FR"/>
    </w:rPr>
  </w:style>
  <w:style w:type="paragraph" w:customStyle="1" w:styleId="Heaing2">
    <w:name w:val="Heaing 2"/>
    <w:basedOn w:val="Heading3"/>
    <w:pPr>
      <w:tabs>
        <w:tab w:val="clear" w:pos="1920"/>
      </w:tabs>
      <w:spacing w:before="240" w:after="120"/>
      <w:ind w:left="720"/>
    </w:pPr>
    <w:rPr>
      <w:szCs w:val="26"/>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fr-FR"/>
    </w:rPr>
  </w:style>
  <w:style w:type="character" w:customStyle="1" w:styleId="Heading6Char">
    <w:name w:val="Heading 6 Char"/>
    <w:link w:val="Heading6"/>
    <w:rPr>
      <w:rFonts w:ascii="Arial" w:hAnsi="Arial"/>
      <w:i/>
      <w:sz w:val="22"/>
      <w:lang w:eastAsia="fr-FR"/>
    </w:rPr>
  </w:style>
  <w:style w:type="character" w:customStyle="1" w:styleId="Heading7Char">
    <w:name w:val="Heading 7 Char"/>
    <w:link w:val="Heading7"/>
    <w:rPr>
      <w:rFonts w:ascii="Arial" w:hAnsi="Arial"/>
      <w:lang w:eastAsia="fr-FR"/>
    </w:rPr>
  </w:style>
  <w:style w:type="character" w:customStyle="1" w:styleId="Heading8Char">
    <w:name w:val="Heading 8 Char"/>
    <w:link w:val="Heading8"/>
    <w:rPr>
      <w:rFonts w:ascii="Arial" w:hAnsi="Arial"/>
      <w:i/>
      <w:lang w:eastAsia="fr-FR"/>
    </w:rPr>
  </w:style>
  <w:style w:type="character" w:customStyle="1" w:styleId="Heading9Char">
    <w:name w:val="Heading 9 Char"/>
    <w:link w:val="Heading9"/>
    <w:rPr>
      <w:rFonts w:ascii="Arial" w:hAnsi="Arial"/>
      <w:i/>
      <w:sz w:val="18"/>
      <w:lang w:eastAsia="fr-FR"/>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fr-FR"/>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after="120" w:line="260" w:lineRule="atLeast"/>
      <w:jc w:val="left"/>
    </w:pPr>
    <w:rPr>
      <w:rFonts w:ascii="Calibri" w:hAnsi="Calibri"/>
      <w:bCs/>
      <w:color w:val="0067AC"/>
      <w:sz w:val="26"/>
      <w:szCs w:val="26"/>
    </w:rPr>
  </w:style>
  <w:style w:type="character" w:customStyle="1" w:styleId="Text1Char">
    <w:name w:val="Text 1 Char"/>
    <w:link w:val="Text1"/>
    <w:rPr>
      <w:sz w:val="24"/>
      <w:lang w:eastAsia="fr-FR"/>
    </w:rPr>
  </w:style>
  <w:style w:type="character" w:customStyle="1" w:styleId="Heading3Char">
    <w:name w:val="Heading 3 Char"/>
    <w:link w:val="Heading3"/>
    <w:rPr>
      <w:i/>
      <w:sz w:val="24"/>
      <w:lang w:eastAsia="fr-FR"/>
    </w:rPr>
  </w:style>
  <w:style w:type="paragraph" w:customStyle="1" w:styleId="Bullet">
    <w:name w:val="Bullet"/>
    <w:basedOn w:val="Normal"/>
    <w:pPr>
      <w:numPr>
        <w:numId w:val="32"/>
      </w:numPr>
      <w:spacing w:after="120" w:line="264" w:lineRule="auto"/>
    </w:pPr>
    <w:rPr>
      <w:rFonts w:ascii="Arial" w:hAnsi="Arial"/>
      <w:sz w:val="20"/>
    </w:rPr>
  </w:style>
  <w:style w:type="character" w:customStyle="1" w:styleId="DateChar">
    <w:name w:val="Date Char"/>
    <w:link w:val="Date"/>
    <w:uiPriority w:val="99"/>
    <w:rPr>
      <w:sz w:val="24"/>
      <w:lang w:eastAsia="fr-FR"/>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fr-FR"/>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sz w:val="24"/>
      <w:lang w:eastAsia="fr-FR"/>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fr-FR"/>
    </w:rPr>
  </w:style>
  <w:style w:type="character" w:customStyle="1" w:styleId="ListBullet2Char">
    <w:name w:val="List Bullet 2 Char"/>
    <w:link w:val="ListBullet2"/>
    <w:rPr>
      <w:sz w:val="24"/>
      <w:lang w:eastAsia="fr-FR"/>
    </w:rPr>
  </w:style>
  <w:style w:type="character" w:customStyle="1" w:styleId="bullet1Char">
    <w:name w:val="bullet1 Char"/>
    <w:basedOn w:val="ListBullet2Char"/>
    <w:link w:val="bullet11"/>
    <w:rPr>
      <w:sz w:val="24"/>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ind w:left="284" w:hanging="284"/>
    </w:pPr>
    <w:rPr>
      <w:sz w:val="20"/>
      <w:vertAlign w:val="superscript"/>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7"/>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fr-FR"/>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fr-FR"/>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rPr>
  </w:style>
  <w:style w:type="character" w:customStyle="1" w:styleId="None">
    <w:name w:val="No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8707">
      <w:bodyDiv w:val="1"/>
      <w:marLeft w:val="0"/>
      <w:marRight w:val="0"/>
      <w:marTop w:val="0"/>
      <w:marBottom w:val="0"/>
      <w:divBdr>
        <w:top w:val="none" w:sz="0" w:space="0" w:color="auto"/>
        <w:left w:val="none" w:sz="0" w:space="0" w:color="auto"/>
        <w:bottom w:val="none" w:sz="0" w:space="0" w:color="auto"/>
        <w:right w:val="none" w:sz="0" w:space="0" w:color="auto"/>
      </w:divBdr>
    </w:div>
    <w:div w:id="720708215">
      <w:bodyDiv w:val="1"/>
      <w:marLeft w:val="0"/>
      <w:marRight w:val="0"/>
      <w:marTop w:val="0"/>
      <w:marBottom w:val="0"/>
      <w:divBdr>
        <w:top w:val="none" w:sz="0" w:space="0" w:color="auto"/>
        <w:left w:val="none" w:sz="0" w:space="0" w:color="auto"/>
        <w:bottom w:val="none" w:sz="0" w:space="0" w:color="auto"/>
        <w:right w:val="none" w:sz="0" w:space="0" w:color="auto"/>
      </w:divBdr>
    </w:div>
    <w:div w:id="861213113">
      <w:bodyDiv w:val="1"/>
      <w:marLeft w:val="0"/>
      <w:marRight w:val="0"/>
      <w:marTop w:val="0"/>
      <w:marBottom w:val="0"/>
      <w:divBdr>
        <w:top w:val="none" w:sz="0" w:space="0" w:color="auto"/>
        <w:left w:val="none" w:sz="0" w:space="0" w:color="auto"/>
        <w:bottom w:val="none" w:sz="0" w:space="0" w:color="auto"/>
        <w:right w:val="none" w:sz="0" w:space="0" w:color="auto"/>
      </w:divBdr>
    </w:div>
    <w:div w:id="1019503333">
      <w:bodyDiv w:val="1"/>
      <w:marLeft w:val="0"/>
      <w:marRight w:val="0"/>
      <w:marTop w:val="0"/>
      <w:marBottom w:val="0"/>
      <w:divBdr>
        <w:top w:val="none" w:sz="0" w:space="0" w:color="auto"/>
        <w:left w:val="none" w:sz="0" w:space="0" w:color="auto"/>
        <w:bottom w:val="none" w:sz="0" w:space="0" w:color="auto"/>
        <w:right w:val="none" w:sz="0" w:space="0" w:color="auto"/>
      </w:divBdr>
    </w:div>
    <w:div w:id="1039890122">
      <w:bodyDiv w:val="1"/>
      <w:marLeft w:val="0"/>
      <w:marRight w:val="0"/>
      <w:marTop w:val="0"/>
      <w:marBottom w:val="0"/>
      <w:divBdr>
        <w:top w:val="none" w:sz="0" w:space="0" w:color="auto"/>
        <w:left w:val="none" w:sz="0" w:space="0" w:color="auto"/>
        <w:bottom w:val="none" w:sz="0" w:space="0" w:color="auto"/>
        <w:right w:val="none" w:sz="0" w:space="0" w:color="auto"/>
      </w:divBdr>
    </w:div>
    <w:div w:id="1117525398">
      <w:bodyDiv w:val="1"/>
      <w:marLeft w:val="0"/>
      <w:marRight w:val="0"/>
      <w:marTop w:val="0"/>
      <w:marBottom w:val="0"/>
      <w:divBdr>
        <w:top w:val="none" w:sz="0" w:space="0" w:color="auto"/>
        <w:left w:val="none" w:sz="0" w:space="0" w:color="auto"/>
        <w:bottom w:val="none" w:sz="0" w:space="0" w:color="auto"/>
        <w:right w:val="none" w:sz="0" w:space="0" w:color="auto"/>
      </w:divBdr>
    </w:div>
    <w:div w:id="1546678826">
      <w:bodyDiv w:val="1"/>
      <w:marLeft w:val="0"/>
      <w:marRight w:val="0"/>
      <w:marTop w:val="0"/>
      <w:marBottom w:val="0"/>
      <w:divBdr>
        <w:top w:val="none" w:sz="0" w:space="0" w:color="auto"/>
        <w:left w:val="none" w:sz="0" w:space="0" w:color="auto"/>
        <w:bottom w:val="none" w:sz="0" w:space="0" w:color="auto"/>
        <w:right w:val="none" w:sz="0" w:space="0" w:color="auto"/>
      </w:divBdr>
    </w:div>
    <w:div w:id="1702123227">
      <w:bodyDiv w:val="1"/>
      <w:marLeft w:val="0"/>
      <w:marRight w:val="0"/>
      <w:marTop w:val="0"/>
      <w:marBottom w:val="0"/>
      <w:divBdr>
        <w:top w:val="none" w:sz="0" w:space="0" w:color="auto"/>
        <w:left w:val="none" w:sz="0" w:space="0" w:color="auto"/>
        <w:bottom w:val="none" w:sz="0" w:space="0" w:color="auto"/>
        <w:right w:val="none" w:sz="0" w:space="0" w:color="auto"/>
      </w:divBdr>
      <w:divsChild>
        <w:div w:id="2047830473">
          <w:marLeft w:val="0"/>
          <w:marRight w:val="0"/>
          <w:marTop w:val="0"/>
          <w:marBottom w:val="0"/>
          <w:divBdr>
            <w:top w:val="none" w:sz="0" w:space="0" w:color="auto"/>
            <w:left w:val="none" w:sz="0" w:space="0" w:color="auto"/>
            <w:bottom w:val="none" w:sz="0" w:space="0" w:color="auto"/>
            <w:right w:val="none" w:sz="0" w:space="0" w:color="auto"/>
          </w:divBdr>
          <w:divsChild>
            <w:div w:id="2101221274">
              <w:marLeft w:val="0"/>
              <w:marRight w:val="0"/>
              <w:marTop w:val="0"/>
              <w:marBottom w:val="0"/>
              <w:divBdr>
                <w:top w:val="none" w:sz="0" w:space="0" w:color="auto"/>
                <w:left w:val="none" w:sz="0" w:space="0" w:color="auto"/>
                <w:bottom w:val="none" w:sz="0" w:space="0" w:color="auto"/>
                <w:right w:val="none" w:sz="0" w:space="0" w:color="auto"/>
              </w:divBdr>
              <w:divsChild>
                <w:div w:id="1733430793">
                  <w:marLeft w:val="0"/>
                  <w:marRight w:val="0"/>
                  <w:marTop w:val="0"/>
                  <w:marBottom w:val="0"/>
                  <w:divBdr>
                    <w:top w:val="none" w:sz="0" w:space="0" w:color="auto"/>
                    <w:left w:val="none" w:sz="0" w:space="0" w:color="auto"/>
                    <w:bottom w:val="none" w:sz="0" w:space="0" w:color="auto"/>
                    <w:right w:val="none" w:sz="0" w:space="0" w:color="auto"/>
                  </w:divBdr>
                  <w:divsChild>
                    <w:div w:id="334190257">
                      <w:marLeft w:val="1"/>
                      <w:marRight w:val="1"/>
                      <w:marTop w:val="0"/>
                      <w:marBottom w:val="0"/>
                      <w:divBdr>
                        <w:top w:val="none" w:sz="0" w:space="0" w:color="auto"/>
                        <w:left w:val="none" w:sz="0" w:space="0" w:color="auto"/>
                        <w:bottom w:val="none" w:sz="0" w:space="0" w:color="auto"/>
                        <w:right w:val="none" w:sz="0" w:space="0" w:color="auto"/>
                      </w:divBdr>
                      <w:divsChild>
                        <w:div w:id="689837562">
                          <w:marLeft w:val="0"/>
                          <w:marRight w:val="0"/>
                          <w:marTop w:val="0"/>
                          <w:marBottom w:val="0"/>
                          <w:divBdr>
                            <w:top w:val="none" w:sz="0" w:space="0" w:color="auto"/>
                            <w:left w:val="none" w:sz="0" w:space="0" w:color="auto"/>
                            <w:bottom w:val="none" w:sz="0" w:space="0" w:color="auto"/>
                            <w:right w:val="none" w:sz="0" w:space="0" w:color="auto"/>
                          </w:divBdr>
                          <w:divsChild>
                            <w:div w:id="1237740626">
                              <w:marLeft w:val="0"/>
                              <w:marRight w:val="0"/>
                              <w:marTop w:val="0"/>
                              <w:marBottom w:val="0"/>
                              <w:divBdr>
                                <w:top w:val="none" w:sz="0" w:space="0" w:color="auto"/>
                                <w:left w:val="none" w:sz="0" w:space="0" w:color="auto"/>
                                <w:bottom w:val="none" w:sz="0" w:space="0" w:color="auto"/>
                                <w:right w:val="none" w:sz="0" w:space="0" w:color="auto"/>
                              </w:divBdr>
                              <w:divsChild>
                                <w:div w:id="702290157">
                                  <w:marLeft w:val="0"/>
                                  <w:marRight w:val="0"/>
                                  <w:marTop w:val="0"/>
                                  <w:marBottom w:val="360"/>
                                  <w:divBdr>
                                    <w:top w:val="none" w:sz="0" w:space="0" w:color="auto"/>
                                    <w:left w:val="none" w:sz="0" w:space="0" w:color="auto"/>
                                    <w:bottom w:val="none" w:sz="0" w:space="0" w:color="auto"/>
                                    <w:right w:val="none" w:sz="0" w:space="0" w:color="auto"/>
                                  </w:divBdr>
                                  <w:divsChild>
                                    <w:div w:id="312296167">
                                      <w:marLeft w:val="0"/>
                                      <w:marRight w:val="0"/>
                                      <w:marTop w:val="0"/>
                                      <w:marBottom w:val="0"/>
                                      <w:divBdr>
                                        <w:top w:val="none" w:sz="0" w:space="0" w:color="auto"/>
                                        <w:left w:val="none" w:sz="0" w:space="0" w:color="auto"/>
                                        <w:bottom w:val="none" w:sz="0" w:space="0" w:color="auto"/>
                                        <w:right w:val="none" w:sz="0" w:space="0" w:color="auto"/>
                                      </w:divBdr>
                                      <w:divsChild>
                                        <w:div w:id="15644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250588">
      <w:bodyDiv w:val="1"/>
      <w:marLeft w:val="0"/>
      <w:marRight w:val="0"/>
      <w:marTop w:val="0"/>
      <w:marBottom w:val="0"/>
      <w:divBdr>
        <w:top w:val="none" w:sz="0" w:space="0" w:color="auto"/>
        <w:left w:val="none" w:sz="0" w:space="0" w:color="auto"/>
        <w:bottom w:val="none" w:sz="0" w:space="0" w:color="auto"/>
        <w:right w:val="none" w:sz="0" w:space="0" w:color="auto"/>
      </w:divBdr>
    </w:div>
    <w:div w:id="1848590018">
      <w:bodyDiv w:val="1"/>
      <w:marLeft w:val="0"/>
      <w:marRight w:val="0"/>
      <w:marTop w:val="0"/>
      <w:marBottom w:val="0"/>
      <w:divBdr>
        <w:top w:val="none" w:sz="0" w:space="0" w:color="auto"/>
        <w:left w:val="none" w:sz="0" w:space="0" w:color="auto"/>
        <w:bottom w:val="none" w:sz="0" w:space="0" w:color="auto"/>
        <w:right w:val="none" w:sz="0" w:space="0" w:color="auto"/>
      </w:divBdr>
    </w:div>
    <w:div w:id="1894807798">
      <w:bodyDiv w:val="1"/>
      <w:marLeft w:val="0"/>
      <w:marRight w:val="0"/>
      <w:marTop w:val="0"/>
      <w:marBottom w:val="0"/>
      <w:divBdr>
        <w:top w:val="none" w:sz="0" w:space="0" w:color="auto"/>
        <w:left w:val="none" w:sz="0" w:space="0" w:color="auto"/>
        <w:bottom w:val="none" w:sz="0" w:space="0" w:color="auto"/>
        <w:right w:val="none" w:sz="0" w:space="0" w:color="auto"/>
      </w:divBdr>
      <w:divsChild>
        <w:div w:id="1149127618">
          <w:marLeft w:val="0"/>
          <w:marRight w:val="0"/>
          <w:marTop w:val="0"/>
          <w:marBottom w:val="0"/>
          <w:divBdr>
            <w:top w:val="single" w:sz="6" w:space="0" w:color="FFFFFF"/>
            <w:left w:val="single" w:sz="6" w:space="0" w:color="FFFFFF"/>
            <w:bottom w:val="single" w:sz="6" w:space="0" w:color="FFFFFF"/>
            <w:right w:val="single" w:sz="6" w:space="0" w:color="FFFFFF"/>
          </w:divBdr>
          <w:divsChild>
            <w:div w:id="1846901694">
              <w:marLeft w:val="0"/>
              <w:marRight w:val="0"/>
              <w:marTop w:val="0"/>
              <w:marBottom w:val="0"/>
              <w:divBdr>
                <w:top w:val="none" w:sz="0" w:space="0" w:color="auto"/>
                <w:left w:val="none" w:sz="0" w:space="0" w:color="auto"/>
                <w:bottom w:val="none" w:sz="0" w:space="0" w:color="auto"/>
                <w:right w:val="none" w:sz="0" w:space="0" w:color="auto"/>
              </w:divBdr>
              <w:divsChild>
                <w:div w:id="1504275973">
                  <w:marLeft w:val="0"/>
                  <w:marRight w:val="0"/>
                  <w:marTop w:val="0"/>
                  <w:marBottom w:val="0"/>
                  <w:divBdr>
                    <w:top w:val="none" w:sz="0" w:space="0" w:color="auto"/>
                    <w:left w:val="none" w:sz="0" w:space="0" w:color="auto"/>
                    <w:bottom w:val="none" w:sz="0" w:space="0" w:color="auto"/>
                    <w:right w:val="none" w:sz="0" w:space="0" w:color="auto"/>
                  </w:divBdr>
                  <w:divsChild>
                    <w:div w:id="1572278816">
                      <w:marLeft w:val="0"/>
                      <w:marRight w:val="0"/>
                      <w:marTop w:val="0"/>
                      <w:marBottom w:val="0"/>
                      <w:divBdr>
                        <w:top w:val="none" w:sz="0" w:space="0" w:color="auto"/>
                        <w:left w:val="none" w:sz="0" w:space="0" w:color="auto"/>
                        <w:bottom w:val="none" w:sz="0" w:space="0" w:color="auto"/>
                        <w:right w:val="none" w:sz="0" w:space="0" w:color="auto"/>
                      </w:divBdr>
                      <w:divsChild>
                        <w:div w:id="1837308742">
                          <w:marLeft w:val="0"/>
                          <w:marRight w:val="0"/>
                          <w:marTop w:val="0"/>
                          <w:marBottom w:val="0"/>
                          <w:divBdr>
                            <w:top w:val="none" w:sz="0" w:space="0" w:color="auto"/>
                            <w:left w:val="none" w:sz="0" w:space="0" w:color="auto"/>
                            <w:bottom w:val="none" w:sz="0" w:space="0" w:color="auto"/>
                            <w:right w:val="none" w:sz="0" w:space="0" w:color="auto"/>
                          </w:divBdr>
                          <w:divsChild>
                            <w:div w:id="789282794">
                              <w:marLeft w:val="0"/>
                              <w:marRight w:val="0"/>
                              <w:marTop w:val="0"/>
                              <w:marBottom w:val="0"/>
                              <w:divBdr>
                                <w:top w:val="none" w:sz="0" w:space="0" w:color="auto"/>
                                <w:left w:val="none" w:sz="0" w:space="0" w:color="auto"/>
                                <w:bottom w:val="none" w:sz="0" w:space="0" w:color="auto"/>
                                <w:right w:val="none" w:sz="0" w:space="0" w:color="auto"/>
                              </w:divBdr>
                              <w:divsChild>
                                <w:div w:id="1462847848">
                                  <w:marLeft w:val="0"/>
                                  <w:marRight w:val="0"/>
                                  <w:marTop w:val="0"/>
                                  <w:marBottom w:val="0"/>
                                  <w:divBdr>
                                    <w:top w:val="none" w:sz="0" w:space="0" w:color="auto"/>
                                    <w:left w:val="none" w:sz="0" w:space="0" w:color="auto"/>
                                    <w:bottom w:val="none" w:sz="0" w:space="0" w:color="auto"/>
                                    <w:right w:val="none" w:sz="0" w:space="0" w:color="auto"/>
                                  </w:divBdr>
                                  <w:divsChild>
                                    <w:div w:id="1244297550">
                                      <w:marLeft w:val="0"/>
                                      <w:marRight w:val="0"/>
                                      <w:marTop w:val="0"/>
                                      <w:marBottom w:val="0"/>
                                      <w:divBdr>
                                        <w:top w:val="none" w:sz="0" w:space="0" w:color="auto"/>
                                        <w:left w:val="none" w:sz="0" w:space="0" w:color="auto"/>
                                        <w:bottom w:val="none" w:sz="0" w:space="0" w:color="auto"/>
                                        <w:right w:val="none" w:sz="0" w:space="0" w:color="auto"/>
                                      </w:divBdr>
                                      <w:divsChild>
                                        <w:div w:id="19121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965180">
      <w:bodyDiv w:val="1"/>
      <w:marLeft w:val="0"/>
      <w:marRight w:val="0"/>
      <w:marTop w:val="0"/>
      <w:marBottom w:val="0"/>
      <w:divBdr>
        <w:top w:val="none" w:sz="0" w:space="0" w:color="auto"/>
        <w:left w:val="none" w:sz="0" w:space="0" w:color="auto"/>
        <w:bottom w:val="none" w:sz="0" w:space="0" w:color="auto"/>
        <w:right w:val="none" w:sz="0" w:space="0" w:color="auto"/>
      </w:divBdr>
      <w:divsChild>
        <w:div w:id="935286576">
          <w:marLeft w:val="0"/>
          <w:marRight w:val="0"/>
          <w:marTop w:val="0"/>
          <w:marBottom w:val="0"/>
          <w:divBdr>
            <w:top w:val="none" w:sz="0" w:space="0" w:color="auto"/>
            <w:left w:val="none" w:sz="0" w:space="0" w:color="auto"/>
            <w:bottom w:val="none" w:sz="0" w:space="0" w:color="auto"/>
            <w:right w:val="none" w:sz="0" w:space="0" w:color="auto"/>
          </w:divBdr>
          <w:divsChild>
            <w:div w:id="1477339438">
              <w:marLeft w:val="0"/>
              <w:marRight w:val="0"/>
              <w:marTop w:val="0"/>
              <w:marBottom w:val="0"/>
              <w:divBdr>
                <w:top w:val="none" w:sz="0" w:space="0" w:color="auto"/>
                <w:left w:val="none" w:sz="0" w:space="0" w:color="auto"/>
                <w:bottom w:val="none" w:sz="0" w:space="0" w:color="auto"/>
                <w:right w:val="none" w:sz="0" w:space="0" w:color="auto"/>
              </w:divBdr>
              <w:divsChild>
                <w:div w:id="1187331575">
                  <w:marLeft w:val="0"/>
                  <w:marRight w:val="0"/>
                  <w:marTop w:val="0"/>
                  <w:marBottom w:val="0"/>
                  <w:divBdr>
                    <w:top w:val="none" w:sz="0" w:space="0" w:color="auto"/>
                    <w:left w:val="none" w:sz="0" w:space="0" w:color="auto"/>
                    <w:bottom w:val="none" w:sz="0" w:space="0" w:color="auto"/>
                    <w:right w:val="none" w:sz="0" w:space="0" w:color="auto"/>
                  </w:divBdr>
                  <w:divsChild>
                    <w:div w:id="1672561467">
                      <w:marLeft w:val="1"/>
                      <w:marRight w:val="1"/>
                      <w:marTop w:val="0"/>
                      <w:marBottom w:val="0"/>
                      <w:divBdr>
                        <w:top w:val="none" w:sz="0" w:space="0" w:color="auto"/>
                        <w:left w:val="none" w:sz="0" w:space="0" w:color="auto"/>
                        <w:bottom w:val="none" w:sz="0" w:space="0" w:color="auto"/>
                        <w:right w:val="none" w:sz="0" w:space="0" w:color="auto"/>
                      </w:divBdr>
                      <w:divsChild>
                        <w:div w:id="1130518376">
                          <w:marLeft w:val="0"/>
                          <w:marRight w:val="0"/>
                          <w:marTop w:val="0"/>
                          <w:marBottom w:val="0"/>
                          <w:divBdr>
                            <w:top w:val="none" w:sz="0" w:space="0" w:color="auto"/>
                            <w:left w:val="none" w:sz="0" w:space="0" w:color="auto"/>
                            <w:bottom w:val="none" w:sz="0" w:space="0" w:color="auto"/>
                            <w:right w:val="none" w:sz="0" w:space="0" w:color="auto"/>
                          </w:divBdr>
                          <w:divsChild>
                            <w:div w:id="1129519107">
                              <w:marLeft w:val="0"/>
                              <w:marRight w:val="0"/>
                              <w:marTop w:val="0"/>
                              <w:marBottom w:val="0"/>
                              <w:divBdr>
                                <w:top w:val="none" w:sz="0" w:space="0" w:color="auto"/>
                                <w:left w:val="none" w:sz="0" w:space="0" w:color="auto"/>
                                <w:bottom w:val="none" w:sz="0" w:space="0" w:color="auto"/>
                                <w:right w:val="none" w:sz="0" w:space="0" w:color="auto"/>
                              </w:divBdr>
                              <w:divsChild>
                                <w:div w:id="123744464">
                                  <w:marLeft w:val="0"/>
                                  <w:marRight w:val="0"/>
                                  <w:marTop w:val="0"/>
                                  <w:marBottom w:val="360"/>
                                  <w:divBdr>
                                    <w:top w:val="none" w:sz="0" w:space="0" w:color="auto"/>
                                    <w:left w:val="none" w:sz="0" w:space="0" w:color="auto"/>
                                    <w:bottom w:val="none" w:sz="0" w:space="0" w:color="auto"/>
                                    <w:right w:val="none" w:sz="0" w:space="0" w:color="auto"/>
                                  </w:divBdr>
                                  <w:divsChild>
                                    <w:div w:id="1994748903">
                                      <w:marLeft w:val="0"/>
                                      <w:marRight w:val="0"/>
                                      <w:marTop w:val="0"/>
                                      <w:marBottom w:val="0"/>
                                      <w:divBdr>
                                        <w:top w:val="none" w:sz="0" w:space="0" w:color="auto"/>
                                        <w:left w:val="none" w:sz="0" w:space="0" w:color="auto"/>
                                        <w:bottom w:val="none" w:sz="0" w:space="0" w:color="auto"/>
                                        <w:right w:val="none" w:sz="0" w:space="0" w:color="auto"/>
                                      </w:divBdr>
                                      <w:divsChild>
                                        <w:div w:id="13140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b8fab895a707b9b21abf6adc55a51ee4">
  <xsd:schema xmlns:xsd="http://www.w3.org/2001/XMLSchema" xmlns:xs="http://www.w3.org/2001/XMLSchema" xmlns:p="http://schemas.microsoft.com/office/2006/metadata/properties" xmlns:ns3="69896359-b98d-4972-ac24-787626a39a52" targetNamespace="http://schemas.microsoft.com/office/2006/metadata/properties" ma:root="true" ma:fieldsID="99bf650b59f4a97b2cecff02f21bdea7" ns3:_="">
    <xsd:import namespace="69896359-b98d-4972-ac24-787626a39a52"/>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69D1C-C304-44F9-BE16-5658FEA0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D9046-5A8E-4E77-818E-8EF7708B967E}">
  <ds:schemaRefs>
    <ds:schemaRef ds:uri="http://schemas.microsoft.com/sharepoint/v3/contenttype/forms"/>
  </ds:schemaRefs>
</ds:datastoreItem>
</file>

<file path=customXml/itemProps3.xml><?xml version="1.0" encoding="utf-8"?>
<ds:datastoreItem xmlns:ds="http://schemas.openxmlformats.org/officeDocument/2006/customXml" ds:itemID="{D8F1CA7D-A383-4D9D-BB25-01E2740074F0}">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69896359-b98d-4972-ac24-787626a39a52"/>
    <ds:schemaRef ds:uri="http://purl.org/dc/term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04D35A0D-F584-4CBD-A450-14A410AB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1672</Words>
  <Characters>9980</Characters>
  <Application>Microsoft Office Word</Application>
  <DocSecurity>0</DocSecurity>
  <PresentationFormat>Microsoft Word 14.0</PresentationFormat>
  <Lines>149</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2017-01-06T09:20:00Z</dcterms:created>
  <dcterms:modified xsi:type="dcterms:W3CDTF">2017-02-13T09:39:00Z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0x010100258AA79CEB83498886A3A0868112325000716C6D809718154B85A00D8564272987</vt:lpwstr>
  </property>
  <property fmtid="{D5CDD505-2E9C-101B-9397-08002B2CF9AE}" pid="6" name="DocStatus">
    <vt:lpwstr>Green</vt:lpwstr>
  </property>
</Properties>
</file>