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BB" w:rsidRDefault="00F43FBB" w:rsidP="00F43FB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E188A656A554E4F8929215BC2FFA9E4" style="width:450.6pt;height:459.3pt">
            <v:imagedata r:id="rId9" o:title=""/>
          </v:shape>
        </w:pict>
      </w:r>
    </w:p>
    <w:bookmarkEnd w:id="0"/>
    <w:p w:rsidR="009A79BB" w:rsidRDefault="009A79BB">
      <w:pPr>
        <w:pStyle w:val="Pagedecouverture"/>
        <w:rPr>
          <w:noProof/>
        </w:rPr>
        <w:sectPr w:rsidR="009A79BB" w:rsidSect="00F43FB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A79BB" w:rsidRDefault="00F43FBB">
      <w:pPr>
        <w:keepNext/>
        <w:tabs>
          <w:tab w:val="num" w:pos="480"/>
        </w:tabs>
        <w:spacing w:before="120" w:after="240" w:line="240" w:lineRule="auto"/>
        <w:ind w:left="482" w:hanging="482"/>
        <w:jc w:val="both"/>
        <w:outlineLvl w:val="0"/>
        <w:rPr>
          <w:rFonts w:ascii="Times New Roman" w:eastAsia="Times New Roman" w:hAnsi="Times New Roman" w:cs="Times New Roman"/>
          <w:b/>
          <w:smallCaps/>
          <w:noProof/>
          <w:sz w:val="24"/>
          <w:szCs w:val="20"/>
        </w:rPr>
      </w:pPr>
      <w:bookmarkStart w:id="1" w:name="_Toc460918605"/>
      <w:bookmarkStart w:id="2" w:name="_GoBack"/>
      <w:bookmarkEnd w:id="2"/>
      <w:r>
        <w:rPr>
          <w:rFonts w:ascii="Times New Roman" w:hAnsi="Times New Roman"/>
          <w:b/>
          <w:smallCaps/>
          <w:noProof/>
          <w:sz w:val="24"/>
        </w:rPr>
        <w:lastRenderedPageBreak/>
        <w:t>Synthèse</w:t>
      </w:r>
      <w:bookmarkEnd w:id="1"/>
    </w:p>
    <w:p w:rsidR="009A79BB" w:rsidRDefault="00F43FBB">
      <w:pPr>
        <w:spacing w:after="240" w:line="240" w:lineRule="auto"/>
        <w:jc w:val="both"/>
        <w:rPr>
          <w:rFonts w:ascii="Times New Roman" w:eastAsia="Times New Roman" w:hAnsi="Times New Roman" w:cs="Times New Roman"/>
          <w:noProof/>
          <w:color w:val="000000"/>
          <w:sz w:val="24"/>
          <w:szCs w:val="24"/>
          <w:highlight w:val="yellow"/>
        </w:rPr>
      </w:pPr>
      <w:r>
        <w:rPr>
          <w:rFonts w:ascii="Times New Roman" w:hAnsi="Times New Roman"/>
          <w:noProof/>
          <w:color w:val="000000"/>
          <w:sz w:val="24"/>
        </w:rPr>
        <w:t xml:space="preserve">La directive «vie privée et communications électroniques» (2002/58/CE) établit des règles </w:t>
      </w:r>
      <w:r>
        <w:rPr>
          <w:rFonts w:ascii="Times New Roman" w:hAnsi="Times New Roman"/>
          <w:noProof/>
          <w:color w:val="000000"/>
          <w:sz w:val="24"/>
        </w:rPr>
        <w:t>garantissant la protection de la vie privée dans le secteur des communications électroniques. Elle vise à faire en sorte que la préservation de la confidentialité des communications, conformément au droit fondamental au respect de la vie privée et familial</w:t>
      </w:r>
      <w:r>
        <w:rPr>
          <w:rFonts w:ascii="Times New Roman" w:hAnsi="Times New Roman"/>
          <w:noProof/>
          <w:color w:val="000000"/>
          <w:sz w:val="24"/>
        </w:rPr>
        <w:t>e consacré à l’article 7 de la Charte des droits fondamentaux de l’Union européenne, soit garantie.</w:t>
      </w:r>
    </w:p>
    <w:p w:rsidR="009A79BB" w:rsidRDefault="00F43FB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vertu de la directive «vie privée et communications électroniques», les fournisseurs de services de communications électroniques, comme l’accès à Interne</w:t>
      </w:r>
      <w:r>
        <w:rPr>
          <w:rFonts w:ascii="Times New Roman" w:hAnsi="Times New Roman"/>
          <w:noProof/>
          <w:sz w:val="24"/>
        </w:rPr>
        <w:t>t et la téléphonie fixe ou mobile, sont tenus de:</w:t>
      </w:r>
    </w:p>
    <w:p w:rsidR="009A79BB" w:rsidRDefault="009A79BB">
      <w:pPr>
        <w:spacing w:after="0" w:line="240" w:lineRule="auto"/>
        <w:jc w:val="both"/>
        <w:rPr>
          <w:rFonts w:ascii="Times New Roman" w:eastAsia="Times New Roman" w:hAnsi="Times New Roman" w:cs="Times New Roman"/>
          <w:noProof/>
          <w:sz w:val="24"/>
          <w:szCs w:val="24"/>
        </w:rPr>
      </w:pPr>
    </w:p>
    <w:p w:rsidR="009A79BB" w:rsidRDefault="00F43FBB">
      <w:pPr>
        <w:numPr>
          <w:ilvl w:val="0"/>
          <w:numId w:val="3"/>
        </w:numPr>
        <w:spacing w:after="0"/>
        <w:contextualSpacing/>
        <w:jc w:val="both"/>
        <w:rPr>
          <w:rFonts w:ascii="Times New Roman" w:eastAsia="Calibri" w:hAnsi="Times New Roman" w:cs="Calibri"/>
          <w:noProof/>
          <w:sz w:val="24"/>
          <w:szCs w:val="24"/>
        </w:rPr>
      </w:pPr>
      <w:r>
        <w:rPr>
          <w:rFonts w:ascii="Times New Roman" w:hAnsi="Times New Roman"/>
          <w:noProof/>
          <w:sz w:val="24"/>
        </w:rPr>
        <w:t>prendre des mesures appropriées pour assurer la sécurité des services de communications électroniques (objectif spécifique);</w:t>
      </w:r>
    </w:p>
    <w:p w:rsidR="009A79BB" w:rsidRDefault="00F43FBB">
      <w:pPr>
        <w:numPr>
          <w:ilvl w:val="0"/>
          <w:numId w:val="3"/>
        </w:numPr>
        <w:spacing w:after="0"/>
        <w:contextualSpacing/>
        <w:jc w:val="both"/>
        <w:rPr>
          <w:rFonts w:ascii="Times New Roman" w:eastAsia="Calibri" w:hAnsi="Times New Roman" w:cs="Calibri"/>
          <w:noProof/>
          <w:sz w:val="24"/>
          <w:szCs w:val="24"/>
        </w:rPr>
      </w:pPr>
      <w:r>
        <w:rPr>
          <w:rFonts w:ascii="Times New Roman" w:hAnsi="Times New Roman"/>
          <w:noProof/>
          <w:sz w:val="24"/>
        </w:rPr>
        <w:t xml:space="preserve">préserver la confidentialité des communications et des données relatives au </w:t>
      </w:r>
      <w:r>
        <w:rPr>
          <w:rFonts w:ascii="Times New Roman" w:hAnsi="Times New Roman"/>
          <w:noProof/>
          <w:sz w:val="24"/>
        </w:rPr>
        <w:t>trafic sur les réseaux publics (objectif spécifique).</w:t>
      </w:r>
    </w:p>
    <w:p w:rsidR="009A79BB" w:rsidRDefault="009A79BB">
      <w:pPr>
        <w:spacing w:after="0"/>
        <w:ind w:left="750"/>
        <w:contextualSpacing/>
        <w:jc w:val="both"/>
        <w:rPr>
          <w:rFonts w:ascii="Times New Roman" w:eastAsia="Calibri" w:hAnsi="Times New Roman" w:cs="Calibri"/>
          <w:noProof/>
          <w:sz w:val="24"/>
          <w:szCs w:val="24"/>
        </w:rPr>
      </w:pPr>
    </w:p>
    <w:p w:rsidR="009A79BB" w:rsidRDefault="00F43FBB">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directive prévoit aussi la protection des utilisateurs et abonnés</w:t>
      </w:r>
      <w:r>
        <w:rPr>
          <w:rStyle w:val="FootnoteReference"/>
          <w:rFonts w:ascii="Times New Roman" w:hAnsi="Times New Roman"/>
          <w:noProof/>
          <w:color w:val="000000"/>
          <w:sz w:val="24"/>
        </w:rPr>
        <w:footnoteReference w:id="1"/>
      </w:r>
      <w:r>
        <w:rPr>
          <w:rFonts w:ascii="Times New Roman" w:hAnsi="Times New Roman"/>
          <w:noProof/>
          <w:color w:val="000000"/>
          <w:sz w:val="24"/>
        </w:rPr>
        <w:t xml:space="preserve"> des services de communications électroniques contre les communications non sollicitées.</w:t>
      </w:r>
    </w:p>
    <w:p w:rsidR="009A79BB" w:rsidRDefault="00F43FB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 2015, la Commission a jugé nécessaire </w:t>
      </w:r>
      <w:r>
        <w:rPr>
          <w:rFonts w:ascii="Times New Roman" w:hAnsi="Times New Roman"/>
          <w:noProof/>
          <w:sz w:val="24"/>
        </w:rPr>
        <w:t>d’établir si les règles de la directive «vie privée et communications électroniques» ont atteint leurs principaux objectifs, à savoir assurer une protection efficace de la vie privée et de la confidentialité des communications dans l’UE, et si elles sont t</w:t>
      </w:r>
      <w:r>
        <w:rPr>
          <w:rFonts w:ascii="Times New Roman" w:hAnsi="Times New Roman"/>
          <w:noProof/>
          <w:sz w:val="24"/>
        </w:rPr>
        <w:t>oujours adaptées au contexte réglementaire et technologique. L’évaluation au titre du programme pour une réglementation affûtée et performante (ci-après «évaluation REFIT</w:t>
      </w:r>
      <w:r>
        <w:rPr>
          <w:rStyle w:val="FootnoteReference"/>
          <w:rFonts w:ascii="Times New Roman" w:hAnsi="Times New Roman"/>
          <w:noProof/>
          <w:sz w:val="24"/>
        </w:rPr>
        <w:footnoteReference w:id="2"/>
      </w:r>
      <w:r>
        <w:rPr>
          <w:rFonts w:ascii="Times New Roman" w:hAnsi="Times New Roman"/>
          <w:noProof/>
          <w:sz w:val="24"/>
        </w:rPr>
        <w:t>») a consisté à analyser la directive selon plusieurs indicateurs, conformément aux l</w:t>
      </w:r>
      <w:r>
        <w:rPr>
          <w:rFonts w:ascii="Times New Roman" w:hAnsi="Times New Roman"/>
          <w:noProof/>
          <w:sz w:val="24"/>
        </w:rPr>
        <w:t xml:space="preserve">ignes directrices pour une meilleure réglementation, à savoir: l’efficacité, l’efficience, la pertinence, la cohérence et la valeur ajoutée européenne. La Commission a également étudié les possibilités de simplifier les règles, en tant que de besoin, sans </w:t>
      </w:r>
      <w:r>
        <w:rPr>
          <w:rFonts w:ascii="Times New Roman" w:hAnsi="Times New Roman"/>
          <w:noProof/>
          <w:sz w:val="24"/>
        </w:rPr>
        <w:t>compromettre les objectifs de la directive «vie privée et communications électroniques».</w:t>
      </w:r>
    </w:p>
    <w:p w:rsidR="009A79BB" w:rsidRDefault="00F43FBB">
      <w:pPr>
        <w:spacing w:after="240" w:line="240" w:lineRule="auto"/>
        <w:jc w:val="both"/>
        <w:rPr>
          <w:rFonts w:ascii="Times New Roman" w:hAnsi="Times New Roman" w:cs="Times New Roman"/>
          <w:noProof/>
          <w:sz w:val="24"/>
          <w:szCs w:val="24"/>
        </w:rPr>
      </w:pPr>
      <w:r>
        <w:rPr>
          <w:rFonts w:ascii="Times New Roman" w:hAnsi="Times New Roman"/>
          <w:noProof/>
          <w:sz w:val="24"/>
        </w:rPr>
        <w:t>L'évaluation concerne l'ensemble de l’UE et porte sur la période entre 2009 et 2016. Elle repose sur les éléments fournis par une consultation publique, une enquête Eu</w:t>
      </w:r>
      <w:r>
        <w:rPr>
          <w:rFonts w:ascii="Times New Roman" w:hAnsi="Times New Roman"/>
          <w:noProof/>
          <w:sz w:val="24"/>
        </w:rPr>
        <w:t>robaromètre, des dialogues structurés, des études externes, des rapports de suivi, des documents politiques de la Commission et d’autres publications spécialisées. Il a été difficile d’obtenir des données économiques solides pour étayer cette évaluation. L</w:t>
      </w:r>
      <w:r>
        <w:rPr>
          <w:rFonts w:ascii="Times New Roman" w:hAnsi="Times New Roman"/>
          <w:noProof/>
          <w:sz w:val="24"/>
        </w:rPr>
        <w:t>es statistiques et autres données quantitatives sur les coûts de mise en conformité occasionnés par la directive «vie privée et communications électroniques» soit n’existent pas, soit ne sont pas divulguées par les entités soumises aux obligations.</w:t>
      </w:r>
      <w:r>
        <w:rPr>
          <w:rFonts w:ascii="Times New Roman" w:hAnsi="Times New Roman"/>
          <w:noProof/>
          <w:color w:val="000000"/>
          <w:sz w:val="24"/>
        </w:rPr>
        <w:t xml:space="preserve"> </w:t>
      </w:r>
      <w:r>
        <w:rPr>
          <w:rFonts w:ascii="Times New Roman" w:hAnsi="Times New Roman"/>
          <w:noProof/>
          <w:sz w:val="24"/>
        </w:rPr>
        <w:t>Pour co</w:t>
      </w:r>
      <w:r>
        <w:rPr>
          <w:rFonts w:ascii="Times New Roman" w:hAnsi="Times New Roman"/>
          <w:noProof/>
          <w:sz w:val="24"/>
        </w:rPr>
        <w:t>rroborer les conclusions de l’évaluation, il a donc fallu fonder le processus d’évaluation sur les sources susmentionnées.</w:t>
      </w:r>
    </w:p>
    <w:p w:rsidR="009A79BB" w:rsidRDefault="00F43FBB">
      <w:pPr>
        <w:spacing w:after="240" w:line="240" w:lineRule="auto"/>
        <w:jc w:val="both"/>
        <w:rPr>
          <w:rFonts w:ascii="Times New Roman" w:hAnsi="Times New Roman" w:cs="Times New Roman"/>
          <w:b/>
          <w:noProof/>
          <w:sz w:val="24"/>
          <w:szCs w:val="24"/>
          <w:u w:val="single"/>
        </w:rPr>
      </w:pPr>
      <w:r>
        <w:rPr>
          <w:rFonts w:ascii="Times New Roman" w:hAnsi="Times New Roman"/>
          <w:b/>
          <w:noProof/>
          <w:sz w:val="24"/>
          <w:u w:val="single"/>
        </w:rPr>
        <w:t>Conclusions</w:t>
      </w:r>
    </w:p>
    <w:p w:rsidR="009A79BB" w:rsidRDefault="00F43FBB">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rPr>
        <w:lastRenderedPageBreak/>
        <w:t xml:space="preserve">Les dispositions de la directive restent totalement </w:t>
      </w:r>
      <w:r>
        <w:rPr>
          <w:rFonts w:ascii="Times New Roman" w:hAnsi="Times New Roman"/>
          <w:b/>
          <w:noProof/>
          <w:sz w:val="24"/>
        </w:rPr>
        <w:t>pertinentes</w:t>
      </w:r>
      <w:r>
        <w:rPr>
          <w:rFonts w:ascii="Times New Roman" w:hAnsi="Times New Roman"/>
          <w:noProof/>
          <w:sz w:val="24"/>
        </w:rPr>
        <w:t xml:space="preserve"> pour ce qui est de répondre à l’objectif d’assurer le res</w:t>
      </w:r>
      <w:r>
        <w:rPr>
          <w:rFonts w:ascii="Times New Roman" w:hAnsi="Times New Roman"/>
          <w:noProof/>
          <w:sz w:val="24"/>
        </w:rPr>
        <w:t>pect de la vie privée et la confidentialité des communications, mais certaines règles ne sont plus adaptées en raison des évolutions technologiques et commerciales et des changements dans le cadre réglementaire.</w:t>
      </w:r>
      <w:r>
        <w:rPr>
          <w:rFonts w:ascii="Times New Roman" w:hAnsi="Times New Roman"/>
          <w:noProof/>
          <w:color w:val="000000"/>
          <w:sz w:val="24"/>
        </w:rPr>
        <w:t xml:space="preserve"> </w:t>
      </w:r>
      <w:r>
        <w:rPr>
          <w:rFonts w:ascii="Times New Roman" w:hAnsi="Times New Roman"/>
          <w:noProof/>
          <w:sz w:val="24"/>
        </w:rPr>
        <w:t>C’est le cas des règles sur la sécurité et l</w:t>
      </w:r>
      <w:r>
        <w:rPr>
          <w:rFonts w:ascii="Times New Roman" w:hAnsi="Times New Roman"/>
          <w:noProof/>
          <w:sz w:val="24"/>
        </w:rPr>
        <w:t>a notification des violations de données à caractère personnel, qui sont entièrement reprises dans le règlement général sur la protection des données adopté en avril 2016 et font donc désormais double emploi.</w:t>
      </w:r>
      <w:r>
        <w:rPr>
          <w:rFonts w:ascii="Times New Roman" w:hAnsi="Times New Roman"/>
          <w:noProof/>
          <w:color w:val="000000"/>
          <w:sz w:val="24"/>
        </w:rPr>
        <w:t xml:space="preserve"> En ce qui concerne la confidentialité des commu</w:t>
      </w:r>
      <w:r>
        <w:rPr>
          <w:rFonts w:ascii="Times New Roman" w:hAnsi="Times New Roman"/>
          <w:noProof/>
          <w:color w:val="000000"/>
          <w:sz w:val="24"/>
        </w:rPr>
        <w:t>nications, les règles ont atteint leurs objectifs s’agissant des fournisseurs de services de communications électroniques, mais elles n’ont pas permis de protéger efficacement les individus qui utilisent des services par contournement (p. ex. voix sur IP o</w:t>
      </w:r>
      <w:r>
        <w:rPr>
          <w:rFonts w:ascii="Times New Roman" w:hAnsi="Times New Roman"/>
          <w:noProof/>
          <w:color w:val="000000"/>
          <w:sz w:val="24"/>
        </w:rPr>
        <w:t xml:space="preserve">u messagerie instantanée) étant donné que la directive ne s’applique pas à ce type de services. Cette asymétrie réglementaire a mis les fournisseurs de services de communications électroniques en situation de concurrence défavorable vis-à-vis des nouveaux </w:t>
      </w:r>
      <w:r>
        <w:rPr>
          <w:rFonts w:ascii="Times New Roman" w:hAnsi="Times New Roman"/>
          <w:noProof/>
          <w:color w:val="000000"/>
          <w:sz w:val="24"/>
        </w:rPr>
        <w:t>acteurs et créé des degrés de protection variables en fonction des moyens de communication utilisés.</w:t>
      </w:r>
    </w:p>
    <w:p w:rsidR="009A79BB" w:rsidRDefault="00F43FBB">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Globalement, la directive semble avoir fourni un cadre approprié pour protéger la vie privée et la confidentialité des communications dans l’UE, mais une s</w:t>
      </w:r>
      <w:r>
        <w:rPr>
          <w:rFonts w:ascii="Times New Roman" w:hAnsi="Times New Roman"/>
          <w:noProof/>
          <w:color w:val="000000"/>
          <w:sz w:val="24"/>
        </w:rPr>
        <w:t xml:space="preserve">érie de problèmes ont été recensés en ce qui concerne son </w:t>
      </w:r>
      <w:r>
        <w:rPr>
          <w:rFonts w:ascii="Times New Roman" w:hAnsi="Times New Roman"/>
          <w:b/>
          <w:noProof/>
          <w:color w:val="000000"/>
          <w:sz w:val="24"/>
        </w:rPr>
        <w:t>efficacité</w:t>
      </w:r>
      <w:r>
        <w:rPr>
          <w:rFonts w:ascii="Times New Roman" w:hAnsi="Times New Roman"/>
          <w:noProof/>
          <w:color w:val="000000"/>
          <w:sz w:val="24"/>
        </w:rPr>
        <w:t>.</w:t>
      </w:r>
    </w:p>
    <w:p w:rsidR="009A79BB" w:rsidRDefault="00F43FBB">
      <w:pPr>
        <w:spacing w:after="120" w:line="240" w:lineRule="auto"/>
        <w:jc w:val="both"/>
        <w:rPr>
          <w:rFonts w:ascii="Times New Roman" w:hAnsi="Times New Roman" w:cs="Times New Roman"/>
          <w:noProof/>
          <w:color w:val="000000"/>
          <w:sz w:val="24"/>
          <w:szCs w:val="24"/>
        </w:rPr>
      </w:pPr>
      <w:r>
        <w:rPr>
          <w:rFonts w:ascii="Times New Roman" w:hAnsi="Times New Roman"/>
          <w:noProof/>
          <w:sz w:val="24"/>
        </w:rPr>
        <w:t>Dans la pratique, l’application et le contrôle du respect des principes (p. ex. la confidentialité des communications et équipements terminaux) établis dans la directive se sont avérés p</w:t>
      </w:r>
      <w:r>
        <w:rPr>
          <w:rFonts w:ascii="Times New Roman" w:hAnsi="Times New Roman"/>
          <w:noProof/>
          <w:sz w:val="24"/>
        </w:rPr>
        <w:t xml:space="preserve">roblématiques sous plusieurs aspects. </w:t>
      </w:r>
      <w:r>
        <w:rPr>
          <w:rFonts w:ascii="Times New Roman" w:hAnsi="Times New Roman"/>
          <w:noProof/>
          <w:color w:val="000000"/>
          <w:sz w:val="24"/>
        </w:rPr>
        <w:t>La plupart des États membres ont instauré plusieurs autorités chargées de la directive «vie privée et communications électroniques», parfois avec des compétences qui se recoupent, créant ainsi la confusion quant à l’or</w:t>
      </w:r>
      <w:r>
        <w:rPr>
          <w:rFonts w:ascii="Times New Roman" w:hAnsi="Times New Roman"/>
          <w:noProof/>
          <w:color w:val="000000"/>
          <w:sz w:val="24"/>
        </w:rPr>
        <w:t>ganisme qui est responsable de la faire respecter. L’évaluation a également révélé que les règles de consentement sur la confidentialité des équipements terminaux</w:t>
      </w:r>
      <w:r>
        <w:rPr>
          <w:rStyle w:val="FootnoteReference"/>
          <w:rFonts w:ascii="Times New Roman" w:hAnsi="Times New Roman"/>
          <w:noProof/>
          <w:color w:val="000000"/>
          <w:sz w:val="24"/>
        </w:rPr>
        <w:footnoteReference w:id="3"/>
      </w:r>
      <w:r>
        <w:rPr>
          <w:rFonts w:ascii="Times New Roman" w:hAnsi="Times New Roman"/>
          <w:noProof/>
          <w:color w:val="000000"/>
          <w:sz w:val="24"/>
        </w:rPr>
        <w:t>, souvent appelées «règle sur les cookies» et destinées à responsabiliser les individus, n’on</w:t>
      </w:r>
      <w:r>
        <w:rPr>
          <w:rFonts w:ascii="Times New Roman" w:hAnsi="Times New Roman"/>
          <w:noProof/>
          <w:color w:val="000000"/>
          <w:sz w:val="24"/>
        </w:rPr>
        <w:t>t pas été appliquées de façon réellement efficace. Les utilisateurs se voient demander d’accepter des cookies traceurs sans savoir ce que cela signifie en raison de la complexité des termes employés et, dans certains cas, s’exposent même à ce que des cooki</w:t>
      </w:r>
      <w:r>
        <w:rPr>
          <w:rFonts w:ascii="Times New Roman" w:hAnsi="Times New Roman"/>
          <w:noProof/>
          <w:color w:val="000000"/>
          <w:sz w:val="24"/>
        </w:rPr>
        <w:t xml:space="preserve">es soient installés sans leur consentement. De plus, la règle du consentement a été jugée à la fois trop inclusive, car elle s’applique aussi à des pratiques ne portant pas atteinte à la vie privée comme les cookies analytiques propres, et trop exclusive, </w:t>
      </w:r>
      <w:r>
        <w:rPr>
          <w:rFonts w:ascii="Times New Roman" w:hAnsi="Times New Roman"/>
          <w:noProof/>
          <w:color w:val="000000"/>
          <w:sz w:val="24"/>
        </w:rPr>
        <w:t xml:space="preserve">car elle ne couvre pas expressément certaines techniques de suivi (p. ex. capture d’empreintes numériques) ne consistant pas nécessairement à accéder à des données ou à en stocker dans le dispositif. </w:t>
      </w:r>
      <w:r>
        <w:rPr>
          <w:rFonts w:ascii="Times New Roman" w:hAnsi="Times New Roman"/>
          <w:noProof/>
          <w:sz w:val="24"/>
        </w:rPr>
        <w:t>Pour ce qui est des communications commerciales non soll</w:t>
      </w:r>
      <w:r>
        <w:rPr>
          <w:rFonts w:ascii="Times New Roman" w:hAnsi="Times New Roman"/>
          <w:noProof/>
          <w:sz w:val="24"/>
        </w:rPr>
        <w:t>icitées, le nombre important de plaintes émanant de particuliers suggère que les règles ne répondent peut-être pas à l’objectif poursuivi.</w:t>
      </w:r>
    </w:p>
    <w:p w:rsidR="009A79BB" w:rsidRDefault="00F43FBB">
      <w:pPr>
        <w:spacing w:after="120" w:line="240" w:lineRule="auto"/>
        <w:jc w:val="both"/>
        <w:rPr>
          <w:rFonts w:ascii="Times New Roman" w:hAnsi="Times New Roman" w:cs="Times New Roman"/>
          <w:noProof/>
          <w:sz w:val="24"/>
          <w:szCs w:val="24"/>
        </w:rPr>
      </w:pPr>
      <w:r>
        <w:rPr>
          <w:rFonts w:ascii="Times New Roman" w:hAnsi="Times New Roman"/>
          <w:noProof/>
          <w:sz w:val="24"/>
        </w:rPr>
        <w:t>En ce qui concerne l’</w:t>
      </w:r>
      <w:r>
        <w:rPr>
          <w:rFonts w:ascii="Times New Roman" w:hAnsi="Times New Roman"/>
          <w:b/>
          <w:noProof/>
          <w:sz w:val="24"/>
        </w:rPr>
        <w:t>efficience</w:t>
      </w:r>
      <w:r>
        <w:rPr>
          <w:rFonts w:ascii="Times New Roman" w:hAnsi="Times New Roman"/>
          <w:noProof/>
          <w:sz w:val="24"/>
        </w:rPr>
        <w:t xml:space="preserve">, il faut reconnaître qu’il est difficile d’obtenir des données quantitatives fiables </w:t>
      </w:r>
      <w:r>
        <w:rPr>
          <w:rFonts w:ascii="Times New Roman" w:hAnsi="Times New Roman"/>
          <w:noProof/>
          <w:sz w:val="24"/>
        </w:rPr>
        <w:t>et représentatives. La majorité des parties prenantes consultées n’ont pas pu fournir d’estimations chiffrées concernant les dispositions de la directive comme, par exemple, les coûts liés à l’obligation d’instaurer des mesures de sécurité et à l’obligatio</w:t>
      </w:r>
      <w:r>
        <w:rPr>
          <w:rFonts w:ascii="Times New Roman" w:hAnsi="Times New Roman"/>
          <w:noProof/>
          <w:sz w:val="24"/>
        </w:rPr>
        <w:t>n de placer des bandeaux relatifs aux cookies (pour obtenir un consentement). D’après l’étude accompagnant l’évaluation REFIT, il semble que les coûts de mise en conformité s’établiraient autour de 658 EUR par entreprise</w:t>
      </w:r>
      <w:r>
        <w:rPr>
          <w:rStyle w:val="FootnoteReference"/>
          <w:rFonts w:ascii="Times New Roman" w:hAnsi="Times New Roman"/>
          <w:noProof/>
          <w:color w:val="000000"/>
          <w:sz w:val="24"/>
        </w:rPr>
        <w:footnoteReference w:id="4"/>
      </w:r>
      <w:r>
        <w:rPr>
          <w:rFonts w:ascii="Times New Roman" w:hAnsi="Times New Roman"/>
          <w:noProof/>
          <w:sz w:val="24"/>
        </w:rPr>
        <w:t>.</w:t>
      </w:r>
    </w:p>
    <w:p w:rsidR="009A79BB" w:rsidRDefault="00F43FBB">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L’évaluation n’a mis en évidence </w:t>
      </w:r>
      <w:r>
        <w:rPr>
          <w:rFonts w:ascii="Times New Roman" w:hAnsi="Times New Roman"/>
          <w:noProof/>
          <w:sz w:val="24"/>
        </w:rPr>
        <w:t>aucune incohérence majeure entre la directive et les autres actes législatifs européens pertinents avec lesquels elle interagit. Toutefois, il a été recensé une série de doublons, notamment avec le règlement général sur la protection des données (p. ex. le</w:t>
      </w:r>
      <w:r>
        <w:rPr>
          <w:rFonts w:ascii="Times New Roman" w:hAnsi="Times New Roman"/>
          <w:noProof/>
          <w:sz w:val="24"/>
        </w:rPr>
        <w:t xml:space="preserve">s règles de sécurité). Enfin, il ressort de l’évaluation que la directive «vie privée et communications électroniques» procure une </w:t>
      </w:r>
      <w:r>
        <w:rPr>
          <w:rFonts w:ascii="Times New Roman" w:hAnsi="Times New Roman"/>
          <w:b/>
          <w:noProof/>
          <w:sz w:val="24"/>
        </w:rPr>
        <w:t>valeur ajoutée européenne</w:t>
      </w:r>
      <w:r>
        <w:rPr>
          <w:rFonts w:ascii="Times New Roman" w:hAnsi="Times New Roman"/>
          <w:noProof/>
          <w:sz w:val="24"/>
        </w:rPr>
        <w:t xml:space="preserve"> car elle impose des dispositions harmonisées sur la confidentialité des communications et des donné</w:t>
      </w:r>
      <w:r>
        <w:rPr>
          <w:rFonts w:ascii="Times New Roman" w:hAnsi="Times New Roman"/>
          <w:noProof/>
          <w:sz w:val="24"/>
        </w:rPr>
        <w:t>es relatives au trafic qui, dans le contexte d’un marché des communications électroniques de plus en plus transnational, prennent une importance accrue.</w:t>
      </w:r>
    </w:p>
    <w:p w:rsidR="009A79BB" w:rsidRDefault="00F43FBB">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dernier lieu, compte tenu du fait que les données quantitatives restent limitées, l’évaluation démon</w:t>
      </w:r>
      <w:r>
        <w:rPr>
          <w:rFonts w:ascii="Times New Roman" w:hAnsi="Times New Roman"/>
          <w:noProof/>
          <w:sz w:val="24"/>
        </w:rPr>
        <w:t>tre aussi qu’un système efficace de suivi de l’application de la directive fait actuellement défaut et devrait être mis en place à l’avenir.</w:t>
      </w:r>
    </w:p>
    <w:sectPr w:rsidR="009A79B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BB" w:rsidRDefault="00F43FBB">
      <w:pPr>
        <w:spacing w:after="0" w:line="240" w:lineRule="auto"/>
      </w:pPr>
      <w:r>
        <w:separator/>
      </w:r>
    </w:p>
  </w:endnote>
  <w:endnote w:type="continuationSeparator" w:id="0">
    <w:p w:rsidR="009A79BB" w:rsidRDefault="00F4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BB" w:rsidRPr="00F43FBB" w:rsidRDefault="00F43FBB" w:rsidP="00F43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BB" w:rsidRPr="00F43FBB" w:rsidRDefault="00F43FBB" w:rsidP="00F43FBB">
    <w:pPr>
      <w:pStyle w:val="FooterCoverPage"/>
      <w:rPr>
        <w:rFonts w:ascii="Arial" w:hAnsi="Arial" w:cs="Arial"/>
        <w:b/>
        <w:sz w:val="48"/>
      </w:rPr>
    </w:pPr>
    <w:r w:rsidRPr="00F43FBB">
      <w:rPr>
        <w:rFonts w:ascii="Arial" w:hAnsi="Arial" w:cs="Arial"/>
        <w:b/>
        <w:sz w:val="48"/>
      </w:rPr>
      <w:t>FR</w:t>
    </w:r>
    <w:r w:rsidRPr="00F43FBB">
      <w:rPr>
        <w:rFonts w:ascii="Arial" w:hAnsi="Arial" w:cs="Arial"/>
        <w:b/>
        <w:sz w:val="48"/>
      </w:rPr>
      <w:tab/>
    </w:r>
    <w:r w:rsidRPr="00F43FBB">
      <w:rPr>
        <w:rFonts w:ascii="Arial" w:hAnsi="Arial" w:cs="Arial"/>
        <w:b/>
        <w:sz w:val="48"/>
      </w:rPr>
      <w:tab/>
    </w:r>
    <w:fldSimple w:instr=" DOCVARIABLE &quot;LW_Confidence&quot; \* MERGEFORMAT ">
      <w:r>
        <w:t xml:space="preserve"> </w:t>
      </w:r>
    </w:fldSimple>
    <w:r w:rsidRPr="00F43FBB">
      <w:tab/>
    </w:r>
    <w:r w:rsidRPr="00F43FBB">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BB" w:rsidRPr="00F43FBB" w:rsidRDefault="00F43FBB" w:rsidP="00F43FB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BB" w:rsidRDefault="009A79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306585"/>
      <w:docPartObj>
        <w:docPartGallery w:val="Page Numbers (Bottom of Page)"/>
        <w:docPartUnique/>
      </w:docPartObj>
    </w:sdtPr>
    <w:sdtEndPr>
      <w:rPr>
        <w:noProof/>
      </w:rPr>
    </w:sdtEndPr>
    <w:sdtContent>
      <w:p w:rsidR="009A79BB" w:rsidRDefault="00F43F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79BB" w:rsidRDefault="009A79B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BB" w:rsidRDefault="009A7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BB" w:rsidRDefault="00F43FBB">
      <w:pPr>
        <w:spacing w:after="0" w:line="240" w:lineRule="auto"/>
      </w:pPr>
      <w:r>
        <w:separator/>
      </w:r>
    </w:p>
  </w:footnote>
  <w:footnote w:type="continuationSeparator" w:id="0">
    <w:p w:rsidR="009A79BB" w:rsidRDefault="00F43FBB">
      <w:pPr>
        <w:spacing w:after="0" w:line="240" w:lineRule="auto"/>
      </w:pPr>
      <w:r>
        <w:continuationSeparator/>
      </w:r>
    </w:p>
  </w:footnote>
  <w:footnote w:id="1">
    <w:p w:rsidR="009A79BB" w:rsidRDefault="00F43FBB">
      <w:pPr>
        <w:pStyle w:val="FootnoteText"/>
        <w:spacing w:after="240"/>
        <w:ind w:left="357" w:hanging="357"/>
        <w:rPr>
          <w:rFonts w:ascii="Times New Roman" w:hAnsi="Times New Roman" w:cs="Times New Roman"/>
        </w:rPr>
      </w:pPr>
      <w:r>
        <w:rPr>
          <w:rStyle w:val="FootnoteReference"/>
        </w:rPr>
        <w:footnoteRef/>
      </w:r>
      <w:r>
        <w:tab/>
      </w:r>
      <w:r>
        <w:rPr>
          <w:rFonts w:ascii="Times New Roman" w:hAnsi="Times New Roman"/>
        </w:rPr>
        <w:t xml:space="preserve">Cela garantit que la directive s’applique non seulement aux informations relatives aux personnes physiques, mais aussi aux informations relatives aux personnes morales. </w:t>
      </w:r>
    </w:p>
  </w:footnote>
  <w:footnote w:id="2">
    <w:p w:rsidR="009A79BB" w:rsidRDefault="00F43FBB">
      <w:pPr>
        <w:pStyle w:val="FootnoteText"/>
        <w:spacing w:after="240"/>
        <w:ind w:left="357" w:hanging="357"/>
      </w:pPr>
      <w:r>
        <w:rPr>
          <w:rStyle w:val="FootnoteReference"/>
          <w:rFonts w:ascii="Times New Roman" w:hAnsi="Times New Roman"/>
        </w:rPr>
        <w:footnoteRef/>
      </w:r>
      <w:r>
        <w:tab/>
      </w:r>
      <w:r>
        <w:rPr>
          <w:rFonts w:ascii="Times New Roman" w:hAnsi="Times New Roman"/>
        </w:rPr>
        <w:t>Communication de la Commission au Parlement européen, au Conseil, au Comité économiq</w:t>
      </w:r>
      <w:r>
        <w:rPr>
          <w:rFonts w:ascii="Times New Roman" w:hAnsi="Times New Roman"/>
        </w:rPr>
        <w:t>ue et social européen et au Comité des régions «Pour une réglementation de l’UE bien affûtée», COM(2012) 746 du 12.12.2012.</w:t>
      </w:r>
    </w:p>
  </w:footnote>
  <w:footnote w:id="3">
    <w:p w:rsidR="009A79BB" w:rsidRDefault="00F43FBB">
      <w:pPr>
        <w:pStyle w:val="FootnoteText"/>
        <w:spacing w:after="240"/>
        <w:ind w:left="357" w:hanging="357"/>
        <w:rPr>
          <w:rFonts w:ascii="Times New Roman" w:hAnsi="Times New Roman" w:cs="Times New Roman"/>
        </w:rPr>
      </w:pPr>
      <w:r>
        <w:rPr>
          <w:rStyle w:val="FootnoteReference"/>
          <w:rFonts w:ascii="Times New Roman" w:hAnsi="Times New Roman"/>
        </w:rPr>
        <w:footnoteRef/>
      </w:r>
      <w:r>
        <w:tab/>
      </w:r>
      <w:r>
        <w:rPr>
          <w:rFonts w:ascii="Times New Roman" w:hAnsi="Times New Roman"/>
        </w:rPr>
        <w:t>Ces règles soumettent l’utilisation de technologies comme les cookies, pour stocker ou accéder à des informations sur les appareil</w:t>
      </w:r>
      <w:r>
        <w:rPr>
          <w:rFonts w:ascii="Times New Roman" w:hAnsi="Times New Roman"/>
        </w:rPr>
        <w:t>s intelligents, au consentement de l’utilisateur.</w:t>
      </w:r>
    </w:p>
  </w:footnote>
  <w:footnote w:id="4">
    <w:p w:rsidR="009A79BB" w:rsidRDefault="00F43FBB">
      <w:pPr>
        <w:pStyle w:val="FootnoteText"/>
        <w:spacing w:after="240"/>
        <w:ind w:left="357" w:hanging="357"/>
      </w:pPr>
      <w:r>
        <w:rPr>
          <w:rStyle w:val="FootnoteReference"/>
        </w:rPr>
        <w:footnoteRef/>
      </w:r>
      <w:r>
        <w:tab/>
        <w:t>Étude SMART 2016/080, rapport final, p. 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BB" w:rsidRPr="00F43FBB" w:rsidRDefault="00F43FBB" w:rsidP="00F43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BB" w:rsidRPr="00F43FBB" w:rsidRDefault="00F43FBB" w:rsidP="00F43FB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BB" w:rsidRPr="00F43FBB" w:rsidRDefault="00F43FBB" w:rsidP="00F43FB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BB" w:rsidRDefault="009A79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BB" w:rsidRDefault="009A79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BB" w:rsidRDefault="009A7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251"/>
    <w:multiLevelType w:val="hybridMultilevel"/>
    <w:tmpl w:val="5AEEDF88"/>
    <w:lvl w:ilvl="0" w:tplc="0E0C4BB4">
      <w:start w:val="1"/>
      <w:numFmt w:val="decimal"/>
      <w:lvlText w:val="(%1)"/>
      <w:lvlJc w:val="left"/>
      <w:pPr>
        <w:ind w:left="750" w:hanging="390"/>
      </w:pPr>
      <w:rPr>
        <w:rFonts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FA054FE"/>
    <w:multiLevelType w:val="hybridMultilevel"/>
    <w:tmpl w:val="BCB6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8E23C0"/>
    <w:multiLevelType w:val="hybridMultilevel"/>
    <w:tmpl w:val="CF081018"/>
    <w:lvl w:ilvl="0" w:tplc="6B900BB0">
      <w:start w:val="1"/>
      <w:numFmt w:val="decimal"/>
      <w:lvlText w:val="(%1)"/>
      <w:lvlJc w:val="left"/>
      <w:pPr>
        <w:ind w:left="750" w:hanging="390"/>
      </w:pPr>
      <w:rPr>
        <w:rFonts w:ascii="Arial" w:eastAsia="Times New Roman" w:hAnsi="Arial" w:cs="Arial"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B5E1F08"/>
    <w:multiLevelType w:val="hybridMultilevel"/>
    <w:tmpl w:val="6BD67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EU RESTRICTED"/>
    <w:docVar w:name="LW_CORRIGENDUM" w:val="&lt;UNUSED&gt;"/>
    <w:docVar w:name="LW_COVERPAGE_GUID" w:val="2E188A656A554E4F8929215BC2FFA9E4"/>
    <w:docVar w:name="LW_CROSSREFERENCE" w:val="{COM(2017) 10 final}_x000b_{SWD(2017) 3 final}_x000b_{SWD(2017) 4 final}_x000b_{SWD(2017) 5 final}"/>
    <w:docVar w:name="LW_DocType" w:val="NORMAL"/>
    <w:docVar w:name="LW_EMISSION" w:val="10.1.2017"/>
    <w:docVar w:name="LW_EMISSION_ISODATE" w:val="2017-01-10"/>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Proposition de règlement du Parlement européen et du Conseil concernant le respect de la vie privée et la protection des données à caractère personnel dans les communications électroniques et abrogeant la directive 2002/58/CE (règlement «vie privée et communications électroniques»)"/>
    <w:docVar w:name="LW_PART_NBR" w:val="1"/>
    <w:docVar w:name="LW_PART_NBR_TOTAL" w:val="1"/>
    <w:docVar w:name="LW_REF.INST.NEW" w:val="SWD"/>
    <w:docVar w:name="LW_REF.INST.NEW_ADOPTED" w:val="final"/>
    <w:docVar w:name="LW_REF.INST.NEW_TEXT" w:val="(2017) 6"/>
    <w:docVar w:name="LW_REF.INTERNE" w:val="&lt;UNUSED&gt;"/>
    <w:docVar w:name="LW_SUPERTITRE" w:val="&lt;UNUSED&gt;"/>
    <w:docVar w:name="LW_TITRE.OBJ.CP" w:val="Synthèse de l'évaluation REFIT ex post de la directive «vie privée et communications électroniques»"/>
    <w:docVar w:name="LW_TYPE.DOC.CP" w:val="DOCUMENT DE TRAVAIL DES SERVICES DE LA COMMISSION"/>
    <w:docVar w:name="LW_TYPEACTEPRINCIPAL.CP" w:val="&lt;UNUSED&gt;"/>
  </w:docVars>
  <w:rsids>
    <w:rsidRoot w:val="009A79BB"/>
    <w:rsid w:val="009A79BB"/>
    <w:rsid w:val="00F43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sz w:val="20"/>
      <w:szCs w:val="20"/>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FootnoteReference">
    <w:name w:val="footnote reference"/>
    <w:aliases w:val="Footnote symbol,Voetnootverwijzing,Times 10 Point,Exposant 3 Point,Footnote,footnote ref,FR,Fußnotenzeichen diss neu, Exposant 3 Point,Odwołanie przypisu,Footnote Reference Superscript,BVI fnr, BVI fnr,Footnote reference number,numbe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sz w:val="20"/>
      <w:szCs w:val="20"/>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FootnoteReference">
    <w:name w:val="footnote reference"/>
    <w:aliases w:val="Footnote symbol,Voetnootverwijzing,Times 10 Point,Exposant 3 Point,Footnote,footnote ref,FR,Fußnotenzeichen diss neu, Exposant 3 Point,Odwołanie przypisu,Footnote Reference Superscript,BVI fnr, BVI fnr,Footnote reference number,numbe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39591">
      <w:bodyDiv w:val="1"/>
      <w:marLeft w:val="0"/>
      <w:marRight w:val="0"/>
      <w:marTop w:val="0"/>
      <w:marBottom w:val="0"/>
      <w:divBdr>
        <w:top w:val="none" w:sz="0" w:space="0" w:color="auto"/>
        <w:left w:val="none" w:sz="0" w:space="0" w:color="auto"/>
        <w:bottom w:val="none" w:sz="0" w:space="0" w:color="auto"/>
        <w:right w:val="none" w:sz="0" w:space="0" w:color="auto"/>
      </w:divBdr>
      <w:divsChild>
        <w:div w:id="1946500695">
          <w:marLeft w:val="0"/>
          <w:marRight w:val="0"/>
          <w:marTop w:val="0"/>
          <w:marBottom w:val="0"/>
          <w:divBdr>
            <w:top w:val="none" w:sz="0" w:space="0" w:color="auto"/>
            <w:left w:val="none" w:sz="0" w:space="0" w:color="auto"/>
            <w:bottom w:val="none" w:sz="0" w:space="0" w:color="auto"/>
            <w:right w:val="none" w:sz="0" w:space="0" w:color="auto"/>
          </w:divBdr>
          <w:divsChild>
            <w:div w:id="1780955296">
              <w:marLeft w:val="0"/>
              <w:marRight w:val="0"/>
              <w:marTop w:val="0"/>
              <w:marBottom w:val="0"/>
              <w:divBdr>
                <w:top w:val="none" w:sz="0" w:space="0" w:color="auto"/>
                <w:left w:val="none" w:sz="0" w:space="0" w:color="auto"/>
                <w:bottom w:val="none" w:sz="0" w:space="0" w:color="auto"/>
                <w:right w:val="none" w:sz="0" w:space="0" w:color="auto"/>
              </w:divBdr>
              <w:divsChild>
                <w:div w:id="1408770153">
                  <w:marLeft w:val="0"/>
                  <w:marRight w:val="0"/>
                  <w:marTop w:val="0"/>
                  <w:marBottom w:val="0"/>
                  <w:divBdr>
                    <w:top w:val="none" w:sz="0" w:space="0" w:color="auto"/>
                    <w:left w:val="none" w:sz="0" w:space="0" w:color="auto"/>
                    <w:bottom w:val="none" w:sz="0" w:space="0" w:color="auto"/>
                    <w:right w:val="none" w:sz="0" w:space="0" w:color="auto"/>
                  </w:divBdr>
                  <w:divsChild>
                    <w:div w:id="957763895">
                      <w:marLeft w:val="1"/>
                      <w:marRight w:val="1"/>
                      <w:marTop w:val="0"/>
                      <w:marBottom w:val="0"/>
                      <w:divBdr>
                        <w:top w:val="none" w:sz="0" w:space="0" w:color="auto"/>
                        <w:left w:val="none" w:sz="0" w:space="0" w:color="auto"/>
                        <w:bottom w:val="none" w:sz="0" w:space="0" w:color="auto"/>
                        <w:right w:val="none" w:sz="0" w:space="0" w:color="auto"/>
                      </w:divBdr>
                      <w:divsChild>
                        <w:div w:id="917903026">
                          <w:marLeft w:val="0"/>
                          <w:marRight w:val="0"/>
                          <w:marTop w:val="0"/>
                          <w:marBottom w:val="0"/>
                          <w:divBdr>
                            <w:top w:val="none" w:sz="0" w:space="0" w:color="auto"/>
                            <w:left w:val="none" w:sz="0" w:space="0" w:color="auto"/>
                            <w:bottom w:val="none" w:sz="0" w:space="0" w:color="auto"/>
                            <w:right w:val="none" w:sz="0" w:space="0" w:color="auto"/>
                          </w:divBdr>
                          <w:divsChild>
                            <w:div w:id="1936284780">
                              <w:marLeft w:val="0"/>
                              <w:marRight w:val="0"/>
                              <w:marTop w:val="0"/>
                              <w:marBottom w:val="360"/>
                              <w:divBdr>
                                <w:top w:val="none" w:sz="0" w:space="0" w:color="auto"/>
                                <w:left w:val="none" w:sz="0" w:space="0" w:color="auto"/>
                                <w:bottom w:val="none" w:sz="0" w:space="0" w:color="auto"/>
                                <w:right w:val="none" w:sz="0" w:space="0" w:color="auto"/>
                              </w:divBdr>
                              <w:divsChild>
                                <w:div w:id="2137410475">
                                  <w:marLeft w:val="0"/>
                                  <w:marRight w:val="0"/>
                                  <w:marTop w:val="0"/>
                                  <w:marBottom w:val="0"/>
                                  <w:divBdr>
                                    <w:top w:val="none" w:sz="0" w:space="0" w:color="auto"/>
                                    <w:left w:val="none" w:sz="0" w:space="0" w:color="auto"/>
                                    <w:bottom w:val="none" w:sz="0" w:space="0" w:color="auto"/>
                                    <w:right w:val="none" w:sz="0" w:space="0" w:color="auto"/>
                                  </w:divBdr>
                                  <w:divsChild>
                                    <w:div w:id="1752771160">
                                      <w:marLeft w:val="0"/>
                                      <w:marRight w:val="0"/>
                                      <w:marTop w:val="0"/>
                                      <w:marBottom w:val="0"/>
                                      <w:divBdr>
                                        <w:top w:val="none" w:sz="0" w:space="0" w:color="auto"/>
                                        <w:left w:val="none" w:sz="0" w:space="0" w:color="auto"/>
                                        <w:bottom w:val="none" w:sz="0" w:space="0" w:color="auto"/>
                                        <w:right w:val="none" w:sz="0" w:space="0" w:color="auto"/>
                                      </w:divBdr>
                                      <w:divsChild>
                                        <w:div w:id="714158263">
                                          <w:marLeft w:val="0"/>
                                          <w:marRight w:val="0"/>
                                          <w:marTop w:val="0"/>
                                          <w:marBottom w:val="0"/>
                                          <w:divBdr>
                                            <w:top w:val="none" w:sz="0" w:space="0" w:color="auto"/>
                                            <w:left w:val="none" w:sz="0" w:space="0" w:color="auto"/>
                                            <w:bottom w:val="none" w:sz="0" w:space="0" w:color="auto"/>
                                            <w:right w:val="none" w:sz="0" w:space="0" w:color="auto"/>
                                          </w:divBdr>
                                          <w:divsChild>
                                            <w:div w:id="342897468">
                                              <w:marLeft w:val="0"/>
                                              <w:marRight w:val="0"/>
                                              <w:marTop w:val="0"/>
                                              <w:marBottom w:val="0"/>
                                              <w:divBdr>
                                                <w:top w:val="none" w:sz="0" w:space="0" w:color="auto"/>
                                                <w:left w:val="none" w:sz="0" w:space="0" w:color="auto"/>
                                                <w:bottom w:val="none" w:sz="0" w:space="0" w:color="auto"/>
                                                <w:right w:val="none" w:sz="0" w:space="0" w:color="auto"/>
                                              </w:divBdr>
                                              <w:divsChild>
                                                <w:div w:id="1123231851">
                                                  <w:marLeft w:val="0"/>
                                                  <w:marRight w:val="0"/>
                                                  <w:marTop w:val="0"/>
                                                  <w:marBottom w:val="0"/>
                                                  <w:divBdr>
                                                    <w:top w:val="none" w:sz="0" w:space="0" w:color="auto"/>
                                                    <w:left w:val="none" w:sz="0" w:space="0" w:color="auto"/>
                                                    <w:bottom w:val="none" w:sz="0" w:space="0" w:color="auto"/>
                                                    <w:right w:val="none" w:sz="0" w:space="0" w:color="auto"/>
                                                  </w:divBdr>
                                                  <w:divsChild>
                                                    <w:div w:id="365955004">
                                                      <w:marLeft w:val="0"/>
                                                      <w:marRight w:val="0"/>
                                                      <w:marTop w:val="0"/>
                                                      <w:marBottom w:val="0"/>
                                                      <w:divBdr>
                                                        <w:top w:val="none" w:sz="0" w:space="0" w:color="auto"/>
                                                        <w:left w:val="none" w:sz="0" w:space="0" w:color="auto"/>
                                                        <w:bottom w:val="none" w:sz="0" w:space="0" w:color="auto"/>
                                                        <w:right w:val="none" w:sz="0" w:space="0" w:color="auto"/>
                                                      </w:divBdr>
                                                      <w:divsChild>
                                                        <w:div w:id="720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175060">
      <w:bodyDiv w:val="1"/>
      <w:marLeft w:val="0"/>
      <w:marRight w:val="0"/>
      <w:marTop w:val="0"/>
      <w:marBottom w:val="0"/>
      <w:divBdr>
        <w:top w:val="none" w:sz="0" w:space="0" w:color="auto"/>
        <w:left w:val="none" w:sz="0" w:space="0" w:color="auto"/>
        <w:bottom w:val="none" w:sz="0" w:space="0" w:color="auto"/>
        <w:right w:val="none" w:sz="0" w:space="0" w:color="auto"/>
      </w:divBdr>
      <w:divsChild>
        <w:div w:id="38094946">
          <w:marLeft w:val="0"/>
          <w:marRight w:val="0"/>
          <w:marTop w:val="0"/>
          <w:marBottom w:val="0"/>
          <w:divBdr>
            <w:top w:val="none" w:sz="0" w:space="0" w:color="auto"/>
            <w:left w:val="none" w:sz="0" w:space="0" w:color="auto"/>
            <w:bottom w:val="none" w:sz="0" w:space="0" w:color="auto"/>
            <w:right w:val="none" w:sz="0" w:space="0" w:color="auto"/>
          </w:divBdr>
          <w:divsChild>
            <w:div w:id="1242981440">
              <w:marLeft w:val="0"/>
              <w:marRight w:val="0"/>
              <w:marTop w:val="0"/>
              <w:marBottom w:val="0"/>
              <w:divBdr>
                <w:top w:val="none" w:sz="0" w:space="0" w:color="auto"/>
                <w:left w:val="none" w:sz="0" w:space="0" w:color="auto"/>
                <w:bottom w:val="none" w:sz="0" w:space="0" w:color="auto"/>
                <w:right w:val="none" w:sz="0" w:space="0" w:color="auto"/>
              </w:divBdr>
              <w:divsChild>
                <w:div w:id="112747188">
                  <w:marLeft w:val="0"/>
                  <w:marRight w:val="0"/>
                  <w:marTop w:val="0"/>
                  <w:marBottom w:val="0"/>
                  <w:divBdr>
                    <w:top w:val="none" w:sz="0" w:space="0" w:color="auto"/>
                    <w:left w:val="none" w:sz="0" w:space="0" w:color="auto"/>
                    <w:bottom w:val="none" w:sz="0" w:space="0" w:color="auto"/>
                    <w:right w:val="none" w:sz="0" w:space="0" w:color="auto"/>
                  </w:divBdr>
                  <w:divsChild>
                    <w:div w:id="994142886">
                      <w:marLeft w:val="1"/>
                      <w:marRight w:val="1"/>
                      <w:marTop w:val="0"/>
                      <w:marBottom w:val="0"/>
                      <w:divBdr>
                        <w:top w:val="none" w:sz="0" w:space="0" w:color="auto"/>
                        <w:left w:val="none" w:sz="0" w:space="0" w:color="auto"/>
                        <w:bottom w:val="none" w:sz="0" w:space="0" w:color="auto"/>
                        <w:right w:val="none" w:sz="0" w:space="0" w:color="auto"/>
                      </w:divBdr>
                      <w:divsChild>
                        <w:div w:id="1588078226">
                          <w:marLeft w:val="0"/>
                          <w:marRight w:val="0"/>
                          <w:marTop w:val="0"/>
                          <w:marBottom w:val="0"/>
                          <w:divBdr>
                            <w:top w:val="none" w:sz="0" w:space="0" w:color="auto"/>
                            <w:left w:val="none" w:sz="0" w:space="0" w:color="auto"/>
                            <w:bottom w:val="none" w:sz="0" w:space="0" w:color="auto"/>
                            <w:right w:val="none" w:sz="0" w:space="0" w:color="auto"/>
                          </w:divBdr>
                          <w:divsChild>
                            <w:div w:id="44530552">
                              <w:marLeft w:val="0"/>
                              <w:marRight w:val="0"/>
                              <w:marTop w:val="0"/>
                              <w:marBottom w:val="360"/>
                              <w:divBdr>
                                <w:top w:val="none" w:sz="0" w:space="0" w:color="auto"/>
                                <w:left w:val="none" w:sz="0" w:space="0" w:color="auto"/>
                                <w:bottom w:val="none" w:sz="0" w:space="0" w:color="auto"/>
                                <w:right w:val="none" w:sz="0" w:space="0" w:color="auto"/>
                              </w:divBdr>
                              <w:divsChild>
                                <w:div w:id="193150757">
                                  <w:marLeft w:val="0"/>
                                  <w:marRight w:val="0"/>
                                  <w:marTop w:val="0"/>
                                  <w:marBottom w:val="0"/>
                                  <w:divBdr>
                                    <w:top w:val="none" w:sz="0" w:space="0" w:color="auto"/>
                                    <w:left w:val="none" w:sz="0" w:space="0" w:color="auto"/>
                                    <w:bottom w:val="none" w:sz="0" w:space="0" w:color="auto"/>
                                    <w:right w:val="none" w:sz="0" w:space="0" w:color="auto"/>
                                  </w:divBdr>
                                  <w:divsChild>
                                    <w:div w:id="888224469">
                                      <w:marLeft w:val="0"/>
                                      <w:marRight w:val="0"/>
                                      <w:marTop w:val="0"/>
                                      <w:marBottom w:val="0"/>
                                      <w:divBdr>
                                        <w:top w:val="none" w:sz="0" w:space="0" w:color="auto"/>
                                        <w:left w:val="none" w:sz="0" w:space="0" w:color="auto"/>
                                        <w:bottom w:val="none" w:sz="0" w:space="0" w:color="auto"/>
                                        <w:right w:val="none" w:sz="0" w:space="0" w:color="auto"/>
                                      </w:divBdr>
                                      <w:divsChild>
                                        <w:div w:id="509873538">
                                          <w:marLeft w:val="0"/>
                                          <w:marRight w:val="0"/>
                                          <w:marTop w:val="0"/>
                                          <w:marBottom w:val="0"/>
                                          <w:divBdr>
                                            <w:top w:val="none" w:sz="0" w:space="0" w:color="auto"/>
                                            <w:left w:val="none" w:sz="0" w:space="0" w:color="auto"/>
                                            <w:bottom w:val="none" w:sz="0" w:space="0" w:color="auto"/>
                                            <w:right w:val="none" w:sz="0" w:space="0" w:color="auto"/>
                                          </w:divBdr>
                                          <w:divsChild>
                                            <w:div w:id="1976445545">
                                              <w:marLeft w:val="0"/>
                                              <w:marRight w:val="0"/>
                                              <w:marTop w:val="0"/>
                                              <w:marBottom w:val="0"/>
                                              <w:divBdr>
                                                <w:top w:val="none" w:sz="0" w:space="0" w:color="auto"/>
                                                <w:left w:val="none" w:sz="0" w:space="0" w:color="auto"/>
                                                <w:bottom w:val="none" w:sz="0" w:space="0" w:color="auto"/>
                                                <w:right w:val="none" w:sz="0" w:space="0" w:color="auto"/>
                                              </w:divBdr>
                                              <w:divsChild>
                                                <w:div w:id="936867561">
                                                  <w:marLeft w:val="0"/>
                                                  <w:marRight w:val="0"/>
                                                  <w:marTop w:val="0"/>
                                                  <w:marBottom w:val="0"/>
                                                  <w:divBdr>
                                                    <w:top w:val="none" w:sz="0" w:space="0" w:color="auto"/>
                                                    <w:left w:val="none" w:sz="0" w:space="0" w:color="auto"/>
                                                    <w:bottom w:val="none" w:sz="0" w:space="0" w:color="auto"/>
                                                    <w:right w:val="none" w:sz="0" w:space="0" w:color="auto"/>
                                                  </w:divBdr>
                                                  <w:divsChild>
                                                    <w:div w:id="1196772692">
                                                      <w:marLeft w:val="0"/>
                                                      <w:marRight w:val="0"/>
                                                      <w:marTop w:val="0"/>
                                                      <w:marBottom w:val="0"/>
                                                      <w:divBdr>
                                                        <w:top w:val="none" w:sz="0" w:space="0" w:color="auto"/>
                                                        <w:left w:val="none" w:sz="0" w:space="0" w:color="auto"/>
                                                        <w:bottom w:val="none" w:sz="0" w:space="0" w:color="auto"/>
                                                        <w:right w:val="none" w:sz="0" w:space="0" w:color="auto"/>
                                                      </w:divBdr>
                                                      <w:divsChild>
                                                        <w:div w:id="6559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78B2-E085-4EA4-99D7-CA96F4C9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1073</Words>
  <Characters>6338</Characters>
  <Application>Microsoft Office Word</Application>
  <DocSecurity>0</DocSecurity>
  <Lines>92</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2016-12-23T08:43:00Z</cp:lastPrinted>
  <dcterms:created xsi:type="dcterms:W3CDTF">2016-12-23T08:44:00Z</dcterms:created>
  <dcterms:modified xsi:type="dcterms:W3CDTF">2017-02-13T09:26:00Z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