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188" w:rsidRDefault="00094565" w:rsidP="0009234B">
      <w:pPr>
        <w:pStyle w:val="Pagedecouverture"/>
        <w:rPr>
          <w:noProof/>
          <w:lang w:val="en-GB"/>
        </w:rPr>
      </w:pPr>
      <w:bookmarkStart w:id="0" w:name="LW_BM_COVERPAGE"/>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29F56674393453D923B8EFF120BD2AB" style="width:451pt;height:307pt">
            <v:imagedata r:id="rId9" o:title=""/>
          </v:shape>
        </w:pict>
      </w:r>
    </w:p>
    <w:bookmarkEnd w:id="0"/>
    <w:p w:rsidR="00140188" w:rsidRDefault="00140188">
      <w:pPr>
        <w:rPr>
          <w:noProof/>
          <w:lang w:val="en-GB"/>
        </w:rPr>
        <w:sectPr w:rsidR="00140188" w:rsidSect="0009234B">
          <w:headerReference w:type="even" r:id="rId10"/>
          <w:headerReference w:type="default" r:id="rId11"/>
          <w:footerReference w:type="even" r:id="rId12"/>
          <w:footerReference w:type="default" r:id="rId13"/>
          <w:headerReference w:type="first" r:id="rId14"/>
          <w:footerReference w:type="first" r:id="rId15"/>
          <w:pgSz w:w="11906" w:h="16838" w:code="9"/>
          <w:pgMar w:top="1134" w:right="1417" w:bottom="1134" w:left="1417" w:header="709" w:footer="709" w:gutter="0"/>
          <w:pgNumType w:start="1"/>
          <w:cols w:space="720"/>
          <w:docGrid w:linePitch="360"/>
        </w:sectPr>
      </w:pPr>
    </w:p>
    <w:p w:rsidR="00140188" w:rsidRDefault="0009234B">
      <w:pPr>
        <w:pStyle w:val="Heading1"/>
        <w:rPr>
          <w:rFonts w:ascii="Times New Roman" w:hAnsi="Times New Roman"/>
          <w:noProof/>
        </w:rPr>
      </w:pPr>
      <w:r>
        <w:rPr>
          <w:noProof/>
        </w:rPr>
        <w:lastRenderedPageBreak/>
        <w:t>1.</w:t>
      </w:r>
      <w:r>
        <w:rPr>
          <w:rFonts w:ascii="Times New Roman" w:hAnsi="Times New Roman"/>
          <w:noProof/>
        </w:rPr>
        <w:t xml:space="preserve"> </w:t>
      </w:r>
      <w:r>
        <w:rPr>
          <w:noProof/>
        </w:rPr>
        <w:t xml:space="preserve">Introduction </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protection of personal data is part of Europe's common constitutional fabric and is enshrined in Article 8 of the EU Charter of Fundamental Rights. It has been central to EU law for more than 20 years, from the Data Protection Directive in 1995</w:t>
      </w:r>
      <w:r>
        <w:rPr>
          <w:rStyle w:val="FootnoteReference"/>
          <w:rFonts w:ascii="Times New Roman" w:hAnsi="Times New Roman" w:cs="Times New Roman"/>
          <w:noProof/>
          <w:sz w:val="24"/>
          <w:szCs w:val="24"/>
          <w:lang w:val="en-GB"/>
        </w:rPr>
        <w:footnoteReference w:id="1"/>
      </w:r>
      <w:r>
        <w:rPr>
          <w:rFonts w:ascii="Times New Roman" w:hAnsi="Times New Roman" w:cs="Times New Roman"/>
          <w:noProof/>
          <w:sz w:val="24"/>
          <w:szCs w:val="24"/>
          <w:lang w:val="en-GB"/>
        </w:rPr>
        <w:t xml:space="preserve"> ("the 1995 Directive") to the adoption of the General Data Protection Regulation (GDPR)</w:t>
      </w:r>
      <w:r>
        <w:rPr>
          <w:rStyle w:val="FootnoteReference"/>
          <w:rFonts w:ascii="Times New Roman" w:hAnsi="Times New Roman" w:cs="Times New Roman"/>
          <w:noProof/>
          <w:sz w:val="24"/>
          <w:szCs w:val="24"/>
          <w:lang w:val="en-GB"/>
        </w:rPr>
        <w:footnoteReference w:id="2"/>
      </w:r>
      <w:r>
        <w:rPr>
          <w:rFonts w:ascii="Times New Roman" w:hAnsi="Times New Roman" w:cs="Times New Roman"/>
          <w:noProof/>
          <w:sz w:val="24"/>
          <w:szCs w:val="24"/>
          <w:lang w:val="en-GB"/>
        </w:rPr>
        <w:t xml:space="preserve"> and the Police Directive</w:t>
      </w:r>
      <w:r>
        <w:rPr>
          <w:rStyle w:val="FootnoteReference"/>
          <w:rFonts w:ascii="Times New Roman" w:hAnsi="Times New Roman" w:cs="Times New Roman"/>
          <w:noProof/>
          <w:sz w:val="24"/>
          <w:szCs w:val="24"/>
          <w:lang w:val="en-GB"/>
        </w:rPr>
        <w:footnoteReference w:id="3"/>
      </w:r>
      <w:r>
        <w:rPr>
          <w:rFonts w:ascii="Times New Roman" w:hAnsi="Times New Roman" w:cs="Times New Roman"/>
          <w:noProof/>
          <w:sz w:val="24"/>
          <w:szCs w:val="24"/>
          <w:lang w:val="en-GB"/>
        </w:rPr>
        <w:t xml:space="preserve"> in 2016. </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As President Juncker stressed in his State of the European Union speech on 14 September 2016, "</w:t>
      </w:r>
      <w:r>
        <w:rPr>
          <w:rFonts w:ascii="Times New Roman" w:hAnsi="Times New Roman" w:cs="Times New Roman"/>
          <w:i/>
          <w:noProof/>
          <w:sz w:val="24"/>
          <w:szCs w:val="24"/>
          <w:lang w:val="en-GB"/>
        </w:rPr>
        <w:t>[b]eing European means the right to have your personal data protected by strong, European laws. […] Because in Europe, privacy matters. This is a question of human dignity</w:t>
      </w:r>
      <w:r>
        <w:rPr>
          <w:rFonts w:ascii="Times New Roman" w:hAnsi="Times New Roman" w:cs="Times New Roman"/>
          <w:noProof/>
          <w:sz w:val="24"/>
          <w:szCs w:val="24"/>
          <w:lang w:val="en-GB"/>
        </w:rPr>
        <w:t xml:space="preserve">." </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demand for protection of personal data is however not limited to Europe. Consumers around the world increasingly cherish and value their privacy. In turn, companies recognise that strong privacy protections give them a competitive advantage as confidence in their services increases. Many, especially those with global reach, are aligning their privacy policies with the GDPR, both because they want to do business in the EU, and because they see it as a model to follow. </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Likewise, several countries and regional organisations outside the EU, from our immediate neighbourhood to Asia, Latin America and Africa, are adopting new or updating existing data protection legislation to harness the opportunities offered by the global digital economy and respond to the growing demand for stronger data security and privacy protection. While differences exist amongst countries in their approach and the level of legislative development, there are signs of upward convergence towards important data protection principles, in particular in certain regions of the world.</w:t>
      </w:r>
      <w:r>
        <w:rPr>
          <w:rStyle w:val="FootnoteReference"/>
          <w:rFonts w:ascii="Times New Roman" w:hAnsi="Times New Roman" w:cs="Times New Roman"/>
          <w:noProof/>
          <w:sz w:val="24"/>
          <w:szCs w:val="24"/>
          <w:lang w:val="en-GB"/>
        </w:rPr>
        <w:footnoteReference w:id="4"/>
      </w:r>
      <w:r>
        <w:rPr>
          <w:rFonts w:ascii="Times New Roman" w:hAnsi="Times New Roman" w:cs="Times New Roman"/>
          <w:noProof/>
          <w:sz w:val="24"/>
          <w:szCs w:val="24"/>
          <w:lang w:val="en-GB"/>
        </w:rPr>
        <w:t xml:space="preserve"> Greater compatibility between different data protection systems would facilitate international flows of personal data, whether for commercial purposes or cooperation between public authorities (e.g. law enforcement). The EU should seize this opportunity to promote its data protection values and facilitate data flows by encouraging convergence of legal systems. As announced in the Commission Work Programme</w:t>
      </w:r>
      <w:r>
        <w:rPr>
          <w:rStyle w:val="FootnoteReference"/>
          <w:rFonts w:ascii="Times New Roman" w:hAnsi="Times New Roman" w:cs="Times New Roman"/>
          <w:noProof/>
          <w:sz w:val="24"/>
          <w:szCs w:val="24"/>
          <w:lang w:val="en-GB"/>
        </w:rPr>
        <w:footnoteReference w:id="5"/>
      </w:r>
      <w:r>
        <w:rPr>
          <w:rFonts w:ascii="Times New Roman" w:hAnsi="Times New Roman" w:cs="Times New Roman"/>
          <w:noProof/>
          <w:sz w:val="24"/>
          <w:szCs w:val="24"/>
          <w:lang w:val="en-GB"/>
        </w:rPr>
        <w:t xml:space="preserve">, the present Communication therefore sets out the Commission's strategic </w:t>
      </w:r>
      <w:r>
        <w:rPr>
          <w:rFonts w:ascii="Times New Roman" w:hAnsi="Times New Roman" w:cs="Times New Roman"/>
          <w:noProof/>
          <w:sz w:val="24"/>
          <w:szCs w:val="24"/>
          <w:lang w:val="en-GB"/>
        </w:rPr>
        <w:lastRenderedPageBreak/>
        <w:t>framework for "adequacy decisions" as well as other tools for data transfers and international data protection instruments.</w:t>
      </w:r>
    </w:p>
    <w:p w:rsidR="00140188" w:rsidRDefault="0009234B">
      <w:pPr>
        <w:pStyle w:val="Heading1"/>
        <w:jc w:val="both"/>
        <w:rPr>
          <w:rFonts w:ascii="Times New Roman" w:hAnsi="Times New Roman"/>
          <w:noProof/>
        </w:rPr>
      </w:pPr>
      <w:r>
        <w:rPr>
          <w:rFonts w:ascii="Times New Roman" w:hAnsi="Times New Roman"/>
          <w:noProof/>
        </w:rPr>
        <w:t xml:space="preserve">2. The EU Data Protection Reform Package – A </w:t>
      </w:r>
      <w:r>
        <w:rPr>
          <w:noProof/>
        </w:rPr>
        <w:t xml:space="preserve">Modern </w:t>
      </w:r>
      <w:r>
        <w:rPr>
          <w:rFonts w:ascii="Times New Roman" w:hAnsi="Times New Roman"/>
          <w:noProof/>
        </w:rPr>
        <w:t xml:space="preserve">Legislative Framework That Supports International Data Flows With High Protection </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reform of EU data protection legislation adopted in April 2016 puts in place a system that both ensures a strong level of protection and is open to the opportunities of the global information society. In giving individuals more control over their personal data, the reform strengthens consumer trust in the digital economy. In harmonising and simplifying the legal environment it makes it easier and less burdensome for companies, both domestic and foreign, to conduct their business activities in the EU, including through international data exchanges. The EU today combines openness for international data flows with the highest level of protection for individuals. It has the potential to become a hub for data services which require both free flows and trust. </w:t>
      </w:r>
    </w:p>
    <w:p w:rsidR="00140188" w:rsidRDefault="0009234B">
      <w:pPr>
        <w:pStyle w:val="Heading2"/>
        <w:spacing w:before="0" w:after="200"/>
        <w:rPr>
          <w:rFonts w:ascii="Times New Roman" w:hAnsi="Times New Roman" w:cs="Times New Roman"/>
          <w:noProof/>
          <w:color w:val="auto"/>
          <w:sz w:val="24"/>
          <w:szCs w:val="24"/>
          <w:lang w:val="en-GB"/>
        </w:rPr>
      </w:pPr>
      <w:r>
        <w:rPr>
          <w:rFonts w:ascii="Times New Roman" w:hAnsi="Times New Roman" w:cs="Times New Roman"/>
          <w:noProof/>
          <w:color w:val="auto"/>
          <w:sz w:val="24"/>
          <w:szCs w:val="24"/>
          <w:lang w:val="en-GB"/>
        </w:rPr>
        <w:t xml:space="preserve">2.1 A comprehensive, unified and simplified EU data protection framework </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EU reform establishes a comprehensive framework governing the processing of personal data in both the private and public sectors and in both the commercial and law enforcement sectors (the GDPR and Police Directive respectively).</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Under the GDPR, as of May 2018, there will be one single pan-European set of rules contrary to 28 national laws today. The newly created one-stop-shop mechanism will ensure that one data protection authority ("DPA") will be responsible for the supervision of cross-border data processing operations carried out by a company in the EU. Consistency of interpretation of the new rules will be guaranteed. In particular, in cross-border cases where several national DPAs are involved, a single decision will be adopted to ensure that common problems receive common solutions. In addition, the GDPR creates a level playing field between EU and foreign companies in that companies based outside the EU will have to apply the same rules as European companies if they are offering goods and services or monitoring the behaviour of individuals in the EU. An increased level of consumer trust will benefit both EU and external commercial operators. </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Police Directive provides common rules for the processing of the personal data of individuals involved in criminal proceedings, be it as suspects, victims, or witnesses, whilst taking into account the specific nature of the police and criminal justice field. Harmonising data protection rules in the law enforcement sector, including rules on international transfers, will facilitate cross-border cooperation between police and judicial authorities, both within the EU and with international partners, and thus create the conditions for a more effective fight against crime. </w:t>
      </w:r>
      <w:r>
        <w:rPr>
          <w:rFonts w:ascii="Times New Roman" w:hAnsi="Times New Roman" w:cs="Times New Roman"/>
          <w:noProof/>
          <w:sz w:val="24"/>
          <w:szCs w:val="24"/>
        </w:rPr>
        <w:t>This is an important contribution to the European Agenda on Security.</w:t>
      </w:r>
      <w:r>
        <w:rPr>
          <w:rStyle w:val="FootnoteReference"/>
          <w:rFonts w:ascii="Times New Roman" w:hAnsi="Times New Roman" w:cs="Times New Roman"/>
          <w:noProof/>
          <w:sz w:val="24"/>
          <w:szCs w:val="24"/>
        </w:rPr>
        <w:footnoteReference w:id="6"/>
      </w:r>
    </w:p>
    <w:p w:rsidR="00140188" w:rsidRDefault="0009234B">
      <w:pPr>
        <w:pStyle w:val="Heading3"/>
        <w:spacing w:before="0" w:after="200"/>
        <w:rPr>
          <w:rFonts w:ascii="Times New Roman" w:hAnsi="Times New Roman" w:cs="Times New Roman"/>
          <w:noProof/>
          <w:color w:val="auto"/>
          <w:lang w:val="en-GB"/>
        </w:rPr>
      </w:pPr>
      <w:r>
        <w:rPr>
          <w:rFonts w:ascii="Times New Roman" w:hAnsi="Times New Roman" w:cs="Times New Roman"/>
          <w:noProof/>
          <w:color w:val="auto"/>
          <w:sz w:val="24"/>
          <w:szCs w:val="24"/>
          <w:lang w:val="en-GB"/>
        </w:rPr>
        <w:lastRenderedPageBreak/>
        <w:t>2.2 A renewed and diversified toolkit for international transfers</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From its inception, EU data protection legislation has provided several mechanisms enabling international data transfers. The primary purpose of these rules is to ensure that when the personal data of Europeans are transferred abroad, the protection travels with the data. Over the years, these rules have set the standard on international data flows in many jurisdictions. While the architecture remains essentially the same as under the 1995 Directive, the reform of the rules on international transfers clarifies and simplifies their use and introduces new tools for transfers.</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Under EU law, one way to transfer personal data abroad is on the basis of a Commission "adequacy decision" establishing that a non-EU country provides a level of data protection that is "essentially equivalent"</w:t>
      </w:r>
      <w:r>
        <w:rPr>
          <w:rStyle w:val="FootnoteReference"/>
          <w:rFonts w:ascii="Times New Roman" w:hAnsi="Times New Roman" w:cs="Times New Roman"/>
          <w:noProof/>
          <w:sz w:val="24"/>
          <w:szCs w:val="24"/>
          <w:lang w:val="en-GB"/>
        </w:rPr>
        <w:footnoteReference w:id="7"/>
      </w:r>
      <w:r>
        <w:rPr>
          <w:rFonts w:ascii="Times New Roman" w:hAnsi="Times New Roman" w:cs="Times New Roman"/>
          <w:noProof/>
          <w:sz w:val="24"/>
          <w:szCs w:val="24"/>
          <w:lang w:val="en-GB"/>
        </w:rPr>
        <w:t xml:space="preserve"> to that in the EU. The effect of such a decision is to enable the free flow of personal data to that third country without the need for the data exporter to provide further safeguards or obtain any authorisation. A precise and detailed catalogue of elements that the Commission must take into account when assessing the adequacy of protection of a foreign system is available for interested countries or international organisations.</w:t>
      </w:r>
      <w:r>
        <w:rPr>
          <w:rStyle w:val="FootnoteReference"/>
          <w:rFonts w:ascii="Times New Roman" w:hAnsi="Times New Roman" w:cs="Times New Roman"/>
          <w:noProof/>
          <w:sz w:val="24"/>
          <w:szCs w:val="24"/>
          <w:lang w:val="en-GB"/>
        </w:rPr>
        <w:footnoteReference w:id="8"/>
      </w:r>
      <w:r>
        <w:rPr>
          <w:rFonts w:ascii="Times New Roman" w:hAnsi="Times New Roman" w:cs="Times New Roman"/>
          <w:noProof/>
          <w:sz w:val="24"/>
          <w:szCs w:val="24"/>
          <w:lang w:val="en-GB"/>
        </w:rPr>
        <w:t xml:space="preserve"> The Commission can now adopt adequacy decisions also for the law enforcement sector.</w:t>
      </w:r>
      <w:r>
        <w:rPr>
          <w:rStyle w:val="FootnoteReference"/>
          <w:rFonts w:ascii="Times New Roman" w:hAnsi="Times New Roman" w:cs="Times New Roman"/>
          <w:noProof/>
          <w:sz w:val="24"/>
          <w:szCs w:val="24"/>
          <w:lang w:val="en-GB"/>
        </w:rPr>
        <w:footnoteReference w:id="9"/>
      </w:r>
      <w:r>
        <w:rPr>
          <w:rFonts w:ascii="Times New Roman" w:hAnsi="Times New Roman" w:cs="Times New Roman"/>
          <w:noProof/>
          <w:sz w:val="24"/>
          <w:szCs w:val="24"/>
          <w:lang w:val="en-GB"/>
        </w:rPr>
        <w:t xml:space="preserve"> Furthermore, building on practice under the 1995 Directive, the reform explicitly allows for an adequacy determination to be made with respect to a particular territory of a third country or to a specific sector or industry within a third country (so-called "partial" adequacy).</w:t>
      </w:r>
      <w:r>
        <w:rPr>
          <w:rStyle w:val="FootnoteReference"/>
          <w:rFonts w:ascii="Times New Roman" w:hAnsi="Times New Roman" w:cs="Times New Roman"/>
          <w:noProof/>
          <w:sz w:val="24"/>
          <w:szCs w:val="24"/>
          <w:lang w:val="en-GB"/>
        </w:rPr>
        <w:footnoteReference w:id="10"/>
      </w:r>
      <w:r>
        <w:rPr>
          <w:rFonts w:ascii="Times New Roman" w:hAnsi="Times New Roman" w:cs="Times New Roman"/>
          <w:noProof/>
          <w:sz w:val="24"/>
          <w:szCs w:val="24"/>
          <w:lang w:val="en-GB"/>
        </w:rPr>
        <w:t xml:space="preserve"> </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In the absence of an adequacy decision, international transfers can take place on the basis of a number of alternative transfer tools that provide appropriate data protection safeguards.</w:t>
      </w:r>
      <w:r>
        <w:rPr>
          <w:rStyle w:val="FootnoteReference"/>
          <w:rFonts w:ascii="Times New Roman" w:hAnsi="Times New Roman" w:cs="Times New Roman"/>
          <w:noProof/>
          <w:sz w:val="24"/>
          <w:szCs w:val="24"/>
          <w:lang w:val="en-GB"/>
        </w:rPr>
        <w:footnoteReference w:id="11"/>
      </w:r>
      <w:r>
        <w:rPr>
          <w:rFonts w:ascii="Times New Roman" w:hAnsi="Times New Roman" w:cs="Times New Roman"/>
          <w:noProof/>
          <w:sz w:val="24"/>
          <w:szCs w:val="24"/>
          <w:lang w:val="en-GB"/>
        </w:rPr>
        <w:t xml:space="preserve"> The reform formalises and expands the possibilities to use existing instruments like standard contractual clauses (SCCs)</w:t>
      </w:r>
      <w:r>
        <w:rPr>
          <w:rStyle w:val="FootnoteReference"/>
          <w:rFonts w:ascii="Times New Roman" w:hAnsi="Times New Roman" w:cs="Times New Roman"/>
          <w:noProof/>
          <w:sz w:val="24"/>
          <w:szCs w:val="24"/>
          <w:lang w:val="en-GB"/>
        </w:rPr>
        <w:footnoteReference w:id="12"/>
      </w:r>
      <w:r>
        <w:rPr>
          <w:rFonts w:ascii="Times New Roman" w:hAnsi="Times New Roman" w:cs="Times New Roman"/>
          <w:noProof/>
          <w:sz w:val="24"/>
          <w:szCs w:val="24"/>
          <w:lang w:val="en-GB"/>
        </w:rPr>
        <w:t xml:space="preserve"> and binding corporate rules (BCRs).</w:t>
      </w:r>
      <w:r>
        <w:rPr>
          <w:rStyle w:val="FootnoteReference"/>
          <w:rFonts w:ascii="Times New Roman" w:hAnsi="Times New Roman" w:cs="Times New Roman"/>
          <w:noProof/>
          <w:sz w:val="24"/>
          <w:szCs w:val="24"/>
          <w:lang w:val="en-GB"/>
        </w:rPr>
        <w:footnoteReference w:id="13"/>
      </w:r>
      <w:r>
        <w:rPr>
          <w:rFonts w:ascii="Times New Roman" w:hAnsi="Times New Roman" w:cs="Times New Roman"/>
          <w:noProof/>
          <w:sz w:val="24"/>
          <w:szCs w:val="24"/>
          <w:lang w:val="en-GB"/>
        </w:rPr>
        <w:t xml:space="preserve"> For instance, SCCs can now be included in a contract between EU-based processors and processors in a non-EU </w:t>
      </w:r>
      <w:r>
        <w:rPr>
          <w:rFonts w:ascii="Times New Roman" w:hAnsi="Times New Roman" w:cs="Times New Roman"/>
          <w:noProof/>
          <w:sz w:val="24"/>
          <w:szCs w:val="24"/>
          <w:lang w:val="en-GB"/>
        </w:rPr>
        <w:lastRenderedPageBreak/>
        <w:t>country (so-called "processor-to-processor" model clauses).</w:t>
      </w:r>
      <w:r>
        <w:rPr>
          <w:rStyle w:val="FootnoteReference"/>
          <w:rFonts w:ascii="Times New Roman" w:hAnsi="Times New Roman" w:cs="Times New Roman"/>
          <w:noProof/>
          <w:sz w:val="24"/>
          <w:szCs w:val="24"/>
          <w:lang w:val="en-GB"/>
        </w:rPr>
        <w:footnoteReference w:id="14"/>
      </w:r>
      <w:r>
        <w:rPr>
          <w:rFonts w:ascii="Times New Roman" w:hAnsi="Times New Roman" w:cs="Times New Roman"/>
          <w:noProof/>
          <w:sz w:val="24"/>
          <w:szCs w:val="24"/>
          <w:lang w:val="en-GB"/>
        </w:rPr>
        <w:t xml:space="preserve"> As for BCRs, which until now have been limited to arrangements among entities of the same corporate group, they can now be used by a group of enterprises engaged in a joint economic activity, but not necessarily forming part of the same corporate group.</w:t>
      </w:r>
      <w:r>
        <w:rPr>
          <w:rStyle w:val="FootnoteReference"/>
          <w:rFonts w:ascii="Times New Roman" w:hAnsi="Times New Roman" w:cs="Times New Roman"/>
          <w:noProof/>
          <w:sz w:val="24"/>
          <w:szCs w:val="24"/>
          <w:lang w:val="en-GB"/>
        </w:rPr>
        <w:footnoteReference w:id="15"/>
      </w:r>
      <w:r>
        <w:rPr>
          <w:rFonts w:ascii="Times New Roman" w:hAnsi="Times New Roman" w:cs="Times New Roman"/>
          <w:noProof/>
          <w:sz w:val="24"/>
          <w:szCs w:val="24"/>
          <w:lang w:val="en-GB"/>
        </w:rPr>
        <w:t xml:space="preserve"> The reform also reduces red tape by abolishing general requirements of prior notification to and authorisation by DPAs of transfers to a third country based on SCCs or BCRs.</w:t>
      </w:r>
      <w:r>
        <w:rPr>
          <w:rStyle w:val="FootnoteReference"/>
          <w:rFonts w:ascii="Times New Roman" w:hAnsi="Times New Roman" w:cs="Times New Roman"/>
          <w:noProof/>
          <w:sz w:val="24"/>
          <w:szCs w:val="24"/>
          <w:lang w:val="en-GB"/>
        </w:rPr>
        <w:footnoteReference w:id="16"/>
      </w:r>
      <w:r>
        <w:rPr>
          <w:rFonts w:ascii="Times New Roman" w:hAnsi="Times New Roman" w:cs="Times New Roman"/>
          <w:noProof/>
          <w:sz w:val="24"/>
          <w:szCs w:val="24"/>
          <w:lang w:val="en-GB"/>
        </w:rPr>
        <w:t xml:space="preserve"> This is an important simplification of the EU system of international data transfers as the existence of such requirements, which currently vary from one Member State to another, is often perceived as a significant obstacle for data flows, especially for smaller businesses.</w:t>
      </w:r>
      <w:r>
        <w:rPr>
          <w:rStyle w:val="FootnoteReference"/>
          <w:rFonts w:ascii="Times New Roman" w:hAnsi="Times New Roman" w:cs="Times New Roman"/>
          <w:noProof/>
          <w:sz w:val="24"/>
          <w:szCs w:val="24"/>
          <w:lang w:val="en-GB"/>
        </w:rPr>
        <w:footnoteReference w:id="17"/>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In addition, the reform introduces new instruments for international transfers.</w:t>
      </w:r>
      <w:r>
        <w:rPr>
          <w:rStyle w:val="FootnoteReference"/>
          <w:rFonts w:ascii="Times New Roman" w:hAnsi="Times New Roman" w:cs="Times New Roman"/>
          <w:noProof/>
          <w:sz w:val="24"/>
          <w:szCs w:val="24"/>
          <w:lang w:val="en-GB"/>
        </w:rPr>
        <w:footnoteReference w:id="18"/>
      </w:r>
      <w:r>
        <w:rPr>
          <w:rFonts w:ascii="Times New Roman" w:hAnsi="Times New Roman" w:cs="Times New Roman"/>
          <w:noProof/>
          <w:sz w:val="24"/>
          <w:szCs w:val="24"/>
          <w:lang w:val="en-GB"/>
        </w:rPr>
        <w:t xml:space="preserve"> Controllers and processors will be able to use, under certain conditions,</w:t>
      </w:r>
      <w:r>
        <w:rPr>
          <w:rStyle w:val="FootnoteReference"/>
          <w:rFonts w:ascii="Times New Roman" w:hAnsi="Times New Roman" w:cs="Times New Roman"/>
          <w:noProof/>
          <w:sz w:val="24"/>
          <w:szCs w:val="24"/>
          <w:lang w:val="en-GB"/>
        </w:rPr>
        <w:footnoteReference w:id="19"/>
      </w:r>
      <w:r>
        <w:rPr>
          <w:rFonts w:ascii="Times New Roman" w:hAnsi="Times New Roman" w:cs="Times New Roman"/>
          <w:noProof/>
          <w:sz w:val="24"/>
          <w:szCs w:val="24"/>
          <w:lang w:val="en-GB"/>
        </w:rPr>
        <w:t xml:space="preserve"> approved codes of conduct or certification mechanisms (such as privacy seals or marks) to establish "appropriate safeguards". This should allow the development of more tailor-made solutions for international transfers, reflecting, for instance, the specific features and needs of a given sector or industry, or of particular data flows. It also offers for the possibility to provide for appropriate safeguards for data transfers between public authorities or bodies on the basis of international agreements or administrative arrangements.</w:t>
      </w:r>
      <w:r>
        <w:rPr>
          <w:rStyle w:val="FootnoteReference"/>
          <w:rFonts w:ascii="Times New Roman" w:hAnsi="Times New Roman" w:cs="Times New Roman"/>
          <w:noProof/>
          <w:sz w:val="24"/>
          <w:szCs w:val="24"/>
          <w:lang w:val="en-GB"/>
        </w:rPr>
        <w:footnoteReference w:id="20"/>
      </w:r>
      <w:r>
        <w:rPr>
          <w:rFonts w:ascii="Times New Roman" w:hAnsi="Times New Roman" w:cs="Times New Roman"/>
          <w:noProof/>
          <w:sz w:val="24"/>
          <w:szCs w:val="24"/>
          <w:lang w:val="en-GB"/>
        </w:rPr>
        <w:t xml:space="preserve"> Finally, the GDPR clarifies the use of  so-called "derogations"</w:t>
      </w:r>
      <w:r>
        <w:rPr>
          <w:rStyle w:val="FootnoteReference"/>
          <w:rFonts w:ascii="Times New Roman" w:hAnsi="Times New Roman" w:cs="Times New Roman"/>
          <w:noProof/>
          <w:sz w:val="24"/>
          <w:szCs w:val="24"/>
          <w:lang w:val="en-GB"/>
        </w:rPr>
        <w:footnoteReference w:id="21"/>
      </w:r>
      <w:r>
        <w:rPr>
          <w:rFonts w:ascii="Times New Roman" w:hAnsi="Times New Roman" w:cs="Times New Roman"/>
          <w:noProof/>
          <w:sz w:val="24"/>
          <w:szCs w:val="24"/>
          <w:lang w:val="en-GB"/>
        </w:rPr>
        <w:t xml:space="preserve"> (e.g. consent, performance of a contract or important reasons of public interest) on which entities in specific situations can base their data transfers in the absence of an adequacy decision and irrespective of the use of one of the above instruments. In particular, it contains a new, albeit circumscribed, derogation pertaining to transfers that can take place in pursuit of the legitimate interests</w:t>
      </w:r>
      <w:r>
        <w:rPr>
          <w:rStyle w:val="FootnoteReference"/>
          <w:rFonts w:ascii="Times New Roman" w:hAnsi="Times New Roman" w:cs="Times New Roman"/>
          <w:noProof/>
          <w:sz w:val="24"/>
          <w:szCs w:val="24"/>
          <w:lang w:val="en-GB"/>
        </w:rPr>
        <w:footnoteReference w:id="22"/>
      </w:r>
      <w:r>
        <w:rPr>
          <w:rFonts w:ascii="Times New Roman" w:hAnsi="Times New Roman" w:cs="Times New Roman"/>
          <w:noProof/>
          <w:sz w:val="24"/>
          <w:szCs w:val="24"/>
          <w:lang w:val="en-GB"/>
        </w:rPr>
        <w:t xml:space="preserve"> of a company. </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Finally, the reform empowers the Commission to develop international cooperation mechanisms to facilitate the enforcement of data protection rules, including through mutual assistance arrangements.</w:t>
      </w:r>
      <w:r>
        <w:rPr>
          <w:rStyle w:val="FootnoteReference"/>
          <w:rFonts w:ascii="Times New Roman" w:hAnsi="Times New Roman" w:cs="Times New Roman"/>
          <w:noProof/>
          <w:sz w:val="24"/>
          <w:szCs w:val="24"/>
          <w:lang w:val="en-GB"/>
        </w:rPr>
        <w:footnoteReference w:id="23"/>
      </w:r>
      <w:r>
        <w:rPr>
          <w:rFonts w:ascii="Times New Roman" w:hAnsi="Times New Roman" w:cs="Times New Roman"/>
          <w:noProof/>
          <w:sz w:val="24"/>
          <w:szCs w:val="24"/>
          <w:lang w:val="en-GB"/>
        </w:rPr>
        <w:t xml:space="preserve"> This recognises the contribution that closer forms of cooperation between supervisory authorities at international level could make to ensure both more effective protection of individual rights and more legal certainty for businesses.</w:t>
      </w:r>
    </w:p>
    <w:p w:rsidR="00140188" w:rsidRDefault="0009234B">
      <w:pPr>
        <w:pStyle w:val="Heading1"/>
        <w:jc w:val="both"/>
        <w:rPr>
          <w:rStyle w:val="Heading2Char"/>
          <w:rFonts w:ascii="Times New Roman Bold" w:hAnsi="Times New Roman Bold" w:cs="Times New Roman" w:hint="eastAsia"/>
          <w:b/>
          <w:bCs/>
          <w:smallCaps w:val="0"/>
          <w:noProof/>
          <w:color w:val="auto"/>
          <w:sz w:val="24"/>
          <w:szCs w:val="24"/>
          <w:lang w:val="en-US"/>
        </w:rPr>
      </w:pPr>
      <w:r>
        <w:rPr>
          <w:noProof/>
        </w:rPr>
        <w:lastRenderedPageBreak/>
        <w:t>3.</w:t>
      </w:r>
      <w:r>
        <w:rPr>
          <w:b w:val="0"/>
          <w:noProof/>
        </w:rPr>
        <w:t xml:space="preserve"> </w:t>
      </w:r>
      <w:r>
        <w:rPr>
          <w:rStyle w:val="Heading2Char"/>
          <w:rFonts w:ascii="Times New Roman Bold" w:hAnsi="Times New Roman Bold" w:cs="Times New Roman"/>
          <w:b/>
          <w:noProof/>
          <w:color w:val="auto"/>
          <w:sz w:val="24"/>
          <w:szCs w:val="24"/>
        </w:rPr>
        <w:t>International Data Transfers In The Commercial Sector: Facilitating Trade By Protecting Privacy</w:t>
      </w:r>
    </w:p>
    <w:p w:rsidR="00140188" w:rsidRDefault="0009234B">
      <w:pPr>
        <w:jc w:val="both"/>
        <w:rPr>
          <w:rFonts w:ascii="Times New Roman" w:hAnsi="Times New Roman" w:cs="Times New Roman"/>
          <w:noProof/>
          <w:sz w:val="24"/>
          <w:szCs w:val="24"/>
        </w:rPr>
      </w:pPr>
      <w:r>
        <w:rPr>
          <w:rFonts w:ascii="Times New Roman" w:hAnsi="Times New Roman" w:cs="Times New Roman"/>
          <w:noProof/>
          <w:sz w:val="24"/>
          <w:szCs w:val="24"/>
          <w:lang w:val="en-GB"/>
        </w:rPr>
        <w:t>Respecting privacy is a condition for stable, secure and competitive global commercial flows. Privacy is not a commodity to be traded.</w:t>
      </w:r>
      <w:r>
        <w:rPr>
          <w:rStyle w:val="FootnoteReference"/>
          <w:rFonts w:ascii="Times New Roman" w:hAnsi="Times New Roman" w:cs="Times New Roman"/>
          <w:noProof/>
          <w:sz w:val="24"/>
          <w:szCs w:val="24"/>
          <w:lang w:val="en-GB"/>
        </w:rPr>
        <w:footnoteReference w:id="24"/>
      </w:r>
      <w:r>
        <w:rPr>
          <w:rFonts w:ascii="Times New Roman" w:hAnsi="Times New Roman" w:cs="Times New Roman"/>
          <w:noProof/>
          <w:sz w:val="24"/>
          <w:szCs w:val="24"/>
          <w:lang w:val="en-GB"/>
        </w:rPr>
        <w:t xml:space="preserve"> </w:t>
      </w:r>
      <w:r>
        <w:rPr>
          <w:rFonts w:ascii="Times New Roman" w:hAnsi="Times New Roman" w:cs="Times New Roman"/>
          <w:noProof/>
          <w:sz w:val="24"/>
          <w:szCs w:val="24"/>
        </w:rPr>
        <w:t>The internet and digitization of goods and services has transformed the global economy and the transfer of data, including personal data, across borders is part of the daily operations of European companies of all sizes, across all sectors. As</w:t>
      </w:r>
      <w:r>
        <w:rPr>
          <w:rFonts w:ascii="Times New Roman" w:hAnsi="Times New Roman" w:cs="Times New Roman"/>
          <w:noProof/>
          <w:sz w:val="24"/>
          <w:szCs w:val="24"/>
          <w:lang w:val="en-GB"/>
        </w:rPr>
        <w:t xml:space="preserve"> commercial exchanges rely increasingly on personal data flows, the privacy and security of such data has become a central factor of consumer trust. For instance, two-thirds of Europeans say that they are worried about having no control over the information they provide online while half of the respondents are concerned about becoming a victim of fraud</w:t>
      </w:r>
      <w:r>
        <w:rPr>
          <w:rFonts w:ascii="Times New Roman" w:hAnsi="Times New Roman" w:cs="Times New Roman"/>
          <w:noProof/>
          <w:sz w:val="24"/>
          <w:szCs w:val="24"/>
        </w:rPr>
        <w:t>.</w:t>
      </w:r>
      <w:r>
        <w:rPr>
          <w:rStyle w:val="FootnoteReference"/>
          <w:rFonts w:ascii="Times New Roman" w:hAnsi="Times New Roman" w:cs="Times New Roman"/>
          <w:noProof/>
          <w:sz w:val="24"/>
          <w:szCs w:val="24"/>
        </w:rPr>
        <w:footnoteReference w:id="25"/>
      </w:r>
      <w:r>
        <w:rPr>
          <w:rFonts w:ascii="Times New Roman" w:hAnsi="Times New Roman" w:cs="Times New Roman"/>
          <w:noProof/>
          <w:sz w:val="24"/>
          <w:szCs w:val="24"/>
        </w:rPr>
        <w:t xml:space="preserve"> </w:t>
      </w:r>
      <w:r>
        <w:rPr>
          <w:rFonts w:ascii="Times New Roman" w:hAnsi="Times New Roman" w:cs="Times New Roman"/>
          <w:noProof/>
          <w:sz w:val="24"/>
          <w:szCs w:val="24"/>
          <w:lang w:val="en-GB"/>
        </w:rPr>
        <w:t xml:space="preserve">At the same time, </w:t>
      </w:r>
      <w:r>
        <w:rPr>
          <w:rFonts w:ascii="Times New Roman" w:hAnsi="Times New Roman" w:cs="Times New Roman"/>
          <w:noProof/>
          <w:sz w:val="24"/>
          <w:szCs w:val="24"/>
        </w:rPr>
        <w:t>European companies operating in some third countries are increasingly faced with protectionist restrictions that cannot be justified with legitimate privacy considerations.</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In the digital era, promoting high standards of data protection and facilitating international trade must thus necessarily go hand in hand. Whereas the protection of personal data is non-negotiable</w:t>
      </w:r>
      <w:r>
        <w:rPr>
          <w:rStyle w:val="FootnoteReference"/>
          <w:rFonts w:ascii="Times New Roman" w:hAnsi="Times New Roman" w:cs="Times New Roman"/>
          <w:noProof/>
          <w:sz w:val="24"/>
          <w:szCs w:val="24"/>
          <w:lang w:val="en-GB"/>
        </w:rPr>
        <w:footnoteReference w:id="26"/>
      </w:r>
      <w:r>
        <w:rPr>
          <w:rFonts w:ascii="Times New Roman" w:hAnsi="Times New Roman" w:cs="Times New Roman"/>
          <w:noProof/>
          <w:sz w:val="24"/>
          <w:szCs w:val="24"/>
          <w:lang w:val="en-GB"/>
        </w:rPr>
        <w:t xml:space="preserve"> in trade agreements, the EU regime on international data transfers, as outlined above, provides a broad and varied toolkit to enable data flows in different situations while ensuring a high level of protection.</w:t>
      </w:r>
    </w:p>
    <w:p w:rsidR="00140188" w:rsidRDefault="0009234B">
      <w:pPr>
        <w:pStyle w:val="Heading2"/>
        <w:spacing w:before="0" w:after="200"/>
        <w:rPr>
          <w:rFonts w:ascii="Times New Roman" w:hAnsi="Times New Roman" w:cs="Times New Roman"/>
          <w:noProof/>
          <w:color w:val="auto"/>
          <w:lang w:val="en-GB"/>
        </w:rPr>
      </w:pPr>
      <w:r>
        <w:rPr>
          <w:rFonts w:ascii="Times New Roman" w:hAnsi="Times New Roman" w:cs="Times New Roman"/>
          <w:noProof/>
          <w:color w:val="auto"/>
          <w:sz w:val="24"/>
          <w:szCs w:val="24"/>
          <w:lang w:val="en-GB"/>
        </w:rPr>
        <w:t>3.1 Adequacy decisions</w:t>
      </w:r>
    </w:p>
    <w:p w:rsidR="00140188" w:rsidRDefault="0009234B">
      <w:pPr>
        <w:pStyle w:val="FootnoteText"/>
        <w:spacing w:after="200"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An adequacy finding allows the free flow of personal data from the EU without the EU data exporter having to implement any additional safeguards or being subject to further conditions. In finding that its legal order provides an adequate level of protection, the decision recognises that the country's system approximates that of the EU Member States. As a result, transfers to the country in question will be assimilated to intra-EU transmissions of data, thereby providing privileged access to the EU single market, while opening up commercial channels for EU operators. As explained above, this recognition necessarily requires a level of protection comparable (or "essentially equivalent")</w:t>
      </w:r>
      <w:r>
        <w:rPr>
          <w:rStyle w:val="FootnoteReference"/>
          <w:rFonts w:ascii="Times New Roman" w:hAnsi="Times New Roman" w:cs="Times New Roman"/>
          <w:noProof/>
          <w:sz w:val="24"/>
          <w:szCs w:val="24"/>
          <w:lang w:val="en-GB"/>
        </w:rPr>
        <w:footnoteReference w:id="27"/>
      </w:r>
      <w:r>
        <w:rPr>
          <w:rFonts w:ascii="Times New Roman" w:hAnsi="Times New Roman" w:cs="Times New Roman"/>
          <w:noProof/>
          <w:sz w:val="24"/>
          <w:szCs w:val="24"/>
          <w:lang w:val="en-GB"/>
        </w:rPr>
        <w:t xml:space="preserve"> to the one guaranteed in the Union. It involves a comprehensive assessment of the third country’s system, including its rules on access to personal data by public authorities for law enforcement, national security and other public interest purposes. </w:t>
      </w:r>
    </w:p>
    <w:p w:rsidR="00140188" w:rsidRDefault="0009234B">
      <w:pPr>
        <w:pStyle w:val="FootnoteText"/>
        <w:spacing w:after="200" w:line="276"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At the same time, as confirmed in 2015 by the Court of Justice in the </w:t>
      </w:r>
      <w:r>
        <w:rPr>
          <w:rFonts w:ascii="Times New Roman" w:hAnsi="Times New Roman" w:cs="Times New Roman"/>
          <w:i/>
          <w:noProof/>
          <w:sz w:val="24"/>
          <w:szCs w:val="24"/>
          <w:lang w:val="en-GB"/>
        </w:rPr>
        <w:t xml:space="preserve">Schrems </w:t>
      </w:r>
      <w:r>
        <w:rPr>
          <w:rFonts w:ascii="Times New Roman" w:hAnsi="Times New Roman" w:cs="Times New Roman"/>
          <w:noProof/>
          <w:sz w:val="24"/>
          <w:szCs w:val="24"/>
          <w:lang w:val="en-GB"/>
        </w:rPr>
        <w:t>ruling, the adequacy standard does not require a point-to-point replication of EU rules.</w:t>
      </w:r>
      <w:r>
        <w:rPr>
          <w:rStyle w:val="FootnoteReference"/>
          <w:rFonts w:ascii="Times New Roman" w:hAnsi="Times New Roman" w:cs="Times New Roman"/>
          <w:noProof/>
          <w:sz w:val="24"/>
          <w:szCs w:val="24"/>
          <w:lang w:val="en-GB"/>
        </w:rPr>
        <w:footnoteReference w:id="28"/>
      </w:r>
      <w:r>
        <w:rPr>
          <w:rFonts w:ascii="Times New Roman" w:hAnsi="Times New Roman" w:cs="Times New Roman"/>
          <w:noProof/>
          <w:sz w:val="24"/>
          <w:szCs w:val="24"/>
          <w:lang w:val="en-GB"/>
        </w:rPr>
        <w:t xml:space="preserve"> Rather, the test lies in whether, through the substance of privacy rights and their effective implementation, enforceability and supervision, the foreign system concerned as a whole delivers the required </w:t>
      </w:r>
      <w:r>
        <w:rPr>
          <w:rFonts w:ascii="Times New Roman" w:hAnsi="Times New Roman" w:cs="Times New Roman"/>
          <w:noProof/>
          <w:sz w:val="24"/>
          <w:szCs w:val="24"/>
          <w:lang w:val="en-GB"/>
        </w:rPr>
        <w:lastRenderedPageBreak/>
        <w:t>high level of protection. As the adequacy decisions adopted so far show, it is possible for the Commission to recognise a diverse range of privacy systems, representing different legal traditions, as being adequate. These decisions concern countries that are closely integrated with the European Union and its Member States (Switzerland, Andorra, Faeroe Islands, Guernsey, Jersey, Isle of Man), important trading partners (Argentina, Canada, Israel, the United States), and countries that have a pioneering role in developing data protection laws in their region (New Zealand, Uruguay).</w:t>
      </w:r>
    </w:p>
    <w:p w:rsidR="00140188" w:rsidRDefault="0009234B">
      <w:pPr>
        <w:pStyle w:val="FootnoteText"/>
        <w:spacing w:after="200" w:line="276" w:lineRule="auto"/>
        <w:jc w:val="both"/>
        <w:rPr>
          <w:rFonts w:ascii="Times New Roman" w:hAnsi="Times New Roman" w:cs="Times New Roman"/>
          <w:noProof/>
          <w:lang w:val="en-GB"/>
        </w:rPr>
      </w:pPr>
      <w:r>
        <w:rPr>
          <w:rFonts w:ascii="Times New Roman" w:hAnsi="Times New Roman" w:cs="Times New Roman"/>
          <w:noProof/>
          <w:sz w:val="24"/>
          <w:szCs w:val="24"/>
          <w:lang w:val="en-GB"/>
        </w:rPr>
        <w:t>The decisions on Canada and the United States are "partial" adequacy findings. The decision on Canada applies only to private entities falling under the scope of the Canadian Personal Information Protection and Electronic Documents Act. The recently adopted decision on the EU-US Privacy Shield</w:t>
      </w:r>
      <w:r>
        <w:rPr>
          <w:rStyle w:val="FootnoteReference"/>
          <w:rFonts w:ascii="Times New Roman" w:hAnsi="Times New Roman" w:cs="Times New Roman"/>
          <w:noProof/>
          <w:sz w:val="24"/>
          <w:szCs w:val="24"/>
          <w:lang w:val="en-GB"/>
        </w:rPr>
        <w:footnoteReference w:id="29"/>
      </w:r>
      <w:r>
        <w:rPr>
          <w:rFonts w:ascii="Times New Roman" w:hAnsi="Times New Roman" w:cs="Times New Roman"/>
          <w:noProof/>
          <w:sz w:val="24"/>
          <w:szCs w:val="24"/>
          <w:lang w:val="en-GB"/>
        </w:rPr>
        <w:t xml:space="preserve"> is a specific case in that, in the absence of general data protection legislation in the U.S.,</w:t>
      </w:r>
      <w:r>
        <w:rPr>
          <w:rStyle w:val="FootnoteReference"/>
          <w:rFonts w:ascii="Times New Roman" w:hAnsi="Times New Roman" w:cs="Times New Roman"/>
          <w:noProof/>
          <w:sz w:val="24"/>
          <w:szCs w:val="24"/>
          <w:lang w:val="en-GB"/>
        </w:rPr>
        <w:footnoteReference w:id="30"/>
      </w:r>
      <w:r>
        <w:rPr>
          <w:rFonts w:ascii="Times New Roman" w:hAnsi="Times New Roman" w:cs="Times New Roman"/>
          <w:noProof/>
          <w:sz w:val="24"/>
          <w:szCs w:val="24"/>
          <w:lang w:val="en-GB"/>
        </w:rPr>
        <w:t xml:space="preserve"> it relies on commitments by participating companies to apply the high data protection standards set out by this arrangement that are in turn enforceable under U.S. law. Moreover, the Privacy Shield builds on the specific representations and assurances made by the U.S. government as regards access for national security purposes</w:t>
      </w:r>
      <w:r>
        <w:rPr>
          <w:rStyle w:val="FootnoteReference"/>
          <w:rFonts w:ascii="Times New Roman" w:hAnsi="Times New Roman" w:cs="Times New Roman"/>
          <w:noProof/>
          <w:sz w:val="24"/>
          <w:szCs w:val="24"/>
          <w:lang w:val="en-GB"/>
        </w:rPr>
        <w:footnoteReference w:id="31"/>
      </w:r>
      <w:r>
        <w:rPr>
          <w:rFonts w:ascii="Times New Roman" w:hAnsi="Times New Roman" w:cs="Times New Roman"/>
          <w:noProof/>
          <w:sz w:val="24"/>
          <w:szCs w:val="24"/>
          <w:lang w:val="en-GB"/>
        </w:rPr>
        <w:t xml:space="preserve"> that underpin the adequacy finding. Compliance with these commitments will be closely monitored by the Commission and part of the annual review on the functioning of the framework. </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In recent years more and more countries around the world have adopted new legislation in the area of data protection and privacy or are in the process of doing so. In 2015, the number of countries that had enacted data privacy laws stood at 109, a significant increase from 76 in mid-2011.</w:t>
      </w:r>
      <w:r>
        <w:rPr>
          <w:rStyle w:val="FootnoteReference"/>
          <w:rFonts w:ascii="Times New Roman" w:hAnsi="Times New Roman" w:cs="Times New Roman"/>
          <w:noProof/>
          <w:sz w:val="24"/>
          <w:szCs w:val="24"/>
          <w:lang w:val="en-GB"/>
        </w:rPr>
        <w:footnoteReference w:id="32"/>
      </w:r>
      <w:r>
        <w:rPr>
          <w:rFonts w:ascii="Times New Roman" w:hAnsi="Times New Roman" w:cs="Times New Roman"/>
          <w:noProof/>
          <w:sz w:val="24"/>
          <w:szCs w:val="24"/>
          <w:lang w:val="en-GB"/>
        </w:rPr>
        <w:t xml:space="preserve"> Moreover, around 35 countries are currently drafting data protection laws.</w:t>
      </w:r>
      <w:r>
        <w:rPr>
          <w:rStyle w:val="FootnoteReference"/>
          <w:rFonts w:ascii="Times New Roman" w:hAnsi="Times New Roman" w:cs="Times New Roman"/>
          <w:noProof/>
          <w:sz w:val="24"/>
          <w:szCs w:val="24"/>
          <w:lang w:val="en-GB"/>
        </w:rPr>
        <w:footnoteReference w:id="33"/>
      </w:r>
      <w:r>
        <w:rPr>
          <w:rFonts w:ascii="Times New Roman" w:hAnsi="Times New Roman" w:cs="Times New Roman"/>
          <w:noProof/>
          <w:sz w:val="24"/>
          <w:szCs w:val="24"/>
          <w:lang w:val="en-GB"/>
        </w:rPr>
        <w:t xml:space="preserve"> These new or modernised laws tend to be based on a core set of common principles, including </w:t>
      </w:r>
      <w:r>
        <w:rPr>
          <w:rFonts w:ascii="Times New Roman" w:hAnsi="Times New Roman" w:cs="Times New Roman"/>
          <w:i/>
          <w:noProof/>
          <w:sz w:val="24"/>
          <w:szCs w:val="24"/>
          <w:lang w:val="en-GB"/>
        </w:rPr>
        <w:t>inter alia</w:t>
      </w:r>
      <w:r>
        <w:rPr>
          <w:rFonts w:ascii="Times New Roman" w:hAnsi="Times New Roman" w:cs="Times New Roman"/>
          <w:noProof/>
          <w:sz w:val="24"/>
          <w:szCs w:val="24"/>
          <w:lang w:val="en-GB"/>
        </w:rPr>
        <w:t xml:space="preserve"> the recognition of data protection as a fundamental right, the adoption of overarching legislation in this field, the existence of enforceable individual privacy rights, and the setting up of an independent supervisory authority. This offers new opportunities, notably through adequacy findings, to further facilitate data flows while guaranteeing the continued high level of protection of personal data. </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Under EU law, an adequacy finding requires the existence of data protection rules comparable to the ones in the EU.</w:t>
      </w:r>
      <w:r>
        <w:rPr>
          <w:rStyle w:val="FootnoteReference"/>
          <w:rFonts w:ascii="Times New Roman" w:hAnsi="Times New Roman" w:cs="Times New Roman"/>
          <w:noProof/>
          <w:sz w:val="24"/>
          <w:szCs w:val="24"/>
          <w:lang w:val="en-GB"/>
        </w:rPr>
        <w:footnoteReference w:id="34"/>
      </w:r>
      <w:r>
        <w:rPr>
          <w:rFonts w:ascii="Times New Roman" w:hAnsi="Times New Roman" w:cs="Times New Roman"/>
          <w:noProof/>
          <w:sz w:val="24"/>
          <w:szCs w:val="24"/>
          <w:lang w:val="en-GB"/>
        </w:rPr>
        <w:t xml:space="preserve"> This concerns both the substantive protections applicable to personal data and the relevant oversight and redress mechanisms available in the third country.</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lastRenderedPageBreak/>
        <w:t>Under its framework on adequacy findings, the Commission considers that the following criteria should be taken into account when assessing with which third countries a dialogue on adequacy should be pursued:</w:t>
      </w:r>
      <w:r>
        <w:rPr>
          <w:rStyle w:val="FootnoteReference"/>
          <w:rFonts w:ascii="Times New Roman" w:hAnsi="Times New Roman" w:cs="Times New Roman"/>
          <w:noProof/>
          <w:sz w:val="24"/>
          <w:szCs w:val="24"/>
          <w:lang w:val="en-GB"/>
        </w:rPr>
        <w:footnoteReference w:id="35"/>
      </w:r>
    </w:p>
    <w:p w:rsidR="00140188" w:rsidRDefault="0009234B">
      <w:pPr>
        <w:ind w:left="480" w:hanging="48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(i) </w:t>
      </w:r>
      <w:r>
        <w:rPr>
          <w:rFonts w:ascii="Times New Roman" w:hAnsi="Times New Roman" w:cs="Times New Roman"/>
          <w:noProof/>
          <w:sz w:val="24"/>
          <w:szCs w:val="24"/>
          <w:lang w:val="en-GB"/>
        </w:rPr>
        <w:tab/>
        <w:t>the extent of the EU's (actual or potential) commercial relations with a given third country, including the existence of a free trade agreement or ongoing negotiations;</w:t>
      </w:r>
    </w:p>
    <w:p w:rsidR="00140188" w:rsidRDefault="0009234B">
      <w:pPr>
        <w:ind w:left="480" w:hanging="48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(ii) </w:t>
      </w:r>
      <w:r>
        <w:rPr>
          <w:rFonts w:ascii="Times New Roman" w:hAnsi="Times New Roman" w:cs="Times New Roman"/>
          <w:noProof/>
          <w:sz w:val="24"/>
          <w:szCs w:val="24"/>
          <w:lang w:val="en-GB"/>
        </w:rPr>
        <w:tab/>
        <w:t xml:space="preserve">the extent of personal data flows from the EU, reflecting geographical and/or cultural ties; </w:t>
      </w:r>
    </w:p>
    <w:p w:rsidR="00140188" w:rsidRDefault="0009234B">
      <w:pPr>
        <w:ind w:left="480" w:hanging="48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(iii) </w:t>
      </w:r>
      <w:r>
        <w:rPr>
          <w:rFonts w:ascii="Times New Roman" w:hAnsi="Times New Roman" w:cs="Times New Roman"/>
          <w:noProof/>
          <w:sz w:val="24"/>
          <w:szCs w:val="24"/>
          <w:lang w:val="en-GB"/>
        </w:rPr>
        <w:tab/>
        <w:t>the pioneering role the third country plays in the field of privacy and data protection that could serve as a model for other countries in its region;</w:t>
      </w:r>
      <w:r>
        <w:rPr>
          <w:rStyle w:val="FootnoteReference"/>
          <w:rFonts w:ascii="Times New Roman" w:hAnsi="Times New Roman" w:cs="Times New Roman"/>
          <w:noProof/>
          <w:sz w:val="24"/>
          <w:szCs w:val="24"/>
          <w:lang w:val="en-GB"/>
        </w:rPr>
        <w:footnoteReference w:id="36"/>
      </w:r>
      <w:r>
        <w:rPr>
          <w:rFonts w:ascii="Times New Roman" w:hAnsi="Times New Roman" w:cs="Times New Roman"/>
          <w:noProof/>
          <w:sz w:val="24"/>
          <w:szCs w:val="24"/>
          <w:lang w:val="en-GB"/>
        </w:rPr>
        <w:t>and</w:t>
      </w:r>
    </w:p>
    <w:p w:rsidR="00140188" w:rsidRDefault="0009234B">
      <w:pPr>
        <w:ind w:left="480" w:hanging="48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(iv) </w:t>
      </w:r>
      <w:r>
        <w:rPr>
          <w:rFonts w:ascii="Times New Roman" w:hAnsi="Times New Roman" w:cs="Times New Roman"/>
          <w:noProof/>
          <w:sz w:val="24"/>
          <w:szCs w:val="24"/>
          <w:lang w:val="en-GB"/>
        </w:rPr>
        <w:tab/>
        <w:t xml:space="preserve">the overall political relationship with the third country in question, in particular with respect to the promotion of common values and shared objectives at international level. </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Based on these considerations, the Commission will actively engage with key trading partners in East and South-East Asia, starting from Japan and Korea in 2017</w:t>
      </w:r>
      <w:r>
        <w:rPr>
          <w:rStyle w:val="FootnoteReference"/>
          <w:rFonts w:ascii="Times New Roman" w:hAnsi="Times New Roman" w:cs="Times New Roman"/>
          <w:noProof/>
          <w:sz w:val="24"/>
          <w:szCs w:val="24"/>
          <w:lang w:val="en-GB"/>
        </w:rPr>
        <w:footnoteReference w:id="37"/>
      </w:r>
      <w:r>
        <w:rPr>
          <w:rFonts w:ascii="Times New Roman" w:hAnsi="Times New Roman" w:cs="Times New Roman"/>
          <w:noProof/>
          <w:sz w:val="24"/>
          <w:szCs w:val="24"/>
          <w:lang w:val="en-GB"/>
        </w:rPr>
        <w:t>, and, depending on progress towards the modernisation of its data protection laws, with India, but also with countries in Latin America, in particular Mercosur, and the European neighbourhood which have expressed an interest in obtaining an “adequacy finding”. In addition, the Commission welcomes expressions of interest from other third countries that are willing to engage on these issues. Discussions on a possible adequacy finding are a two-way dialogue that includes providing any necessary clarifications on the EU data protection rules and exploring ways to increase convergence of the third countries' laws and practice.</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In certain situations, rather than taking a country-wide approach, it may be more suitable to make use of other options such as partial or sector-specific adequacy (e.g. for financial services or IT sectors) which may concern geographic areas or industries that form an important part of a particular third country's economy. This will need to be considered in light of elements such as, for instance, the nature and state of development of the privacy regime (stand-alone law, multiple or sectorial laws etc.), the constitutional structure of the third country or whether certain sectors of the economy are particularly exposed to data flows from the EU. </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adoption of an adequacy decision involves the establishment of a specific dialogue and close forms of cooperation with the concerned third country. Adequacy decisions are "living" documents that need to be closely monitored by the Commission and adapted in case of </w:t>
      </w:r>
      <w:r>
        <w:rPr>
          <w:rFonts w:ascii="Times New Roman" w:hAnsi="Times New Roman" w:cs="Times New Roman"/>
          <w:noProof/>
          <w:sz w:val="24"/>
          <w:szCs w:val="24"/>
          <w:lang w:val="en-GB"/>
        </w:rPr>
        <w:lastRenderedPageBreak/>
        <w:t>developments affecting the level of protection ensured by the third country in question.</w:t>
      </w:r>
      <w:r>
        <w:rPr>
          <w:rStyle w:val="FootnoteReference"/>
          <w:rFonts w:ascii="Times New Roman" w:hAnsi="Times New Roman" w:cs="Times New Roman"/>
          <w:noProof/>
          <w:sz w:val="24"/>
          <w:szCs w:val="24"/>
          <w:lang w:val="en-GB"/>
        </w:rPr>
        <w:footnoteReference w:id="38"/>
      </w:r>
      <w:r>
        <w:rPr>
          <w:rFonts w:ascii="Times New Roman" w:hAnsi="Times New Roman" w:cs="Times New Roman"/>
          <w:noProof/>
          <w:sz w:val="24"/>
          <w:szCs w:val="24"/>
          <w:lang w:val="en-GB"/>
        </w:rPr>
        <w:t xml:space="preserve"> To that end, periodic reviews will be held, at least every four years, to address emerging issues and exchange best practices between close partners.</w:t>
      </w:r>
      <w:r>
        <w:rPr>
          <w:rStyle w:val="FootnoteReference"/>
          <w:rFonts w:ascii="Times New Roman" w:hAnsi="Times New Roman" w:cs="Times New Roman"/>
          <w:noProof/>
          <w:sz w:val="24"/>
          <w:szCs w:val="24"/>
          <w:lang w:val="en-GB"/>
        </w:rPr>
        <w:footnoteReference w:id="39"/>
      </w:r>
      <w:r>
        <w:rPr>
          <w:rFonts w:ascii="Times New Roman" w:hAnsi="Times New Roman" w:cs="Times New Roman"/>
          <w:noProof/>
          <w:sz w:val="24"/>
          <w:szCs w:val="24"/>
          <w:lang w:val="en-GB"/>
        </w:rPr>
        <w:t xml:space="preserve"> This dynamic approach applies also to already existing adequacy decisions, adopted under the 1995 Directive, which will need to be reviewed in case they no longer meet the applicable standard.</w:t>
      </w:r>
      <w:r>
        <w:rPr>
          <w:rStyle w:val="FootnoteReference"/>
          <w:rFonts w:ascii="Times New Roman" w:hAnsi="Times New Roman" w:cs="Times New Roman"/>
          <w:noProof/>
          <w:sz w:val="24"/>
          <w:szCs w:val="24"/>
          <w:lang w:val="en-GB"/>
        </w:rPr>
        <w:footnoteReference w:id="40"/>
      </w:r>
      <w:r>
        <w:rPr>
          <w:rFonts w:ascii="Times New Roman" w:hAnsi="Times New Roman" w:cs="Times New Roman"/>
          <w:noProof/>
          <w:sz w:val="24"/>
          <w:szCs w:val="24"/>
          <w:lang w:val="en-GB"/>
        </w:rPr>
        <w:t xml:space="preserve"> The third countries concerned are therefore invited to inform the Commission of any relevant change in law and practice that has taken place since the adoption of the adequacy decision relating to them. This is essential to ensure the continuity of these decisions under the new rules of the reform.</w:t>
      </w:r>
      <w:r>
        <w:rPr>
          <w:rStyle w:val="FootnoteReference"/>
          <w:rFonts w:ascii="Times New Roman" w:hAnsi="Times New Roman" w:cs="Times New Roman"/>
          <w:noProof/>
          <w:sz w:val="24"/>
          <w:szCs w:val="24"/>
          <w:lang w:val="en-GB"/>
        </w:rPr>
        <w:footnoteReference w:id="41"/>
      </w:r>
      <w:r>
        <w:rPr>
          <w:rFonts w:ascii="Times New Roman" w:hAnsi="Times New Roman" w:cs="Times New Roman"/>
          <w:noProof/>
          <w:sz w:val="24"/>
          <w:szCs w:val="24"/>
          <w:lang w:val="en-GB"/>
        </w:rPr>
        <w:t xml:space="preserve"> </w:t>
      </w:r>
    </w:p>
    <w:p w:rsidR="00140188" w:rsidRDefault="0009234B">
      <w:pPr>
        <w:jc w:val="both"/>
        <w:rPr>
          <w:rFonts w:ascii="Times New Roman" w:hAnsi="Times New Roman" w:cs="Times New Roman"/>
          <w:noProof/>
          <w:sz w:val="24"/>
          <w:szCs w:val="24"/>
        </w:rPr>
      </w:pPr>
      <w:r>
        <w:rPr>
          <w:rFonts w:ascii="Times New Roman" w:hAnsi="Times New Roman" w:cs="Times New Roman"/>
          <w:noProof/>
          <w:sz w:val="24"/>
          <w:szCs w:val="24"/>
          <w:lang w:val="en-GB"/>
        </w:rPr>
        <w:t>The EU data protection rules cannot be the subject of negotiations in a free trade agreement.</w:t>
      </w:r>
      <w:r>
        <w:rPr>
          <w:rStyle w:val="FootnoteReference"/>
          <w:rFonts w:ascii="Times New Roman" w:hAnsi="Times New Roman" w:cs="Times New Roman"/>
          <w:noProof/>
          <w:sz w:val="24"/>
          <w:szCs w:val="24"/>
          <w:lang w:val="en-GB"/>
        </w:rPr>
        <w:footnoteReference w:id="42"/>
      </w:r>
      <w:r>
        <w:rPr>
          <w:rFonts w:ascii="Times New Roman" w:hAnsi="Times New Roman" w:cs="Times New Roman"/>
          <w:noProof/>
          <w:sz w:val="24"/>
          <w:szCs w:val="24"/>
          <w:lang w:val="en-GB"/>
        </w:rPr>
        <w:t xml:space="preserve"> While dialogues on data protection and trade negotiations with third countries have to follow separate tracks, an adequacy decision, including a partial or sector-specific one, is the best avenue to build mutual trust, guaranteeing uninhibited flow of personal data, and thus facilitate commercial exchanges involving transfers of personal data to the third country in question. Such decisions can therefore ease trade negotiations or may complement existing trade agreements, thus allowing them to amplify their benefits. At the same time, by fostering the convergence of the level of protection in the EU and the third country, an adequacy finding reduces the risk of invocation by that country of personal data protection grounds to impose unjustified data localisation or storage requirements. Beyond this, as indicated in the Trade for All Communication, the Commission will seek to use EU trade agreements to set rules for e-commerce and cross-border data flows and tackle new forms of digital protectionism, in full compliance with and without prejudice to the EU’s data protection rules.</w:t>
      </w:r>
      <w:r>
        <w:rPr>
          <w:rStyle w:val="FootnoteReference"/>
          <w:rFonts w:ascii="Times New Roman" w:hAnsi="Times New Roman" w:cs="Times New Roman"/>
          <w:noProof/>
          <w:sz w:val="24"/>
          <w:szCs w:val="24"/>
          <w:lang w:val="en-GB"/>
        </w:rPr>
        <w:footnoteReference w:id="43"/>
      </w:r>
      <w:r>
        <w:rPr>
          <w:rFonts w:ascii="Times New Roman" w:hAnsi="Times New Roman" w:cs="Times New Roman"/>
          <w:noProof/>
          <w:sz w:val="24"/>
          <w:szCs w:val="24"/>
          <w:lang w:val="en-GB"/>
        </w:rPr>
        <w:t xml:space="preserve"> </w:t>
      </w:r>
    </w:p>
    <w:p w:rsidR="00140188" w:rsidRDefault="0009234B">
      <w:pPr>
        <w:jc w:val="both"/>
        <w:rPr>
          <w:rFonts w:ascii="Times New Roman" w:hAnsi="Times New Roman" w:cs="Times New Roman"/>
          <w:noProof/>
          <w:sz w:val="24"/>
          <w:szCs w:val="24"/>
          <w:lang w:val="en-GB"/>
        </w:rPr>
      </w:pPr>
      <w:r>
        <w:rPr>
          <w:rStyle w:val="Heading2Char"/>
          <w:rFonts w:ascii="Times New Roman Bold" w:hAnsi="Times New Roman Bold" w:cs="Times New Roman"/>
          <w:noProof/>
          <w:color w:val="auto"/>
          <w:sz w:val="24"/>
          <w:szCs w:val="24"/>
          <w:lang w:val="en-GB" w:eastAsia="en-GB"/>
        </w:rPr>
        <w:lastRenderedPageBreak/>
        <mc:AlternateContent>
          <mc:Choice Requires="wps">
            <w:drawing>
              <wp:inline distT="0" distB="0" distL="0" distR="0" wp14:anchorId="64015BD4" wp14:editId="232CD0EC">
                <wp:extent cx="6124575" cy="2647950"/>
                <wp:effectExtent l="0" t="0" r="28575"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647950"/>
                        </a:xfrm>
                        <a:prstGeom prst="rect">
                          <a:avLst/>
                        </a:prstGeom>
                        <a:solidFill>
                          <a:srgbClr val="FFFFFF"/>
                        </a:solidFill>
                        <a:ln w="9525">
                          <a:solidFill>
                            <a:srgbClr val="000000"/>
                          </a:solidFill>
                          <a:miter lim="800000"/>
                          <a:headEnd/>
                          <a:tailEnd/>
                        </a:ln>
                      </wps:spPr>
                      <wps:txbx>
                        <w:txbxContent>
                          <w:p w:rsidR="00140188" w:rsidRDefault="0009234B">
                            <w:pPr>
                              <w:jc w:val="both"/>
                              <w:rPr>
                                <w:rFonts w:ascii="Times New Roman" w:hAnsi="Times New Roman" w:cs="Times New Roman"/>
                                <w:sz w:val="24"/>
                                <w:szCs w:val="24"/>
                                <w:lang w:val="en-GB"/>
                              </w:rPr>
                            </w:pPr>
                            <w:r>
                              <w:rPr>
                                <w:rFonts w:ascii="Times New Roman" w:hAnsi="Times New Roman" w:cs="Times New Roman"/>
                                <w:sz w:val="24"/>
                                <w:szCs w:val="24"/>
                                <w:lang w:val="en-GB"/>
                              </w:rPr>
                              <w:t>The Commission will:</w:t>
                            </w:r>
                          </w:p>
                          <w:p w:rsidR="00140188" w:rsidRDefault="0009234B">
                            <w:pPr>
                              <w:pStyle w:val="ListParagraph"/>
                              <w:numPr>
                                <w:ilvl w:val="0"/>
                                <w:numId w:val="11"/>
                              </w:numPr>
                              <w:tabs>
                                <w:tab w:val="center" w:pos="4680"/>
                                <w:tab w:val="right" w:pos="9360"/>
                              </w:tabs>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Prioritise discussions on possible adequacy decisions with key trading partners in East and South-East Asia, starting from Japan and Korea in 2017, but also considering other strategic partners such as India, and with countries in Latin America, in particular Mercosur, and the European neighbourhood.</w:t>
                            </w:r>
                            <w:r>
                              <w:rPr>
                                <w:rFonts w:ascii="Times New Roman" w:hAnsi="Times New Roman" w:cs="Times New Roman"/>
                                <w:sz w:val="24"/>
                                <w:szCs w:val="24"/>
                                <w:highlight w:val="yellow"/>
                                <w:lang w:val="en-GB"/>
                              </w:rPr>
                              <w:t xml:space="preserve"> </w:t>
                            </w:r>
                          </w:p>
                          <w:p w:rsidR="00140188" w:rsidRDefault="00140188">
                            <w:pPr>
                              <w:pStyle w:val="ListParagraph"/>
                              <w:tabs>
                                <w:tab w:val="center" w:pos="4680"/>
                                <w:tab w:val="right" w:pos="9360"/>
                              </w:tabs>
                              <w:spacing w:after="0" w:line="240" w:lineRule="auto"/>
                              <w:jc w:val="both"/>
                              <w:rPr>
                                <w:rFonts w:ascii="Times New Roman" w:hAnsi="Times New Roman" w:cs="Times New Roman"/>
                                <w:sz w:val="24"/>
                                <w:szCs w:val="24"/>
                                <w:highlight w:val="yellow"/>
                                <w:lang w:val="en-GB"/>
                              </w:rPr>
                            </w:pPr>
                          </w:p>
                          <w:p w:rsidR="00140188" w:rsidRDefault="0009234B">
                            <w:pPr>
                              <w:pStyle w:val="ListParagraph"/>
                              <w:numPr>
                                <w:ilvl w:val="0"/>
                                <w:numId w:val="11"/>
                              </w:numPr>
                              <w:tabs>
                                <w:tab w:val="center" w:pos="4680"/>
                                <w:tab w:val="right" w:pos="9360"/>
                              </w:tabs>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Closely monitor the functioning of the existing adequacy decisions. This includes in particular the implementation of the EU-US Privacy Shield framework, notably through the annual joint review mechanism.</w:t>
                            </w:r>
                          </w:p>
                          <w:p w:rsidR="00140188" w:rsidRDefault="00140188">
                            <w:pPr>
                              <w:pStyle w:val="ListParagraph"/>
                              <w:tabs>
                                <w:tab w:val="center" w:pos="4680"/>
                                <w:tab w:val="right" w:pos="9360"/>
                              </w:tabs>
                              <w:spacing w:after="0" w:line="240" w:lineRule="auto"/>
                              <w:jc w:val="both"/>
                              <w:rPr>
                                <w:rFonts w:ascii="Times New Roman" w:hAnsi="Times New Roman" w:cs="Times New Roman"/>
                                <w:sz w:val="24"/>
                                <w:szCs w:val="24"/>
                                <w:lang w:val="en-GB"/>
                              </w:rPr>
                            </w:pPr>
                          </w:p>
                          <w:p w:rsidR="00140188" w:rsidRDefault="0009234B">
                            <w:pPr>
                              <w:pStyle w:val="ListParagraph"/>
                              <w:numPr>
                                <w:ilvl w:val="0"/>
                                <w:numId w:val="11"/>
                              </w:numPr>
                              <w:tabs>
                                <w:tab w:val="center" w:pos="4680"/>
                                <w:tab w:val="right" w:pos="9360"/>
                              </w:tabs>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Work with and assist countries interested in adopting strong data protection laws and support their convergence with EU data protection principles.</w:t>
                            </w:r>
                          </w:p>
                          <w:p w:rsidR="00140188" w:rsidRDefault="00140188">
                            <w:pPr>
                              <w:pStyle w:val="ListParagraph"/>
                              <w:tabs>
                                <w:tab w:val="center" w:pos="4680"/>
                                <w:tab w:val="right" w:pos="9360"/>
                              </w:tabs>
                              <w:spacing w:after="0" w:line="240" w:lineRule="auto"/>
                              <w:jc w:val="both"/>
                              <w:rPr>
                                <w:rFonts w:ascii="Times New Roman" w:hAnsi="Times New Roman" w:cs="Times New Roman"/>
                                <w:sz w:val="24"/>
                                <w:szCs w:val="24"/>
                                <w:lang w:val="en-GB"/>
                              </w:rPr>
                            </w:pPr>
                          </w:p>
                          <w:p w:rsidR="00140188" w:rsidRDefault="00140188"/>
                        </w:txbxContent>
                      </wps:txbx>
                      <wps:bodyPr rot="0" vert="horz" wrap="square" lIns="91440" tIns="45720" rIns="91440" bIns="45720" anchor="t" anchorCtr="0">
                        <a:noAutofit/>
                      </wps:bodyPr>
                    </wps:wsp>
                  </a:graphicData>
                </a:graphic>
              </wp:inline>
            </w:drawing>
          </mc:Choice>
          <mc:Fallback xmlns="">
            <w:pict>
              <v:shapetype id="_x0000_t202" coordsize="21600,21600" o:spt="202" path="m,l,21600r21600,l21600,xe">
                <v:stroke joinstyle="miter"/>
                <v:path gradientshapeok="t" o:connecttype="rect"/>
              </v:shapetype>
              <v:shape id="Text Box 2" o:spid="_x0000_s1026" type="#_x0000_t202" style="width:482.25pt;height:2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GHJQIAAEcEAAAOAAAAZHJzL2Uyb0RvYy54bWysU9uO2yAQfa/Uf0C8N3bcJLu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">
                <v:textbox>
                  <w:txbxContent>
                    <w:p w:rsidR="00140188" w:rsidRDefault="0009234B">
                      <w:pPr>
                        <w:jc w:val="both"/>
                        <w:rPr>
                          <w:rFonts w:ascii="Times New Roman" w:hAnsi="Times New Roman" w:cs="Times New Roman"/>
                          <w:sz w:val="24"/>
                          <w:szCs w:val="24"/>
                          <w:lang w:val="en-GB"/>
                        </w:rPr>
                      </w:pPr>
                      <w:r>
                        <w:rPr>
                          <w:rFonts w:ascii="Times New Roman" w:hAnsi="Times New Roman" w:cs="Times New Roman"/>
                          <w:sz w:val="24"/>
                          <w:szCs w:val="24"/>
                          <w:lang w:val="en-GB"/>
                        </w:rPr>
                        <w:t>The Commission will:</w:t>
                      </w:r>
                    </w:p>
                    <w:p w:rsidR="00140188" w:rsidRDefault="0009234B">
                      <w:pPr>
                        <w:pStyle w:val="ListParagraph"/>
                        <w:numPr>
                          <w:ilvl w:val="0"/>
                          <w:numId w:val="11"/>
                        </w:numPr>
                        <w:tabs>
                          <w:tab w:val="center" w:pos="4680"/>
                          <w:tab w:val="right" w:pos="9360"/>
                        </w:tabs>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Prioritise discussions on possible adequacy decisions with k</w:t>
                      </w:r>
                      <w:r>
                        <w:rPr>
                          <w:rFonts w:ascii="Times New Roman" w:hAnsi="Times New Roman" w:cs="Times New Roman"/>
                          <w:sz w:val="24"/>
                          <w:szCs w:val="24"/>
                          <w:lang w:val="en-GB"/>
                        </w:rPr>
                        <w:t>ey trading partners in East and South-East Asia, starting from Japan and Korea in 2017, but also considering other strategic partners such as India, and with countries in Latin America, in particular Mercosur, and the European neighbourhood.</w:t>
                      </w:r>
                      <w:r>
                        <w:rPr>
                          <w:rFonts w:ascii="Times New Roman" w:hAnsi="Times New Roman" w:cs="Times New Roman"/>
                          <w:sz w:val="24"/>
                          <w:szCs w:val="24"/>
                          <w:highlight w:val="yellow"/>
                          <w:lang w:val="en-GB"/>
                        </w:rPr>
                        <w:t xml:space="preserve"> </w:t>
                      </w:r>
                    </w:p>
                    <w:p w:rsidR="00140188" w:rsidRDefault="00140188">
                      <w:pPr>
                        <w:pStyle w:val="ListParagraph"/>
                        <w:tabs>
                          <w:tab w:val="center" w:pos="4680"/>
                          <w:tab w:val="right" w:pos="9360"/>
                        </w:tabs>
                        <w:spacing w:after="0" w:line="240" w:lineRule="auto"/>
                        <w:jc w:val="both"/>
                        <w:rPr>
                          <w:rFonts w:ascii="Times New Roman" w:hAnsi="Times New Roman" w:cs="Times New Roman"/>
                          <w:sz w:val="24"/>
                          <w:szCs w:val="24"/>
                          <w:highlight w:val="yellow"/>
                          <w:lang w:val="en-GB"/>
                        </w:rPr>
                      </w:pPr>
                    </w:p>
                    <w:p w:rsidR="00140188" w:rsidRDefault="0009234B">
                      <w:pPr>
                        <w:pStyle w:val="ListParagraph"/>
                        <w:numPr>
                          <w:ilvl w:val="0"/>
                          <w:numId w:val="11"/>
                        </w:numPr>
                        <w:tabs>
                          <w:tab w:val="center" w:pos="4680"/>
                          <w:tab w:val="right" w:pos="9360"/>
                        </w:tabs>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Closely moni</w:t>
                      </w:r>
                      <w:r>
                        <w:rPr>
                          <w:rFonts w:ascii="Times New Roman" w:hAnsi="Times New Roman" w:cs="Times New Roman"/>
                          <w:sz w:val="24"/>
                          <w:szCs w:val="24"/>
                          <w:lang w:val="en-GB"/>
                        </w:rPr>
                        <w:t>tor the functioning of the existing adequacy decisions. This includes in particular the implementation of the EU-US Privacy Shield framework, notably through the annual joint review mechanism.</w:t>
                      </w:r>
                    </w:p>
                    <w:p w:rsidR="00140188" w:rsidRDefault="00140188">
                      <w:pPr>
                        <w:pStyle w:val="ListParagraph"/>
                        <w:tabs>
                          <w:tab w:val="center" w:pos="4680"/>
                          <w:tab w:val="right" w:pos="9360"/>
                        </w:tabs>
                        <w:spacing w:after="0" w:line="240" w:lineRule="auto"/>
                        <w:jc w:val="both"/>
                        <w:rPr>
                          <w:rFonts w:ascii="Times New Roman" w:hAnsi="Times New Roman" w:cs="Times New Roman"/>
                          <w:sz w:val="24"/>
                          <w:szCs w:val="24"/>
                          <w:lang w:val="en-GB"/>
                        </w:rPr>
                      </w:pPr>
                    </w:p>
                    <w:p w:rsidR="00140188" w:rsidRDefault="0009234B">
                      <w:pPr>
                        <w:pStyle w:val="ListParagraph"/>
                        <w:numPr>
                          <w:ilvl w:val="0"/>
                          <w:numId w:val="11"/>
                        </w:numPr>
                        <w:tabs>
                          <w:tab w:val="center" w:pos="4680"/>
                          <w:tab w:val="right" w:pos="9360"/>
                        </w:tabs>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Work with and assist countries interested in adopting strong d</w:t>
                      </w:r>
                      <w:r>
                        <w:rPr>
                          <w:rFonts w:ascii="Times New Roman" w:hAnsi="Times New Roman" w:cs="Times New Roman"/>
                          <w:sz w:val="24"/>
                          <w:szCs w:val="24"/>
                          <w:lang w:val="en-GB"/>
                        </w:rPr>
                        <w:t>ata protection laws and support their convergence with EU data protection principles.</w:t>
                      </w:r>
                    </w:p>
                    <w:p w:rsidR="00140188" w:rsidRDefault="00140188">
                      <w:pPr>
                        <w:pStyle w:val="ListParagraph"/>
                        <w:tabs>
                          <w:tab w:val="center" w:pos="4680"/>
                          <w:tab w:val="right" w:pos="9360"/>
                        </w:tabs>
                        <w:spacing w:after="0" w:line="240" w:lineRule="auto"/>
                        <w:jc w:val="both"/>
                        <w:rPr>
                          <w:rFonts w:ascii="Times New Roman" w:hAnsi="Times New Roman" w:cs="Times New Roman"/>
                          <w:sz w:val="24"/>
                          <w:szCs w:val="24"/>
                          <w:lang w:val="en-GB"/>
                        </w:rPr>
                      </w:pPr>
                    </w:p>
                    <w:p w:rsidR="00140188" w:rsidRDefault="00140188"/>
                  </w:txbxContent>
                </v:textbox>
                <w10:anchorlock/>
              </v:shape>
            </w:pict>
          </mc:Fallback>
        </mc:AlternateContent>
      </w:r>
    </w:p>
    <w:p w:rsidR="00140188" w:rsidRDefault="0009234B">
      <w:pPr>
        <w:pStyle w:val="Heading2"/>
        <w:spacing w:before="0" w:after="200"/>
        <w:rPr>
          <w:rFonts w:ascii="Times New Roman" w:hAnsi="Times New Roman" w:cs="Times New Roman"/>
          <w:noProof/>
          <w:color w:val="auto"/>
          <w:sz w:val="24"/>
          <w:szCs w:val="24"/>
          <w:lang w:val="en-GB"/>
        </w:rPr>
      </w:pPr>
      <w:r>
        <w:rPr>
          <w:rFonts w:ascii="Times New Roman" w:hAnsi="Times New Roman" w:cs="Times New Roman"/>
          <w:noProof/>
          <w:color w:val="auto"/>
          <w:sz w:val="24"/>
          <w:szCs w:val="24"/>
          <w:lang w:val="en-GB"/>
        </w:rPr>
        <w:t>3.2 Alternative data transfer mechanisms</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EU data protection rules have always recognised that there is no one-size-fits-all approach to international data transfers. This is even truer of the rules resulting from the reform. While adequacy findings will be available only to those third countries that meet the relevant criteria, the GDPR provides a diverse set of mechanisms that are flexible enough to adapt to a variety of different transfer situations. Instruments can be developed to take into account the particular needs or conditions of specific industries, business models and/or operators. This could for instance take the form of SCCs targeted at the requirements of a particular sector, e.g. specific safeguards when processing sensitive data in the health sector, or of a specific type of processing activities prevalent in certain third countries, e.g. outsourcing services that are carried out for European companies. This could be done by either adopting new sets of standard clauses or by supplementing existing ones with additional safeguards which could range from technical to organisational to business-model related solutions.</w:t>
      </w:r>
      <w:r>
        <w:rPr>
          <w:rStyle w:val="FootnoteReference"/>
          <w:rFonts w:ascii="Times New Roman" w:hAnsi="Times New Roman" w:cs="Times New Roman"/>
          <w:noProof/>
          <w:sz w:val="24"/>
          <w:szCs w:val="24"/>
          <w:lang w:val="en-GB"/>
        </w:rPr>
        <w:footnoteReference w:id="44"/>
      </w:r>
      <w:r>
        <w:rPr>
          <w:rFonts w:ascii="Times New Roman" w:hAnsi="Times New Roman" w:cs="Times New Roman"/>
          <w:noProof/>
          <w:sz w:val="24"/>
          <w:szCs w:val="24"/>
          <w:lang w:val="en-GB"/>
        </w:rPr>
        <w:t xml:space="preserve"> Some specific sectorial needs can also be accommodated through BCRs applying to groups of companies involved in a joint economic activity, for instance in the travel industry. International transfers between processors could benefit from the development of processor-to-processor SCCs or/and BCRs for processors. Finally, new transfer mechanisms such as approved codes of conduct and accredited third-party certifications provide industry with the possibility to introduce tailor-made solutions for international transfers while benefiting from the competitive advantages associated, for example, with a privacy seal or mark. Some of these instruments can be developed as transfer-specific mechanisms or as part of more general tools to demonstrate compliance with all the provisions of the GDPR, such as in the case of an approved code of conduct.</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Commission will work with industry, civil society and data protection authorities with a view to harnessing the full potential of the GDPR toolkit for international transfers. The </w:t>
      </w:r>
      <w:r>
        <w:rPr>
          <w:rFonts w:ascii="Times New Roman" w:hAnsi="Times New Roman" w:cs="Times New Roman"/>
          <w:noProof/>
          <w:sz w:val="24"/>
          <w:szCs w:val="24"/>
          <w:lang w:val="en-GB"/>
        </w:rPr>
        <w:lastRenderedPageBreak/>
        <w:t>ongoing dialogue with stakeholders in the context of the implementation of the reform will help identify priority action areas in this respect. This may include completing work that has already started such as on the drawing up, in cooperation with the Article 29 Working Party (to be replaced in 2018 by the European Data Protection Board), of processor-to processor SCCs.</w:t>
      </w:r>
      <w:r>
        <w:rPr>
          <w:rStyle w:val="FootnoteReference"/>
          <w:rFonts w:ascii="Times New Roman" w:hAnsi="Times New Roman" w:cs="Times New Roman"/>
          <w:noProof/>
          <w:sz w:val="24"/>
          <w:szCs w:val="24"/>
          <w:lang w:val="en-GB"/>
        </w:rPr>
        <w:footnoteReference w:id="45"/>
      </w:r>
      <w:r>
        <w:rPr>
          <w:rFonts w:ascii="Times New Roman" w:hAnsi="Times New Roman" w:cs="Times New Roman"/>
          <w:noProof/>
          <w:sz w:val="24"/>
          <w:szCs w:val="24"/>
          <w:lang w:val="en-GB"/>
        </w:rPr>
        <w:t xml:space="preserve"> It can involve developing new components of the EU compliance infrastructure, for instance through the Commission defining requirements and technical standards for the establishment and functioning of certification mechanisms, including for aspects relating to international transfers.</w:t>
      </w:r>
      <w:r>
        <w:rPr>
          <w:rStyle w:val="FootnoteReference"/>
          <w:rFonts w:ascii="Times New Roman" w:hAnsi="Times New Roman" w:cs="Times New Roman"/>
          <w:noProof/>
          <w:sz w:val="24"/>
          <w:szCs w:val="24"/>
          <w:lang w:val="en-GB"/>
        </w:rPr>
        <w:footnoteReference w:id="46"/>
      </w:r>
      <w:r>
        <w:rPr>
          <w:rFonts w:ascii="Times New Roman" w:hAnsi="Times New Roman" w:cs="Times New Roman"/>
          <w:noProof/>
          <w:sz w:val="24"/>
          <w:szCs w:val="24"/>
          <w:lang w:val="en-GB"/>
        </w:rPr>
        <w:t xml:space="preserve"> Some of these actions can be complemented by work at international level, in particular with organisations that have developed similar transfer mechanisms. For example, ways could be explored to promote convergence between BCRs under EU law and the Cross Border Privacy Rules developed by the Asia Pacific Economic Cooperation (APEC)</w:t>
      </w:r>
      <w:r>
        <w:rPr>
          <w:rStyle w:val="FootnoteReference"/>
          <w:rFonts w:ascii="Times New Roman" w:hAnsi="Times New Roman" w:cs="Times New Roman"/>
          <w:noProof/>
          <w:sz w:val="24"/>
          <w:szCs w:val="24"/>
          <w:lang w:val="en-GB"/>
        </w:rPr>
        <w:footnoteReference w:id="47"/>
      </w:r>
      <w:r>
        <w:rPr>
          <w:rFonts w:ascii="Times New Roman" w:hAnsi="Times New Roman" w:cs="Times New Roman"/>
          <w:noProof/>
          <w:sz w:val="24"/>
          <w:szCs w:val="24"/>
          <w:lang w:val="en-GB"/>
        </w:rPr>
        <w:t xml:space="preserve"> as regards both the applicable standards and the application process under each system. This should contribute to promoting high data protection standards globally while bridging differences in approaches to privacy and data protection, helping commercial operators to navigate between different systems and designing policies that comply with them.</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eastAsia="en-GB"/>
        </w:rPr>
        <mc:AlternateContent>
          <mc:Choice Requires="wps">
            <w:drawing>
              <wp:inline distT="0" distB="0" distL="0" distR="0" wp14:anchorId="0957BFB6" wp14:editId="066251A8">
                <wp:extent cx="5724525" cy="1174750"/>
                <wp:effectExtent l="0" t="0" r="28575" b="254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174750"/>
                        </a:xfrm>
                        <a:prstGeom prst="rect">
                          <a:avLst/>
                        </a:prstGeom>
                        <a:solidFill>
                          <a:srgbClr val="FFFFFF"/>
                        </a:solidFill>
                        <a:ln w="9525">
                          <a:solidFill>
                            <a:srgbClr val="000000"/>
                          </a:solidFill>
                          <a:miter lim="800000"/>
                          <a:headEnd/>
                          <a:tailEnd/>
                        </a:ln>
                      </wps:spPr>
                      <wps:txbx>
                        <w:txbxContent>
                          <w:p w:rsidR="00140188" w:rsidRDefault="0009234B">
                            <w:pPr>
                              <w:jc w:val="both"/>
                              <w:rPr>
                                <w:rFonts w:ascii="Times New Roman" w:hAnsi="Times New Roman" w:cs="Times New Roman"/>
                                <w:sz w:val="24"/>
                                <w:szCs w:val="24"/>
                                <w:lang w:val="en-GB"/>
                              </w:rPr>
                            </w:pPr>
                            <w:r>
                              <w:rPr>
                                <w:rFonts w:ascii="Times New Roman" w:hAnsi="Times New Roman" w:cs="Times New Roman"/>
                                <w:sz w:val="24"/>
                                <w:szCs w:val="24"/>
                                <w:lang w:val="en-GB"/>
                              </w:rPr>
                              <w:t>The Commission will:</w:t>
                            </w:r>
                          </w:p>
                          <w:p w:rsidR="00140188" w:rsidRDefault="0009234B">
                            <w:pPr>
                              <w:pStyle w:val="ListParagraph"/>
                              <w:numPr>
                                <w:ilvl w:val="0"/>
                                <w:numId w:val="11"/>
                              </w:numPr>
                              <w:jc w:val="both"/>
                              <w:rPr>
                                <w:lang w:val="en-GB"/>
                              </w:rPr>
                            </w:pPr>
                            <w:r>
                              <w:rPr>
                                <w:rFonts w:ascii="Times New Roman" w:hAnsi="Times New Roman" w:cs="Times New Roman"/>
                                <w:sz w:val="24"/>
                                <w:szCs w:val="24"/>
                                <w:lang w:val="en-GB"/>
                              </w:rPr>
                              <w:t>Work with stakeholders to develop alternative personal data transfer mechanisms adapted to the particular needs or conditions of specific industries, business models and/or operators.</w:t>
                            </w:r>
                          </w:p>
                        </w:txbxContent>
                      </wps:txbx>
                      <wps:bodyPr rot="0" vert="horz" wrap="square" lIns="91440" tIns="45720" rIns="91440" bIns="45720" anchor="t" anchorCtr="0">
                        <a:noAutofit/>
                      </wps:bodyPr>
                    </wps:wsp>
                  </a:graphicData>
                </a:graphic>
              </wp:inline>
            </w:drawing>
          </mc:Choice>
          <mc:Fallback xmlns="">
            <w:pict>
              <v:shape id="_x0000_s1027" type="#_x0000_t202" style="width:450.7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">
                <v:textbox>
                  <w:txbxContent>
                    <w:p w:rsidR="00140188" w:rsidRDefault="0009234B">
                      <w:pPr>
                        <w:jc w:val="both"/>
                        <w:rPr>
                          <w:rFonts w:ascii="Times New Roman" w:hAnsi="Times New Roman" w:cs="Times New Roman"/>
                          <w:sz w:val="24"/>
                          <w:szCs w:val="24"/>
                          <w:lang w:val="en-GB"/>
                        </w:rPr>
                      </w:pPr>
                      <w:r>
                        <w:rPr>
                          <w:rFonts w:ascii="Times New Roman" w:hAnsi="Times New Roman" w:cs="Times New Roman"/>
                          <w:sz w:val="24"/>
                          <w:szCs w:val="24"/>
                          <w:lang w:val="en-GB"/>
                        </w:rPr>
                        <w:t>The Commission will:</w:t>
                      </w:r>
                    </w:p>
                    <w:p w:rsidR="00140188" w:rsidRDefault="0009234B">
                      <w:pPr>
                        <w:pStyle w:val="ListParagraph"/>
                        <w:numPr>
                          <w:ilvl w:val="0"/>
                          <w:numId w:val="11"/>
                        </w:numPr>
                        <w:jc w:val="both"/>
                        <w:rPr>
                          <w:lang w:val="en-GB"/>
                        </w:rPr>
                      </w:pPr>
                      <w:r>
                        <w:rPr>
                          <w:rFonts w:ascii="Times New Roman" w:hAnsi="Times New Roman" w:cs="Times New Roman"/>
                          <w:sz w:val="24"/>
                          <w:szCs w:val="24"/>
                          <w:lang w:val="en-GB"/>
                        </w:rPr>
                        <w:t>Work with stakeholders to develop alternative personal data transfer mechanisms adapted to the particular needs or conditions of specific industries, business models and/or operators.</w:t>
                      </w:r>
                    </w:p>
                  </w:txbxContent>
                </v:textbox>
                <w10:anchorlock/>
              </v:shape>
            </w:pict>
          </mc:Fallback>
        </mc:AlternateContent>
      </w:r>
      <w:r>
        <w:rPr>
          <w:rFonts w:ascii="Times New Roman" w:hAnsi="Times New Roman" w:cs="Times New Roman"/>
          <w:noProof/>
          <w:sz w:val="24"/>
          <w:szCs w:val="24"/>
          <w:lang w:val="en-GB"/>
        </w:rPr>
        <w:t xml:space="preserve"> </w:t>
      </w:r>
    </w:p>
    <w:p w:rsidR="00140188" w:rsidRDefault="0009234B">
      <w:pPr>
        <w:pStyle w:val="Heading2"/>
        <w:spacing w:before="0" w:after="200"/>
        <w:rPr>
          <w:rFonts w:ascii="Times New Roman" w:hAnsi="Times New Roman" w:cs="Times New Roman"/>
          <w:noProof/>
          <w:color w:val="auto"/>
          <w:sz w:val="24"/>
          <w:szCs w:val="24"/>
          <w:lang w:val="en-GB"/>
        </w:rPr>
      </w:pPr>
      <w:r>
        <w:rPr>
          <w:rFonts w:ascii="Times New Roman" w:hAnsi="Times New Roman" w:cs="Times New Roman"/>
          <w:noProof/>
          <w:color w:val="auto"/>
          <w:sz w:val="24"/>
          <w:szCs w:val="24"/>
          <w:lang w:val="en-GB"/>
        </w:rPr>
        <w:t>3.3 International cooperation for the protection of personal data</w:t>
      </w:r>
    </w:p>
    <w:p w:rsidR="00140188" w:rsidRDefault="0009234B">
      <w:pPr>
        <w:rPr>
          <w:rFonts w:ascii="Times New Roman" w:hAnsi="Times New Roman" w:cs="Times New Roman"/>
          <w:i/>
          <w:noProof/>
          <w:lang w:val="en-GB"/>
        </w:rPr>
      </w:pPr>
      <w:r>
        <w:rPr>
          <w:rFonts w:ascii="Times New Roman" w:hAnsi="Times New Roman" w:cs="Times New Roman"/>
          <w:i/>
          <w:noProof/>
          <w:lang w:val="en-GB"/>
        </w:rPr>
        <w:t xml:space="preserve">3.3.1. Promoting data protection standards through multilateral instruments and fora </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EU data protection legal framework has often served as a point of reference for third countries developing legislation in this field. The EU will continue to engage actively in dialogue with its international partners, at both bilateral and multilateral level, to foster convergence by developing high and interoperable personal data protection standards globally. This contributes to the more effective protection of individuals' rights and at the same time reduces obstacles to the cross-border flow of data as an important element of free trade.</w:t>
      </w:r>
    </w:p>
    <w:p w:rsidR="00140188" w:rsidRDefault="0009234B">
      <w:pPr>
        <w:jc w:val="both"/>
        <w:rPr>
          <w:rFonts w:ascii="Times New Roman" w:hAnsi="Times New Roman" w:cs="Times New Roman"/>
          <w:noProof/>
          <w:sz w:val="24"/>
          <w:szCs w:val="24"/>
        </w:rPr>
      </w:pPr>
      <w:r>
        <w:rPr>
          <w:rFonts w:ascii="Times New Roman" w:hAnsi="Times New Roman" w:cs="Times New Roman"/>
          <w:noProof/>
          <w:sz w:val="24"/>
          <w:szCs w:val="24"/>
        </w:rPr>
        <w:t>In particular, the Commission encourages accession by third countries to Council of Europe Convention 108 and its additional Protocol.</w:t>
      </w:r>
      <w:r>
        <w:rPr>
          <w:rStyle w:val="FootnoteReference"/>
          <w:rFonts w:ascii="Times New Roman" w:hAnsi="Times New Roman" w:cs="Times New Roman"/>
          <w:noProof/>
          <w:sz w:val="24"/>
          <w:szCs w:val="24"/>
        </w:rPr>
        <w:footnoteReference w:id="48"/>
      </w:r>
      <w:r>
        <w:rPr>
          <w:rFonts w:ascii="Times New Roman" w:hAnsi="Times New Roman" w:cs="Times New Roman"/>
          <w:noProof/>
          <w:sz w:val="24"/>
          <w:szCs w:val="24"/>
        </w:rPr>
        <w:t xml:space="preserve"> The Convention, which is open to non-members of the Council of Europe and has already been ratified by 50 countries, including African and </w:t>
      </w:r>
      <w:r>
        <w:rPr>
          <w:rFonts w:ascii="Times New Roman" w:hAnsi="Times New Roman" w:cs="Times New Roman"/>
          <w:noProof/>
          <w:sz w:val="24"/>
          <w:szCs w:val="24"/>
        </w:rPr>
        <w:lastRenderedPageBreak/>
        <w:t>South American States</w:t>
      </w:r>
      <w:r>
        <w:rPr>
          <w:rStyle w:val="FootnoteReference"/>
          <w:rFonts w:ascii="Times New Roman" w:hAnsi="Times New Roman" w:cs="Times New Roman"/>
          <w:noProof/>
          <w:sz w:val="24"/>
          <w:szCs w:val="24"/>
        </w:rPr>
        <w:footnoteReference w:id="49"/>
      </w:r>
      <w:r>
        <w:rPr>
          <w:rFonts w:ascii="Times New Roman" w:hAnsi="Times New Roman" w:cs="Times New Roman"/>
          <w:noProof/>
          <w:sz w:val="24"/>
          <w:szCs w:val="24"/>
        </w:rPr>
        <w:t xml:space="preserve">, is the only binding multilateral instrument in the area of data protection. It is currently in the process of being revised and the Commission will actively promote the swift adoption of the modernised text with a view to the EU becoming a Party. It will reflect the same principles as those enshrined in the new EU data protection rules and thus contribute to the convergence towards a set of high data protection standards.  </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G20 meeting in 2017 will provide a further opportunity for the EU to work towards convergence around the principle that high data protection standards are an essential component of the further development of a global information society capable of promoting innovation, growth and social prosperity.</w:t>
      </w:r>
      <w:r>
        <w:rPr>
          <w:rStyle w:val="FootnoteReference"/>
          <w:rFonts w:ascii="Times New Roman" w:hAnsi="Times New Roman" w:cs="Times New Roman"/>
          <w:noProof/>
          <w:sz w:val="24"/>
          <w:szCs w:val="24"/>
          <w:lang w:val="en-GB"/>
        </w:rPr>
        <w:footnoteReference w:id="50"/>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Commission is also looking forward to engaging with important new actors, such as the UN Special Rapporteur on the Right to Privacy,</w:t>
      </w:r>
      <w:r>
        <w:rPr>
          <w:rStyle w:val="FootnoteReference"/>
          <w:rFonts w:ascii="Times New Roman" w:hAnsi="Times New Roman" w:cs="Times New Roman"/>
          <w:noProof/>
          <w:sz w:val="24"/>
          <w:szCs w:val="24"/>
          <w:lang w:val="en-GB"/>
        </w:rPr>
        <w:footnoteReference w:id="51"/>
      </w:r>
      <w:r>
        <w:rPr>
          <w:rFonts w:ascii="Times New Roman" w:hAnsi="Times New Roman" w:cs="Times New Roman"/>
          <w:noProof/>
          <w:sz w:val="24"/>
          <w:szCs w:val="24"/>
          <w:lang w:val="en-GB"/>
        </w:rPr>
        <w:t xml:space="preserve"> and further developing its working relationships with regional organisations such as APEC, to foster a worldwide culture of respect for the rights to privacy and personal data protection.</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As part of its broader efforts to improve privacy awareness and raise data protection safeguards internationally, on 15 November 2016, the European Commission approved a project under the Partnership Instrument to strengthen cooperation with partner countries in this area.</w:t>
      </w:r>
      <w:r>
        <w:rPr>
          <w:rStyle w:val="FootnoteReference"/>
          <w:rFonts w:ascii="Times New Roman" w:hAnsi="Times New Roman" w:cs="Times New Roman"/>
          <w:noProof/>
          <w:sz w:val="24"/>
          <w:szCs w:val="24"/>
          <w:lang w:val="en-GB"/>
        </w:rPr>
        <w:footnoteReference w:id="52"/>
      </w:r>
      <w:r>
        <w:rPr>
          <w:rFonts w:ascii="Times New Roman" w:hAnsi="Times New Roman" w:cs="Times New Roman"/>
          <w:noProof/>
          <w:sz w:val="24"/>
          <w:szCs w:val="24"/>
          <w:lang w:val="en-GB"/>
        </w:rPr>
        <w:t xml:space="preserve"> This will include the financing of activities such as training and awareness-raising. In turn, in the context of implementing the reform, the EU can benefit from the exchange of best practices and the experience of other systems with new challenges for the protection of privacy and emerging legal or technical solutions, including as regards enforcement, compliance tools (e.g. certification mechanisms, privacy impact assessments) or the protections for certain specific data sets (e.g. children's data).</w:t>
      </w:r>
    </w:p>
    <w:p w:rsidR="00140188" w:rsidRDefault="0009234B">
      <w:pPr>
        <w:jc w:val="both"/>
        <w:rPr>
          <w:rFonts w:ascii="Times New Roman" w:hAnsi="Times New Roman" w:cs="Times New Roman"/>
          <w:i/>
          <w:noProof/>
          <w:sz w:val="24"/>
          <w:szCs w:val="24"/>
          <w:lang w:val="en-GB"/>
        </w:rPr>
      </w:pPr>
      <w:r>
        <w:rPr>
          <w:rFonts w:ascii="Times New Roman" w:hAnsi="Times New Roman" w:cs="Times New Roman"/>
          <w:i/>
          <w:noProof/>
          <w:sz w:val="24"/>
          <w:szCs w:val="24"/>
          <w:lang w:val="en-GB"/>
        </w:rPr>
        <w:t>3.3.2</w:t>
      </w:r>
      <w:r>
        <w:rPr>
          <w:rFonts w:ascii="Times New Roman" w:hAnsi="Times New Roman" w:cs="Times New Roman"/>
          <w:noProof/>
          <w:sz w:val="24"/>
          <w:szCs w:val="24"/>
          <w:lang w:val="en-GB"/>
        </w:rPr>
        <w:t>.</w:t>
      </w:r>
      <w:r>
        <w:rPr>
          <w:rFonts w:ascii="Times New Roman" w:hAnsi="Times New Roman" w:cs="Times New Roman"/>
          <w:i/>
          <w:noProof/>
          <w:sz w:val="24"/>
          <w:szCs w:val="24"/>
          <w:lang w:val="en-GB"/>
        </w:rPr>
        <w:t xml:space="preserve"> Enforcement cooperation</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Enhancing cooperation with relevant privacy enforcement and supervisory authorities of third countries is increasingly necessary given the global reach of multinational companies that process vast amounts of personal data in a large number of countries. Often problems of non-compliance with data protection rules or data breaches simultaneously affect people in more than one jurisdiction. In these cases, the protection of individuals could be made more effective through common action. At the same time, economic operators would benefit from a clearer legal environment where common interpretation tools and enforcement practices are developed at global level. </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lastRenderedPageBreak/>
        <w:t>In the borderless and connected world of data flows, it is therefore time to step up cooperation between enforcers.</w:t>
      </w:r>
      <w:r>
        <w:rPr>
          <w:rStyle w:val="FootnoteReference"/>
          <w:rFonts w:ascii="Times New Roman" w:hAnsi="Times New Roman" w:cs="Times New Roman"/>
          <w:noProof/>
          <w:sz w:val="24"/>
          <w:szCs w:val="24"/>
          <w:lang w:val="en-GB"/>
        </w:rPr>
        <w:footnoteReference w:id="53"/>
      </w:r>
      <w:r>
        <w:rPr>
          <w:rFonts w:ascii="Times New Roman" w:hAnsi="Times New Roman" w:cs="Times New Roman"/>
          <w:noProof/>
          <w:sz w:val="24"/>
          <w:szCs w:val="24"/>
          <w:lang w:val="en-GB"/>
        </w:rPr>
        <w:t xml:space="preserve"> The EU stands ready to play its part. As recalled above, the GDPR enables the Commission to develop international cooperation mechanisms to facilitate the effective enforcement of data protection legislation, including through mutual assistance arrangements. In this context, the possibility to develop a framework agreement for cooperation between EU data protection authorities and enforcement authorities in certain third countries should be explored, drawing also from the experience gained by the Commission in other enforcement areas such as competition and consumer protection.</w:t>
      </w:r>
    </w:p>
    <w:tbl>
      <w:tblPr>
        <w:tblW w:w="95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6"/>
      </w:tblGrid>
      <w:tr w:rsidR="00140188">
        <w:trPr>
          <w:trHeight w:val="3045"/>
        </w:trPr>
        <w:tc>
          <w:tcPr>
            <w:tcW w:w="9536" w:type="dxa"/>
          </w:tcPr>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Commission will:</w:t>
            </w:r>
          </w:p>
          <w:p w:rsidR="00140188" w:rsidRDefault="0009234B">
            <w:pPr>
              <w:pStyle w:val="ListParagraph"/>
              <w:numPr>
                <w:ilvl w:val="0"/>
                <w:numId w:val="11"/>
              </w:num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Promote the swift adoption of the modernised text of Council of Europe Convention 108 with a view to the EU becoming a Party and encourage accession by third countries.</w:t>
            </w:r>
          </w:p>
          <w:p w:rsidR="00140188" w:rsidRDefault="00140188">
            <w:pPr>
              <w:pStyle w:val="ListParagraph"/>
              <w:jc w:val="both"/>
              <w:rPr>
                <w:rFonts w:ascii="Times New Roman" w:hAnsi="Times New Roman" w:cs="Times New Roman"/>
                <w:noProof/>
                <w:sz w:val="24"/>
                <w:szCs w:val="24"/>
                <w:lang w:val="en-GB"/>
              </w:rPr>
            </w:pPr>
          </w:p>
          <w:p w:rsidR="00140188" w:rsidRDefault="0009234B">
            <w:pPr>
              <w:pStyle w:val="ListParagraph"/>
              <w:numPr>
                <w:ilvl w:val="0"/>
                <w:numId w:val="11"/>
              </w:num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Use multilateral fora such as the United Nations, G20 and APEC to foster a global culture of respect for data protection rights.</w:t>
            </w:r>
          </w:p>
          <w:p w:rsidR="00140188" w:rsidRDefault="00140188">
            <w:pPr>
              <w:pStyle w:val="ListParagraph"/>
              <w:jc w:val="both"/>
              <w:rPr>
                <w:rFonts w:ascii="Times New Roman" w:hAnsi="Times New Roman" w:cs="Times New Roman"/>
                <w:noProof/>
                <w:sz w:val="24"/>
                <w:szCs w:val="24"/>
                <w:lang w:val="en-GB"/>
              </w:rPr>
            </w:pPr>
          </w:p>
          <w:p w:rsidR="00140188" w:rsidRDefault="0009234B">
            <w:pPr>
              <w:pStyle w:val="ListParagraph"/>
              <w:numPr>
                <w:ilvl w:val="0"/>
                <w:numId w:val="11"/>
              </w:num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Develop international cooperation mechanisms with key international partners to facilitate effective enforcement.</w:t>
            </w:r>
          </w:p>
        </w:tc>
      </w:tr>
    </w:tbl>
    <w:p w:rsidR="00140188" w:rsidRDefault="00140188">
      <w:pPr>
        <w:jc w:val="both"/>
        <w:rPr>
          <w:rFonts w:ascii="Times New Roman" w:hAnsi="Times New Roman" w:cs="Times New Roman"/>
          <w:noProof/>
          <w:sz w:val="24"/>
          <w:szCs w:val="24"/>
          <w:lang w:val="en-GB"/>
        </w:rPr>
      </w:pPr>
    </w:p>
    <w:p w:rsidR="00140188" w:rsidRDefault="0009234B">
      <w:pPr>
        <w:pStyle w:val="Heading1"/>
        <w:rPr>
          <w:rFonts w:hint="eastAsia"/>
          <w:noProof/>
        </w:rPr>
      </w:pPr>
      <w:r>
        <w:rPr>
          <w:noProof/>
        </w:rPr>
        <w:t xml:space="preserve">4. More Effective Law Enforcement Cooperation With Strong Data Protection Safeguards </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Personal data exchanges are an integral part of the prevention, investigation and prosecution of criminal offences. In an interconnected world where crime rarely stops at national borders, the swift exchange of personal data is essential for successful law enforcement cooperation and an effective response to crime. Such exchanges must be underpinned by strong data protection safeguards. This also contributes to building confidence between law enforcement authorities (LEAs) and strengthening legal certainty when information is collected and/or exchanged.</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rules on international transfers in the Police Directive govern data exchanges between EU and non-EU LEAs as well as, in specific situations, transfers from LEAs to other entities. The Directive introduces the possibility for adequacy findings in the criminal law enforcement sector. The Commission will promote the possibility of such adequacy findings with qualifying third countries, in particular with those countries with which close and swift cooperation is required in the fight against crime and terrorism, and where significant personal data exchanges are already taking place. On this basis, the Commission will </w:t>
      </w:r>
      <w:r>
        <w:rPr>
          <w:rFonts w:ascii="Times New Roman" w:hAnsi="Times New Roman" w:cs="Times New Roman"/>
          <w:noProof/>
          <w:sz w:val="24"/>
          <w:szCs w:val="24"/>
          <w:lang w:val="en-GB"/>
        </w:rPr>
        <w:lastRenderedPageBreak/>
        <w:t xml:space="preserve">prioritise discussions on adequacy decisions with third countries that are key partners in this endeavour. </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Alternatively, the EU-US Data Protection Umbrella Agreement</w:t>
      </w:r>
      <w:r>
        <w:rPr>
          <w:rStyle w:val="FootnoteReference"/>
          <w:rFonts w:ascii="Times New Roman" w:hAnsi="Times New Roman" w:cs="Times New Roman"/>
          <w:noProof/>
          <w:sz w:val="24"/>
          <w:szCs w:val="24"/>
          <w:lang w:val="en-GB"/>
        </w:rPr>
        <w:footnoteReference w:id="54"/>
      </w:r>
      <w:r>
        <w:rPr>
          <w:rFonts w:ascii="Times New Roman" w:hAnsi="Times New Roman" w:cs="Times New Roman"/>
          <w:noProof/>
          <w:sz w:val="24"/>
          <w:szCs w:val="24"/>
          <w:lang w:val="en-GB"/>
        </w:rPr>
        <w:t xml:space="preserve"> concluded in December 2016 is a successful example of how law enforcement cooperation with an important international partner can be enhanced by negotiating a strong set of data protection safeguards. By automatically supplementing existing legal instruments on which data exchanges are based (in particular bilateral agreements at both EU and Member State level), the Umbrella Agreement brings immediate and direct benefits to individuals and strengthens law enforcement cooperation by facilitating the exchange of information. Also, by establishing a baseline for future data transfer arrangements with the United States, the Umbrella Agreement does away with the need to repeatedly renegotiate those same safeguards. The Umbrella Agreement constitutes the first bilateral international agreement with a comprehensive catalogue of data protection rights and obligations in line with the EU acquis. </w:t>
      </w:r>
      <w:r>
        <w:rPr>
          <w:rFonts w:ascii="Times New Roman" w:hAnsi="Times New Roman" w:cs="Times New Roman"/>
          <w:noProof/>
          <w:sz w:val="24"/>
          <w:szCs w:val="24"/>
        </w:rPr>
        <w:t>It can therefore serve as</w:t>
      </w:r>
      <w:r>
        <w:rPr>
          <w:rFonts w:ascii="Times New Roman" w:hAnsi="Times New Roman" w:cs="Times New Roman"/>
          <w:noProof/>
          <w:sz w:val="24"/>
          <w:szCs w:val="24"/>
          <w:lang w:val="en-GB"/>
        </w:rPr>
        <w:t xml:space="preserve"> a basis for negotiating similar agreements with third countries not only in the field of judicial and police cooperation, but also in other areas of public enforcement (e.g. competition policy, consumer protection). This would cover both government-to-government exchanges and data transfers between private companies and LEAs. It could also facilitate the conclusion by the Union of agreements concerning the exchange of data between relevant EU agencies (notably Europol and Eurojust) and third countries.</w:t>
      </w:r>
      <w:r>
        <w:rPr>
          <w:rStyle w:val="FootnoteReference"/>
          <w:rFonts w:ascii="Times New Roman" w:hAnsi="Times New Roman" w:cs="Times New Roman"/>
          <w:noProof/>
          <w:sz w:val="24"/>
          <w:szCs w:val="24"/>
          <w:lang w:val="en-GB"/>
        </w:rPr>
        <w:footnoteReference w:id="55"/>
      </w:r>
      <w:r>
        <w:rPr>
          <w:rFonts w:ascii="Times New Roman" w:hAnsi="Times New Roman" w:cs="Times New Roman"/>
          <w:noProof/>
          <w:sz w:val="24"/>
          <w:szCs w:val="24"/>
          <w:lang w:val="en-GB"/>
        </w:rPr>
        <w:t xml:space="preserve"> The Commission will thus explore the possibility to conclude similar framework agreements with its important law enforcement partners.</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Moreover, the Police Directive envisages the possibility, under strict safeguards and in specific circumstances, for LEAs in the EU to request information directly from a private company in a third country and to pass on personal information (</w:t>
      </w:r>
      <w:r w:rsidRPr="00094565">
        <w:rPr>
          <w:rFonts w:ascii="Times New Roman" w:hAnsi="Times New Roman" w:cs="Times New Roman"/>
          <w:noProof/>
          <w:sz w:val="24"/>
          <w:szCs w:val="24"/>
          <w:lang w:val="en-GB"/>
        </w:rPr>
        <w:t>typically a name or an IP address) in that request.</w:t>
      </w:r>
      <w:r w:rsidRPr="00094565">
        <w:rPr>
          <w:rStyle w:val="FootnoteReference"/>
          <w:rFonts w:ascii="Times New Roman" w:hAnsi="Times New Roman" w:cs="Times New Roman"/>
          <w:noProof/>
          <w:sz w:val="24"/>
          <w:szCs w:val="24"/>
          <w:lang w:val="en-GB"/>
        </w:rPr>
        <w:footnoteReference w:id="56"/>
      </w:r>
      <w:r w:rsidRPr="00094565">
        <w:rPr>
          <w:rFonts w:ascii="Times New Roman" w:hAnsi="Times New Roman" w:cs="Times New Roman"/>
          <w:noProof/>
          <w:sz w:val="24"/>
          <w:szCs w:val="24"/>
          <w:lang w:val="en-GB"/>
        </w:rPr>
        <w:t xml:space="preserve"> Conversely, the GDPR specifically addresses cases where private</w:t>
      </w:r>
      <w:r>
        <w:rPr>
          <w:rFonts w:ascii="Times New Roman" w:hAnsi="Times New Roman" w:cs="Times New Roman"/>
          <w:noProof/>
          <w:sz w:val="24"/>
          <w:szCs w:val="24"/>
          <w:lang w:val="en-GB"/>
        </w:rPr>
        <w:t xml:space="preserve"> entities in the EU transmit personal data to the LEAs of a third country following a request: such transfers outside the EU are permissible only under certain conditions, e.g. based on an international agreement or where disclosure is necessary for an important ground of public interest recognised in Union or Member State law.</w:t>
      </w:r>
      <w:r>
        <w:rPr>
          <w:rStyle w:val="FootnoteReference"/>
          <w:rFonts w:ascii="Times New Roman" w:hAnsi="Times New Roman" w:cs="Times New Roman"/>
          <w:noProof/>
          <w:sz w:val="24"/>
          <w:szCs w:val="24"/>
          <w:lang w:val="en-GB"/>
        </w:rPr>
        <w:footnoteReference w:id="57"/>
      </w:r>
    </w:p>
    <w:p w:rsidR="00140188" w:rsidRDefault="0009234B">
      <w:pPr>
        <w:jc w:val="both"/>
        <w:rPr>
          <w:rFonts w:ascii="Times New Roman" w:hAnsi="Times New Roman" w:cs="Times New Roman"/>
          <w:noProof/>
          <w:sz w:val="24"/>
          <w:szCs w:val="24"/>
          <w:lang w:val="en-GB"/>
        </w:rPr>
      </w:pPr>
      <w:r>
        <w:rPr>
          <w:rFonts w:ascii="Times New Roman" w:eastAsia="Times New Roman" w:hAnsi="Times New Roman" w:cs="Times New Roman"/>
          <w:noProof/>
          <w:sz w:val="24"/>
          <w:szCs w:val="20"/>
          <w:lang w:val="en-GB" w:eastAsia="en-GB"/>
        </w:rPr>
        <w:t>This cooperation, which has become central to the successful investigation and prosecution of crime and terrorism, is highlighted in Council conclusions on improving criminal justice in cyberspace. T</w:t>
      </w:r>
      <w:r>
        <w:rPr>
          <w:rFonts w:ascii="Times New Roman" w:hAnsi="Times New Roman" w:cs="Times New Roman"/>
          <w:noProof/>
          <w:sz w:val="24"/>
          <w:szCs w:val="24"/>
          <w:lang w:val="en-GB"/>
        </w:rPr>
        <w:t xml:space="preserve">he Council has called on the Commission to take concrete actions, based on a common EU approach, to improve cooperation with service providers, make mutual legal assistance more efficient and propose solutions to the problems of determining and enforcing </w:t>
      </w:r>
      <w:r>
        <w:rPr>
          <w:rFonts w:ascii="Times New Roman" w:hAnsi="Times New Roman" w:cs="Times New Roman"/>
          <w:noProof/>
          <w:sz w:val="24"/>
          <w:szCs w:val="24"/>
          <w:lang w:val="en-GB"/>
        </w:rPr>
        <w:lastRenderedPageBreak/>
        <w:t>jurisdiction in cyberspace.</w:t>
      </w:r>
      <w:r>
        <w:rPr>
          <w:rStyle w:val="FootnoteReference"/>
          <w:rFonts w:ascii="Times New Roman" w:hAnsi="Times New Roman" w:cs="Times New Roman"/>
          <w:noProof/>
          <w:sz w:val="24"/>
          <w:szCs w:val="24"/>
          <w:lang w:val="en-GB"/>
        </w:rPr>
        <w:footnoteReference w:id="58"/>
      </w:r>
      <w:r>
        <w:rPr>
          <w:rFonts w:ascii="Times New Roman" w:hAnsi="Times New Roman" w:cs="Times New Roman"/>
          <w:noProof/>
          <w:sz w:val="24"/>
          <w:szCs w:val="24"/>
          <w:lang w:val="en-GB"/>
        </w:rPr>
        <w:t xml:space="preserve"> These actions cover both exchanges between LEAs and service providers based in the EU and exchanges with non-EU authorities and companies. The Commission will outline options for access to electronic evidence in June 2017, taking into account the need for swift and reliable cooperation underpinned by the strong data protection standards of the Police Directive and the GDPR both in EU-internal situations and for international transfers.</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Finally, in accordance with the new legal basis for Europol, the Commission will assess the provisions contained in those operational cooperation agreements between Europol and third parties, concluded under Council Decision 2009/371/JHA, including their data protection provisions.</w:t>
      </w:r>
      <w:r>
        <w:rPr>
          <w:rStyle w:val="FootnoteReference"/>
          <w:rFonts w:ascii="Times New Roman" w:hAnsi="Times New Roman" w:cs="Times New Roman"/>
          <w:noProof/>
          <w:sz w:val="24"/>
          <w:szCs w:val="24"/>
          <w:lang w:val="en-GB"/>
        </w:rPr>
        <w:footnoteReference w:id="59"/>
      </w:r>
      <w:r>
        <w:rPr>
          <w:rFonts w:ascii="Times New Roman" w:hAnsi="Times New Roman" w:cs="Times New Roman"/>
          <w:noProof/>
          <w:sz w:val="24"/>
          <w:szCs w:val="24"/>
          <w:lang w:val="en-GB"/>
        </w:rPr>
        <w:t xml:space="preserve"> Moreover, as set out in the 2015 European Agenda on Security, the Union's future approach to the exchange of PNR data with non-EU countries will take into account the need to apply consistent standards and specific fundamental rights protections. The Commission will work on legally sound and sustainable solutions to exchange Passenger Name Records (PNR) data with third countries, including by considering a model agreement on PNR setting out requirements third countries have to meet to receive PNR data from the EU. Any future policy in this area will, however, depend, in particular, on the forthcoming Opinion by the Court of Justice of the European Union on the envisaged EU PNR Agreement with Canada.</w:t>
      </w:r>
      <w:r>
        <w:rPr>
          <w:rStyle w:val="FootnoteReference"/>
          <w:rFonts w:ascii="Times New Roman" w:hAnsi="Times New Roman" w:cs="Times New Roman"/>
          <w:noProof/>
          <w:sz w:val="24"/>
          <w:szCs w:val="24"/>
          <w:lang w:val="en-GB"/>
        </w:rPr>
        <w:footnoteReference w:id="60"/>
      </w:r>
      <w:r>
        <w:rPr>
          <w:rFonts w:ascii="Times New Roman" w:hAnsi="Times New Roman" w:cs="Times New Roman"/>
          <w:noProof/>
          <w:sz w:val="24"/>
          <w:szCs w:val="24"/>
          <w:lang w:val="en-GB"/>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9"/>
      </w:tblGrid>
      <w:tr w:rsidR="00140188">
        <w:trPr>
          <w:trHeight w:val="1504"/>
        </w:trPr>
        <w:tc>
          <w:tcPr>
            <w:tcW w:w="9296" w:type="dxa"/>
          </w:tcPr>
          <w:p w:rsidR="00140188" w:rsidRDefault="0009234B">
            <w:pPr>
              <w:pStyle w:val="Heading1"/>
              <w:rPr>
                <w:rFonts w:hint="eastAsia"/>
                <w:noProof/>
              </w:rPr>
            </w:pPr>
            <w:r>
              <w:rPr>
                <w:noProof/>
              </w:rPr>
              <w:lastRenderedPageBreak/>
              <w:t xml:space="preserve">More Effective Law Enforcement Cooperation With Strong Data Protection Safeguards </w:t>
            </w:r>
          </w:p>
          <w:p w:rsidR="00140188" w:rsidRDefault="0009234B">
            <w:pPr>
              <w:ind w:left="-2"/>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Commission will: </w:t>
            </w:r>
          </w:p>
          <w:p w:rsidR="00140188" w:rsidRPr="00094565" w:rsidRDefault="0009234B">
            <w:pPr>
              <w:pStyle w:val="ListParagraph"/>
              <w:numPr>
                <w:ilvl w:val="0"/>
                <w:numId w:val="12"/>
              </w:numPr>
              <w:spacing w:before="240"/>
              <w:ind w:left="714" w:hanging="357"/>
              <w:jc w:val="both"/>
              <w:rPr>
                <w:rFonts w:ascii="Times New Roman" w:hAnsi="Times New Roman" w:cs="Times New Roman"/>
                <w:noProof/>
                <w:sz w:val="24"/>
                <w:szCs w:val="24"/>
                <w:lang w:val="en-GB"/>
              </w:rPr>
            </w:pPr>
            <w:r w:rsidRPr="00094565">
              <w:rPr>
                <w:rFonts w:ascii="Times New Roman" w:hAnsi="Times New Roman" w:cs="Times New Roman"/>
                <w:noProof/>
                <w:sz w:val="24"/>
                <w:szCs w:val="24"/>
                <w:lang w:val="en-GB"/>
              </w:rPr>
              <w:t>Promote the possibility for adequacy decisions under the Police Directive with qualifying third countries.</w:t>
            </w:r>
          </w:p>
          <w:p w:rsidR="00140188" w:rsidRPr="00094565" w:rsidRDefault="00140188">
            <w:pPr>
              <w:pStyle w:val="ListParagraph"/>
              <w:spacing w:before="240"/>
              <w:ind w:left="714"/>
              <w:jc w:val="both"/>
              <w:rPr>
                <w:rFonts w:ascii="Times New Roman" w:hAnsi="Times New Roman" w:cs="Times New Roman"/>
                <w:noProof/>
                <w:sz w:val="24"/>
                <w:szCs w:val="24"/>
                <w:lang w:val="en-GB"/>
              </w:rPr>
            </w:pPr>
          </w:p>
          <w:p w:rsidR="00140188" w:rsidRDefault="0009234B">
            <w:pPr>
              <w:pStyle w:val="ListParagraph"/>
              <w:numPr>
                <w:ilvl w:val="0"/>
                <w:numId w:val="12"/>
              </w:numPr>
              <w:spacing w:before="240"/>
              <w:ind w:left="714" w:hanging="357"/>
              <w:jc w:val="both"/>
              <w:rPr>
                <w:rFonts w:ascii="Times New Roman" w:hAnsi="Times New Roman" w:cs="Times New Roman"/>
                <w:noProof/>
                <w:sz w:val="24"/>
                <w:szCs w:val="24"/>
                <w:lang w:val="en-GB"/>
              </w:rPr>
            </w:pPr>
            <w:r w:rsidRPr="00094565">
              <w:rPr>
                <w:rFonts w:ascii="Times New Roman" w:hAnsi="Times New Roman" w:cs="Times New Roman"/>
                <w:noProof/>
                <w:sz w:val="24"/>
                <w:szCs w:val="24"/>
                <w:lang w:val="en-GB"/>
              </w:rPr>
              <w:t>Promote the negotiation of agreements in the area of law enforcement with important international partners along the model provided by the</w:t>
            </w:r>
            <w:bookmarkStart w:id="1" w:name="_GoBack"/>
            <w:bookmarkEnd w:id="1"/>
            <w:r>
              <w:rPr>
                <w:rFonts w:ascii="Times New Roman" w:hAnsi="Times New Roman" w:cs="Times New Roman"/>
                <w:noProof/>
                <w:sz w:val="24"/>
                <w:szCs w:val="24"/>
                <w:lang w:val="en-GB"/>
              </w:rPr>
              <w:t xml:space="preserve"> Umbrella Agreement with the U.S.</w:t>
            </w:r>
          </w:p>
          <w:p w:rsidR="00140188" w:rsidRDefault="00140188">
            <w:pPr>
              <w:pStyle w:val="ListParagraph"/>
              <w:spacing w:before="240"/>
              <w:ind w:left="714"/>
              <w:jc w:val="both"/>
              <w:rPr>
                <w:rFonts w:ascii="Times New Roman" w:hAnsi="Times New Roman" w:cs="Times New Roman"/>
                <w:noProof/>
                <w:sz w:val="24"/>
                <w:szCs w:val="24"/>
                <w:lang w:val="en-GB"/>
              </w:rPr>
            </w:pPr>
          </w:p>
          <w:p w:rsidR="00140188" w:rsidRDefault="0009234B">
            <w:pPr>
              <w:pStyle w:val="ListParagraph"/>
              <w:numPr>
                <w:ilvl w:val="0"/>
                <w:numId w:val="12"/>
              </w:numPr>
              <w:spacing w:before="240"/>
              <w:ind w:left="714" w:hanging="357"/>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Follow-up the Council Conclusions on improving criminal justice in cyberspace to facilitate the cross-border exchange of e-evidence in conformity with data protection rules.</w:t>
            </w:r>
          </w:p>
        </w:tc>
      </w:tr>
    </w:tbl>
    <w:p w:rsidR="00140188" w:rsidRDefault="00140188">
      <w:pPr>
        <w:jc w:val="both"/>
        <w:rPr>
          <w:rFonts w:ascii="Times New Roman" w:hAnsi="Times New Roman" w:cs="Times New Roman"/>
          <w:noProof/>
          <w:sz w:val="24"/>
          <w:szCs w:val="24"/>
          <w:lang w:val="en-GB"/>
        </w:rPr>
      </w:pPr>
    </w:p>
    <w:p w:rsidR="00140188" w:rsidRDefault="0009234B">
      <w:pPr>
        <w:pStyle w:val="Heading1"/>
        <w:rPr>
          <w:rFonts w:ascii="Times New Roman" w:hAnsi="Times New Roman"/>
          <w:noProof/>
        </w:rPr>
      </w:pPr>
      <w:r>
        <w:rPr>
          <w:rFonts w:ascii="Times New Roman" w:hAnsi="Times New Roman"/>
          <w:noProof/>
        </w:rPr>
        <w:t xml:space="preserve">5. Conclusion </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Protecting and exchanging personal data are not mutually exclusive. A strong data protection system facilitates data flows by building consumer confidence in those companies that care about the way they handle their customers' personal data. High data protection standards thus become an advantage in the global digital economy. The same holds true for law enforcement cooperation: privacy safeguards are an integral part of the effective and swift exchange of information in the fight against crime, based on mutual trust and legal certainty. </w:t>
      </w:r>
    </w:p>
    <w:p w:rsidR="00140188" w:rsidRDefault="0009234B">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Having completed the reform of its data protection rules, the EU should proactively engage with third countries on this matter. It should strive to seek greater upward convergence of data protection principles internationally, at both bilateral and multilateral levels. This is in the interest and to the benefit of citizens and businesses alike. The new data protection legislative framework provides the EU with the necessary and appropriate tools to achieve these objectives. Based on the strategic approach presented in this Communication, the Commission will actively engage with key third countries to explore the possibility to adopt adequacy findings, starting with Japan and Korea in 2017, with a view to fostering regulatory convergence towards the EU standards and facilitating trade relations. At the same time, the EU will make full use of the range of alternative transfer tools to protect data protection rights and support economic operators when data are transferred to countries whose domestic law does not ensure an adequate level of data protection. Such tools should also be used to further facilitate cooperation between EU supervisory and law enforcement authorities and their international partners. The Commission will ensure coherence of the internal and external dimension of EU data protection policy and promote strong data protection at international level to improve law enforcement cooperation, contribute to free trade and develop high personal data protection standards globally. </w:t>
      </w:r>
    </w:p>
    <w:sectPr w:rsidR="00140188">
      <w:headerReference w:type="even" r:id="rId16"/>
      <w:headerReference w:type="default" r:id="rId17"/>
      <w:footerReference w:type="even" r:id="rId18"/>
      <w:footerReference w:type="default" r:id="rId19"/>
      <w:headerReference w:type="first" r:id="rId20"/>
      <w:footerReference w:type="first" r:id="rId21"/>
      <w:pgSz w:w="11907" w:h="16839" w:code="9"/>
      <w:pgMar w:top="1417" w:right="1417" w:bottom="1417" w:left="1417"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AE00B6" w15:done="0"/>
  <w15:commentEx w15:paraId="2DEEEA64" w15:done="0"/>
  <w15:commentEx w15:paraId="5841F8AB" w15:done="0"/>
  <w15:commentEx w15:paraId="3DFBA5CE" w15:done="0"/>
  <w15:commentEx w15:paraId="3FDFEF5A" w15:done="0"/>
  <w15:commentEx w15:paraId="114311B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188" w:rsidRDefault="0009234B">
      <w:pPr>
        <w:spacing w:after="0" w:line="240" w:lineRule="auto"/>
      </w:pPr>
      <w:r>
        <w:separator/>
      </w:r>
    </w:p>
  </w:endnote>
  <w:endnote w:type="continuationSeparator" w:id="0">
    <w:p w:rsidR="00140188" w:rsidRDefault="00092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34B" w:rsidRPr="0009234B" w:rsidRDefault="0009234B" w:rsidP="000923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34B" w:rsidRPr="0009234B" w:rsidRDefault="0009234B" w:rsidP="0009234B">
    <w:pPr>
      <w:pStyle w:val="FooterCoverPage"/>
      <w:rPr>
        <w:rFonts w:ascii="Arial" w:hAnsi="Arial" w:cs="Arial"/>
        <w:b/>
        <w:sz w:val="48"/>
      </w:rPr>
    </w:pPr>
    <w:r w:rsidRPr="0009234B">
      <w:rPr>
        <w:rFonts w:ascii="Arial" w:hAnsi="Arial" w:cs="Arial"/>
        <w:b/>
        <w:sz w:val="48"/>
      </w:rPr>
      <w:t>EN</w:t>
    </w:r>
    <w:r w:rsidRPr="0009234B">
      <w:rPr>
        <w:rFonts w:ascii="Arial" w:hAnsi="Arial" w:cs="Arial"/>
        <w:b/>
        <w:sz w:val="48"/>
      </w:rPr>
      <w:tab/>
    </w:r>
    <w:r w:rsidRPr="0009234B">
      <w:rPr>
        <w:rFonts w:ascii="Arial" w:hAnsi="Arial" w:cs="Arial"/>
        <w:b/>
        <w:sz w:val="48"/>
      </w:rPr>
      <w:tab/>
    </w:r>
    <w:r w:rsidR="00094565">
      <w:fldChar w:fldCharType="begin"/>
    </w:r>
    <w:r w:rsidR="00094565">
      <w:instrText xml:space="preserve"> DOCVARIABLE "LW_Confidence" \* MERGEFORMAT </w:instrText>
    </w:r>
    <w:r w:rsidR="00094565">
      <w:fldChar w:fldCharType="separate"/>
    </w:r>
    <w:r>
      <w:t xml:space="preserve"> </w:t>
    </w:r>
    <w:r w:rsidR="00094565">
      <w:fldChar w:fldCharType="end"/>
    </w:r>
    <w:r w:rsidRPr="0009234B">
      <w:tab/>
    </w:r>
    <w:r w:rsidRPr="0009234B">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34B" w:rsidRPr="0009234B" w:rsidRDefault="0009234B" w:rsidP="0009234B">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188" w:rsidRDefault="0014018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549001"/>
      <w:docPartObj>
        <w:docPartGallery w:val="Page Numbers (Bottom of Page)"/>
        <w:docPartUnique/>
      </w:docPartObj>
    </w:sdtPr>
    <w:sdtEndPr>
      <w:rPr>
        <w:noProof/>
      </w:rPr>
    </w:sdtEndPr>
    <w:sdtContent>
      <w:p w:rsidR="00140188" w:rsidRDefault="0009234B">
        <w:pPr>
          <w:pStyle w:val="Footer"/>
          <w:jc w:val="center"/>
        </w:pPr>
        <w:r>
          <w:fldChar w:fldCharType="begin"/>
        </w:r>
        <w:r>
          <w:instrText xml:space="preserve"> PAGE   \* MERGEFORMAT </w:instrText>
        </w:r>
        <w:r>
          <w:fldChar w:fldCharType="separate"/>
        </w:r>
        <w:r w:rsidR="00094565">
          <w:rPr>
            <w:noProof/>
          </w:rPr>
          <w:t>13</w:t>
        </w:r>
        <w:r>
          <w:rPr>
            <w:noProof/>
          </w:rPr>
          <w:fldChar w:fldCharType="end"/>
        </w:r>
      </w:p>
    </w:sdtContent>
  </w:sdt>
  <w:p w:rsidR="00140188" w:rsidRDefault="0014018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188" w:rsidRDefault="001401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188" w:rsidRDefault="0009234B">
      <w:pPr>
        <w:spacing w:after="0" w:line="240" w:lineRule="auto"/>
      </w:pPr>
      <w:r>
        <w:separator/>
      </w:r>
    </w:p>
  </w:footnote>
  <w:footnote w:type="continuationSeparator" w:id="0">
    <w:p w:rsidR="00140188" w:rsidRDefault="0009234B">
      <w:pPr>
        <w:spacing w:after="0" w:line="240" w:lineRule="auto"/>
      </w:pPr>
      <w:r>
        <w:continuationSeparator/>
      </w:r>
    </w:p>
  </w:footnote>
  <w:footnote w:id="1">
    <w:p w:rsidR="00140188" w:rsidRDefault="0009234B">
      <w:pPr>
        <w:pStyle w:val="FootnoteText"/>
        <w:ind w:left="360" w:hanging="360"/>
        <w:jc w:val="both"/>
        <w:rPr>
          <w:rFonts w:ascii="Times New Roman" w:hAnsi="Times New Roman" w:cs="Times New Roman"/>
          <w:lang w:val="en-GB"/>
        </w:rPr>
      </w:pPr>
      <w:r>
        <w:rPr>
          <w:rStyle w:val="FootnoteReference"/>
          <w:rFonts w:ascii="Times New Roman" w:hAnsi="Times New Roman" w:cs="Times New Roman"/>
          <w:lang w:val="en-GB"/>
        </w:rPr>
        <w:footnoteRef/>
      </w:r>
      <w:r>
        <w:rPr>
          <w:rFonts w:ascii="Times New Roman" w:hAnsi="Times New Roman" w:cs="Times New Roman"/>
          <w:lang w:val="en-GB"/>
        </w:rPr>
        <w:t xml:space="preserve"> </w:t>
      </w:r>
      <w:r>
        <w:rPr>
          <w:rFonts w:ascii="Times New Roman" w:hAnsi="Times New Roman" w:cs="Times New Roman"/>
          <w:lang w:val="en-GB"/>
        </w:rPr>
        <w:tab/>
        <w:t>Directive 95/46/EC of the European Parliament and of the Council of 24 October 1995 on the protection of individuals with regard to the processing of personal data and on the free movement of such data, OJ L 281 of 23.11.95.</w:t>
      </w:r>
    </w:p>
  </w:footnote>
  <w:footnote w:id="2">
    <w:p w:rsidR="00140188" w:rsidRDefault="0009234B">
      <w:pPr>
        <w:pStyle w:val="FootnoteText"/>
        <w:ind w:left="360" w:hanging="360"/>
        <w:jc w:val="both"/>
        <w:rPr>
          <w:rFonts w:ascii="Times New Roman" w:hAnsi="Times New Roman" w:cs="Times New Roman"/>
          <w:lang w:val="en-GB"/>
        </w:rPr>
      </w:pPr>
      <w:r>
        <w:rPr>
          <w:rStyle w:val="FootnoteReference"/>
          <w:rFonts w:ascii="Times New Roman" w:hAnsi="Times New Roman" w:cs="Times New Roman"/>
          <w:lang w:val="en-GB"/>
        </w:rPr>
        <w:footnoteRef/>
      </w:r>
      <w:r>
        <w:rPr>
          <w:rFonts w:ascii="Times New Roman" w:hAnsi="Times New Roman" w:cs="Times New Roman"/>
          <w:lang w:val="en-GB"/>
        </w:rPr>
        <w:t xml:space="preserve"> </w:t>
      </w:r>
      <w:r>
        <w:rPr>
          <w:rFonts w:ascii="Times New Roman" w:hAnsi="Times New Roman" w:cs="Times New Roman"/>
          <w:lang w:val="en-GB"/>
        </w:rPr>
        <w:tab/>
        <w:t xml:space="preserve">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1–88. It entered into force on 24 May 2016 and shall apply from 25 May 2018. </w:t>
      </w:r>
    </w:p>
  </w:footnote>
  <w:footnote w:id="3">
    <w:p w:rsidR="00140188" w:rsidRDefault="0009234B">
      <w:pPr>
        <w:pStyle w:val="FootnoteText"/>
        <w:ind w:left="360" w:hanging="360"/>
        <w:jc w:val="both"/>
        <w:rPr>
          <w:rFonts w:ascii="Times New Roman" w:hAnsi="Times New Roman" w:cs="Times New Roman"/>
          <w:lang w:val="en-GB"/>
        </w:rPr>
      </w:pPr>
      <w:r>
        <w:rPr>
          <w:rStyle w:val="FootnoteReference"/>
          <w:rFonts w:ascii="Times New Roman" w:hAnsi="Times New Roman" w:cs="Times New Roman"/>
          <w:lang w:val="en-GB"/>
        </w:rPr>
        <w:footnoteRef/>
      </w:r>
      <w:r>
        <w:rPr>
          <w:rFonts w:ascii="Times New Roman" w:hAnsi="Times New Roman" w:cs="Times New Roman"/>
          <w:lang w:val="en-GB"/>
        </w:rPr>
        <w:t xml:space="preserve"> </w:t>
      </w:r>
      <w:r>
        <w:rPr>
          <w:rFonts w:ascii="Times New Roman" w:hAnsi="Times New Roman" w:cs="Times New Roman"/>
          <w:lang w:val="en-GB"/>
        </w:rPr>
        <w:tab/>
        <w:t>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 OJ L 119, 4.5.2016, p. 89-131. It entered into force on 5 May 2016. EU Member States have to transpose it into their national law by 6 May 2018.</w:t>
      </w:r>
    </w:p>
  </w:footnote>
  <w:footnote w:id="4">
    <w:p w:rsidR="00140188" w:rsidRDefault="0009234B">
      <w:pPr>
        <w:pStyle w:val="FootnoteText"/>
        <w:ind w:left="360" w:hanging="360"/>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See "Data protection regulations and international data flows: Implications for trade and development", UNCTAD (2016): http://unctad.org/en/PublicationsLibrary/dtlstict2016d1_en.pdf.</w:t>
      </w:r>
    </w:p>
  </w:footnote>
  <w:footnote w:id="5">
    <w:p w:rsidR="00140188" w:rsidRDefault="0009234B">
      <w:pPr>
        <w:pStyle w:val="FootnoteText"/>
        <w:ind w:left="360" w:hanging="360"/>
        <w:jc w:val="both"/>
        <w:rPr>
          <w:rFonts w:ascii="Times New Roman" w:hAnsi="Times New Roman" w:cs="Times New Roman"/>
          <w:lang w:val="en-GB"/>
        </w:rPr>
      </w:pPr>
      <w:r>
        <w:rPr>
          <w:rStyle w:val="FootnoteReference"/>
          <w:rFonts w:ascii="Times New Roman" w:hAnsi="Times New Roman" w:cs="Times New Roman"/>
          <w:lang w:val="en-GB"/>
        </w:rPr>
        <w:footnoteRef/>
      </w:r>
      <w:r>
        <w:rPr>
          <w:rFonts w:ascii="Times New Roman" w:hAnsi="Times New Roman" w:cs="Times New Roman"/>
          <w:lang w:val="en-GB"/>
        </w:rPr>
        <w:t xml:space="preserve"> </w:t>
      </w:r>
      <w:r>
        <w:rPr>
          <w:rFonts w:ascii="Times New Roman" w:hAnsi="Times New Roman" w:cs="Times New Roman"/>
          <w:lang w:val="en-GB"/>
        </w:rPr>
        <w:tab/>
        <w:t xml:space="preserve">Commission Work Programme 2017, Delivering a Europe that protects, empowers and defends, COM(2016) 710 final, 25.10.2016, p.12 and Annex 1. </w:t>
      </w:r>
    </w:p>
  </w:footnote>
  <w:footnote w:id="6">
    <w:p w:rsidR="00140188" w:rsidRDefault="0009234B">
      <w:pPr>
        <w:pStyle w:val="FootnoteText"/>
        <w:ind w:left="360" w:hanging="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Communication from the Commission to the European Parliament, the Council, the European Economic and Social Committee and the Committee of the Regions, The European Agenda on Security, COM(2015) 185 final, 28.4.2015.</w:t>
      </w:r>
    </w:p>
  </w:footnote>
  <w:footnote w:id="7">
    <w:p w:rsidR="00140188" w:rsidRDefault="0009234B">
      <w:pPr>
        <w:pStyle w:val="FootnoteText"/>
        <w:ind w:left="360" w:hanging="360"/>
        <w:jc w:val="both"/>
        <w:rPr>
          <w:rFonts w:ascii="Times New Roman" w:hAnsi="Times New Roman" w:cs="Times New Roman"/>
          <w:lang w:val="en-GB"/>
        </w:rPr>
      </w:pPr>
      <w:r>
        <w:rPr>
          <w:rStyle w:val="FootnoteReference"/>
          <w:rFonts w:ascii="Times New Roman" w:hAnsi="Times New Roman" w:cs="Times New Roman"/>
          <w:lang w:val="en-GB"/>
        </w:rPr>
        <w:footnoteRef/>
      </w:r>
      <w:r>
        <w:rPr>
          <w:rFonts w:ascii="Times New Roman" w:hAnsi="Times New Roman" w:cs="Times New Roman"/>
          <w:lang w:val="en-GB"/>
        </w:rPr>
        <w:t xml:space="preserve"> </w:t>
      </w:r>
      <w:r>
        <w:rPr>
          <w:rFonts w:ascii="Times New Roman" w:hAnsi="Times New Roman" w:cs="Times New Roman"/>
          <w:lang w:val="en-GB"/>
        </w:rPr>
        <w:tab/>
        <w:t xml:space="preserve">Judgment of the Court of Justice of the EU of 6 October 2015 in Case C-362/14, </w:t>
      </w:r>
      <w:r>
        <w:rPr>
          <w:rFonts w:ascii="Times New Roman" w:hAnsi="Times New Roman" w:cs="Times New Roman"/>
          <w:i/>
          <w:lang w:val="en-GB"/>
        </w:rPr>
        <w:t xml:space="preserve">Maximillian Schrems v Data Protection Commissioner, </w:t>
      </w:r>
      <w:r>
        <w:rPr>
          <w:rFonts w:ascii="Times New Roman" w:hAnsi="Times New Roman" w:cs="Times New Roman"/>
          <w:lang w:val="en-GB"/>
        </w:rPr>
        <w:t xml:space="preserve">points 73, 74 and 96. See also recital 104 of the GDPR and recital 67 of the Police Directive which refer to the standard of essential equivalence. </w:t>
      </w:r>
    </w:p>
  </w:footnote>
  <w:footnote w:id="8">
    <w:p w:rsidR="00140188" w:rsidRDefault="0009234B">
      <w:pPr>
        <w:pStyle w:val="FootnoteText"/>
        <w:ind w:left="360" w:hanging="360"/>
        <w:jc w:val="both"/>
        <w:rPr>
          <w:rFonts w:ascii="Times New Roman" w:hAnsi="Times New Roman" w:cs="Times New Roman"/>
          <w:lang w:val="en-GB"/>
        </w:rPr>
      </w:pPr>
      <w:r>
        <w:rPr>
          <w:rStyle w:val="FootnoteReference"/>
          <w:rFonts w:ascii="Times New Roman" w:hAnsi="Times New Roman" w:cs="Times New Roman"/>
          <w:lang w:val="en-GB"/>
        </w:rPr>
        <w:footnoteRef/>
      </w:r>
      <w:r>
        <w:rPr>
          <w:rFonts w:ascii="Times New Roman" w:hAnsi="Times New Roman" w:cs="Times New Roman"/>
          <w:lang w:val="en-GB"/>
        </w:rPr>
        <w:t xml:space="preserve"> </w:t>
      </w:r>
      <w:r>
        <w:rPr>
          <w:rFonts w:ascii="Times New Roman" w:hAnsi="Times New Roman" w:cs="Times New Roman"/>
          <w:lang w:val="en-GB"/>
        </w:rPr>
        <w:tab/>
        <w:t>See Article 45 of the GDPR. As set out in Article 45(2), in its assessment the Commission must take into account, inter alia, the rule of law, respect for human rights and fundamental freedoms and relevant legislation, including in the area of data protection, public security, defence, national security and criminal law and access by public authorities to personal data. These must be underpinned by effective and enforceable rights, including administrative and judicial redress for individuals, and an effectively functioning independent supervisory authority to ensure and enforce compliance with data protection rules. Adherence to legally binding conventions, in particular Council of Europe Convention 108, and participation in multilateral or regional systems dealing with data protection, will also be taken into account.</w:t>
      </w:r>
    </w:p>
  </w:footnote>
  <w:footnote w:id="9">
    <w:p w:rsidR="00140188" w:rsidRDefault="0009234B">
      <w:pPr>
        <w:pStyle w:val="FootnoteText"/>
        <w:ind w:left="360" w:hanging="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See Article 36(2) Police Directive for the specific adequacy assessment elements.</w:t>
      </w:r>
    </w:p>
  </w:footnote>
  <w:footnote w:id="10">
    <w:p w:rsidR="00140188" w:rsidRDefault="0009234B">
      <w:pPr>
        <w:pStyle w:val="FootnoteText"/>
        <w:ind w:left="360" w:hanging="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See Article 45(1) GDPR and Article 36(1) Police Directive.</w:t>
      </w:r>
    </w:p>
  </w:footnote>
  <w:footnote w:id="11">
    <w:p w:rsidR="00140188" w:rsidRDefault="0009234B">
      <w:pPr>
        <w:pStyle w:val="FootnoteText"/>
        <w:ind w:left="360" w:hanging="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See e.g. Communication from the Commission to the European Parliament and the Council on the Transfer of Personal Data from the EU to the United States of America under Directive 95/46/EC following the Judgment by the Court of Justice in Case C-362/14 (</w:t>
      </w:r>
      <w:r>
        <w:rPr>
          <w:rFonts w:ascii="Times New Roman" w:hAnsi="Times New Roman" w:cs="Times New Roman"/>
          <w:i/>
        </w:rPr>
        <w:t>Schrems</w:t>
      </w:r>
      <w:r>
        <w:rPr>
          <w:rFonts w:ascii="Times New Roman" w:hAnsi="Times New Roman" w:cs="Times New Roman"/>
        </w:rPr>
        <w:t>), COM(2015) 566 final, 6.11.2015.</w:t>
      </w:r>
    </w:p>
  </w:footnote>
  <w:footnote w:id="12">
    <w:p w:rsidR="00140188" w:rsidRDefault="0009234B">
      <w:pPr>
        <w:pStyle w:val="FootnoteText"/>
        <w:ind w:left="360" w:hanging="360"/>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lang w:val="en-GB"/>
        </w:rPr>
        <w:t>SCCs lay down the respective data protection obligations between the EU exporter and the third country importer.</w:t>
      </w:r>
    </w:p>
  </w:footnote>
  <w:footnote w:id="13">
    <w:p w:rsidR="00140188" w:rsidRDefault="0009234B">
      <w:pPr>
        <w:pStyle w:val="FootnoteText"/>
        <w:ind w:left="360" w:hanging="360"/>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lang w:val="en-GB"/>
        </w:rPr>
        <w:t>BCRs are internal rules adopted by a multinational group of companies to carry out data transfers within the same corporate group to entities located in countries which do not provide an adequate level of protection.</w:t>
      </w:r>
      <w:r>
        <w:t xml:space="preserve"> </w:t>
      </w:r>
      <w:r>
        <w:rPr>
          <w:rFonts w:ascii="Times New Roman" w:hAnsi="Times New Roman" w:cs="Times New Roman"/>
          <w:lang w:val="en-GB"/>
        </w:rPr>
        <w:t>While BCRs are already in use under the 1995 Directive, the GDPR codifies and formalises their role as a tool for transfers.</w:t>
      </w:r>
    </w:p>
  </w:footnote>
  <w:footnote w:id="14">
    <w:p w:rsidR="00140188" w:rsidRDefault="0009234B">
      <w:pPr>
        <w:pStyle w:val="FootnoteText"/>
        <w:ind w:left="360" w:hanging="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See Article 46(2)(c) and (d) and recital 168 GDPR.</w:t>
      </w:r>
    </w:p>
  </w:footnote>
  <w:footnote w:id="15">
    <w:p w:rsidR="00140188" w:rsidRDefault="0009234B">
      <w:pPr>
        <w:pStyle w:val="FootnoteText"/>
        <w:ind w:left="360" w:hanging="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See Articles 46(2)(b), 47 and recital 110 GDPR.</w:t>
      </w:r>
    </w:p>
  </w:footnote>
  <w:footnote w:id="16">
    <w:p w:rsidR="00140188" w:rsidRDefault="0009234B">
      <w:pPr>
        <w:pStyle w:val="FootnoteText"/>
        <w:ind w:left="360" w:hanging="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See Article 46(2) GDPR. </w:t>
      </w:r>
    </w:p>
  </w:footnote>
  <w:footnote w:id="17">
    <w:p w:rsidR="00140188" w:rsidRDefault="0009234B">
      <w:pPr>
        <w:pStyle w:val="FootnoteText"/>
        <w:ind w:left="360" w:hanging="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That registration requirements create a barrier to trade for many businesses, especially SMEs, was highlighted e.g. in the UNCTAD report, p. 34.</w:t>
      </w:r>
    </w:p>
  </w:footnote>
  <w:footnote w:id="18">
    <w:p w:rsidR="00140188" w:rsidRDefault="0009234B">
      <w:pPr>
        <w:pStyle w:val="FootnoteText"/>
        <w:ind w:left="360" w:hanging="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See Article 46(2)(e) and (f) GDPR.</w:t>
      </w:r>
    </w:p>
  </w:footnote>
  <w:footnote w:id="19">
    <w:p w:rsidR="00140188" w:rsidRDefault="0009234B">
      <w:pPr>
        <w:pStyle w:val="FootnoteText"/>
        <w:ind w:left="360" w:hanging="360"/>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N</w:t>
      </w:r>
      <w:r>
        <w:rPr>
          <w:rFonts w:ascii="Times New Roman" w:hAnsi="Times New Roman" w:cs="Times New Roman"/>
          <w:lang w:val="en-GB"/>
        </w:rPr>
        <w:t>on EU-controllers will be able to adhere to an EU code of conduct or certification mechanism by making binding and enforceable commitments, via contractual or other legally binding commitments, to apply the data protection safeguards contained in those instruments. See Article 42(2) GDPR.</w:t>
      </w:r>
    </w:p>
  </w:footnote>
  <w:footnote w:id="20">
    <w:p w:rsidR="00140188" w:rsidRDefault="0009234B">
      <w:pPr>
        <w:pStyle w:val="FootnoteText"/>
        <w:ind w:left="360" w:hanging="36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See Article 46(2)(a) and 46(3)(b) GDPR.</w:t>
      </w:r>
    </w:p>
  </w:footnote>
  <w:footnote w:id="21">
    <w:p w:rsidR="00140188" w:rsidRDefault="0009234B">
      <w:pPr>
        <w:pStyle w:val="FootnoteText"/>
        <w:ind w:left="360" w:hanging="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See Article 49 GDPR. </w:t>
      </w:r>
    </w:p>
  </w:footnote>
  <w:footnote w:id="22">
    <w:p w:rsidR="00140188" w:rsidRDefault="0009234B">
      <w:pPr>
        <w:pStyle w:val="FootnoteText"/>
        <w:ind w:left="360" w:hanging="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See Article 49(1), second subparagraph. </w:t>
      </w:r>
    </w:p>
  </w:footnote>
  <w:footnote w:id="23">
    <w:p w:rsidR="00140188" w:rsidRDefault="0009234B">
      <w:pPr>
        <w:pStyle w:val="FootnoteText"/>
        <w:ind w:left="360" w:hanging="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See Article 50 GDPR.</w:t>
      </w:r>
    </w:p>
  </w:footnote>
  <w:footnote w:id="24">
    <w:p w:rsidR="00140188" w:rsidRDefault="0009234B">
      <w:pPr>
        <w:pStyle w:val="FootnoteText"/>
        <w:ind w:left="360" w:hanging="360"/>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See e.g. Communication from the Commission to the European Parliament, the Council, the European Economic and Social Committee and the Committee of the Regions on Trade for All Towards a more responsible trade and investment policy, COM(2015) 497 final, 14.10.2015, p. 7.</w:t>
      </w:r>
    </w:p>
  </w:footnote>
  <w:footnote w:id="25">
    <w:p w:rsidR="00140188" w:rsidRDefault="0009234B">
      <w:pPr>
        <w:pStyle w:val="FootnoteText"/>
        <w:ind w:left="360" w:hanging="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Special Eurobarometer 431 - Data protection, June 2015.</w:t>
      </w:r>
    </w:p>
  </w:footnote>
  <w:footnote w:id="26">
    <w:p w:rsidR="00140188" w:rsidRDefault="0009234B">
      <w:pPr>
        <w:pStyle w:val="FootnoteText"/>
        <w:ind w:left="360" w:hanging="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President Juncker's political guidelines: </w:t>
      </w:r>
      <w:r>
        <w:rPr>
          <w:rFonts w:ascii="Times New Roman" w:hAnsi="Times New Roman" w:cs="Times New Roman"/>
          <w:i/>
        </w:rPr>
        <w:t>A New Start for Europe: My Agenda for Jobs, Growth, Fairness and Democratic Change</w:t>
      </w:r>
    </w:p>
  </w:footnote>
  <w:footnote w:id="27">
    <w:p w:rsidR="00140188" w:rsidRDefault="0009234B">
      <w:pPr>
        <w:pStyle w:val="FootnoteText"/>
        <w:ind w:left="360" w:hanging="36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See footnote 7. </w:t>
      </w:r>
    </w:p>
  </w:footnote>
  <w:footnote w:id="28">
    <w:p w:rsidR="00140188" w:rsidRDefault="0009234B">
      <w:pPr>
        <w:pStyle w:val="FootnoteText"/>
        <w:ind w:left="360" w:hanging="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Cf. point 74 of the </w:t>
      </w:r>
      <w:r>
        <w:rPr>
          <w:rFonts w:ascii="Times New Roman" w:hAnsi="Times New Roman" w:cs="Times New Roman"/>
          <w:i/>
        </w:rPr>
        <w:t>Schrems</w:t>
      </w:r>
      <w:r>
        <w:rPr>
          <w:rFonts w:ascii="Times New Roman" w:hAnsi="Times New Roman" w:cs="Times New Roman"/>
        </w:rPr>
        <w:t xml:space="preserve"> ruling. </w:t>
      </w:r>
    </w:p>
  </w:footnote>
  <w:footnote w:id="29">
    <w:p w:rsidR="00140188" w:rsidRDefault="0009234B">
      <w:pPr>
        <w:pStyle w:val="FootnoteText"/>
        <w:ind w:left="360" w:hanging="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Implementing Decision EU(2016) 1260 of 12 July 2016.</w:t>
      </w:r>
    </w:p>
  </w:footnote>
  <w:footnote w:id="30">
    <w:p w:rsidR="00140188" w:rsidRDefault="0009234B">
      <w:pPr>
        <w:pStyle w:val="FootnoteText"/>
        <w:ind w:left="360" w:hanging="360"/>
        <w:jc w:val="both"/>
      </w:pPr>
      <w:r>
        <w:rPr>
          <w:rStyle w:val="FootnoteReference"/>
          <w:rFonts w:ascii="Times New Roman" w:hAnsi="Times New Roman" w:cs="Times New Roman"/>
        </w:rPr>
        <w:footnoteRef/>
      </w:r>
      <w:r>
        <w:t xml:space="preserve"> </w:t>
      </w:r>
      <w:r>
        <w:tab/>
      </w:r>
      <w:r>
        <w:rPr>
          <w:rFonts w:ascii="Times New Roman" w:hAnsi="Times New Roman" w:cs="Times New Roman"/>
        </w:rPr>
        <w:t xml:space="preserve">The Commission encourages the U.S. to pursue efforts towards a comprehensive system of privacy and data protection, allowing for convergence between the two systems in the longer term. See Communication from the Commission to the European Parliament and the Council, Transatlantic Data Flows: Restoring Trust through Strong Safeguards, COM(2016) 117 final, 29.2.2016. </w:t>
      </w:r>
    </w:p>
  </w:footnote>
  <w:footnote w:id="31">
    <w:p w:rsidR="00140188" w:rsidRDefault="0009234B">
      <w:pPr>
        <w:pStyle w:val="FootnoteText"/>
        <w:ind w:left="360" w:hanging="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This includes in particular the application of Presidential Policy Directive 28 (PPD-28), which imposes a number of limitations and safeguards for "signals intelligence" operations, and the appointment of a specific Ombudsperson for complaints by EU individuals in this regard.</w:t>
      </w:r>
    </w:p>
  </w:footnote>
  <w:footnote w:id="32">
    <w:p w:rsidR="00140188" w:rsidRDefault="0009234B">
      <w:pPr>
        <w:pStyle w:val="FootnoteText"/>
        <w:ind w:left="360" w:hanging="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G. Greenleaf, "Global data privacy laws 2015: 109 countries, with European laws now in a minority", (2015) 133 Privacy Laws &amp; Business International Report, 14-17. </w:t>
      </w:r>
    </w:p>
  </w:footnote>
  <w:footnote w:id="33">
    <w:p w:rsidR="00140188" w:rsidRDefault="0009234B">
      <w:pPr>
        <w:pStyle w:val="FootnoteText"/>
        <w:ind w:left="360" w:hanging="360"/>
        <w:jc w:val="both"/>
        <w:rPr>
          <w:lang w:val="en-GB"/>
        </w:rPr>
      </w:pPr>
      <w:r>
        <w:rPr>
          <w:rStyle w:val="FootnoteReference"/>
        </w:rPr>
        <w:footnoteRef/>
      </w:r>
      <w:r>
        <w:t xml:space="preserve"> </w:t>
      </w:r>
      <w:r>
        <w:tab/>
      </w:r>
      <w:r>
        <w:rPr>
          <w:rFonts w:ascii="Times New Roman" w:hAnsi="Times New Roman" w:cs="Times New Roman"/>
        </w:rPr>
        <w:t>UNCTAD study, pp. 8 and 42 (footnote 4 above).</w:t>
      </w:r>
    </w:p>
  </w:footnote>
  <w:footnote w:id="34">
    <w:p w:rsidR="00140188" w:rsidRDefault="0009234B">
      <w:pPr>
        <w:pStyle w:val="FootnoteText"/>
        <w:ind w:left="360" w:hanging="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In this respect, the Commission also takes into account the third country's obligations arising from legally binding conventions, in particular its accession to Convention 108 and its additional Protocol, when carrying out an adequacy assessment. See Article 45(2)(c) and recital 105 GDPR.</w:t>
      </w:r>
    </w:p>
  </w:footnote>
  <w:footnote w:id="35">
    <w:p w:rsidR="00140188" w:rsidRDefault="0009234B">
      <w:pPr>
        <w:pStyle w:val="FootnoteText"/>
        <w:ind w:left="360" w:hanging="360"/>
        <w:jc w:val="both"/>
        <w:rPr>
          <w:lang w:val="en-GB"/>
        </w:rPr>
      </w:pPr>
      <w:r>
        <w:rPr>
          <w:rStyle w:val="FootnoteReference"/>
        </w:rPr>
        <w:footnoteRef/>
      </w:r>
      <w:r>
        <w:t xml:space="preserve"> </w:t>
      </w:r>
      <w:r>
        <w:tab/>
      </w:r>
      <w:r>
        <w:rPr>
          <w:rFonts w:ascii="Times New Roman" w:hAnsi="Times New Roman" w:cs="Times New Roman"/>
        </w:rPr>
        <w:t>For countries with respect to which relevant interests for cooperation in the internal security and law enforcement area exist, the Commission will explore the possibility for specific adequacy findings under the Police Directive, see section 4.</w:t>
      </w:r>
    </w:p>
  </w:footnote>
  <w:footnote w:id="36">
    <w:p w:rsidR="00140188" w:rsidRDefault="0009234B">
      <w:pPr>
        <w:pStyle w:val="FootnoteText"/>
        <w:ind w:left="360" w:hanging="36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This may be particularly relevant for developing and transition countries as the protection of personal data is both a crucial element of the rule of law and an important factor of economic competitiveness.</w:t>
      </w:r>
    </w:p>
  </w:footnote>
  <w:footnote w:id="37">
    <w:p w:rsidR="00140188" w:rsidRDefault="0009234B">
      <w:pPr>
        <w:pStyle w:val="FootnoteText"/>
        <w:ind w:left="360" w:hanging="360"/>
        <w:rPr>
          <w:rFonts w:ascii="Times New Roman" w:hAnsi="Times New Roman" w:cs="Times New Roman"/>
          <w:lang w:val="en-GB"/>
        </w:rPr>
      </w:pPr>
      <w:r>
        <w:rPr>
          <w:rStyle w:val="FootnoteReference"/>
        </w:rPr>
        <w:footnoteRef/>
      </w:r>
      <w:r>
        <w:t xml:space="preserve"> </w:t>
      </w:r>
      <w:r>
        <w:tab/>
      </w:r>
      <w:r>
        <w:rPr>
          <w:rFonts w:ascii="Times New Roman" w:hAnsi="Times New Roman" w:cs="Times New Roman"/>
          <w:lang w:val="en-GB"/>
        </w:rPr>
        <w:t>Japan and Korea have recently adopted or modernised their legislation to put in place comprehensive data protection regimes.</w:t>
      </w:r>
    </w:p>
  </w:footnote>
  <w:footnote w:id="38">
    <w:p w:rsidR="00140188" w:rsidRDefault="0009234B">
      <w:pPr>
        <w:pStyle w:val="FootnoteText"/>
        <w:ind w:left="360" w:hanging="360"/>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Article 45(4) and (5) GDPR require the Commission to monitor developments in third countries on an ongoing basis and give it the power to repeal, amend or suspend an adequacy decision if it finds that the respective country no longer ensures an adequate level of protection. </w:t>
      </w:r>
    </w:p>
  </w:footnote>
  <w:footnote w:id="39">
    <w:p w:rsidR="00140188" w:rsidRDefault="0009234B">
      <w:pPr>
        <w:pStyle w:val="FootnoteText"/>
        <w:ind w:left="360" w:hanging="360"/>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en-GB"/>
        </w:rPr>
        <w:t xml:space="preserve"> </w:t>
      </w:r>
      <w:r>
        <w:rPr>
          <w:rFonts w:ascii="Times New Roman" w:hAnsi="Times New Roman" w:cs="Times New Roman"/>
          <w:lang w:val="en-GB"/>
        </w:rPr>
        <w:tab/>
        <w:t>Article 45(3) GDPR.</w:t>
      </w:r>
    </w:p>
  </w:footnote>
  <w:footnote w:id="40">
    <w:p w:rsidR="00140188" w:rsidRDefault="0009234B">
      <w:pPr>
        <w:pStyle w:val="FootnoteText"/>
        <w:ind w:left="360" w:hanging="360"/>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en-GB"/>
        </w:rPr>
        <w:t xml:space="preserve"> </w:t>
      </w:r>
      <w:r>
        <w:rPr>
          <w:rFonts w:ascii="Times New Roman" w:hAnsi="Times New Roman" w:cs="Times New Roman"/>
          <w:lang w:val="en-GB"/>
        </w:rPr>
        <w:tab/>
        <w:t>Article 97(2)(a) GDPR also requires the Commission to submit an evaluation report by 2020 to the European Parliament and the Council.</w:t>
      </w:r>
    </w:p>
  </w:footnote>
  <w:footnote w:id="41">
    <w:p w:rsidR="00140188" w:rsidRDefault="0009234B">
      <w:pPr>
        <w:pStyle w:val="FootnoteText"/>
        <w:ind w:left="360" w:hanging="360"/>
        <w:jc w:val="both"/>
        <w:rPr>
          <w:rFonts w:ascii="Times New Roman" w:hAnsi="Times New Roman" w:cs="Times New Roman"/>
          <w:lang w:val="en-GB"/>
        </w:rPr>
      </w:pPr>
      <w:r>
        <w:rPr>
          <w:rStyle w:val="FootnoteReference"/>
        </w:rPr>
        <w:footnoteRef/>
      </w:r>
      <w:r>
        <w:rPr>
          <w:rFonts w:ascii="Times New Roman" w:hAnsi="Times New Roman" w:cs="Times New Roman"/>
        </w:rPr>
        <w:t xml:space="preserve"> </w:t>
      </w:r>
      <w:r>
        <w:rPr>
          <w:rFonts w:ascii="Times New Roman" w:hAnsi="Times New Roman" w:cs="Times New Roman"/>
        </w:rPr>
        <w:tab/>
        <w:t xml:space="preserve">To draw the consequences from the </w:t>
      </w:r>
      <w:r>
        <w:rPr>
          <w:rFonts w:ascii="Times New Roman" w:hAnsi="Times New Roman" w:cs="Times New Roman"/>
          <w:i/>
        </w:rPr>
        <w:t>Schrems</w:t>
      </w:r>
      <w:r>
        <w:rPr>
          <w:rFonts w:ascii="Times New Roman" w:hAnsi="Times New Roman" w:cs="Times New Roman"/>
        </w:rPr>
        <w:t xml:space="preserve"> ruling which found that the Commission had exceeded its powers in restricting the powers of DPAs to suspend or ban data flows in the Safe Harbour decision, the Commission on 16 December 2016 adopted an "omnibus" amending decision that deletes similar provisions in existing adequacy decisions and replaces them with provisions that merely provide for information requirements between Member States and the Commission in case a DPA suspends or bans transfers to a third country. The omnibus decision also introduces a requirement for the Commission to monitor relevant developments in the third country. See OJ L355, 17.12.2016, p.83.</w:t>
      </w:r>
    </w:p>
  </w:footnote>
  <w:footnote w:id="42">
    <w:p w:rsidR="00140188" w:rsidRDefault="0009234B">
      <w:pPr>
        <w:pStyle w:val="FootnoteText"/>
        <w:ind w:left="360" w:hanging="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In particular, an adequacy finding is a unilateral implementing decision by the Commission in accordance with EU data protection law, based on the criteria therein. </w:t>
      </w:r>
    </w:p>
  </w:footnote>
  <w:footnote w:id="43">
    <w:p w:rsidR="00140188" w:rsidRDefault="0009234B">
      <w:pPr>
        <w:pStyle w:val="FootnoteText"/>
        <w:ind w:left="360" w:hanging="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See Trade for All Communication, p. 12 (footnote 24 above).</w:t>
      </w:r>
    </w:p>
  </w:footnote>
  <w:footnote w:id="44">
    <w:p w:rsidR="00140188" w:rsidRDefault="0009234B">
      <w:pPr>
        <w:pStyle w:val="FootnoteText"/>
        <w:ind w:left="360" w:hanging="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See Article 46(2)(c) and (d) and recital 109 GDPR which clarify that adaptations to approved model clauses are possible as long as they are not contradictory, either directly or indirectly, to those model clauses or prejudice the fundamental rights or freedoms of individuals. </w:t>
      </w:r>
    </w:p>
  </w:footnote>
  <w:footnote w:id="45">
    <w:p w:rsidR="00140188" w:rsidRDefault="0009234B">
      <w:pPr>
        <w:pStyle w:val="FootnoteText"/>
        <w:ind w:left="360" w:hanging="360"/>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lang w:val="en-GB"/>
        </w:rPr>
        <w:t>Currently no EU-processor to non-EU processor SCCs are in place.</w:t>
      </w:r>
    </w:p>
  </w:footnote>
  <w:footnote w:id="46">
    <w:p w:rsidR="00140188" w:rsidRDefault="0009234B">
      <w:pPr>
        <w:pStyle w:val="FootnoteText"/>
        <w:ind w:left="360" w:hanging="360"/>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lang w:val="en-GB"/>
        </w:rPr>
        <w:t>Article 43(8) and (9) GDPR.</w:t>
      </w:r>
    </w:p>
  </w:footnote>
  <w:footnote w:id="47">
    <w:p w:rsidR="00140188" w:rsidRDefault="0009234B">
      <w:pPr>
        <w:pStyle w:val="FootnoteText"/>
        <w:ind w:left="360" w:hanging="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See </w:t>
      </w:r>
      <w:r>
        <w:rPr>
          <w:rFonts w:ascii="Times New Roman" w:hAnsi="Times New Roman" w:cs="Times New Roman"/>
          <w:lang w:val="en-GB"/>
        </w:rPr>
        <w:t>2014 APEC/EU Common Referential for the Structure of the EU Binding Corporate Rules and the APEC Cross Border Privacy Rules System (CBPR), comparing the compliance and certification requirements of both systems</w:t>
      </w:r>
      <w:r>
        <w:rPr>
          <w:rFonts w:ascii="Times New Roman" w:hAnsi="Times New Roman" w:cs="Times New Roman"/>
        </w:rPr>
        <w:t>: http://www.apec.org/~/media/Files/Groups/ECSG/20140307_Referential-BCR-CBPR-reqs.pdf.</w:t>
      </w:r>
    </w:p>
  </w:footnote>
  <w:footnote w:id="48">
    <w:p w:rsidR="00140188" w:rsidRDefault="0009234B">
      <w:pPr>
        <w:pStyle w:val="FootnoteText"/>
        <w:ind w:left="360" w:hanging="360"/>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lang w:val="en-GB"/>
        </w:rPr>
        <w:t>Council of Europe Convention of 28 January 1981 for the Protection of Individuals with regard to Automatic Processing of Personal Data (ETS No. 180) and the 2001 Additional Protocol to the Convention for the Protection of Individuals with regard to Automatic Processing of Personal Data, regarding supervisory authorities and transborder data flows (ETS No. 181).</w:t>
      </w:r>
    </w:p>
  </w:footnote>
  <w:footnote w:id="49">
    <w:p w:rsidR="00140188" w:rsidRDefault="0009234B">
      <w:pPr>
        <w:pStyle w:val="FootnoteText"/>
        <w:ind w:left="360" w:hanging="360"/>
        <w:rPr>
          <w:lang w:val="en-GB"/>
        </w:rPr>
      </w:pPr>
      <w:r>
        <w:rPr>
          <w:rStyle w:val="FootnoteReference"/>
        </w:rPr>
        <w:footnoteRef/>
      </w:r>
      <w:r>
        <w:t xml:space="preserve"> </w:t>
      </w:r>
      <w:r>
        <w:rPr>
          <w:lang w:val="en-GB"/>
        </w:rPr>
        <w:t xml:space="preserve">   </w:t>
      </w:r>
      <w:r>
        <w:rPr>
          <w:rFonts w:ascii="Times New Roman" w:hAnsi="Times New Roman" w:cs="Times New Roman"/>
          <w:lang w:val="en-GB"/>
        </w:rPr>
        <w:t>Mauritius, Senegal and Uruguay have ratified the Convention. In addition, Cabo Verde, Morocco and Tunisia have been invited to accede.</w:t>
      </w:r>
    </w:p>
  </w:footnote>
  <w:footnote w:id="50">
    <w:p w:rsidR="00140188" w:rsidRDefault="0009234B">
      <w:pPr>
        <w:pStyle w:val="FootnoteText"/>
        <w:ind w:left="360" w:hanging="360"/>
      </w:pPr>
      <w:r>
        <w:rPr>
          <w:rStyle w:val="FootnoteReference"/>
        </w:rPr>
        <w:footnoteRef/>
      </w:r>
      <w:r>
        <w:tab/>
      </w:r>
      <w:r>
        <w:rPr>
          <w:rFonts w:ascii="Times New Roman" w:hAnsi="Times New Roman" w:cs="Times New Roman"/>
        </w:rPr>
        <w:t>See also the OECD Ministerial Declaration on the Digital Economy: Innovation, Growth and Social Prosperity (“Cancun Declaration”), 23 June 2016.</w:t>
      </w:r>
    </w:p>
  </w:footnote>
  <w:footnote w:id="51">
    <w:p w:rsidR="00140188" w:rsidRDefault="0009234B">
      <w:pPr>
        <w:pStyle w:val="FootnoteText"/>
        <w:ind w:left="360" w:hanging="360"/>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lang w:val="en-GB"/>
        </w:rPr>
        <w:t xml:space="preserve">See: </w:t>
      </w:r>
      <w:hyperlink r:id="rId1" w:history="1">
        <w:r>
          <w:rPr>
            <w:rStyle w:val="Hyperlink"/>
            <w:rFonts w:ascii="Times New Roman" w:hAnsi="Times New Roman" w:cs="Times New Roman"/>
            <w:lang w:val="en-GB"/>
          </w:rPr>
          <w:t>http://www.ohchr.org/EN/Issues/Privacy/SR/Pages/SRPrivacyIndex.aspx</w:t>
        </w:r>
      </w:hyperlink>
      <w:r>
        <w:rPr>
          <w:rFonts w:ascii="Times New Roman" w:hAnsi="Times New Roman" w:cs="Times New Roman"/>
          <w:lang w:val="en-GB"/>
        </w:rPr>
        <w:t>.</w:t>
      </w:r>
    </w:p>
  </w:footnote>
  <w:footnote w:id="52">
    <w:p w:rsidR="00140188" w:rsidRDefault="0009234B">
      <w:pPr>
        <w:pStyle w:val="FootnoteText"/>
        <w:ind w:left="360" w:hanging="360"/>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Commission implementing decision C(2016)7198, endorsing the second phase of the Annual Action Programme 2016 (AAP 2016) of the Partnership Instrument.</w:t>
      </w:r>
    </w:p>
  </w:footnote>
  <w:footnote w:id="53">
    <w:p w:rsidR="00140188" w:rsidRDefault="0009234B">
      <w:pPr>
        <w:pStyle w:val="FootnoteText"/>
        <w:ind w:left="360" w:hanging="360"/>
        <w:jc w:val="both"/>
        <w:rPr>
          <w:rFonts w:ascii="Times New Roman" w:hAnsi="Times New Roman" w:cs="Times New Roman"/>
          <w:lang w:val="en-GB"/>
        </w:rPr>
      </w:pPr>
      <w:r>
        <w:rPr>
          <w:rStyle w:val="FootnoteReference"/>
          <w:rFonts w:ascii="Times New Roman" w:hAnsi="Times New Roman" w:cs="Times New Roman"/>
          <w:lang w:val="en-GB"/>
        </w:rPr>
        <w:footnoteRef/>
      </w:r>
      <w:r>
        <w:rPr>
          <w:rFonts w:ascii="Times New Roman" w:hAnsi="Times New Roman" w:cs="Times New Roman"/>
          <w:lang w:val="en-GB"/>
        </w:rPr>
        <w:t xml:space="preserve"> </w:t>
      </w:r>
      <w:r>
        <w:rPr>
          <w:rFonts w:ascii="Times New Roman" w:hAnsi="Times New Roman" w:cs="Times New Roman"/>
          <w:lang w:val="en-GB"/>
        </w:rPr>
        <w:tab/>
        <w:t xml:space="preserve">Existing networks include the Global Privacy Enforcement Network (GPEN) launched in 2010 under the auspices of the OECD. It is an informal network of Privacy Enforcement Authorities, in which EU DPAs are involved, which is tasked with, among others, law enforcement co-operation, sharing of best practices in addressing cross-border challenges and supporting joint enforcement initiatives and awareness raising campaigns. It does not create any new legally binding obligations amongst the participants and focuses primarily on facilitating cooperation in the enforcement of privacy laws governing the private sector. See </w:t>
      </w:r>
      <w:hyperlink r:id="rId2" w:history="1">
        <w:r>
          <w:rPr>
            <w:rStyle w:val="Hyperlink"/>
            <w:rFonts w:ascii="Times New Roman" w:hAnsi="Times New Roman" w:cs="Times New Roman"/>
            <w:lang w:val="en-GB"/>
          </w:rPr>
          <w:t>https://privacyenforcement.net/</w:t>
        </w:r>
      </w:hyperlink>
      <w:r>
        <w:rPr>
          <w:rFonts w:ascii="Times New Roman" w:hAnsi="Times New Roman" w:cs="Times New Roman"/>
          <w:lang w:val="en-GB"/>
        </w:rPr>
        <w:t xml:space="preserve">. </w:t>
      </w:r>
    </w:p>
  </w:footnote>
  <w:footnote w:id="54">
    <w:p w:rsidR="00140188" w:rsidRDefault="0009234B">
      <w:pPr>
        <w:pStyle w:val="FootnoteText"/>
        <w:ind w:left="360" w:hanging="360"/>
        <w:jc w:val="both"/>
        <w:rPr>
          <w:rFonts w:ascii="Times New Roman" w:hAnsi="Times New Roman" w:cs="Times New Roman"/>
          <w:lang w:val="en-GB"/>
        </w:rPr>
      </w:pPr>
      <w:r>
        <w:rPr>
          <w:rStyle w:val="FootnoteReference"/>
          <w:lang w:val="en-GB"/>
        </w:rPr>
        <w:footnoteRef/>
      </w:r>
      <w:r>
        <w:rPr>
          <w:lang w:val="en-GB"/>
        </w:rPr>
        <w:t xml:space="preserve"> </w:t>
      </w:r>
      <w:r>
        <w:rPr>
          <w:lang w:val="en-GB"/>
        </w:rPr>
        <w:tab/>
      </w:r>
      <w:r>
        <w:rPr>
          <w:rFonts w:ascii="Times New Roman" w:hAnsi="Times New Roman" w:cs="Times New Roman"/>
          <w:lang w:val="en-GB"/>
        </w:rPr>
        <w:t xml:space="preserve">Agreement between the EU and the U.S. on the protection of personal data when transferred and processed for the purpose of preventing, investigating, detecting or prosecuting criminal offences, including terrorism, in the framework of police cooperation and judicial cooperation in criminal matters: </w:t>
      </w:r>
      <w:hyperlink r:id="rId3" w:history="1">
        <w:r>
          <w:rPr>
            <w:rStyle w:val="Hyperlink"/>
            <w:rFonts w:ascii="Times New Roman" w:hAnsi="Times New Roman" w:cs="Times New Roman"/>
            <w:lang w:val="en-GB"/>
          </w:rPr>
          <w:t>http://ec.europa.eu/justice/data-protection/files/dp-umbrella-agreement_en.pdf</w:t>
        </w:r>
      </w:hyperlink>
      <w:r>
        <w:rPr>
          <w:rFonts w:ascii="Times New Roman" w:hAnsi="Times New Roman" w:cs="Times New Roman"/>
          <w:lang w:val="en-GB"/>
        </w:rPr>
        <w:t xml:space="preserve"> (the “Umbrella Agreement”)</w:t>
      </w:r>
    </w:p>
  </w:footnote>
  <w:footnote w:id="55">
    <w:p w:rsidR="00140188" w:rsidRDefault="0009234B">
      <w:pPr>
        <w:pStyle w:val="FootnoteText"/>
        <w:ind w:left="360" w:hanging="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The conclusion of operational agreements with Europol and Eurojust has also been a benchmark in visa liberalisation dialogues with certain third countries, including e.g. in the context of the ongoing dialogue with Turkey. </w:t>
      </w:r>
    </w:p>
  </w:footnote>
  <w:footnote w:id="56">
    <w:p w:rsidR="00140188" w:rsidRDefault="0009234B">
      <w:pPr>
        <w:pStyle w:val="FootnoteText"/>
        <w:ind w:left="360" w:hanging="360"/>
        <w:jc w:val="both"/>
        <w:rPr>
          <w:rFonts w:ascii="Times New Roman" w:hAnsi="Times New Roman" w:cs="Times New Roman"/>
          <w:lang w:val="en-GB"/>
        </w:rPr>
      </w:pPr>
      <w:r>
        <w:rPr>
          <w:rStyle w:val="FootnoteReference"/>
          <w:rFonts w:ascii="Times New Roman" w:hAnsi="Times New Roman" w:cs="Times New Roman"/>
          <w:lang w:val="en-GB"/>
        </w:rPr>
        <w:footnoteRef/>
      </w:r>
      <w:r>
        <w:rPr>
          <w:rFonts w:ascii="Times New Roman" w:hAnsi="Times New Roman" w:cs="Times New Roman"/>
          <w:lang w:val="en-GB"/>
        </w:rPr>
        <w:t xml:space="preserve"> </w:t>
      </w:r>
      <w:r>
        <w:rPr>
          <w:rFonts w:ascii="Times New Roman" w:hAnsi="Times New Roman" w:cs="Times New Roman"/>
          <w:lang w:val="en-GB"/>
        </w:rPr>
        <w:tab/>
        <w:t xml:space="preserve">See Article 39 and recital 73 of the Police Directive. </w:t>
      </w:r>
    </w:p>
  </w:footnote>
  <w:footnote w:id="57">
    <w:p w:rsidR="00140188" w:rsidRDefault="0009234B">
      <w:pPr>
        <w:pStyle w:val="FootnoteText"/>
        <w:ind w:left="360" w:hanging="360"/>
        <w:jc w:val="both"/>
        <w:rPr>
          <w:rFonts w:ascii="Times New Roman" w:hAnsi="Times New Roman" w:cs="Times New Roman"/>
          <w:lang w:val="en-GB"/>
        </w:rPr>
      </w:pPr>
      <w:r>
        <w:rPr>
          <w:rStyle w:val="FootnoteReference"/>
          <w:rFonts w:ascii="Times New Roman" w:hAnsi="Times New Roman" w:cs="Times New Roman"/>
          <w:lang w:val="en-GB"/>
        </w:rPr>
        <w:footnoteRef/>
      </w:r>
      <w:r>
        <w:rPr>
          <w:rFonts w:ascii="Times New Roman" w:hAnsi="Times New Roman" w:cs="Times New Roman"/>
          <w:lang w:val="en-GB"/>
        </w:rPr>
        <w:t xml:space="preserve"> </w:t>
      </w:r>
      <w:r>
        <w:rPr>
          <w:rFonts w:ascii="Times New Roman" w:hAnsi="Times New Roman" w:cs="Times New Roman"/>
          <w:lang w:val="en-GB"/>
        </w:rPr>
        <w:tab/>
        <w:t>See Article 48 and recital 115 of the GDPR.</w:t>
      </w:r>
    </w:p>
  </w:footnote>
  <w:footnote w:id="58">
    <w:p w:rsidR="00140188" w:rsidRDefault="0009234B">
      <w:pPr>
        <w:pStyle w:val="FootnoteText"/>
        <w:ind w:left="360" w:hanging="360"/>
        <w:jc w:val="both"/>
        <w:rPr>
          <w:rFonts w:ascii="Times New Roman" w:hAnsi="Times New Roman" w:cs="Times New Roman"/>
          <w:i/>
          <w:iCs/>
        </w:rPr>
      </w:pPr>
      <w:r>
        <w:rPr>
          <w:rStyle w:val="FootnoteReference"/>
          <w:rFonts w:ascii="Times New Roman" w:hAnsi="Times New Roman" w:cs="Times New Roman"/>
          <w:lang w:val="en-GB"/>
        </w:rPr>
        <w:footnoteRef/>
      </w:r>
      <w:r>
        <w:rPr>
          <w:rFonts w:ascii="Times New Roman" w:hAnsi="Times New Roman" w:cs="Times New Roman"/>
          <w:lang w:val="en-GB"/>
        </w:rPr>
        <w:t xml:space="preserve"> </w:t>
      </w:r>
      <w:r>
        <w:rPr>
          <w:rFonts w:ascii="Times New Roman" w:hAnsi="Times New Roman" w:cs="Times New Roman"/>
          <w:lang w:val="en-GB"/>
        </w:rPr>
        <w:tab/>
        <w:t xml:space="preserve">Conclusions of the Council of the European Union on improving criminal justice in cyberspace, 9 June 2016: </w:t>
      </w:r>
      <w:r>
        <w:rPr>
          <w:rFonts w:ascii="Times New Roman" w:hAnsi="Times New Roman" w:cs="Times New Roman"/>
        </w:rPr>
        <w:t>www.consilium.europa.eu/en/meetings/jha/2016/06/cyberspace--en_pdf/</w:t>
      </w:r>
      <w:r>
        <w:rPr>
          <w:rFonts w:ascii="Times New Roman" w:hAnsi="Times New Roman" w:cs="Times New Roman"/>
          <w:i/>
          <w:iCs/>
        </w:rPr>
        <w:t xml:space="preserve">. </w:t>
      </w:r>
      <w:r>
        <w:rPr>
          <w:rFonts w:ascii="Times New Roman" w:hAnsi="Times New Roman" w:cs="Times New Roman"/>
          <w:iCs/>
        </w:rPr>
        <w:t>The Commission has been tasked to present deliverables on these issues to the Council by June 2017, following its progress report to the Council made in December 2016.</w:t>
      </w:r>
    </w:p>
  </w:footnote>
  <w:footnote w:id="59">
    <w:p w:rsidR="00140188" w:rsidRDefault="0009234B">
      <w:pPr>
        <w:pStyle w:val="FootnoteText"/>
        <w:ind w:left="360" w:hanging="360"/>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lang w:val="en-GB"/>
        </w:rPr>
        <w:t xml:space="preserve">See Article 25(4) of Regulation (EU) 2016/794 of the European Parliament and of the Council of 11 May 2016 on the European Union Agency for Law Enforcement Cooperation (Europol) and replacing and repealing Council Decisions 2009/371/JHA, 2009/934/JHA, 2009/935/JHA, 2009/936/JHA and 2009/968/JHA, OJ L 135, 24.5.2016 (pp. 53-114). The Commission is required to present an assessment report by 14 June 2021 on Europol's cooperation agreements concluded before 1 May 2017. </w:t>
      </w:r>
    </w:p>
  </w:footnote>
  <w:footnote w:id="60">
    <w:p w:rsidR="00140188" w:rsidRDefault="0009234B">
      <w:pPr>
        <w:pStyle w:val="FootnoteText"/>
        <w:ind w:left="360" w:hanging="360"/>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Opinion of the Court of Justice on the draft 2014 EU-Canada PNR Agreement referred to the Court by the European Parliament (Opinion 1/15). The Court was asked to assess the compatibility of the draft Agreement with the EU Charter of Fundamental Rights.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34B" w:rsidRPr="0009234B" w:rsidRDefault="0009234B" w:rsidP="000923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34B" w:rsidRPr="0009234B" w:rsidRDefault="0009234B" w:rsidP="0009234B">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34B" w:rsidRPr="0009234B" w:rsidRDefault="0009234B" w:rsidP="0009234B">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188" w:rsidRDefault="0014018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188" w:rsidRDefault="0014018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188" w:rsidRDefault="001401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96B40"/>
    <w:multiLevelType w:val="hybridMultilevel"/>
    <w:tmpl w:val="56988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B56AB"/>
    <w:multiLevelType w:val="hybridMultilevel"/>
    <w:tmpl w:val="40FA2DE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
    <w:nsid w:val="14996626"/>
    <w:multiLevelType w:val="hybridMultilevel"/>
    <w:tmpl w:val="47063164"/>
    <w:lvl w:ilvl="0" w:tplc="17BE2C34">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1CB207C2"/>
    <w:multiLevelType w:val="hybridMultilevel"/>
    <w:tmpl w:val="62E69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7C2F54"/>
    <w:multiLevelType w:val="hybridMultilevel"/>
    <w:tmpl w:val="E676FC9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B4B1F12"/>
    <w:multiLevelType w:val="hybridMultilevel"/>
    <w:tmpl w:val="68340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E657D8"/>
    <w:multiLevelType w:val="hybridMultilevel"/>
    <w:tmpl w:val="6016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EE3C54"/>
    <w:multiLevelType w:val="hybridMultilevel"/>
    <w:tmpl w:val="35D21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7D230E"/>
    <w:multiLevelType w:val="hybridMultilevel"/>
    <w:tmpl w:val="6AA4A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8E573C"/>
    <w:multiLevelType w:val="hybridMultilevel"/>
    <w:tmpl w:val="BE68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0D51AE"/>
    <w:multiLevelType w:val="hybridMultilevel"/>
    <w:tmpl w:val="80F49B0C"/>
    <w:lvl w:ilvl="0" w:tplc="120220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CB72B9"/>
    <w:multiLevelType w:val="hybridMultilevel"/>
    <w:tmpl w:val="C59C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0"/>
  </w:num>
  <w:num w:numId="4">
    <w:abstractNumId w:val="8"/>
  </w:num>
  <w:num w:numId="5">
    <w:abstractNumId w:val="4"/>
  </w:num>
  <w:num w:numId="6">
    <w:abstractNumId w:val="2"/>
  </w:num>
  <w:num w:numId="7">
    <w:abstractNumId w:val="6"/>
  </w:num>
  <w:num w:numId="8">
    <w:abstractNumId w:val="7"/>
  </w:num>
  <w:num w:numId="9">
    <w:abstractNumId w:val="11"/>
  </w:num>
  <w:num w:numId="10">
    <w:abstractNumId w:val="3"/>
  </w:num>
  <w:num w:numId="11">
    <w:abstractNumId w:val="5"/>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uno">
    <w15:presenceInfo w15:providerId="None" w15:userId="Br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029F56674393453D923B8EFF120BD2AB"/>
    <w:docVar w:name="LW_CROSSREFERENCE" w:val="&lt;UNUSED&gt;"/>
    <w:docVar w:name="LW_DocType" w:val="NORMAL"/>
    <w:docVar w:name="LW_EMISSION" w:val="10.1.2017"/>
    <w:docVar w:name="LW_EMISSION_ISODATE" w:val="2017-01-10"/>
    <w:docVar w:name="LW_EMISSION_LOCATION" w:val="BRX"/>
    <w:docVar w:name="LW_EMISSION_PREFIX" w:val="Brussels, "/>
    <w:docVar w:name="LW_EMISSION_SUFFIX" w:val=" "/>
    <w:docVar w:name="LW_ID_DOCTYPE_NONLW" w:val="CP-012"/>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7) 7"/>
    <w:docVar w:name="LW_REF.INTERNE" w:val="&lt;UNUSED&gt;"/>
    <w:docVar w:name="LW_SOUS.TITRE.OBJ.CP" w:val="&lt;UNUSED&gt;"/>
    <w:docVar w:name="LW_SUPERTITRE" w:val="&lt;UNUSED&gt;"/>
    <w:docVar w:name="LW_TITRE.OBJ.CP" w:val="Exchanging and Protecting Personal Data in a Globalised World"/>
    <w:docVar w:name="LW_TYPE.DOC.CP" w:val="COMMUNICATION FROM THE COMMISSION TO THE EUROPEAN PARLIAMENT AND THE COUNCIL"/>
    <w:docVar w:name="LW_TYPE.DOC.CP.USERTEXT" w:val="&lt;EMPTY&gt;"/>
  </w:docVars>
  <w:rsids>
    <w:rsidRoot w:val="00140188"/>
    <w:rsid w:val="0009234B"/>
    <w:rsid w:val="00094565"/>
    <w:rsid w:val="001401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outlineLvl w:val="0"/>
    </w:pPr>
    <w:rPr>
      <w:rFonts w:ascii="Times New Roman Bold" w:eastAsiaTheme="majorEastAsia" w:hAnsi="Times New Roman Bold" w:cs="Times New Roman"/>
      <w:b/>
      <w:bCs/>
      <w:smallCaps/>
      <w:sz w:val="24"/>
      <w:szCs w:val="24"/>
      <w:lang w:val="en-GB"/>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style>
  <w:style w:type="paragraph" w:styleId="FootnoteText">
    <w:name w:val="footnote text"/>
    <w:aliases w:val="Schriftart: 9 pt,Schriftart: 10 pt,Schriftart: 8 pt,WB-Fußnotentext,fn,Footnotes,Footnote ak,Footnote Text Char1 Char,Footnote Text Char Char Char,Footnote Text Char1 Char Char Char,Footnote Text Char Char Char Char Cha,Char"/>
    <w:basedOn w:val="Normal"/>
    <w:link w:val="FootnoteTextChar"/>
    <w:unhideWhenUsed/>
    <w:qFormat/>
    <w:pPr>
      <w:spacing w:after="0" w:line="240" w:lineRule="auto"/>
    </w:pPr>
    <w:rPr>
      <w:sz w:val="20"/>
      <w:szCs w:val="20"/>
    </w:rPr>
  </w:style>
  <w:style w:type="character" w:customStyle="1" w:styleId="FootnoteTextChar">
    <w:name w:val="Footnote Text Char"/>
    <w:aliases w:val="Schriftart: 9 pt Char,Schriftart: 10 pt Char,Schriftart: 8 pt Char,WB-Fußnotentext Char,fn Char,Footnotes Char,Footnote ak Char,Footnote Text Char1 Char Char,Footnote Text Char Char Char Char,Footnote Text Char1 Char Char Char Char"/>
    <w:basedOn w:val="DefaultParagraphFont"/>
    <w:link w:val="FootnoteText"/>
    <w:rPr>
      <w:sz w:val="20"/>
      <w:szCs w:val="20"/>
    </w:rPr>
  </w:style>
  <w:style w:type="character" w:styleId="FootnoteReference">
    <w:name w:val="footnote reference"/>
    <w:aliases w:val="BVI fnr,SUPERS,Footnote symbol,(Footnote Reference),Footnote,Voetnootverwijzing,Times 10 Point,Exposant 3 Point,Footnote reference number,note TESI,Odwołanie przypisu,Footnote Reference Number,Footnote Reference_LVL6,number"/>
    <w:basedOn w:val="DefaultParagraphFont"/>
    <w:link w:val="ftrefCharCharCharCharCharCharCharCharChar"/>
    <w:uiPriority w:val="99"/>
    <w:unhideWhenUsed/>
    <w:qFormat/>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lang w:val="en-GB"/>
    </w:rPr>
  </w:style>
  <w:style w:type="character" w:customStyle="1" w:styleId="FooterCoverPageChar">
    <w:name w:val="Footer Cover Page Char"/>
    <w:basedOn w:val="DefaultParagraphFont"/>
    <w:link w:val="FooterCoverPage"/>
    <w:rPr>
      <w:rFonts w:ascii="Times New Roman" w:hAnsi="Times New Roman" w:cs="Times New Roman"/>
      <w:sz w:val="24"/>
      <w:szCs w:val="24"/>
      <w:lang w:val="en-GB"/>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lang w:val="en-GB"/>
    </w:rPr>
  </w:style>
  <w:style w:type="character" w:customStyle="1" w:styleId="HeaderCoverPageChar">
    <w:name w:val="Header Cover Page Char"/>
    <w:basedOn w:val="DefaultParagraphFont"/>
    <w:link w:val="HeaderCoverPage"/>
    <w:rPr>
      <w:rFonts w:ascii="Times New Roman" w:hAnsi="Times New Roman" w:cs="Times New Roman"/>
      <w:sz w:val="24"/>
      <w:szCs w:val="24"/>
      <w:lang w:val="en-GB"/>
    </w:rPr>
  </w:style>
  <w:style w:type="character" w:customStyle="1" w:styleId="Heading1Char">
    <w:name w:val="Heading 1 Char"/>
    <w:basedOn w:val="DefaultParagraphFont"/>
    <w:link w:val="Heading1"/>
    <w:uiPriority w:val="9"/>
    <w:rPr>
      <w:rFonts w:ascii="Times New Roman Bold" w:eastAsiaTheme="majorEastAsia" w:hAnsi="Times New Roman Bold" w:cs="Times New Roman"/>
      <w:b/>
      <w:bCs/>
      <w:smallCaps/>
      <w:sz w:val="24"/>
      <w:szCs w:val="24"/>
      <w:lang w:val="en-GB"/>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paragraph" w:customStyle="1" w:styleId="Briefingtext">
    <w:name w:val="Briefing text"/>
    <w:basedOn w:val="Normal"/>
    <w:link w:val="BriefingtextChar"/>
    <w:qFormat/>
    <w:pPr>
      <w:widowControl w:val="0"/>
      <w:spacing w:after="120" w:line="240" w:lineRule="auto"/>
      <w:ind w:firstLine="142"/>
      <w:jc w:val="both"/>
    </w:pPr>
    <w:rPr>
      <w:rFonts w:ascii="Times New Roman" w:eastAsia="Calibri" w:hAnsi="Times New Roman" w:cs="Times New Roman"/>
      <w:color w:val="000000" w:themeColor="text1"/>
      <w:sz w:val="24"/>
      <w:szCs w:val="24"/>
      <w:lang w:val="en-GB" w:eastAsia="en-GB"/>
    </w:rPr>
  </w:style>
  <w:style w:type="character" w:customStyle="1" w:styleId="BriefingtextChar">
    <w:name w:val="Briefing text Char"/>
    <w:link w:val="Briefingtext"/>
    <w:rPr>
      <w:rFonts w:ascii="Times New Roman" w:eastAsia="Calibri" w:hAnsi="Times New Roman" w:cs="Times New Roman"/>
      <w:color w:val="000000" w:themeColor="text1"/>
      <w:sz w:val="24"/>
      <w:szCs w:val="24"/>
      <w:lang w:val="en-GB"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after="160" w:line="240" w:lineRule="exact"/>
    </w:pPr>
    <w:rPr>
      <w:vertAlign w:val="superscript"/>
    </w:rPr>
  </w:style>
  <w:style w:type="paragraph" w:customStyle="1" w:styleId="Briefinglist1">
    <w:name w:val="Briefing list 1"/>
    <w:basedOn w:val="Briefingtext"/>
    <w:pPr>
      <w:numPr>
        <w:numId w:val="6"/>
      </w:numPr>
      <w:tabs>
        <w:tab w:val="clear" w:pos="284"/>
        <w:tab w:val="num" w:pos="360"/>
      </w:tabs>
      <w:ind w:left="0" w:firstLine="0"/>
    </w:pPr>
    <w:rPr>
      <w:rFonts w:eastAsiaTheme="minorHAnsi"/>
      <w:color w:val="auto"/>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160" w:line="240" w:lineRule="exact"/>
      <w:jc w:val="both"/>
    </w:pPr>
    <w:rPr>
      <w:vertAlign w:val="superscript"/>
    </w:rPr>
  </w:style>
  <w:style w:type="character" w:styleId="HTMLCite">
    <w:name w:val="HTML Cite"/>
    <w:basedOn w:val="DefaultParagraphFont"/>
    <w:uiPriority w:val="99"/>
    <w:semiHidden/>
    <w:unhideWhenUse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outlineLvl w:val="0"/>
    </w:pPr>
    <w:rPr>
      <w:rFonts w:ascii="Times New Roman Bold" w:eastAsiaTheme="majorEastAsia" w:hAnsi="Times New Roman Bold" w:cs="Times New Roman"/>
      <w:b/>
      <w:bCs/>
      <w:smallCaps/>
      <w:sz w:val="24"/>
      <w:szCs w:val="24"/>
      <w:lang w:val="en-GB"/>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style>
  <w:style w:type="paragraph" w:styleId="FootnoteText">
    <w:name w:val="footnote text"/>
    <w:aliases w:val="Schriftart: 9 pt,Schriftart: 10 pt,Schriftart: 8 pt,WB-Fußnotentext,fn,Footnotes,Footnote ak,Footnote Text Char1 Char,Footnote Text Char Char Char,Footnote Text Char1 Char Char Char,Footnote Text Char Char Char Char Cha,Char"/>
    <w:basedOn w:val="Normal"/>
    <w:link w:val="FootnoteTextChar"/>
    <w:unhideWhenUsed/>
    <w:qFormat/>
    <w:pPr>
      <w:spacing w:after="0" w:line="240" w:lineRule="auto"/>
    </w:pPr>
    <w:rPr>
      <w:sz w:val="20"/>
      <w:szCs w:val="20"/>
    </w:rPr>
  </w:style>
  <w:style w:type="character" w:customStyle="1" w:styleId="FootnoteTextChar">
    <w:name w:val="Footnote Text Char"/>
    <w:aliases w:val="Schriftart: 9 pt Char,Schriftart: 10 pt Char,Schriftart: 8 pt Char,WB-Fußnotentext Char,fn Char,Footnotes Char,Footnote ak Char,Footnote Text Char1 Char Char,Footnote Text Char Char Char Char,Footnote Text Char1 Char Char Char Char"/>
    <w:basedOn w:val="DefaultParagraphFont"/>
    <w:link w:val="FootnoteText"/>
    <w:rPr>
      <w:sz w:val="20"/>
      <w:szCs w:val="20"/>
    </w:rPr>
  </w:style>
  <w:style w:type="character" w:styleId="FootnoteReference">
    <w:name w:val="footnote reference"/>
    <w:aliases w:val="BVI fnr,SUPERS,Footnote symbol,(Footnote Reference),Footnote,Voetnootverwijzing,Times 10 Point,Exposant 3 Point,Footnote reference number,note TESI,Odwołanie przypisu,Footnote Reference Number,Footnote Reference_LVL6,number"/>
    <w:basedOn w:val="DefaultParagraphFont"/>
    <w:link w:val="ftrefCharCharCharCharCharCharCharCharChar"/>
    <w:uiPriority w:val="99"/>
    <w:unhideWhenUsed/>
    <w:qFormat/>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lang w:val="en-GB"/>
    </w:rPr>
  </w:style>
  <w:style w:type="character" w:customStyle="1" w:styleId="FooterCoverPageChar">
    <w:name w:val="Footer Cover Page Char"/>
    <w:basedOn w:val="DefaultParagraphFont"/>
    <w:link w:val="FooterCoverPage"/>
    <w:rPr>
      <w:rFonts w:ascii="Times New Roman" w:hAnsi="Times New Roman" w:cs="Times New Roman"/>
      <w:sz w:val="24"/>
      <w:szCs w:val="24"/>
      <w:lang w:val="en-GB"/>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lang w:val="en-GB"/>
    </w:rPr>
  </w:style>
  <w:style w:type="character" w:customStyle="1" w:styleId="HeaderCoverPageChar">
    <w:name w:val="Header Cover Page Char"/>
    <w:basedOn w:val="DefaultParagraphFont"/>
    <w:link w:val="HeaderCoverPage"/>
    <w:rPr>
      <w:rFonts w:ascii="Times New Roman" w:hAnsi="Times New Roman" w:cs="Times New Roman"/>
      <w:sz w:val="24"/>
      <w:szCs w:val="24"/>
      <w:lang w:val="en-GB"/>
    </w:rPr>
  </w:style>
  <w:style w:type="character" w:customStyle="1" w:styleId="Heading1Char">
    <w:name w:val="Heading 1 Char"/>
    <w:basedOn w:val="DefaultParagraphFont"/>
    <w:link w:val="Heading1"/>
    <w:uiPriority w:val="9"/>
    <w:rPr>
      <w:rFonts w:ascii="Times New Roman Bold" w:eastAsiaTheme="majorEastAsia" w:hAnsi="Times New Roman Bold" w:cs="Times New Roman"/>
      <w:b/>
      <w:bCs/>
      <w:smallCaps/>
      <w:sz w:val="24"/>
      <w:szCs w:val="24"/>
      <w:lang w:val="en-GB"/>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paragraph" w:customStyle="1" w:styleId="Briefingtext">
    <w:name w:val="Briefing text"/>
    <w:basedOn w:val="Normal"/>
    <w:link w:val="BriefingtextChar"/>
    <w:qFormat/>
    <w:pPr>
      <w:widowControl w:val="0"/>
      <w:spacing w:after="120" w:line="240" w:lineRule="auto"/>
      <w:ind w:firstLine="142"/>
      <w:jc w:val="both"/>
    </w:pPr>
    <w:rPr>
      <w:rFonts w:ascii="Times New Roman" w:eastAsia="Calibri" w:hAnsi="Times New Roman" w:cs="Times New Roman"/>
      <w:color w:val="000000" w:themeColor="text1"/>
      <w:sz w:val="24"/>
      <w:szCs w:val="24"/>
      <w:lang w:val="en-GB" w:eastAsia="en-GB"/>
    </w:rPr>
  </w:style>
  <w:style w:type="character" w:customStyle="1" w:styleId="BriefingtextChar">
    <w:name w:val="Briefing text Char"/>
    <w:link w:val="Briefingtext"/>
    <w:rPr>
      <w:rFonts w:ascii="Times New Roman" w:eastAsia="Calibri" w:hAnsi="Times New Roman" w:cs="Times New Roman"/>
      <w:color w:val="000000" w:themeColor="text1"/>
      <w:sz w:val="24"/>
      <w:szCs w:val="24"/>
      <w:lang w:val="en-GB"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after="160" w:line="240" w:lineRule="exact"/>
    </w:pPr>
    <w:rPr>
      <w:vertAlign w:val="superscript"/>
    </w:rPr>
  </w:style>
  <w:style w:type="paragraph" w:customStyle="1" w:styleId="Briefinglist1">
    <w:name w:val="Briefing list 1"/>
    <w:basedOn w:val="Briefingtext"/>
    <w:pPr>
      <w:numPr>
        <w:numId w:val="6"/>
      </w:numPr>
      <w:tabs>
        <w:tab w:val="clear" w:pos="284"/>
        <w:tab w:val="num" w:pos="360"/>
      </w:tabs>
      <w:ind w:left="0" w:firstLine="0"/>
    </w:pPr>
    <w:rPr>
      <w:rFonts w:eastAsiaTheme="minorHAnsi"/>
      <w:color w:val="auto"/>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160" w:line="240" w:lineRule="exact"/>
      <w:jc w:val="both"/>
    </w:pPr>
    <w:rPr>
      <w:vertAlign w:val="superscript"/>
    </w:rPr>
  </w:style>
  <w:style w:type="character" w:styleId="HTMLCite">
    <w:name w:val="HTML Cite"/>
    <w:basedOn w:val="DefaultParagraphFont"/>
    <w:uiPriority w:val="99"/>
    <w:semiHidden/>
    <w:unhideWhenUs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41459">
      <w:bodyDiv w:val="1"/>
      <w:marLeft w:val="0"/>
      <w:marRight w:val="0"/>
      <w:marTop w:val="0"/>
      <w:marBottom w:val="0"/>
      <w:divBdr>
        <w:top w:val="none" w:sz="0" w:space="0" w:color="auto"/>
        <w:left w:val="none" w:sz="0" w:space="0" w:color="auto"/>
        <w:bottom w:val="none" w:sz="0" w:space="0" w:color="auto"/>
        <w:right w:val="none" w:sz="0" w:space="0" w:color="auto"/>
      </w:divBdr>
    </w:div>
    <w:div w:id="500513316">
      <w:bodyDiv w:val="1"/>
      <w:marLeft w:val="0"/>
      <w:marRight w:val="0"/>
      <w:marTop w:val="0"/>
      <w:marBottom w:val="0"/>
      <w:divBdr>
        <w:top w:val="none" w:sz="0" w:space="0" w:color="auto"/>
        <w:left w:val="none" w:sz="0" w:space="0" w:color="auto"/>
        <w:bottom w:val="none" w:sz="0" w:space="0" w:color="auto"/>
        <w:right w:val="none" w:sz="0" w:space="0" w:color="auto"/>
      </w:divBdr>
    </w:div>
    <w:div w:id="593170124">
      <w:bodyDiv w:val="1"/>
      <w:marLeft w:val="0"/>
      <w:marRight w:val="0"/>
      <w:marTop w:val="0"/>
      <w:marBottom w:val="0"/>
      <w:divBdr>
        <w:top w:val="none" w:sz="0" w:space="0" w:color="auto"/>
        <w:left w:val="none" w:sz="0" w:space="0" w:color="auto"/>
        <w:bottom w:val="none" w:sz="0" w:space="0" w:color="auto"/>
        <w:right w:val="none" w:sz="0" w:space="0" w:color="auto"/>
      </w:divBdr>
    </w:div>
    <w:div w:id="671489581">
      <w:bodyDiv w:val="1"/>
      <w:marLeft w:val="0"/>
      <w:marRight w:val="0"/>
      <w:marTop w:val="0"/>
      <w:marBottom w:val="0"/>
      <w:divBdr>
        <w:top w:val="none" w:sz="0" w:space="0" w:color="auto"/>
        <w:left w:val="none" w:sz="0" w:space="0" w:color="auto"/>
        <w:bottom w:val="none" w:sz="0" w:space="0" w:color="auto"/>
        <w:right w:val="none" w:sz="0" w:space="0" w:color="auto"/>
      </w:divBdr>
    </w:div>
    <w:div w:id="942374385">
      <w:bodyDiv w:val="1"/>
      <w:marLeft w:val="0"/>
      <w:marRight w:val="0"/>
      <w:marTop w:val="0"/>
      <w:marBottom w:val="0"/>
      <w:divBdr>
        <w:top w:val="none" w:sz="0" w:space="0" w:color="auto"/>
        <w:left w:val="none" w:sz="0" w:space="0" w:color="auto"/>
        <w:bottom w:val="none" w:sz="0" w:space="0" w:color="auto"/>
        <w:right w:val="none" w:sz="0" w:space="0" w:color="auto"/>
      </w:divBdr>
    </w:div>
    <w:div w:id="1074863277">
      <w:bodyDiv w:val="1"/>
      <w:marLeft w:val="0"/>
      <w:marRight w:val="0"/>
      <w:marTop w:val="0"/>
      <w:marBottom w:val="0"/>
      <w:divBdr>
        <w:top w:val="none" w:sz="0" w:space="0" w:color="auto"/>
        <w:left w:val="none" w:sz="0" w:space="0" w:color="auto"/>
        <w:bottom w:val="none" w:sz="0" w:space="0" w:color="auto"/>
        <w:right w:val="none" w:sz="0" w:space="0" w:color="auto"/>
      </w:divBdr>
    </w:div>
    <w:div w:id="1282223288">
      <w:bodyDiv w:val="1"/>
      <w:marLeft w:val="0"/>
      <w:marRight w:val="0"/>
      <w:marTop w:val="0"/>
      <w:marBottom w:val="0"/>
      <w:divBdr>
        <w:top w:val="none" w:sz="0" w:space="0" w:color="auto"/>
        <w:left w:val="none" w:sz="0" w:space="0" w:color="auto"/>
        <w:bottom w:val="none" w:sz="0" w:space="0" w:color="auto"/>
        <w:right w:val="none" w:sz="0" w:space="0" w:color="auto"/>
      </w:divBdr>
    </w:div>
    <w:div w:id="1518497961">
      <w:bodyDiv w:val="1"/>
      <w:marLeft w:val="0"/>
      <w:marRight w:val="0"/>
      <w:marTop w:val="0"/>
      <w:marBottom w:val="0"/>
      <w:divBdr>
        <w:top w:val="none" w:sz="0" w:space="0" w:color="auto"/>
        <w:left w:val="none" w:sz="0" w:space="0" w:color="auto"/>
        <w:bottom w:val="none" w:sz="0" w:space="0" w:color="auto"/>
        <w:right w:val="none" w:sz="0" w:space="0" w:color="auto"/>
      </w:divBdr>
      <w:divsChild>
        <w:div w:id="2012027945">
          <w:marLeft w:val="0"/>
          <w:marRight w:val="0"/>
          <w:marTop w:val="0"/>
          <w:marBottom w:val="0"/>
          <w:divBdr>
            <w:top w:val="none" w:sz="0" w:space="0" w:color="auto"/>
            <w:left w:val="none" w:sz="0" w:space="0" w:color="auto"/>
            <w:bottom w:val="none" w:sz="0" w:space="0" w:color="auto"/>
            <w:right w:val="none" w:sz="0" w:space="0" w:color="auto"/>
          </w:divBdr>
          <w:divsChild>
            <w:div w:id="1847557499">
              <w:marLeft w:val="0"/>
              <w:marRight w:val="0"/>
              <w:marTop w:val="0"/>
              <w:marBottom w:val="0"/>
              <w:divBdr>
                <w:top w:val="none" w:sz="0" w:space="0" w:color="auto"/>
                <w:left w:val="none" w:sz="0" w:space="0" w:color="auto"/>
                <w:bottom w:val="none" w:sz="0" w:space="0" w:color="auto"/>
                <w:right w:val="none" w:sz="0" w:space="0" w:color="auto"/>
              </w:divBdr>
              <w:divsChild>
                <w:div w:id="557739582">
                  <w:marLeft w:val="0"/>
                  <w:marRight w:val="0"/>
                  <w:marTop w:val="0"/>
                  <w:marBottom w:val="0"/>
                  <w:divBdr>
                    <w:top w:val="none" w:sz="0" w:space="0" w:color="auto"/>
                    <w:left w:val="none" w:sz="0" w:space="0" w:color="auto"/>
                    <w:bottom w:val="none" w:sz="0" w:space="0" w:color="auto"/>
                    <w:right w:val="none" w:sz="0" w:space="0" w:color="auto"/>
                  </w:divBdr>
                  <w:divsChild>
                    <w:div w:id="61686496">
                      <w:marLeft w:val="0"/>
                      <w:marRight w:val="0"/>
                      <w:marTop w:val="0"/>
                      <w:marBottom w:val="0"/>
                      <w:divBdr>
                        <w:top w:val="none" w:sz="0" w:space="0" w:color="auto"/>
                        <w:left w:val="none" w:sz="0" w:space="0" w:color="auto"/>
                        <w:bottom w:val="none" w:sz="0" w:space="0" w:color="auto"/>
                        <w:right w:val="none" w:sz="0" w:space="0" w:color="auto"/>
                      </w:divBdr>
                      <w:divsChild>
                        <w:div w:id="1275750738">
                          <w:marLeft w:val="0"/>
                          <w:marRight w:val="0"/>
                          <w:marTop w:val="0"/>
                          <w:marBottom w:val="0"/>
                          <w:divBdr>
                            <w:top w:val="none" w:sz="0" w:space="0" w:color="auto"/>
                            <w:left w:val="none" w:sz="0" w:space="0" w:color="auto"/>
                            <w:bottom w:val="none" w:sz="0" w:space="0" w:color="auto"/>
                            <w:right w:val="none" w:sz="0" w:space="0" w:color="auto"/>
                          </w:divBdr>
                          <w:divsChild>
                            <w:div w:id="1972393675">
                              <w:marLeft w:val="0"/>
                              <w:marRight w:val="0"/>
                              <w:marTop w:val="0"/>
                              <w:marBottom w:val="0"/>
                              <w:divBdr>
                                <w:top w:val="none" w:sz="0" w:space="0" w:color="auto"/>
                                <w:left w:val="none" w:sz="0" w:space="0" w:color="auto"/>
                                <w:bottom w:val="none" w:sz="0" w:space="0" w:color="auto"/>
                                <w:right w:val="none" w:sz="0" w:space="0" w:color="auto"/>
                              </w:divBdr>
                              <w:divsChild>
                                <w:div w:id="61291330">
                                  <w:marLeft w:val="0"/>
                                  <w:marRight w:val="0"/>
                                  <w:marTop w:val="0"/>
                                  <w:marBottom w:val="0"/>
                                  <w:divBdr>
                                    <w:top w:val="none" w:sz="0" w:space="0" w:color="auto"/>
                                    <w:left w:val="none" w:sz="0" w:space="0" w:color="auto"/>
                                    <w:bottom w:val="none" w:sz="0" w:space="0" w:color="auto"/>
                                    <w:right w:val="none" w:sz="0" w:space="0" w:color="auto"/>
                                  </w:divBdr>
                                  <w:divsChild>
                                    <w:div w:id="305009832">
                                      <w:marLeft w:val="0"/>
                                      <w:marRight w:val="345"/>
                                      <w:marTop w:val="0"/>
                                      <w:marBottom w:val="0"/>
                                      <w:divBdr>
                                        <w:top w:val="none" w:sz="0" w:space="0" w:color="auto"/>
                                        <w:left w:val="none" w:sz="0" w:space="0" w:color="auto"/>
                                        <w:bottom w:val="none" w:sz="0" w:space="0" w:color="auto"/>
                                        <w:right w:val="none" w:sz="0" w:space="0" w:color="auto"/>
                                      </w:divBdr>
                                      <w:divsChild>
                                        <w:div w:id="1882591807">
                                          <w:marLeft w:val="0"/>
                                          <w:marRight w:val="0"/>
                                          <w:marTop w:val="0"/>
                                          <w:marBottom w:val="0"/>
                                          <w:divBdr>
                                            <w:top w:val="none" w:sz="0" w:space="0" w:color="auto"/>
                                            <w:left w:val="none" w:sz="0" w:space="0" w:color="auto"/>
                                            <w:bottom w:val="none" w:sz="0" w:space="0" w:color="auto"/>
                                            <w:right w:val="none" w:sz="0" w:space="0" w:color="auto"/>
                                          </w:divBdr>
                                          <w:divsChild>
                                            <w:div w:id="184281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3491175">
      <w:bodyDiv w:val="1"/>
      <w:marLeft w:val="0"/>
      <w:marRight w:val="0"/>
      <w:marTop w:val="0"/>
      <w:marBottom w:val="0"/>
      <w:divBdr>
        <w:top w:val="none" w:sz="0" w:space="0" w:color="auto"/>
        <w:left w:val="none" w:sz="0" w:space="0" w:color="auto"/>
        <w:bottom w:val="none" w:sz="0" w:space="0" w:color="auto"/>
        <w:right w:val="none" w:sz="0" w:space="0" w:color="auto"/>
      </w:divBdr>
    </w:div>
    <w:div w:id="1763407971">
      <w:bodyDiv w:val="1"/>
      <w:marLeft w:val="0"/>
      <w:marRight w:val="0"/>
      <w:marTop w:val="0"/>
      <w:marBottom w:val="0"/>
      <w:divBdr>
        <w:top w:val="none" w:sz="0" w:space="0" w:color="auto"/>
        <w:left w:val="none" w:sz="0" w:space="0" w:color="auto"/>
        <w:bottom w:val="none" w:sz="0" w:space="0" w:color="auto"/>
        <w:right w:val="none" w:sz="0" w:space="0" w:color="auto"/>
      </w:divBdr>
    </w:div>
    <w:div w:id="184917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justice/data-protection/files/dp-umbrella-agreement_en.pdf" TargetMode="External"/><Relationship Id="rId2" Type="http://schemas.openxmlformats.org/officeDocument/2006/relationships/hyperlink" Target="https://privacyenforcement.net/" TargetMode="External"/><Relationship Id="rId1" Type="http://schemas.openxmlformats.org/officeDocument/2006/relationships/hyperlink" Target="http://www.ohchr.org/EN/Issues/Privacy/SR/Pages/SRPrivacy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17C5E-34DD-4BB4-9E48-09296D371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6196</Words>
  <Characters>29808</Characters>
  <Application>Microsoft Office Word</Application>
  <DocSecurity>0</DocSecurity>
  <Lines>1490</Lines>
  <Paragraphs>1333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34671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PAREDES ECHAURI Cristina (CAB-ALMUNIA)</cp:lastModifiedBy>
  <cp:revision>18</cp:revision>
  <cp:lastPrinted>2017-01-06T13:13:00Z</cp:lastPrinted>
  <dcterms:created xsi:type="dcterms:W3CDTF">2017-01-06T13:13:00Z</dcterms:created>
  <dcterms:modified xsi:type="dcterms:W3CDTF">2017-01-11T15:25:00Z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