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955B9D7AD54D4CD98B53C163438DF0E2" style="width:450.8pt;height:451.4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ANNEXE</w:t>
      </w:r>
    </w:p>
    <w:tbl>
      <w:tblPr>
        <w:tblW w:w="7680" w:type="dxa"/>
        <w:tblInd w:w="93" w:type="dxa"/>
        <w:tblLook w:val="04A0" w:firstRow="1" w:lastRow="0" w:firstColumn="1" w:lastColumn="0" w:noHBand="0" w:noVBand="1"/>
      </w:tblPr>
      <w:tblGrid>
        <w:gridCol w:w="5000"/>
        <w:gridCol w:w="2680"/>
      </w:tblGrid>
      <w:tr>
        <w:trPr>
          <w:trHeight w:val="630"/>
        </w:trPr>
        <w:tc>
          <w:tcPr>
            <w:tcW w:w="5000" w:type="dxa"/>
            <w:tcBorders>
              <w:top w:val="single" w:sz="8" w:space="0" w:color="auto"/>
              <w:left w:val="single" w:sz="4" w:space="0" w:color="auto"/>
              <w:bottom w:val="single" w:sz="4" w:space="0" w:color="auto"/>
              <w:right w:val="single" w:sz="4" w:space="0" w:color="auto"/>
            </w:tcBorders>
            <w:shd w:val="clear" w:color="auto" w:fill="auto"/>
            <w:hideMark/>
          </w:tcPr>
          <w:p>
            <w:pPr>
              <w:spacing w:before="0" w:after="0"/>
              <w:jc w:val="left"/>
              <w:rPr>
                <w:rFonts w:eastAsia="Times New Roman"/>
                <w:b/>
                <w:bCs/>
                <w:noProof/>
                <w:szCs w:val="24"/>
              </w:rPr>
            </w:pPr>
            <w:r>
              <w:rPr>
                <w:b/>
                <w:noProof/>
              </w:rPr>
              <w:t>Titre du point de l’ordre du jour</w:t>
            </w:r>
          </w:p>
        </w:tc>
        <w:tc>
          <w:tcPr>
            <w:tcW w:w="2680" w:type="dxa"/>
            <w:tcBorders>
              <w:top w:val="single" w:sz="8" w:space="0" w:color="auto"/>
              <w:left w:val="nil"/>
              <w:bottom w:val="single" w:sz="4" w:space="0" w:color="auto"/>
              <w:right w:val="single" w:sz="4" w:space="0" w:color="auto"/>
            </w:tcBorders>
            <w:shd w:val="clear" w:color="auto" w:fill="auto"/>
            <w:hideMark/>
          </w:tcPr>
          <w:p>
            <w:pPr>
              <w:spacing w:before="0" w:after="0"/>
              <w:jc w:val="left"/>
              <w:rPr>
                <w:rFonts w:eastAsia="Times New Roman"/>
                <w:b/>
                <w:bCs/>
                <w:noProof/>
                <w:szCs w:val="24"/>
              </w:rPr>
            </w:pPr>
            <w:r>
              <w:rPr>
                <w:b/>
                <w:noProof/>
              </w:rPr>
              <w:t>Référence du document</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17 à la série 02 d’amendements au règlement nº 3 (dispositifs catadioptriques)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ECE/TRANS/WP.29/2017/19</w:t>
            </w:r>
          </w:p>
        </w:tc>
      </w:tr>
      <w:tr>
        <w:trPr>
          <w:trHeight w:val="549"/>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18 au règlement nº 4 (dispositifs d’éclairage de la plaque arrière d’immatriculation)</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ECE/TRANS/WP.29/2017/20 + WP.29-171-03</w:t>
            </w:r>
          </w:p>
        </w:tc>
      </w:tr>
      <w:tr>
        <w:trPr>
          <w:trHeight w:val="473"/>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27 à la série 01 d’amendements au règlement nº 6 (feux indicateurs de direction)</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ECE/TRANS/WP.29/2017/21 + WP.29-171-03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26 à la série 02 d’amendements au règlement nº 7 (feux de position, feux-stop et feux d’encombrement)</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ECE/TRANS/WP.29/2017/22 + WP.29-171-03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rectificatif 2 à la révision 8 du règlement nº 13 (freinage des véhicules lourds)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ECE/TRANS/WP.29/2017/45</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9 à la série 04 d’amendements au règlement nº 19 (feux de brouillard avant)</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ECE/TRANS/WP.29/2017/23 + WP.29-171-03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21 au règlement nº 23 (feux de marche arrière)</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ECE/TRANS/WP.29/2017/24 + WP.29-171-03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 à la série 04 d’amendements au règlement nº 27 (triangles de présignalisation)</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ECE/TRANS/WP.29/2017/25</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 xml:space="preserve">Proposition de complément 5 au règlement nº 28 (avertisseurs sonores) </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18 au règlement nº 38 (feux de brouillard arrière)</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ECE/TRANS/WP.29/2017/26 + WP.29-171-03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 à la série 01 d’amendements au règlement nº 39 (indicateur de vitesse/compteur kilométrique)</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ECE/TRANS/WP.29/2017/11</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5 à la série 01 d’amendements au règlement nº 43 (vitrages de sécurité)</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ECE/TRANS/WP.29/2017/12</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11 à la série 01 d’amendements au règlement nº 45 (nettoie-projecteurs)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ECE/TRANS/WP.29/2017/27</w:t>
            </w:r>
          </w:p>
        </w:tc>
      </w:tr>
      <w:tr>
        <w:trPr>
          <w:trHeight w:val="657"/>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Règlement nº 48 (installation des dispositifs d’éclairage et de signalisation lumineuse): proposition de complément 9 à la série 06 d’amendements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WP.29-171-03</w:t>
            </w:r>
          </w:p>
        </w:tc>
      </w:tr>
      <w:tr>
        <w:trPr>
          <w:trHeight w:val="765"/>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19 au règlement nº 50 (feux de position, feux-stop, feux indicateurs de direction pour cyclomoteurs et motocycles)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ECE/TRANS/WP.29/2017/28 + WP.29-171-03</w:t>
            </w:r>
          </w:p>
        </w:tc>
      </w:tr>
      <w:tr>
        <w:trPr>
          <w:trHeight w:val="765"/>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6 à la série 01 d’amendements au règlement nº 69 (plaques de signalisation arrière pour véhicules lents)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ECE/TRANS/WP.29/2017/30</w:t>
            </w:r>
          </w:p>
        </w:tc>
      </w:tr>
      <w:tr>
        <w:trPr>
          <w:trHeight w:val="765"/>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10 à la série 01 d’amendements au règlement nº 70 (plaques de signalisation arrière pour véhicules lourds et longs)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ECE/TRANS/WP.29/2017/31</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 à la série 01 d’amendements au règlement nº 73 (dispositifs de protection latérale)</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ECE/TRANS/WP.29/2017/17</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16 au règlement nº 75 (pneumatiques des véhicules de la catégorie L)</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ECE/TRANS/WP.29/2017/8</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17 au règlement nº 77 (feux de stationnement)</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ECE/TRANS/WP.29/2017/32 + WP.29-171-03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6 à la série 01 d’amendements au règlement nº 79 (équipement de direction)</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hAnsi="Times"/>
                <w:noProof/>
                <w:sz w:val="20"/>
                <w:lang w:val="en-GB"/>
              </w:rPr>
            </w:pPr>
            <w:r>
              <w:rPr>
                <w:rFonts w:ascii="Times" w:hAnsi="Times"/>
                <w:noProof/>
                <w:sz w:val="20"/>
                <w:lang w:val="en-GB"/>
              </w:rPr>
              <w:t>ECE/TRANS/WP.29/2017/10</w:t>
            </w:r>
          </w:p>
          <w:p>
            <w:pPr>
              <w:spacing w:before="0" w:after="0"/>
              <w:jc w:val="left"/>
              <w:rPr>
                <w:rFonts w:ascii="Times" w:eastAsia="Times New Roman" w:hAnsi="Times" w:cs="Times"/>
                <w:noProof/>
                <w:sz w:val="20"/>
                <w:szCs w:val="20"/>
                <w:lang w:val="en-GB"/>
              </w:rPr>
            </w:pPr>
            <w:r>
              <w:rPr>
                <w:rFonts w:ascii="Times" w:hAnsi="Times"/>
                <w:noProof/>
                <w:sz w:val="20"/>
                <w:lang w:val="en-GB"/>
              </w:rPr>
              <w:t>+ GRRF-83-08-Rev.3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lastRenderedPageBreak/>
              <w:t>Proposition de complément 9 à la série 06 d’amendements au règlement nº 83 (émissions des véhicules des catégories M1 et N1)</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ECE/TRANS/WP.29/2017/42</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5 à la série 07 d’amendements au règlement nº 83 (émissions des véhicules des catégories M1 et N1)</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ECE/TRANS/WP.29/2017/43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19 au règlement nº 87 (feux de circulation diurne)</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ECE/TRANS/WP.29/2017/33 + WP.29-171-03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16 au règlement nº 91 (feux de position latéraux)</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ECE/TRANS/WP.29/2017/34 + WP.29-171-03</w:t>
            </w:r>
          </w:p>
        </w:tc>
      </w:tr>
      <w:tr>
        <w:trPr>
          <w:trHeight w:val="765"/>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8 à la série 01 d’amendements au règlement nº 98 (projecteurs de véhicules munis de sources lumineuses à décharge)</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ECE/TRANS/WP.29/2017/35 + WP.29-171-03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13 au règlement nº 99 (sources lumineuses à décharge)</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ECE/TRANS/WP.29/2017/36</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7 à la série 01 d’amendements au règlement nº 101 (émissions de CO2/consommation de carburant)</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ECE/TRANS/WP.29/2017/44</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9 au règlement nº 104 (marquages rétroréfléchissants)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ECE/TRANS/WP.29/2017/37</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rectificatif 2 à la série 06 d’amendements au règlement nº 107 (véhicules des catégories M2 et M3)</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ECE/TRANS/WP.29/2017/13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rectificatif 1 à la série 07 d’amendements au règlement nº 107 (véhicules des catégories M2 et M3)</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ECE/TRANS/WP.29/2017/14</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8 au règlement nº 109 (pneumatiques rechapés pour les véhicules utilitaires et leurs remorques)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ECE/TRANS/WP.29/2017/9</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6 à la série 01 d’amendements au règlement nº 110 (véhicules alimentés au GNC/GNL)</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 xml:space="preserve">ECE/TRANS/WP.29/2017/15 </w:t>
            </w:r>
          </w:p>
        </w:tc>
      </w:tr>
      <w:tr>
        <w:trPr>
          <w:trHeight w:val="765"/>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7 à la série 01 d’amendements au règlement nº 112 (projecteurs émettant un faisceau de croisement asymétrique)</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ECE/TRANS/WP.29/2017/38 + WP.29-171-03</w:t>
            </w:r>
          </w:p>
        </w:tc>
      </w:tr>
      <w:tr>
        <w:trPr>
          <w:trHeight w:val="765"/>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7 à la série 01 d’amendements au règlement nº 113 (projecteurs émettant un faisceau de croisement symétrique)</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hAnsi="Times"/>
                <w:noProof/>
                <w:sz w:val="20"/>
              </w:rPr>
            </w:pPr>
            <w:r>
              <w:rPr>
                <w:rFonts w:ascii="Times" w:hAnsi="Times"/>
                <w:noProof/>
                <w:sz w:val="20"/>
              </w:rPr>
              <w:t>ECE/TRANS/WP.29/2017/39 + WP.29-171-03</w:t>
            </w:r>
          </w:p>
          <w:p>
            <w:pPr>
              <w:spacing w:before="0" w:after="0"/>
              <w:jc w:val="left"/>
              <w:rPr>
                <w:rFonts w:ascii="Times" w:eastAsia="Times New Roman" w:hAnsi="Times" w:cs="Times"/>
                <w:noProof/>
                <w:sz w:val="20"/>
                <w:szCs w:val="20"/>
              </w:rPr>
            </w:pPr>
            <w:r>
              <w:rPr>
                <w:rFonts w:ascii="Times" w:hAnsi="Times"/>
                <w:noProof/>
                <w:sz w:val="20"/>
              </w:rPr>
              <w:t>+ WP.29-171-04</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3 à la série 02 d’amendements au règlement nº 118 (résistance au feu)</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ECE/TRANS/WP.29/2017/16</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série 03 d’amendements au règlement nº 118 (résistance au feu)</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ECE/TRANS/WP.29/2017/18</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5 à la série 01 d’amendements au règlement nº 119 (feux d’angle)</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ECE/TRANS/WP.29/2017/40 + WP.29-171-03</w:t>
            </w:r>
          </w:p>
        </w:tc>
      </w:tr>
      <w:tr>
        <w:trPr>
          <w:trHeight w:val="765"/>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8 à la série 01 d’amendements au règlement nº 123 [systèmes d’éclairage avant actifs (AFS)]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ECE/TRANS/WP.29/2017/41 + WP.29-171-03</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complément 1 au règlement nº 138 (véhicules à moteur silencieux)</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ECE/TRANS/WP.29/2017/6</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série 01 d’amendements au règlement nº 138 (véhicules à moteur silencieux)</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ECE/TRANS/WP.29/2017/7</w:t>
            </w:r>
          </w:p>
        </w:tc>
      </w:tr>
      <w:tr>
        <w:trPr>
          <w:trHeight w:val="510"/>
        </w:trPr>
        <w:tc>
          <w:tcPr>
            <w:tcW w:w="5000" w:type="dxa"/>
            <w:tcBorders>
              <w:top w:val="nil"/>
              <w:left w:val="single" w:sz="4" w:space="0" w:color="auto"/>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Proposition de projet de directive sur la cybersécurité et la protection des données</w:t>
            </w:r>
          </w:p>
        </w:tc>
        <w:tc>
          <w:tcPr>
            <w:tcW w:w="2680" w:type="dxa"/>
            <w:tcBorders>
              <w:top w:val="nil"/>
              <w:left w:val="nil"/>
              <w:bottom w:val="single" w:sz="4" w:space="0" w:color="auto"/>
              <w:right w:val="single" w:sz="4" w:space="0" w:color="auto"/>
            </w:tcBorders>
            <w:shd w:val="clear" w:color="auto" w:fill="auto"/>
            <w:hideMark/>
          </w:tcPr>
          <w:p>
            <w:pPr>
              <w:spacing w:before="0" w:after="0"/>
              <w:jc w:val="left"/>
              <w:rPr>
                <w:rFonts w:ascii="Times" w:eastAsia="Times New Roman" w:hAnsi="Times" w:cs="Times"/>
                <w:noProof/>
                <w:sz w:val="20"/>
                <w:szCs w:val="20"/>
              </w:rPr>
            </w:pPr>
            <w:r>
              <w:rPr>
                <w:rFonts w:ascii="Times" w:hAnsi="Times"/>
                <w:noProof/>
                <w:sz w:val="20"/>
              </w:rPr>
              <w:t>ECE/TRANS/WP.29/2017/46</w:t>
            </w:r>
          </w:p>
        </w:tc>
      </w:tr>
    </w:tbl>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2942DF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6C83C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BD4DD1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2B0373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B94DC2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6168A0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696E"/>
    <w:lvl w:ilvl="0">
      <w:start w:val="1"/>
      <w:numFmt w:val="decimal"/>
      <w:pStyle w:val="ListNumber"/>
      <w:lvlText w:val="%1."/>
      <w:lvlJc w:val="left"/>
      <w:pPr>
        <w:tabs>
          <w:tab w:val="num" w:pos="360"/>
        </w:tabs>
        <w:ind w:left="360" w:hanging="360"/>
      </w:pPr>
    </w:lvl>
  </w:abstractNum>
  <w:abstractNum w:abstractNumId="7">
    <w:nsid w:val="FFFFFF89"/>
    <w:multiLevelType w:val="singleLevel"/>
    <w:tmpl w:val="240C62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2-15 16:23:0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à la"/>
    <w:docVar w:name="LW_ACCOMPAGNANT.CP" w:val="à la"/>
    <w:docVar w:name="LW_ANNEX_NBR_FIRST" w:val="1"/>
    <w:docVar w:name="LW_ANNEX_NBR_LAST" w:val="1"/>
    <w:docVar w:name="LW_CONFIDENCE" w:val=" "/>
    <w:docVar w:name="LW_CONST_RESTREINT_UE" w:val="RESTREINT UE"/>
    <w:docVar w:name="LW_CORRIGENDUM" w:val="&lt;UNUSED&gt;"/>
    <w:docVar w:name="LW_COVERPAGE_GUID" w:val="955B9D7AD54D4CD98B53C163438DF0E2"/>
    <w:docVar w:name="LW_CROSSREFERENCE" w:val="&lt;UNUSED&gt;"/>
    <w:docVar w:name="LW_DocType" w:val="ANNEX"/>
    <w:docVar w:name="LW_EMISSION" w:val="22.2.2017"/>
    <w:docVar w:name="LW_EMISSION_ISODATE" w:val="2017-02-22"/>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 w:val="établissant la position à adopter au nom de l\u8217?Union européenne au sein des comités compétents de la Commission économique pour l\u8217?Europe des Nations unies, sur les propositions d\u8217?amendements aux règlements nos&lt;LWCR:NBS&gt;3, 4, 6, 7, 13, 19, 23, 27, 28, 38, 39, 43, 45, 48, 50, 69, 70, 73, 75, 77, 79, 83, 87, 91, 98, 99, 101, 104, 107, 109, 110, 112, 113, 118, 119, 123 et 138 de l\u8217?ONU et sur la proposition de modification de la Résolution d\u8217?ensemble sur la construction des véhicules (R.E.3) au moyen de lignes directrices sur la cybersécurité et la protection des données"/>
    <w:docVar w:name="LW_OBJETACTEPRINCIPAL.CP" w:val="établissant la position à adopter au nom de l\u8217?Union européenne au sein des comités compétents de la Commission économique pour l\u8217?Europe des Nations unies, sur les propositions d\u8217?amendements aux règlements nos 3, 4, 6, 7, 13, 19, 23, 27, 28, 38, 39, 43, 45, 48, 50, 69, 70, 73, 75, 77, 79, 83, 87, 91, 98, 99, 101, 104, 107, 109, 110, 112, 113, 118, 119, 123 et 138 de l\u8217?ONU et sur la proposition de modification de la Résolution d\u8217?ensemble sur la construction des véhicules (R.E.3) au moyen de lignes directrices sur la cybersécurité et la protection des données"/>
    <w:docVar w:name="LW_PART_NBR" w:val="1"/>
    <w:docVar w:name="LW_PART_NBR_TOTAL" w:val="1"/>
    <w:docVar w:name="LW_REF.INST.NEW" w:val="COM"/>
    <w:docVar w:name="LW_REF.INST.NEW_ADOPTED" w:val="final"/>
    <w:docVar w:name="LW_REF.INST.NEW_TEXT" w:val="(2017) 86"/>
    <w:docVar w:name="LW_REF.INTERNE" w:val="&lt;UNUSED&gt;"/>
    <w:docVar w:name="LW_SUPERTITRE" w:val="&lt;UNUSED&gt;"/>
    <w:docVar w:name="LW_TITRE.OBJ.CP" w:val="&lt;UNUSED&gt;"/>
    <w:docVar w:name="LW_TYPE.DOC" w:val="ANNEXE"/>
    <w:docVar w:name="LW_TYPE.DOC.CP" w:val="ANNEXE"/>
    <w:docVar w:name="LW_TYPEACTEPRINCIPAL" w:val="proposition de décision du Conseil"/>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3</Pages>
  <Words>771</Words>
  <Characters>5022</Characters>
  <Application>Microsoft Office Word</Application>
  <DocSecurity>0</DocSecurity>
  <Lines>167</Lines>
  <Paragraphs>103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BRASSART Odile (GROW)</dc:creator>
  <cp:lastModifiedBy>DIGIT/A3</cp:lastModifiedBy>
  <cp:revision>7</cp:revision>
  <cp:lastPrinted>2017-01-18T15:34:00Z</cp:lastPrinted>
  <dcterms:created xsi:type="dcterms:W3CDTF">2017-02-03T16:21:00Z</dcterms:created>
  <dcterms:modified xsi:type="dcterms:W3CDTF">2017-02-15T15:23:00Z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