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72DCBF80074421F9B9857F242941A56" style="width:450.8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tbl>
      <w:tblPr>
        <w:tblW w:w="7680" w:type="dxa"/>
        <w:tblInd w:w="93" w:type="dxa"/>
        <w:tblLook w:val="04A0" w:firstRow="1" w:lastRow="0" w:firstColumn="1" w:lastColumn="0" w:noHBand="0" w:noVBand="1"/>
      </w:tblPr>
      <w:tblGrid>
        <w:gridCol w:w="5000"/>
        <w:gridCol w:w="2680"/>
      </w:tblGrid>
      <w:tr>
        <w:trPr>
          <w:trHeight w:val="630"/>
        </w:trPr>
        <w:tc>
          <w:tcPr>
            <w:tcW w:w="5000" w:type="dxa"/>
            <w:tcBorders>
              <w:top w:val="single" w:sz="8" w:space="0" w:color="auto"/>
              <w:left w:val="single" w:sz="4"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rFonts w:eastAsia="Times New Roman"/>
                <w:b/>
                <w:bCs/>
                <w:noProof/>
                <w:szCs w:val="24"/>
              </w:rPr>
              <w:t>Agenda item title</w:t>
            </w:r>
          </w:p>
        </w:tc>
        <w:tc>
          <w:tcPr>
            <w:tcW w:w="268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rFonts w:eastAsia="Times New Roman"/>
                <w:b/>
                <w:bCs/>
                <w:noProof/>
                <w:szCs w:val="24"/>
              </w:rPr>
              <w:t>Document reference</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17 to the 02 series of amendments to Regulation No. 3 (Retro-reflecting devices)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ECE/TRANS/WP.29/2017/19</w:t>
            </w:r>
          </w:p>
        </w:tc>
      </w:tr>
      <w:tr>
        <w:trPr>
          <w:trHeight w:val="549"/>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18 to Regulation No. 4 (Illumination of rear registration plates)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ECE/TRANS/WP.29/2017/20 + WP.29-171-03</w:t>
            </w:r>
          </w:p>
        </w:tc>
      </w:tr>
      <w:tr>
        <w:trPr>
          <w:trHeight w:val="473"/>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27 to the 01 series of amendments to Regulation No. 6 (Direction indicators)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ECE/TRANS/WP.29/2017/21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26 to the 02 series of amendments to Regulation No. 7 (Position, stop and end-outline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ECE/TRANS/WP.29/2017/22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Corrigendum 2 to Revision 8 to Regulation No. 13 (Heavy vehicle braking)</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ECE/TRANS/WP.29/2017/45</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9 to the 04 series of amendments to Regulation No. 19 (Front fog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ECE/TRANS/WP.29/2017/23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21 to Regulation No. 23 (Reversing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ECE/TRANS/WP.29/2017/24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 to the 04 series of amendments to Regulation No. 27 (Advance warning triangles)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ECE/TRANS/WP.29/2017/25</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 xml:space="preserve">Proposal for Supplement 5 to Regulation No. 28 (Audible warning devices)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18 to Regulation No. 38 (Rear fog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ECE/TRANS/WP.29/2017/26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 to the 01 series of amendments to Regulation No. 39 (Speedometer and odometer)</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ECE/TRANS/WP.29/2017/11</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5 to the 01 series of amendments to Regulation No. 43 (Safety glazing)</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ECE/TRANS/WP.29/2017/12</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11 to the 01 series of amendments to Regulation No. 45 (Headlamp cleaners)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ECE/TRANS/WP.29/2017/27</w:t>
            </w:r>
          </w:p>
        </w:tc>
      </w:tr>
      <w:tr>
        <w:trPr>
          <w:trHeight w:val="657"/>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Regulation No. 48 (Installation of lighting and light-signalling devices) : Proposals for Supplement 9 to the 06 series of amendments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WP.29-171-03</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19 to Regulation No. 50 (Position, stop, direction indicator lamps for mopeds and motorcycles)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ECE/TRANS/WP.29/2017/28 + WP.29-171-03</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6 to the 01 series of amendments to Regulation No. 69 (Rear-marking plates for slow moving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ECE/TRANS/WP.29/2017/30</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10 to the 01 series of amendments to Regulation No. 70 (Rear-marking plates for heavy and long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ECE/TRANS/WP.29/2017/31</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 to the 01 series of amendments to Regulation No. 73 (Lateral protection devices)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ECE/TRANS/WP.29/2017/17</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16 to Regulation No. 75 (Tyres for L-category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ECE/TRANS/WP.29/2017/8</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17 to Regulation No. 77 (Parking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ECE/TRANS/WP.29/2017/32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6 to the 01 series of amendments to Regulation No. 79 (Steering equipment)</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ECE/TRANS/WP.29/2017/10</w:t>
            </w:r>
          </w:p>
          <w:p>
            <w:pPr>
              <w:spacing w:before="0" w:after="0"/>
              <w:jc w:val="left"/>
              <w:rPr>
                <w:rFonts w:ascii="Times" w:eastAsia="Times New Roman" w:hAnsi="Times" w:cs="Times"/>
                <w:noProof/>
                <w:sz w:val="20"/>
                <w:szCs w:val="20"/>
              </w:rPr>
            </w:pPr>
            <w:r>
              <w:rPr>
                <w:rFonts w:ascii="Times" w:eastAsia="Times New Roman" w:hAnsi="Times" w:cs="Times"/>
                <w:noProof/>
                <w:sz w:val="20"/>
                <w:szCs w:val="20"/>
              </w:rPr>
              <w:t>+ GRRF-83-08-Rev.3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9 to the 06 series of amendments to Regulation No. 83 (Emissions of M1 and N1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ECE/TRANS/WP.29/2017/42</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lastRenderedPageBreak/>
              <w:t>Proposal for Supplement 5 to the 07 series of amendments to Regulation No. 83 (Emissions of M1 and N1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19 to Regulation No. 87 (Daytime running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ECE/TRANS/WP.29/2017/33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16 to Regulation No. 91 (Side-marker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ECE/TRANS/WP.29/2017/34 + WP.29-171-03</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8 to the 01 series of amendments to Regulation No. 98 (Headlamps with gas-discharge light sources)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ECE/TRANS/WP.29/2017/35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13 to Regulation No. 99 (Gas-discharge light sources)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ECE/TRANS/WP.29/2017/36</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7 to the 01 series of amendments to Regulation No. 101 (CO2 emissions/fuel consumption)</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ECE/TRANS/WP.29/2017/44</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9 to Regulation No. 104 (Retro-reflective markings)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ECE/TRANS/WP.29/2017/37</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Corrigendum 2 to the 06 series of amendments to Regulation No. 107 (M2 and M3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Corrigendum 1 to the 07 series of amendments to Regulation No. 107 (M2 and M3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ECE/TRANS/WP.29/2017/14</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8 to Regulation No. 109 (Retreaded tyres for commercial vehicles and their trailers)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ECE/TRANS/WP.29/2017/9</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6 to the 01 series of amendments to Regulation No. 110 (CNG and LNG vehicles)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 xml:space="preserve">ECE/TRANS/WP.29/2017/15 </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7 to the 01 series of amendments to Regulation No. 112 (Headlamps emitting an asymmetrical passing-beam)</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ECE/TRANS/WP.29/2017/38 + WP.29-171-03</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7 to the 01 series of amendments to Regulation No. 113 (Headlamps emitting a symmetrical passing-beam)</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ECE/TRANS/WP.29/2017/39 + WP.29-171-03</w:t>
            </w:r>
          </w:p>
          <w:p>
            <w:pPr>
              <w:spacing w:before="0" w:after="0"/>
              <w:jc w:val="left"/>
              <w:rPr>
                <w:rFonts w:ascii="Times" w:eastAsia="Times New Roman" w:hAnsi="Times" w:cs="Times"/>
                <w:noProof/>
                <w:sz w:val="20"/>
                <w:szCs w:val="20"/>
              </w:rPr>
            </w:pPr>
            <w:r>
              <w:rPr>
                <w:rFonts w:ascii="Times" w:eastAsia="Times New Roman" w:hAnsi="Times" w:cs="Times"/>
                <w:noProof/>
                <w:sz w:val="20"/>
                <w:szCs w:val="20"/>
              </w:rPr>
              <w:t>+ WP.29-171-04</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3 to the 02 series of amendments to Regulation No. 118 (Burning behaviour of materials)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ECE/TRANS/WP.29/2017/16</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the 03 series of amendments to Regulation No. 118 (Burning behaviour of materials)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ECE/TRANS/WP.29/2017/18</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5 to the 01 series of amendments to Regulation No. 119 (Cornering lamps)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ECE/TRANS/WP.29/2017/40 + WP.29-171-03</w:t>
            </w:r>
          </w:p>
        </w:tc>
      </w:tr>
      <w:tr>
        <w:trPr>
          <w:trHeight w:val="765"/>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8 to the 01 series of amendments to Regulation No. 123 (Adaptive front-lighting systems (AFS))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ECE/TRANS/WP.29/2017/41 + WP.29-171-03</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Supplement 1 to Regulation No. 138 (Quiet Road Transport Vehicles (QRTV))</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ECE/TRANS/WP.29/2017/6</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the 01 series of amendments to Regulation No. 138 (Quiet Road Transport Vehicles (QRTV))</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ECE/TRANS/WP.29/2017/7</w:t>
            </w:r>
          </w:p>
        </w:tc>
      </w:tr>
      <w:tr>
        <w:trPr>
          <w:trHeight w:val="510"/>
        </w:trPr>
        <w:tc>
          <w:tcPr>
            <w:tcW w:w="500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Proposal for draft guidelines on cyber security and data protection</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eastAsia="Times New Roman" w:hAnsi="Times" w:cs="Times"/>
                <w:noProof/>
                <w:sz w:val="20"/>
                <w:szCs w:val="20"/>
              </w:rPr>
              <w:t>ECE/TRANS/WP.29/2017/46</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5 16:23: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872DCBF80074421F9B9857F242941A56"/>
    <w:docVar w:name="LW_CROSSREFERENCE" w:val="&lt;UNUSED&gt;"/>
    <w:docVar w:name="LW_DocType" w:val="ANNEX"/>
    <w:docVar w:name="LW_EMISSION" w:val="22.2.2017"/>
    <w:docVar w:name="LW_EMISSION_ISODATE" w:val="2017-02-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behalf of the European Union in the relevant Committees of the United Nations Economic Commission for Europe as regards the proposals for amendments to UN Regulations Nos. 3, 4, 6, 7, 13, 19, 23, 27, 28, 38, 39, 43, 45, 48, 50, 69, 70, 73, 75, 77, 79, 83, 87, 91, 98, 99, 101, 104, 107, 109, 110, 112, 113, 118, 119, 123 and 138, and one proposal for amending the Consolidated Resolution on the Construction of Vehicles (R.E.3) by guidelines on cyber security and data protection"/>
    <w:docVar w:name="LW_PART_NBR" w:val="&lt;UNUSED&gt;"/>
    <w:docVar w:name="LW_PART_NBR_TOTAL" w:val="&lt;UNUSED&gt;"/>
    <w:docVar w:name="LW_REF.INST.NEW" w:val="COM"/>
    <w:docVar w:name="LW_REF.INST.NEW_ADOPTED" w:val="final"/>
    <w:docVar w:name="LW_REF.INST.NEW_TEXT" w:val="(2017) 86"/>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747</Words>
  <Characters>4760</Characters>
  <Application>Microsoft Office Word</Application>
  <DocSecurity>0</DocSecurity>
  <Lines>158</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2017-01-18T15:34:00Z</cp:lastPrinted>
  <dcterms:created xsi:type="dcterms:W3CDTF">2017-02-02T09:49:00Z</dcterms:created>
  <dcterms:modified xsi:type="dcterms:W3CDTF">2017-02-15T15:23:00Z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