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53F14068CF14BA09894CA2DC53BCA0E" style="width:450.35pt;height:434.0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Икономическата комисия за Европа на Организацията на обединените нации (ИКЕ на ООН) разработва на международно равнище хармонизирани изисквания, чиято цел е да се отстранят техническите пречки пред търговията с моторни превозни средства между договарящите се страни по Ревизираното споразумение от 1958 г. и да се гарантира, че тези превозни средства осигуряват висока степен на безопасност и опазване на околната среда.</w:t>
      </w:r>
    </w:p>
    <w:p>
      <w:pPr>
        <w:rPr>
          <w:noProof/>
        </w:rPr>
      </w:pPr>
      <w:r>
        <w:rPr>
          <w:noProof/>
        </w:rPr>
        <w:t>В съответствие с Решение 97/836/ЕО на Съвета от 27 ноември 1997 г.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а в съответствие с 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Съюзът се присъедини към Паралелното споразумение.</w:t>
      </w:r>
    </w:p>
    <w:p>
      <w:pPr>
        <w:rPr>
          <w:noProof/>
        </w:rPr>
      </w:pPr>
      <w:r>
        <w:rPr>
          <w:noProof/>
        </w:rPr>
        <w:t>Заседанията на Работна група 29 (WP.29) на ИКЕ на ООН — Световния форум за хармонизация на правилата за превозните средства — се провеждат три пъти всяка календарна година — през март, юни и ноември. На всяко заседание се приемат нови правила на ООН, изменения на съществуващи правила на ООН или глобални технически правила на ООН (ГТП на ООН), за да се отчете техническият прогрес. Преди всяко заседание на Работна група 29 една от шестте работни комисии към нея приема тези изменения.</w:t>
      </w:r>
    </w:p>
    <w:p>
      <w:pPr>
        <w:rPr>
          <w:noProof/>
        </w:rPr>
      </w:pPr>
      <w:r>
        <w:rPr>
          <w:noProof/>
        </w:rPr>
        <w:t>След това по време на заседанието на Работна група 29 се гласува за окончателното приемане на измененията, допълненията и поправките, стига да е налице кворум и квалифицирано мнозинство от договарящите се страни. ЕС е договаряща се страна по две споразумения (съответно от 1958 г. и 1998 г.) в обхвата на дейност на Работна група 29. Всеки път се изготвя решение на Съвета, известно като „мегарешение“, което съдържа списък на правилата, измененията, допълненията и поправките и с което Комисията се упълномощава да гласува от името на Съюза на съответното заседание на Работна група 29.</w:t>
      </w:r>
    </w:p>
    <w:p>
      <w:pPr>
        <w:rPr>
          <w:noProof/>
        </w:rPr>
      </w:pPr>
      <w:r>
        <w:rPr>
          <w:noProof/>
        </w:rPr>
        <w:t>С настоящото решение на Съвета се определя позицията на Съюза при гласуване на правилата, измененията, допълненията и поправките по време на заседанието на Работна група 29 през март 2017 г., предвидено да се проведе от 13 до 17 март 2017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допълва и е в пълно съответствие с политиката на Съюза в областта на вътрешния пазар по отношение на автомобилната промишленост.</w:t>
      </w:r>
    </w:p>
    <w:p>
      <w:pPr>
        <w:rPr>
          <w:noProof/>
        </w:rPr>
      </w:pPr>
      <w:r>
        <w:rPr>
          <w:noProof/>
        </w:rPr>
        <w:t>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Споразумението от 1958 г. има основна роля за постигането на тази цел, тъй като производителите от ЕС могат да използват общ набор от правила за одобрение на типа със съзнанието, че договарящите се страни ще признаят съответствието на продуктите им с тяхното национално законодателство. Тази схема направи възможно чрез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споразумението от 1958 г.</w:t>
      </w:r>
    </w:p>
    <w:p>
      <w:pPr>
        <w:rPr>
          <w:noProof/>
        </w:rPr>
      </w:pPr>
      <w:r>
        <w:rPr>
          <w:noProof/>
        </w:rPr>
        <w:t>Подобен подход бе приложен и към Директива 2007/46/ЕО, с която системите за одобряване в отделните държави членки бяха заменени с процедура на Съюза за одобряване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ИКЕ на ООН бяха инкорпорирани в системата на ЕС за одобряване на типа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биват инкорпорирани в законодателството на Съюза в рамките на системата на ЕС за одобряване на типа.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Системата на Работна група 29 е свързана с политиката на Съюза в областта на конкурентоспособността, върху която тази инициатива има положително въздействие. Настоящото предложение е в съответствие и с политиката на Съюза в областта на транспорта и енергетиката, която е надлежно взета предвид в процеса на изготвяне и приемане на правилата на ООН, попадащи в обхвата на споразумението от 1958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Правното основание на настоящото предложение е член 114 във връзка с член 218, параграф 9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Субсидиарност</w:t>
      </w:r>
    </w:p>
    <w:p>
      <w:pPr>
        <w:rPr>
          <w:noProof/>
        </w:rPr>
      </w:pPr>
      <w:r>
        <w:rPr>
          <w:noProof/>
        </w:rPr>
        <w:t>Гласуването в подкрепа на такива международни инструменти, като предложения за правила на ООН, изменения на правила на ООН и проекти на глобални технически правила, и инкорпорирането им в системата на Съюза за одобряване на типа на моторните превозни средства, може да бъде направено единствено от Съюза. По този начин не само се предотвратява раздробяването на вътрешния пазар, но също така се гарантират еднакви стандарти за опазване на околната среда и за безопасност в Съюза. Налице са и предимства, свързани с икономии от мащаба: продуктите могат да се произвеждат за целия пазар на Съюза и дори за международния пазар,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С настоящото решение на Съвета Комисията се упълномощава да гласува от името на Съюза, като това решение е пропорционален инструмент в съответствие с член 5, параграф 1 от Решение 97/836/ЕО на Съвета за целите на определянето на единна позиция на ЕС в ИКЕ на ООН по отношение на гласуването по работните документи, предложени в дневния ред на заседанието на Работна група 29. Следователно настоящото предложение е в съответствие с принципа на пропорционалност, тъй като не надхвърля необходимото за постигане на поставените цели — да се осигури доброто функциониране на вътрешния пазар, като същевременно се гарантира висока степен на обществена безопасност и защита.</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В член 218, параграф 9 от ДФЕС е предвидено, че за да бъдат определени позициите, които да се заемат от името на Съюза в рамките на орган, създаден с международно споразумение, е необходимо решение на Съвета.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Външни експертни становища не са приложими в случая с настоящото предложение. То обаче беше разгледано от Техническия комитет по моторните превозни средства.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Настоящото предложение не може да бъде предмет на оценка на въздействието, тъй като няма законодателен характер и не съществуват или не са възможни алтернативни варианти на политиката.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Настоящата инициатива няма отражение върху административната тежест, тъй като с приложените към мегарешението позовавания на въпросните изменения не се въвеждат нови задължения за докладване или други административни задължения за предприятията, включително за МСП. Напротив, цели се намаляване на административната тежест, тъй като прилагането на хармонизирани в световен мащаб изисквания дава възможност на производителите да представят документация за одобряване на компоненти и системи не само в ЕС, но и на експортните пазари на договарящите се страни по споразумението от 1958 г. извън ЕС.</w:t>
      </w:r>
    </w:p>
    <w:p>
      <w:pPr>
        <w:rPr>
          <w:noProof/>
        </w:rPr>
      </w:pPr>
      <w:r>
        <w:rPr>
          <w:noProof/>
        </w:rPr>
        <w:t>Предложението има много положително въздействие върху конкурентоспособността на автомобилната промишленост в ЕС и върху международната търговия. Приемането на международно хармонизирани правила за превозните средства от страна на търговските партньори на ЕС се признава като най-добрият начин за премахване на нетарифните пречки пред търговията и за отваряне или разширяване на достъпа до съответните пазари за автомобилни предприятия от ЕС.</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Настоящата инициатива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 xml:space="preserve">С предложението се определя позицията на Съюза при гласуване на: </w:t>
      </w:r>
    </w:p>
    <w:p>
      <w:pPr>
        <w:pStyle w:val="Tiret0"/>
        <w:numPr>
          <w:ilvl w:val="0"/>
          <w:numId w:val="2"/>
        </w:numPr>
        <w:rPr>
          <w:noProof/>
        </w:rPr>
      </w:pPr>
      <w:r>
        <w:rPr>
          <w:noProof/>
        </w:rPr>
        <w:t>предложенията за изменения на правила № 3, 4, 6, 7, 13, 19, 23, 27, 28, 38, 39, 43, 45, 48, 50, 69, 70, 73, 75, 77, 79, 83, 87, 91, 98, 99, 101, 104, 107, 109, 110, 112, 113, 118, 119, 123 и 138 на ООН; както и на</w:t>
      </w:r>
    </w:p>
    <w:p>
      <w:pPr>
        <w:pStyle w:val="Tiret0"/>
        <w:rPr>
          <w:noProof/>
        </w:rPr>
      </w:pPr>
      <w:r>
        <w:rPr>
          <w:noProof/>
        </w:rPr>
        <w:t>предложението за изменение на Консолидираната резолюция за конструкцията на превозни средства (R.E.3) чрез насоки по отношение на киберсигурността и защитата на данните.</w:t>
      </w:r>
    </w:p>
    <w:p>
      <w:pPr>
        <w:pStyle w:val="Tiret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2017/0038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позицията, която да се заеме от името на Европейския съюз в съответните комитети на Икономическата комисия за Европа на Организацията на обединените нации по отношение на предложенията за изменения на правила № 3, 4, 6, 7, 13, 19, 23, 27, 28, 38, 39, 43, 45, 48, 50, 69, 70, 73, 75, 77, 79, 83, 87, 91, 98, 99, 101, 104, 107, 109, 110, 112, 113, 118, 119, 123 и 138 на ООН и по отношение на едно предложение за изменение на Консолидираната резолюция за конструкцията на превозни средства (R.E.3) чрез насоки за киберсигурността и защитата на данните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Решение 97/836/ЕО на Съвета</w:t>
      </w:r>
      <w:r>
        <w:rPr>
          <w:rStyle w:val="FootnoteReference"/>
          <w:noProof/>
        </w:rPr>
        <w:footnoteReference w:id="1"/>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w:t>
      </w:r>
    </w:p>
    <w:p>
      <w:pPr>
        <w:pStyle w:val="ManualConsidrant"/>
        <w:rPr>
          <w:noProof/>
        </w:rPr>
      </w:pPr>
      <w:r>
        <w:t>(2)</w:t>
      </w:r>
      <w:r>
        <w:tab/>
      </w:r>
      <w:r>
        <w:rPr>
          <w:noProof/>
        </w:rPr>
        <w:t>В съответствие с Решение 2000/125/ЕО на Съвета</w:t>
      </w:r>
      <w:r>
        <w:rPr>
          <w:rStyle w:val="FootnoteReference"/>
          <w:noProof/>
        </w:rPr>
        <w:footnoteReference w:id="2"/>
      </w:r>
      <w:r>
        <w:rPr>
          <w:noProof/>
        </w:rPr>
        <w:t xml:space="preserve"> Съюзът се присъедини към Споразумението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w:t>
      </w:r>
    </w:p>
    <w:p>
      <w:pPr>
        <w:pStyle w:val="ManualConsidrant"/>
        <w:rPr>
          <w:noProof/>
        </w:rPr>
      </w:pPr>
      <w:r>
        <w:t>(3)</w:t>
      </w:r>
      <w:r>
        <w:tab/>
      </w:r>
      <w:r>
        <w:rPr>
          <w:noProof/>
        </w:rPr>
        <w:t>С Директива 2007/46/ЕО на Европейския парламент и на Съвета</w:t>
      </w:r>
      <w:r>
        <w:rPr>
          <w:rStyle w:val="FootnoteReference"/>
          <w:noProof/>
        </w:rPr>
        <w:footnoteReference w:id="3"/>
      </w:r>
      <w:r>
        <w:rPr>
          <w:noProof/>
        </w:rPr>
        <w:t xml:space="preserve"> системите за одобряване в отделните държави членки бяха заменени с процедура на Съюза за одобряване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приети съгласно Ревизираното споразумение от 1958 г. (наричани по-долу „правилата на ООН“), бяха инкорпорирани в системата на ЕС за одобряване на типа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се инкорпорират в законодателството на Съюза в рамките на системата на ЕС за одобряване на типа.</w:t>
      </w:r>
    </w:p>
    <w:p>
      <w:pPr>
        <w:pStyle w:val="ManualConsidrant"/>
        <w:rPr>
          <w:noProof/>
        </w:rPr>
      </w:pPr>
      <w:r>
        <w:t>(4)</w:t>
      </w:r>
      <w:r>
        <w:tab/>
      </w:r>
      <w:r>
        <w:rPr>
          <w:noProof/>
        </w:rPr>
        <w:t>С оглед на натрупания опит и техническия напредък, изискванията относно някои елементи или характеристики, обхванати от правила № 3, 4, 6, 7, 13, 19, 23, 27, 28, 38, 39, 43, 45, 48, 50, 69, 70, 73, 75, 77, 79, 83, 87, 91, 98, 99, 101, 104, 107, 109, 110, 112, 113, 118, 119, 123 и 138 на ООН, трябва да бъдат адаптирани към техническия прогрес.</w:t>
      </w:r>
    </w:p>
    <w:p>
      <w:pPr>
        <w:pStyle w:val="ManualConsidrant"/>
        <w:rPr>
          <w:noProof/>
        </w:rPr>
      </w:pPr>
      <w:r>
        <w:t>(5)</w:t>
      </w:r>
      <w:r>
        <w:tab/>
      </w:r>
      <w:r>
        <w:rPr>
          <w:noProof/>
        </w:rPr>
        <w:t xml:space="preserve">С цел да се установят единни разпоредби относно конструкцията на превозни средства, Консолидираната резолюция за конструкцията на превозни средства (R.E.3) следва да бъде изменена чрез насоки за киберсигурността и защитата на данните, </w:t>
      </w:r>
      <w:r>
        <w:rPr>
          <w:noProof/>
          <w:szCs w:val="24"/>
        </w:rPr>
        <w:t>без това да възпрепятства текущата развойна дейност на равнище ЕС  в областта на съвместното използване и на свързаното и автоматизираното управление на превозни средства</w:t>
      </w:r>
      <w:r>
        <w:rPr>
          <w:noProof/>
        </w:rPr>
        <w:t>.</w:t>
      </w:r>
    </w:p>
    <w:p>
      <w:pPr>
        <w:pStyle w:val="ManualConsidrant"/>
        <w:rPr>
          <w:noProof/>
        </w:rPr>
      </w:pPr>
      <w:r>
        <w:t>(6)</w:t>
      </w:r>
      <w:r>
        <w:tab/>
      </w:r>
      <w:r>
        <w:rPr>
          <w:noProof/>
        </w:rPr>
        <w:t>Целесъобразно е да бъде определена позицията, която да се заеме от името на Съюза в рамките на съответните комитети на ИКЕ на ООН, а именно Административния комитет по Ревизираното споразумение от 1958 г. и Изпълнителния комитет по Паралелното споразумение, относно приемането на горепосочените актове на ООН,</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Административния комитет по Ревизираното споразумение от 1958 г. и на Изпълнителния комитет по Паралелното споразумение по време на заседанието, което ще се проведе в периода 13 — 17 март 2017 г., е да се гласува в подкрепа на предложенията, изброени в приложението към настоящото решение.</w:t>
      </w:r>
    </w:p>
    <w:p>
      <w:pPr>
        <w:pStyle w:val="Titrearticle"/>
        <w:rPr>
          <w:noProof/>
        </w:rPr>
      </w:pPr>
      <w:r>
        <w:rPr>
          <w:noProof/>
        </w:rPr>
        <w:t>Член 2</w:t>
      </w:r>
    </w:p>
    <w:p>
      <w:pPr>
        <w:keepNext/>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година“) ( ОВ L 346, 17.12.1997 г., стр. 78).</w:t>
      </w:r>
    </w:p>
  </w:footnote>
  <w:footnote w:id="2">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15 16:23: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53F14068CF14BA09894CA2DC53BCA0E"/>
    <w:docVar w:name="LW_CROSSREFERENCE" w:val="&lt;UNUSED&gt;"/>
    <w:docVar w:name="LW_DocType" w:val="COM"/>
    <w:docVar w:name="LW_EMISSION" w:val="22.2.2017"/>
    <w:docVar w:name="LW_EMISSION_ISODATE" w:val="2017-02-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8"/>
    <w:docVar w:name="LW_REF.II.NEW.CP_YEAR" w:val="2017"/>
    <w:docVar w:name="LW_REF.INST.NEW" w:val="COM"/>
    <w:docVar w:name="LW_REF.INST.NEW_ADOPTED" w:val="final"/>
    <w:docVar w:name="LW_REF.INST.NEW_TEXT" w:val="(2017) 86"/>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6?\u1079?\u1080?\u1094?\u1080?\u1103?\u1090?\u1072?, \u1082?\u1086?\u1103?\u1090?\u1086? \u1076?\u1072? \u1089?\u1077? \u1079?\u1072?\u1077?\u1084?\u1077? \u1086?\u1090? \u1080?\u1084?\u1077?\u1090?\u1086? \u1085?\u1072? \u1045?\u1074?\u1088?\u1086?\u1087?\u1077?\u1081?\u1089?\u1082?\u1080?\u1103? \u1089?\u1098?\u1102?\u1079? \u1074?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0?\u1079?\u1084?\u1077?\u1085?\u1077?\u1085?\u1080?\u1103? \u1085?\u1072? \u1087?\u1088?\u1072?\u1074?\u1080?\u1083?\u1072? \u8470? 3, 4, 6, 7, 13, 19, 23, 27, 28, 38, 39, 43, 45, 48, 50, 69, 70, 73, 75, 77, 79, 83, 87, 91, 98, 99, 101, 104, 107, 109, 110, 112, 113, 118, 119, 123 \u1080? 138 \u1085?\u1072? \u1054?\u1054?\u1053? \u1080? \u1087?\u1086? \u1086?\u1090?\u1085?\u1086?\u1096?\u1077?\u1085?\u1080?\u1077? \u1085?\u1072? \u1077?\u1076?\u1085?\u1086? \u1087?\u1088?\u1077?\u1076?\u1083?\u1086?\u1078?\u1077?\u1085?\u1080?\u1077? \u1079?\u1072? \u1080?\u1079?\u1084?\u1077?\u1085?\u1077?\u1085?\u1080?\u1077? \u1085?\u1072? \u1050?\u1086?\u1085?\u1089?\u1086?\u1083?\u1080?\u1076?\u1080?\u1088?\u1072?\u1085?\u1072?\u1090?\u1072? \u1088?\u1077?\u1079?\u1086?\u1083?\u1102?\u1094?\u1080?\u1103? \u1079?\u1072? \u1082?\u1086?\u1085?\u1089?\u1090?\u1088?\u1091?\u1082?\u1094?\u1080?\u1103?\u1090?\u1072? \u1085?\u1072? \u1087?\u1088?\u1077?\u1074?\u1086?\u1079?\u1085?\u1080? \u1089?\u1088?\u1077?\u1076?\u1089?\u1090?\u1074?\u1072? (R.E.3) \u1095?\u1088?\u1077?\u1079? \u1085?\u1072?\u1089?\u1086?\u1082?\u1080? \u1079?\u1072? \u1082?\u1080?\u1073?\u1077?\u1088?\u1089?\u1080?\u1075?\u1091?\u1088?\u1085?\u1086?\u1089?\u1090?\u1090?\u1072? \u1080? \u1079?\u1072?\u1097?\u1080?\u1090?\u1072?\u1090?\u1072? \u1085?\u1072? \u1076?\u1072?\u1085?\u1085?\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2011</Words>
  <Characters>11423</Characters>
  <Application>Microsoft Office Word</Application>
  <DocSecurity>0</DocSecurity>
  <Lines>215</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2017-01-18T15:30:00Z</cp:lastPrinted>
  <dcterms:created xsi:type="dcterms:W3CDTF">2017-02-03T07:32:00Z</dcterms:created>
  <dcterms:modified xsi:type="dcterms:W3CDTF">2017-02-15T15:23:00Z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