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5AB0F01AAF4F8482CB53C60E04AA96" style="width:450.35pt;height:40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rFonts w:eastAsia="Arial Unicode MS"/>
          <w:noProof/>
        </w:rPr>
      </w:pPr>
      <w:r>
        <w:rPr>
          <w:noProof/>
        </w:rPr>
        <w:t>Договорът от Лисабон значително измени структурата във връзка с правомощията, които законодателят може да предоставя на Комисията. В него се прави ясно разграничение между актове от квазизаконодателно естество, от една страна, и актове, с които се прилагат разпоредбите на основния акт, от друга страна. Освен това Договорът от Лисабон осигурява напълно различна правна рамка за всеки тип акт.</w:t>
      </w:r>
    </w:p>
    <w:p>
      <w:pPr>
        <w:pBdr>
          <w:top w:val="nil"/>
          <w:left w:val="nil"/>
          <w:bottom w:val="nil"/>
          <w:right w:val="nil"/>
          <w:between w:val="nil"/>
          <w:bar w:val="nil"/>
        </w:pBdr>
        <w:spacing w:before="0" w:after="240"/>
        <w:rPr>
          <w:rFonts w:eastAsia="Arial Unicode MS"/>
          <w:noProof/>
        </w:rPr>
      </w:pPr>
      <w:r>
        <w:rPr>
          <w:noProof/>
        </w:rPr>
        <w:t>Двете въпросни разпоредби са членове 290 и 291 от Договора за функционирането на Европейския съюз (ДФЕС), въведен с Договора от Лисабон, който влезе в сила на 1 декември 2009 г.</w:t>
      </w:r>
      <w:r>
        <w:rPr>
          <w:rStyle w:val="FootnoteReference"/>
          <w:noProof/>
        </w:rPr>
        <w:footnoteReference w:id="1"/>
      </w:r>
      <w:r>
        <w:rPr>
          <w:noProof/>
        </w:rPr>
        <w:t xml:space="preserve"> Те доведоха до съществени изменения в процедурите, известни до този момент като „процедури по комитология“. </w:t>
      </w:r>
    </w:p>
    <w:p>
      <w:pPr>
        <w:pBdr>
          <w:top w:val="nil"/>
          <w:left w:val="nil"/>
          <w:bottom w:val="nil"/>
          <w:right w:val="nil"/>
          <w:between w:val="nil"/>
          <w:bar w:val="nil"/>
        </w:pBdr>
        <w:spacing w:before="0" w:after="240"/>
        <w:rPr>
          <w:rFonts w:eastAsia="Arial Unicode MS"/>
          <w:noProof/>
          <w:spacing w:val="-2"/>
        </w:rPr>
      </w:pPr>
      <w:r>
        <w:rPr>
          <w:noProof/>
          <w:spacing w:val="-2"/>
        </w:rPr>
        <w:t>От гледна точка на формулировката определението за делегираните актове в член 290, параграф 1 е много близко до това за актовете, за които съгласно Решение 1999/468/ЕО</w:t>
      </w:r>
      <w:r>
        <w:rPr>
          <w:rStyle w:val="FootnoteReference"/>
          <w:noProof/>
          <w:spacing w:val="-2"/>
        </w:rPr>
        <w:footnoteReference w:id="2"/>
      </w:r>
      <w:r>
        <w:rPr>
          <w:noProof/>
          <w:spacing w:val="-2"/>
        </w:rPr>
        <w:t>, изменено с Решение 2006/512/ЕО на Съвета („Решение за комитологията“), се прилага процедурата по регулиране с контрол (ПРК), установена в член 5а от това решение. И в двата случая въпросните актове са от общ характер и имат за цел да изменят или допълнят определени несъществени елементи от законодателния акт.</w:t>
      </w:r>
    </w:p>
    <w:p>
      <w:pPr>
        <w:pBdr>
          <w:top w:val="nil"/>
          <w:left w:val="nil"/>
          <w:bottom w:val="nil"/>
          <w:right w:val="nil"/>
          <w:between w:val="nil"/>
          <w:bar w:val="nil"/>
        </w:pBdr>
        <w:spacing w:before="0" w:after="240"/>
        <w:rPr>
          <w:rFonts w:eastAsia="Arial Unicode MS"/>
          <w:noProof/>
        </w:rPr>
      </w:pPr>
      <w:r>
        <w:rPr>
          <w:noProof/>
        </w:rPr>
        <w:t>По тази причина при преразглеждането на Решението за комитологията с Регламент (ЕС) № 182/2011</w:t>
      </w:r>
      <w:r>
        <w:rPr>
          <w:rStyle w:val="FootnoteReference"/>
          <w:noProof/>
        </w:rPr>
        <w:footnoteReference w:id="3"/>
      </w:r>
      <w:r>
        <w:rPr>
          <w:noProof/>
        </w:rPr>
        <w:t xml:space="preserve"> („Регламент за комитологията“), който беше приет въз основа на член 291, параграф 3 от ДФЕС относно изпълнителните правомощия, не бе преразгледан член 5а от Решението за комитологията. Член 5а, с който се създава ПРК, трябваше да бъде временно запазен за целите на съществуващите основни актове, които се позовават на този член. </w:t>
      </w:r>
    </w:p>
    <w:p>
      <w:pPr>
        <w:pBdr>
          <w:top w:val="nil"/>
          <w:left w:val="nil"/>
          <w:bottom w:val="nil"/>
          <w:right w:val="nil"/>
          <w:between w:val="nil"/>
          <w:bar w:val="nil"/>
        </w:pBdr>
        <w:spacing w:before="0" w:after="240"/>
        <w:rPr>
          <w:rFonts w:eastAsia="Arial Unicode MS"/>
          <w:noProof/>
        </w:rPr>
      </w:pPr>
      <w:r>
        <w:rPr>
          <w:noProof/>
        </w:rPr>
        <w:t xml:space="preserve">Вследствие на това ПРК все още се посочва в 168-те действащи основни акта, обхванати от настоящото предложение, и продължава да се прилага (в съответствие с член 5а от Решението за комитологията) към тези актове, докато те не бъдат официално изменени и адаптирани към Договора от Лисабон. </w:t>
      </w:r>
    </w:p>
    <w:p>
      <w:pPr>
        <w:pBdr>
          <w:top w:val="nil"/>
          <w:left w:val="nil"/>
          <w:bottom w:val="nil"/>
          <w:right w:val="nil"/>
          <w:between w:val="nil"/>
          <w:bar w:val="nil"/>
        </w:pBdr>
        <w:spacing w:before="0" w:after="240"/>
        <w:rPr>
          <w:rFonts w:eastAsia="Arial Unicode MS"/>
          <w:noProof/>
          <w:spacing w:val="-6"/>
        </w:rPr>
      </w:pPr>
      <w:r>
        <w:rPr>
          <w:noProof/>
          <w:spacing w:val="-6"/>
        </w:rPr>
        <w:t>При приемането на Регламент 182/2011 Комисията пое ангажимент да преразгледа разпоредбите, свързани с тази процедура, за да ги адаптира своевременно съгласно критериите, посочени в Договора относно функционирането на Европейския съюз</w:t>
      </w:r>
      <w:r>
        <w:rPr>
          <w:rStyle w:val="FootnoteReference"/>
          <w:noProof/>
          <w:spacing w:val="-6"/>
        </w:rPr>
        <w:footnoteReference w:id="4"/>
      </w:r>
      <w:r>
        <w:rPr>
          <w:noProof/>
          <w:spacing w:val="-6"/>
        </w:rPr>
        <w:t>. Съгласно този ангажимент Комисията направи през 2013 г. три законодателни предложения за хоризонтално привеждане в съответствие (регламенти „омнибус“ I, II и III)</w:t>
      </w:r>
      <w:r>
        <w:rPr>
          <w:rStyle w:val="FootnoteReference"/>
          <w:noProof/>
          <w:spacing w:val="-6"/>
        </w:rPr>
        <w:footnoteReference w:id="5"/>
      </w:r>
      <w:r>
        <w:rPr>
          <w:rStyle w:val="CommentReference"/>
          <w:noProof/>
          <w:spacing w:val="-6"/>
        </w:rPr>
        <w:t xml:space="preserve"> </w:t>
      </w:r>
      <w:r>
        <w:rPr>
          <w:noProof/>
          <w:spacing w:val="-6"/>
        </w:rPr>
        <w:t xml:space="preserve">. </w:t>
      </w:r>
    </w:p>
    <w:p>
      <w:pPr>
        <w:pBdr>
          <w:top w:val="nil"/>
          <w:left w:val="nil"/>
          <w:bottom w:val="nil"/>
          <w:right w:val="nil"/>
          <w:between w:val="nil"/>
          <w:bar w:val="nil"/>
        </w:pBdr>
        <w:spacing w:before="0" w:after="240"/>
        <w:rPr>
          <w:rFonts w:eastAsia="Arial Unicode MS"/>
          <w:noProof/>
        </w:rPr>
      </w:pPr>
      <w:r>
        <w:rPr>
          <w:noProof/>
        </w:rPr>
        <w:t>Европейският парламент прие законодателни резолюции по тези предложения на 25 февруари 2014 г.</w:t>
      </w:r>
      <w:r>
        <w:rPr>
          <w:rStyle w:val="FootnoteReference"/>
          <w:noProof/>
        </w:rPr>
        <w:footnoteReference w:id="6"/>
      </w:r>
      <w:r>
        <w:rPr>
          <w:noProof/>
        </w:rPr>
        <w:t xml:space="preserve"> — той предложи редица изменения в регламентите „омнибус“ I и III, но като цяло изрази съгласие с предложенията на Комисията. За разлика от него Съветът не подкрепи предложенията на Комисията, най-вече тъй като подходът да се въведе автоматично привеждане в съответствие от ПРК към делегирани актове беше отхвърлен поради липсата на по-силни гаранции, че при изготвянето на делегираните актове ще се извършват системни консултации с експерти от държавите членки.</w:t>
      </w:r>
    </w:p>
    <w:p>
      <w:pPr>
        <w:pBdr>
          <w:top w:val="nil"/>
          <w:left w:val="nil"/>
          <w:bottom w:val="nil"/>
          <w:right w:val="nil"/>
          <w:between w:val="nil"/>
          <w:bar w:val="nil"/>
        </w:pBdr>
        <w:spacing w:before="0" w:after="240"/>
        <w:rPr>
          <w:rFonts w:eastAsia="Arial Unicode MS"/>
          <w:noProof/>
        </w:rPr>
      </w:pPr>
      <w:r>
        <w:rPr>
          <w:noProof/>
        </w:rPr>
        <w:t>Поради застоя в междуинституционалните преговори по тези досиета Комисията — съгласно обявеното в работната ѝ програма за 2015 г.</w:t>
      </w:r>
      <w:r>
        <w:rPr>
          <w:rStyle w:val="FootnoteReference"/>
          <w:noProof/>
        </w:rPr>
        <w:footnoteReference w:id="7"/>
      </w:r>
      <w:r>
        <w:rPr>
          <w:noProof/>
        </w:rPr>
        <w:t xml:space="preserve"> — ги оттегли</w:t>
      </w:r>
      <w:r>
        <w:rPr>
          <w:rStyle w:val="FootnoteReference"/>
          <w:noProof/>
        </w:rPr>
        <w:footnoteReference w:id="8"/>
      </w:r>
      <w:r>
        <w:rPr>
          <w:noProof/>
        </w:rPr>
        <w:t xml:space="preserve">. </w:t>
      </w:r>
    </w:p>
    <w:p>
      <w:pPr>
        <w:pBdr>
          <w:top w:val="nil"/>
          <w:left w:val="nil"/>
          <w:bottom w:val="nil"/>
          <w:right w:val="nil"/>
          <w:between w:val="nil"/>
          <w:bar w:val="nil"/>
        </w:pBdr>
        <w:spacing w:before="0" w:after="240"/>
        <w:rPr>
          <w:rFonts w:eastAsia="Arial Unicode MS"/>
          <w:noProof/>
        </w:rPr>
      </w:pPr>
      <w:r>
        <w:rPr>
          <w:noProof/>
        </w:rPr>
        <w:t>Въпросът за привеждането в съответствие беше отново повдигнат по време на обсъжданията във връзка с преразглеждането на Междуинституционалното споразумение за по-добро законотворчество</w:t>
      </w:r>
      <w:r>
        <w:rPr>
          <w:rStyle w:val="FootnoteReference"/>
          <w:noProof/>
        </w:rPr>
        <w:footnoteReference w:id="9"/>
      </w:r>
      <w:r>
        <w:rPr>
          <w:noProof/>
        </w:rPr>
        <w:t xml:space="preserve">. Всички институции признаха нуждата от привеждане в съответствие и Комисията пое ангажимент да представи до края на 2016 г. ново предложение за привеждане в съответствие на законодателните актове, които все още съдържат позовавания на процедурата по регулиране с контрол. Настоящото предложение изпълнява този ангажимент. </w:t>
      </w:r>
    </w:p>
    <w:p>
      <w:pPr>
        <w:pBdr>
          <w:top w:val="nil"/>
          <w:left w:val="nil"/>
          <w:bottom w:val="nil"/>
          <w:right w:val="nil"/>
          <w:between w:val="nil"/>
          <w:bar w:val="nil"/>
        </w:pBdr>
        <w:spacing w:before="0" w:after="240"/>
        <w:rPr>
          <w:rFonts w:eastAsia="Arial Unicode MS"/>
          <w:noProof/>
        </w:rPr>
      </w:pPr>
      <w:r>
        <w:rPr>
          <w:noProof/>
        </w:rPr>
        <w:t xml:space="preserve">Същевременно Междуинституционалното споразумение и Общото споразумение относно делегираните актове, приложено към него, подобриха рамката за делегираните актове и по този начин  беше решен основният проблем, който често възпрепятстваше приемането на делегирани актове от страна на Съвета, а именно консултирането на експерти от държавите членки. Понастоящем Междуинституционалното споразумение съдържа ясен ангажимент за провеждането на системни консултации с експерти от държавите членки при изготвянето на делегирани актове, включително относно проекта на текста, като по този начин се изпълнява ключово условие за успешното приключване на втория опит за привеждане на старите разпоредби за ПРК в съответствие с Договора от Лисабон. Този ангажимент се съдържа по недвусмислен начин в новите стандартни клаузи, които ще се използват при изготвянето на текстовете относно правомощията за Комисията. Освен това в Междуинституционалното споразумение ясно се признава важната роля на ранното сътрудничество и ранната обмяна на мнения с Европейския парламент във връзка с делегираните актове. В него се потвърждава, че Европейският парламент трябва да получава всички документи едновременно с експертите от държавите членки, включително проектите на делегирани актове, и се предвижда систематичен и улеснен достъп на експертите на Европейския парламент до заседанията на експертните групи на Комисията, изготвящи делегираните актове.  И накрая, в Междуинституционалното споразумение се посочва, че Комисията може да бъде канена на заседания в Европейския парламент (или Съвета) с цел допълнителен обмен на мнения във връзка с изготвянето на делегирани актове.  </w:t>
      </w:r>
    </w:p>
    <w:p>
      <w:pPr>
        <w:pStyle w:val="ManualHeading2"/>
        <w:rPr>
          <w:rFonts w:eastAsia="Arial Unicode MS"/>
          <w:noProof/>
          <w:color w:val="000000"/>
          <w:u w:color="000000"/>
          <w:bdr w:val="nil"/>
        </w:rPr>
      </w:pPr>
      <w:r>
        <w:rPr>
          <w:noProof/>
          <w:color w:val="000000"/>
          <w:u w:color="000000"/>
          <w:bdr w:val="nil"/>
        </w:rPr>
        <w:t xml:space="preserve">2. </w:t>
      </w:r>
      <w:r>
        <w:rPr>
          <w:noProof/>
        </w:rPr>
        <w:tab/>
      </w:r>
      <w:r>
        <w:rPr>
          <w:noProof/>
          <w:color w:val="000000"/>
          <w:u w:color="000000"/>
          <w:bdr w:val="nil"/>
        </w:rPr>
        <w:t xml:space="preserve">МЕТОД НА </w:t>
      </w:r>
      <w:r>
        <w:rPr>
          <w:caps/>
          <w:noProof/>
          <w:color w:val="000000"/>
          <w:u w:color="000000"/>
          <w:bdr w:val="nil"/>
        </w:rPr>
        <w:t>привеждането в съответствие и основни елементи на предложението</w:t>
      </w:r>
      <w:r>
        <w:rPr>
          <w:noProof/>
          <w:color w:val="000000"/>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 xml:space="preserve">Изходната точка за определянето на </w:t>
      </w:r>
      <w:r>
        <w:rPr>
          <w:b/>
          <w:noProof/>
        </w:rPr>
        <w:t>обхвата</w:t>
      </w:r>
      <w:r>
        <w:rPr>
          <w:noProof/>
        </w:rPr>
        <w:t xml:space="preserve"> на настоящото предложение са правните актове, съдържащи се в трите законодателни предложения за привеждане в съответствие, които Комисията прие през 2013 г. Актовете, за които междувременно са били направени отделни законодателни предложения, не са включени в настоящото предложение</w:t>
      </w:r>
      <w:r>
        <w:rPr>
          <w:rStyle w:val="FootnoteReference"/>
          <w:noProof/>
        </w:rPr>
        <w:footnoteReference w:id="10"/>
      </w:r>
      <w:r>
        <w:rPr>
          <w:noProof/>
        </w:rPr>
        <w:t xml:space="preserve">. Има един случай на акт, който не е бил включен в предложението от 2013 г., но който трябва да бъде приведен в съответствие и поради това е добавен към настоящото предложение. </w:t>
      </w:r>
    </w:p>
    <w:p>
      <w:pPr>
        <w:pBdr>
          <w:top w:val="nil"/>
          <w:left w:val="nil"/>
          <w:bottom w:val="nil"/>
          <w:right w:val="nil"/>
          <w:between w:val="nil"/>
          <w:bar w:val="nil"/>
        </w:pBdr>
        <w:spacing w:before="0" w:after="240"/>
        <w:rPr>
          <w:rFonts w:eastAsia="Arial Unicode MS"/>
          <w:noProof/>
        </w:rPr>
      </w:pPr>
      <w:r>
        <w:rPr>
          <w:noProof/>
        </w:rPr>
        <w:t>Настоящото предложение не се отнася за осем законодателни акта в областта на пестицидите и храните</w:t>
      </w:r>
      <w:r>
        <w:rPr>
          <w:rStyle w:val="FootnoteReference"/>
          <w:noProof/>
        </w:rPr>
        <w:footnoteReference w:id="11"/>
      </w:r>
      <w:r>
        <w:rPr>
          <w:noProof/>
        </w:rPr>
        <w:t>. Заради настоящата структура на тези основни актове правилният подход би бил те да се приведат в съответствие с разпоредбите за делегираните актове съгласно предложеното от Комисията през 2013 г. На този етап обаче Комисията не е включила тези актове в настоящото предложение, тъй като обмисля дали няма по-подходящ начин за тяхното структуриране във връзка с индивидуалните разрешения/определянето на стойности/изготвянето на списъци на определени вещества въз основа на конкретни критерии, посочени в акта, като взема под внимание усъвършенствания подход, приет наскоро от съзаконодателите във връзка със законодателството за новите храни</w:t>
      </w:r>
      <w:r>
        <w:rPr>
          <w:rStyle w:val="FootnoteReference"/>
          <w:noProof/>
        </w:rPr>
        <w:footnoteReference w:id="12"/>
      </w:r>
      <w:r>
        <w:rPr>
          <w:noProof/>
        </w:rPr>
        <w:t xml:space="preserve">, и текущия преглед по REFIT на основните актове относно пестицидите, както и предстоящата работа по анализиране на демократичната легитимност на действащите процедури за приемане на някои вторични актове (както е посочено в работната програма на Комисията за 2017 г.). </w:t>
      </w:r>
    </w:p>
    <w:p>
      <w:pPr>
        <w:pBdr>
          <w:top w:val="nil"/>
          <w:left w:val="nil"/>
          <w:bottom w:val="nil"/>
          <w:right w:val="nil"/>
          <w:between w:val="nil"/>
          <w:bar w:val="nil"/>
        </w:pBdr>
        <w:spacing w:before="0" w:after="240"/>
        <w:rPr>
          <w:rFonts w:eastAsia="Arial Unicode MS"/>
          <w:noProof/>
        </w:rPr>
      </w:pPr>
      <w:r>
        <w:rPr>
          <w:noProof/>
        </w:rPr>
        <w:t xml:space="preserve">В предложенията за привеждане в съответствие от 2013 г. избраният </w:t>
      </w:r>
      <w:r>
        <w:rPr>
          <w:b/>
          <w:noProof/>
        </w:rPr>
        <w:t>законодателен подход</w:t>
      </w:r>
      <w:r>
        <w:rPr>
          <w:noProof/>
        </w:rPr>
        <w:t xml:space="preserve"> се изразяваше не в изменение на въпросните основни актове поотделно, а в общо посочване, че позоваванията на ПРК, съдържащи се в основните актове, трябва да се четат като позовавания на член 290 или 291. При този подход всеки отделен основен акт щеше да трябва винаги да се чете заедно със съответния регламент „омнибус“, ако този регламент беше приет. </w:t>
      </w:r>
    </w:p>
    <w:p>
      <w:pPr>
        <w:pBdr>
          <w:top w:val="nil"/>
          <w:left w:val="nil"/>
          <w:bottom w:val="nil"/>
          <w:right w:val="nil"/>
          <w:between w:val="nil"/>
          <w:bar w:val="nil"/>
        </w:pBdr>
        <w:spacing w:before="0" w:after="240"/>
        <w:rPr>
          <w:rFonts w:eastAsia="Arial Unicode MS"/>
          <w:noProof/>
        </w:rPr>
      </w:pPr>
      <w:r>
        <w:rPr>
          <w:noProof/>
        </w:rPr>
        <w:t>Заради затрудненията с този подход, особено тези на Съвета, избраният в настоящото предложение подход е различен. Понастоящем се предлага да се измени всеки от засегнатите основни актове.</w:t>
      </w:r>
      <w:r>
        <w:rPr>
          <w:noProof/>
          <w:color w:val="000000"/>
        </w:rPr>
        <w:t xml:space="preserve"> Това наподобява подхода, който беше възприет при въвеждането по сходен начин на разпоредбите относно ПРК през</w:t>
      </w:r>
      <w:r>
        <w:rPr>
          <w:noProof/>
        </w:rPr>
        <w:t xml:space="preserve"> 2007 г.</w:t>
      </w:r>
      <w:r>
        <w:rPr>
          <w:rStyle w:val="FootnoteReference"/>
          <w:noProof/>
        </w:rPr>
        <w:footnoteReference w:id="13"/>
      </w:r>
      <w:r>
        <w:rPr>
          <w:noProof/>
        </w:rPr>
        <w:t xml:space="preserve"> Във всеки основен акт се въвеждат по няколко изменения. Разпоредбата относно оправомощаването, т.е. текстът, съдържащ правомощието по същество за ПРК, е преработена и следва модела, договорен в стандартните клаузи за членовете, с които се делегират правомощия. Стандартният член относно упражняването на делегирането, т.е. членът относно процедурата, е включен във всеки основен акт, а позоваванията на ПРК са заличени. За всеки акт е изрично посочено дали правомощието позволява изменение на основния акт. Новите стандартни клаузи, предвиждащи провеждането на консултации с експерти от държавите членки при изготвянето на делегирани актове, са включени във всеки основен акт. Не са предвидени правомощия за изменението на други актове. </w:t>
      </w:r>
    </w:p>
    <w:p>
      <w:pPr>
        <w:pBdr>
          <w:top w:val="nil"/>
          <w:left w:val="nil"/>
          <w:bottom w:val="nil"/>
          <w:right w:val="nil"/>
          <w:between w:val="nil"/>
          <w:bar w:val="nil"/>
        </w:pBdr>
        <w:spacing w:before="0" w:after="240"/>
        <w:rPr>
          <w:rFonts w:eastAsia="Arial Unicode MS"/>
          <w:noProof/>
        </w:rPr>
      </w:pPr>
      <w:r>
        <w:rPr>
          <w:noProof/>
        </w:rPr>
        <w:t xml:space="preserve">Що се отнася до </w:t>
      </w:r>
      <w:r>
        <w:rPr>
          <w:b/>
          <w:noProof/>
        </w:rPr>
        <w:t>избора между правомощия за делегирани актове и правомощия за актове за изпълнение</w:t>
      </w:r>
      <w:r>
        <w:rPr>
          <w:noProof/>
        </w:rPr>
        <w:t xml:space="preserve">, предложенията за привеждане в съответствие от 2013 г.  тръгнаха от идеята, че мерките, които попадат в обхвата на процедурата по регулиране с контрол, съответстват на тези, които могат да бъдат предмет на делегиране на правомощия по член 290 от ДФЕС. Само за няколко случая по регламента „омнибус“ III въз основа на отделна оценка, извършена по онова време, беше предложено привеждане в съответствие с член 291 вместо с член 290. </w:t>
      </w:r>
    </w:p>
    <w:p>
      <w:pPr>
        <w:pBdr>
          <w:top w:val="nil"/>
          <w:left w:val="nil"/>
          <w:bottom w:val="nil"/>
          <w:right w:val="nil"/>
          <w:between w:val="nil"/>
          <w:bar w:val="nil"/>
        </w:pBdr>
        <w:spacing w:before="0" w:after="240"/>
        <w:rPr>
          <w:rFonts w:eastAsia="Arial Unicode MS"/>
          <w:noProof/>
        </w:rPr>
      </w:pPr>
      <w:r>
        <w:rPr>
          <w:noProof/>
        </w:rPr>
        <w:t>Цялостната идея, стояща в основата на новото предложение, е, че оценката, която беше направена в рамките на предложенията „омнибус“ от 2013 г., продължава да бъде валидна. Нито преговорите по тези предложения, нито свързаната с темата съдебна практика</w:t>
      </w:r>
      <w:r>
        <w:rPr>
          <w:rStyle w:val="FootnoteReference"/>
          <w:noProof/>
        </w:rPr>
        <w:footnoteReference w:id="14"/>
      </w:r>
      <w:r>
        <w:rPr>
          <w:noProof/>
        </w:rPr>
        <w:t xml:space="preserve">, нито прилагането на Междуинституционалното споразумение за по-добро законотворчество не доведоха до набелязването на нови критерии, които биха наложили цялостна преоценка. </w:t>
      </w:r>
    </w:p>
    <w:p>
      <w:pPr>
        <w:pBdr>
          <w:top w:val="nil"/>
          <w:left w:val="nil"/>
          <w:bottom w:val="nil"/>
          <w:right w:val="nil"/>
          <w:between w:val="nil"/>
          <w:bar w:val="nil"/>
        </w:pBdr>
        <w:spacing w:before="0" w:after="240"/>
        <w:rPr>
          <w:rFonts w:eastAsia="Arial Unicode MS"/>
          <w:bCs/>
          <w:noProof/>
        </w:rPr>
      </w:pPr>
      <w:r>
        <w:rPr>
          <w:noProof/>
        </w:rPr>
        <w:t xml:space="preserve">Когато привеждането в съответствие, се отнася до актовете за изпълнение, е добавена уводна бележка. Към случаите, за които бе предложено такова привеждане в съответствие през 2013 г., в настоящото предложение са добавени само още няколко случая. Става въпрос за правомощия за определяне на формати в областта на статистиката. </w:t>
      </w:r>
    </w:p>
    <w:p>
      <w:pPr>
        <w:pBdr>
          <w:top w:val="nil"/>
          <w:left w:val="nil"/>
          <w:bottom w:val="nil"/>
          <w:right w:val="nil"/>
          <w:between w:val="nil"/>
          <w:bar w:val="nil"/>
        </w:pBdr>
        <w:spacing w:before="0" w:after="240"/>
        <w:rPr>
          <w:rFonts w:eastAsia="Arial Unicode MS"/>
          <w:b/>
          <w:bCs/>
          <w:noProof/>
        </w:rPr>
      </w:pPr>
      <w:r>
        <w:rPr>
          <w:b/>
          <w:noProof/>
        </w:rPr>
        <w:t xml:space="preserve">Таблица 1: Списък на актовете, за които за определени правомощия се предлага привеждане в съответствие с разпоредбите на актовете за изпълнение </w:t>
      </w:r>
    </w:p>
    <w:tbl>
      <w:tblPr>
        <w:tblStyle w:val="TableGrid"/>
        <w:tblW w:w="0" w:type="auto"/>
        <w:tblLayout w:type="fixed"/>
        <w:tblLook w:val="04A0" w:firstRow="1" w:lastRow="0" w:firstColumn="1" w:lastColumn="0" w:noHBand="0" w:noVBand="1"/>
      </w:tblPr>
      <w:tblGrid>
        <w:gridCol w:w="1068"/>
        <w:gridCol w:w="8160"/>
      </w:tblGrid>
      <w:tr>
        <w:tc>
          <w:tcPr>
            <w:tcW w:w="1068" w:type="dxa"/>
          </w:tcPr>
          <w:p>
            <w:pPr>
              <w:pBdr>
                <w:top w:val="nil"/>
                <w:left w:val="nil"/>
                <w:bottom w:val="nil"/>
                <w:right w:val="nil"/>
                <w:between w:val="nil"/>
                <w:bar w:val="nil"/>
              </w:pBdr>
              <w:spacing w:before="0" w:after="240"/>
              <w:rPr>
                <w:rFonts w:eastAsia="Arial Unicode MS"/>
                <w:b/>
                <w:bCs/>
                <w:noProof/>
              </w:rPr>
            </w:pPr>
            <w:r>
              <w:rPr>
                <w:b/>
                <w:noProof/>
              </w:rPr>
              <w:t>Номер в приложението</w:t>
            </w:r>
          </w:p>
        </w:tc>
        <w:tc>
          <w:tcPr>
            <w:tcW w:w="8160" w:type="dxa"/>
          </w:tcPr>
          <w:p>
            <w:pPr>
              <w:pBdr>
                <w:top w:val="nil"/>
                <w:left w:val="nil"/>
                <w:bottom w:val="nil"/>
                <w:right w:val="nil"/>
                <w:between w:val="nil"/>
                <w:bar w:val="nil"/>
              </w:pBdr>
              <w:spacing w:before="0" w:after="240"/>
              <w:rPr>
                <w:rFonts w:eastAsia="Arial Unicode MS"/>
                <w:b/>
                <w:bCs/>
                <w:noProof/>
              </w:rPr>
            </w:pPr>
            <w:r>
              <w:rPr>
                <w:b/>
                <w:noProof/>
              </w:rPr>
              <w:t>Заглавие на акта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2</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Решение № 626/2008/ЕО на Европейския парламент и на Съвета от 30 юни 2008 г. относно подбора и издаването на разрешения за системите, предоставящи мобилни спътникови услуги (Решение за МСУ)*</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53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(EMAS) и за отмяна на Регламент (ЕО) № 761/2001 и на решения 2001/681/ЕО и 2006/193/ЕО на Комисията*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58</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530/1999 на Съвета от 9 март 1999 г. относно структурна статистика за заплатите и разходите за труд</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59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2150/2002 на Европейския парламент и на Съвета от 25 ноември 2002 г. относно статистиката на отпадъците*</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60</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437/2003 на Европейския парламент и на Съвета от 27 февруари 2003 г. относно статистическите данни по отношение на превоза на пътници, товари и поща по въздуха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61</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(EO) № 450/2003 на Европейския парламент и на Съвета от 27 февруари 2003 г. относно индекса на разходите за труд*</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1552/2005 на Европейския парламент и на Съвета от 7 септември 2005 г. относно статистиката, свързана с професионалното обучение в предприятията*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716/2007 на Европейския парламент и на Съвета от 20 юни 2007 г. относно статистиката на Общността за структурата и дейността на предприятията с чуждестранен контрол*</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69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1445/2007 на Европейския парламент и на Съвета от 11 декември 2007 г. за установяване на общи правила за предоставяне на основна информация относно паритетите на покупателна способност, както и за тяхното изчисление и разпространение*</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70</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177/2008 на Европейския парламент и на Съвета от 20 февруари 2008 г. за установяване на обща рамка за регистрите на предприятията за статистически цели и за отмяна на Регламент (ЕИО) № 2186/93 на Съвета*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73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452/2008 на Европейския парламент и на Съвета от 23 април 2008 г. относно изготвянето и развитието на статистика в областта на образованието и обучението през целия живот</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74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453/2008 на Европейския парламент и на Съвета от 23 април 2008 г. относно тримесечната статистика за свободните работни места в Общността*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89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Директива 2006/42/ЕО на Европейския парламент и на Съвета от 17 май 2006 г. относно машините и за изменение на Директива 95/16/ЕО*</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99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1223/2009 на Европейския парламент и на Съвета от 30 ноември 2009 г. относно козметичните продукти*</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104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Директива 97/70/ЕО на Съвета от 11 декември 1997 г. относно установяване на хармонизиран режим на безопасност на риболовни кораби с дължина, равна или по-голяма от 24 метра*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114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725/2004 на Европейския парламент и на Съвета от 31 март 2004 г. относно подобряване на сигурността на корабите и на пристанищните съоръжения*</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143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Директива 2002/46/ЕО от 10 юни 2002 г. за сближаване на законодателствата на държавите членки по отношение на добавките към храни*</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144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Директива 2002/98/EО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2001/83/ЕО*</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147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1829/2003 на Европейския парламент и на Съвета от 22 септември 2003 г. относно генетично модифицираните храни и фуражи*</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151</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154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158</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1924/2006 на Европейския парламент и на Съвета от 20 декември 2006 г. относно хранителни и здравни претенции за храните*</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159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1925/2006 от 20 декември 2006 г. относно влагането на витамини, минерали и някои други вещества в храните*</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165</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166</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noProof/>
                <w:sz w:val="20"/>
              </w:rPr>
              <w:t>167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noProof/>
                <w:sz w:val="20"/>
              </w:rPr>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p>
        </w:tc>
      </w:tr>
    </w:tbl>
    <w:p>
      <w:pPr>
        <w:pBdr>
          <w:top w:val="nil"/>
          <w:left w:val="nil"/>
          <w:bottom w:val="nil"/>
          <w:right w:val="nil"/>
          <w:between w:val="nil"/>
          <w:bar w:val="nil"/>
        </w:pBdr>
        <w:spacing w:before="0" w:after="240"/>
        <w:rPr>
          <w:rFonts w:eastAsia="Arial Unicode MS"/>
          <w:bCs/>
          <w:noProof/>
          <w:sz w:val="20"/>
          <w:szCs w:val="20"/>
        </w:rPr>
      </w:pPr>
      <w:r>
        <w:rPr>
          <w:noProof/>
          <w:sz w:val="20"/>
        </w:rPr>
        <w:t xml:space="preserve">* </w:t>
      </w:r>
      <w:r>
        <w:rPr>
          <w:noProof/>
        </w:rPr>
        <w:tab/>
      </w:r>
      <w:r>
        <w:rPr>
          <w:noProof/>
          <w:sz w:val="20"/>
        </w:rPr>
        <w:t xml:space="preserve">За тези актове привеждането на някои разпоредби в съответствие с разпоредбите, отнасящи се до актовете за изпълнение, беше предложено още през 2013 г.  </w:t>
      </w:r>
    </w:p>
    <w:p>
      <w:pPr>
        <w:pBdr>
          <w:top w:val="nil"/>
          <w:left w:val="nil"/>
          <w:bottom w:val="nil"/>
          <w:right w:val="nil"/>
          <w:between w:val="nil"/>
          <w:bar w:val="nil"/>
        </w:pBdr>
        <w:spacing w:before="0" w:after="240"/>
        <w:rPr>
          <w:rFonts w:eastAsia="Arial Unicode MS"/>
          <w:bCs/>
          <w:noProof/>
        </w:rPr>
      </w:pPr>
      <w:r>
        <w:rPr>
          <w:noProof/>
        </w:rPr>
        <w:t xml:space="preserve">Предлага се </w:t>
      </w:r>
      <w:r>
        <w:rPr>
          <w:noProof/>
          <w:u w:val="single"/>
        </w:rPr>
        <w:t>заличаването</w:t>
      </w:r>
      <w:r>
        <w:rPr>
          <w:noProof/>
        </w:rPr>
        <w:t xml:space="preserve"> на разпоредби, с които се предоставят правомощия, в случаи, в които тези правомощия вече не са актуални — от гледна точка на времето (например когато са предвиждали преходна мярка, а основният акт вече се прилага изцяло от няколко години) или когато опитът е показал, че вече не са необходими. </w:t>
      </w:r>
    </w:p>
    <w:p>
      <w:pPr>
        <w:pBdr>
          <w:top w:val="nil"/>
          <w:left w:val="nil"/>
          <w:bottom w:val="nil"/>
          <w:right w:val="nil"/>
          <w:between w:val="nil"/>
          <w:bar w:val="nil"/>
        </w:pBdr>
        <w:spacing w:before="0" w:after="240"/>
        <w:rPr>
          <w:rFonts w:eastAsia="Arial Unicode MS"/>
          <w:bCs/>
          <w:noProof/>
        </w:rPr>
      </w:pPr>
      <w:r>
        <w:rPr>
          <w:noProof/>
        </w:rPr>
        <w:t>Таблица 2: Списък на актовете, за които е предвидено заличаване на разпоредби, с които се предоставят определени правомощия</w:t>
      </w:r>
    </w:p>
    <w:tbl>
      <w:tblPr>
        <w:tblStyle w:val="TableGrid"/>
        <w:tblW w:w="0" w:type="auto"/>
        <w:tblLayout w:type="fixed"/>
        <w:tblLook w:val="04A0" w:firstRow="1" w:lastRow="0" w:firstColumn="1" w:lastColumn="0" w:noHBand="0" w:noVBand="1"/>
      </w:tblPr>
      <w:tblGrid>
        <w:gridCol w:w="1068"/>
        <w:gridCol w:w="8160"/>
      </w:tblGrid>
      <w:tr>
        <w:tc>
          <w:tcPr>
            <w:tcW w:w="1068" w:type="dxa"/>
            <w:shd w:val="clear" w:color="auto" w:fill="FFFFFF" w:themeFill="background1"/>
          </w:tcPr>
          <w:p>
            <w:pPr>
              <w:spacing w:before="0" w:after="240"/>
              <w:rPr>
                <w:rFonts w:eastAsia="Arial Unicode MS"/>
                <w:b/>
                <w:noProof/>
                <w:sz w:val="20"/>
                <w:szCs w:val="20"/>
              </w:rPr>
            </w:pPr>
            <w:r>
              <w:rPr>
                <w:b/>
                <w:noProof/>
                <w:sz w:val="20"/>
              </w:rPr>
              <w:t>Номер</w:t>
            </w:r>
          </w:p>
          <w:p>
            <w:pPr>
              <w:spacing w:before="0" w:after="240"/>
              <w:rPr>
                <w:rFonts w:eastAsia="Arial Unicode MS"/>
                <w:b/>
                <w:noProof/>
                <w:sz w:val="20"/>
                <w:szCs w:val="20"/>
              </w:rPr>
            </w:pPr>
            <w:r>
              <w:rPr>
                <w:b/>
                <w:noProof/>
                <w:sz w:val="20"/>
              </w:rPr>
              <w:t xml:space="preserve">в приложението </w:t>
            </w:r>
          </w:p>
        </w:tc>
        <w:tc>
          <w:tcPr>
            <w:tcW w:w="8160" w:type="dxa"/>
            <w:shd w:val="clear" w:color="auto" w:fill="FFFFFF" w:themeFill="background1"/>
          </w:tcPr>
          <w:p>
            <w:pPr>
              <w:spacing w:before="0" w:after="240"/>
              <w:rPr>
                <w:rFonts w:eastAsia="Arial Unicode MS"/>
                <w:b/>
                <w:noProof/>
                <w:sz w:val="20"/>
                <w:szCs w:val="20"/>
              </w:rPr>
            </w:pPr>
            <w:r>
              <w:rPr>
                <w:b/>
                <w:noProof/>
                <w:sz w:val="20"/>
              </w:rPr>
              <w:t xml:space="preserve">Заглавие на акта </w:t>
            </w:r>
          </w:p>
        </w:tc>
      </w:tr>
      <w:tr>
        <w:tc>
          <w:tcPr>
            <w:tcW w:w="1068" w:type="dxa"/>
          </w:tcPr>
          <w:p>
            <w:pPr>
              <w:spacing w:before="0" w:after="240"/>
              <w:rPr>
                <w:rFonts w:eastAsia="Arial Unicode MS"/>
                <w:noProof/>
                <w:sz w:val="20"/>
                <w:szCs w:val="20"/>
              </w:rPr>
            </w:pPr>
            <w:r>
              <w:rPr>
                <w:noProof/>
                <w:sz w:val="20"/>
              </w:rPr>
              <w:t>2</w:t>
            </w:r>
          </w:p>
        </w:tc>
        <w:tc>
          <w:tcPr>
            <w:tcW w:w="8160" w:type="dxa"/>
          </w:tcPr>
          <w:p>
            <w:pPr>
              <w:spacing w:before="0" w:after="240"/>
              <w:rPr>
                <w:rFonts w:eastAsia="Arial Unicode MS"/>
                <w:noProof/>
                <w:sz w:val="20"/>
                <w:szCs w:val="20"/>
              </w:rPr>
            </w:pPr>
            <w:r>
              <w:rPr>
                <w:noProof/>
                <w:sz w:val="20"/>
              </w:rPr>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w:t>
            </w:r>
          </w:p>
        </w:tc>
      </w:tr>
      <w:tr>
        <w:tc>
          <w:tcPr>
            <w:tcW w:w="1068" w:type="dxa"/>
          </w:tcPr>
          <w:p>
            <w:pPr>
              <w:spacing w:before="0" w:after="240"/>
              <w:rPr>
                <w:rFonts w:eastAsia="Arial Unicode MS"/>
                <w:noProof/>
                <w:sz w:val="20"/>
                <w:szCs w:val="20"/>
              </w:rPr>
            </w:pPr>
            <w:r>
              <w:rPr>
                <w:noProof/>
                <w:sz w:val="20"/>
              </w:rPr>
              <w:t>7</w:t>
            </w:r>
          </w:p>
        </w:tc>
        <w:tc>
          <w:tcPr>
            <w:tcW w:w="8160" w:type="dxa"/>
          </w:tcPr>
          <w:p>
            <w:pPr>
              <w:spacing w:before="0" w:after="240"/>
              <w:rPr>
                <w:rFonts w:eastAsia="Arial Unicode MS"/>
                <w:noProof/>
                <w:sz w:val="20"/>
                <w:szCs w:val="20"/>
              </w:rPr>
            </w:pPr>
            <w:r>
              <w:rPr>
                <w:noProof/>
                <w:sz w:val="20"/>
              </w:rPr>
              <w:t xml:space="preserve">Регламент (ЕО) № 1257/96 на Съвета от 20 юни 1996 г. относно хуманитарната помощ* </w:t>
            </w:r>
          </w:p>
        </w:tc>
      </w:tr>
      <w:tr>
        <w:tc>
          <w:tcPr>
            <w:tcW w:w="1068" w:type="dxa"/>
          </w:tcPr>
          <w:p>
            <w:pPr>
              <w:spacing w:before="0" w:after="240"/>
              <w:rPr>
                <w:rFonts w:eastAsia="Arial Unicode MS"/>
                <w:noProof/>
                <w:sz w:val="20"/>
                <w:szCs w:val="20"/>
              </w:rPr>
            </w:pPr>
            <w:r>
              <w:rPr>
                <w:noProof/>
                <w:sz w:val="20"/>
              </w:rPr>
              <w:t>36</w:t>
            </w:r>
          </w:p>
        </w:tc>
        <w:tc>
          <w:tcPr>
            <w:tcW w:w="8160" w:type="dxa"/>
          </w:tcPr>
          <w:p>
            <w:pPr>
              <w:spacing w:before="0" w:after="240"/>
              <w:rPr>
                <w:rFonts w:eastAsia="Arial Unicode MS"/>
                <w:noProof/>
                <w:sz w:val="20"/>
                <w:szCs w:val="20"/>
              </w:rPr>
            </w:pPr>
            <w:r>
              <w:rPr>
                <w:noProof/>
                <w:sz w:val="20"/>
              </w:rPr>
              <w:t>Директива 98/83/ЕО на Съвета от 3 ноември 1998 г. относно качеството на водите, предназначени за консумация от човека</w:t>
            </w:r>
          </w:p>
        </w:tc>
      </w:tr>
      <w:tr>
        <w:tc>
          <w:tcPr>
            <w:tcW w:w="1068" w:type="dxa"/>
          </w:tcPr>
          <w:p>
            <w:pPr>
              <w:spacing w:before="0" w:after="240"/>
              <w:rPr>
                <w:rFonts w:eastAsia="Arial Unicode MS"/>
                <w:noProof/>
                <w:sz w:val="20"/>
                <w:szCs w:val="20"/>
              </w:rPr>
            </w:pPr>
            <w:r>
              <w:rPr>
                <w:noProof/>
                <w:sz w:val="20"/>
              </w:rPr>
              <w:t>54</w:t>
            </w:r>
          </w:p>
        </w:tc>
        <w:tc>
          <w:tcPr>
            <w:tcW w:w="8160" w:type="dxa"/>
          </w:tcPr>
          <w:p>
            <w:pPr>
              <w:spacing w:before="0" w:after="240"/>
              <w:rPr>
                <w:rFonts w:eastAsia="Arial Unicode MS"/>
                <w:noProof/>
                <w:sz w:val="20"/>
                <w:szCs w:val="20"/>
              </w:rPr>
            </w:pPr>
            <w:r>
              <w:rPr>
                <w:noProof/>
                <w:sz w:val="20"/>
              </w:rPr>
              <w:t>Регламент (EО) № 66/2010 на Европейския парламент и на Съвета от 25 ноември 2009 г. относно екомаркировката на ЕС*</w:t>
            </w:r>
          </w:p>
        </w:tc>
      </w:tr>
      <w:tr>
        <w:tc>
          <w:tcPr>
            <w:tcW w:w="1068" w:type="dxa"/>
          </w:tcPr>
          <w:p>
            <w:pPr>
              <w:spacing w:before="0" w:after="240"/>
              <w:rPr>
                <w:rFonts w:eastAsia="Arial Unicode MS"/>
                <w:noProof/>
                <w:sz w:val="20"/>
                <w:szCs w:val="20"/>
              </w:rPr>
            </w:pPr>
            <w:r>
              <w:rPr>
                <w:noProof/>
                <w:sz w:val="20"/>
              </w:rPr>
              <w:t>57</w:t>
            </w:r>
          </w:p>
        </w:tc>
        <w:tc>
          <w:tcPr>
            <w:tcW w:w="8160" w:type="dxa"/>
          </w:tcPr>
          <w:p>
            <w:pPr>
              <w:spacing w:before="0" w:after="240"/>
              <w:rPr>
                <w:rFonts w:eastAsia="Arial Unicode MS"/>
                <w:noProof/>
                <w:sz w:val="20"/>
                <w:szCs w:val="20"/>
              </w:rPr>
            </w:pPr>
            <w:r>
              <w:rPr>
                <w:noProof/>
                <w:sz w:val="20"/>
              </w:rPr>
              <w:t>Регламент (ЕО) № 1165/98 на Съвета от 19 май 1998 г. относно краткосрочната статистика</w:t>
            </w:r>
          </w:p>
        </w:tc>
      </w:tr>
      <w:tr>
        <w:tc>
          <w:tcPr>
            <w:tcW w:w="1068" w:type="dxa"/>
          </w:tcPr>
          <w:p>
            <w:pPr>
              <w:spacing w:before="0" w:after="240"/>
              <w:rPr>
                <w:rFonts w:eastAsia="Arial Unicode MS"/>
                <w:noProof/>
                <w:sz w:val="20"/>
                <w:szCs w:val="20"/>
              </w:rPr>
            </w:pPr>
            <w:r>
              <w:rPr>
                <w:noProof/>
                <w:sz w:val="20"/>
              </w:rPr>
              <w:t>66</w:t>
            </w:r>
          </w:p>
        </w:tc>
        <w:tc>
          <w:tcPr>
            <w:tcW w:w="8160" w:type="dxa"/>
          </w:tcPr>
          <w:p>
            <w:pPr>
              <w:spacing w:before="0" w:after="240"/>
              <w:rPr>
                <w:rFonts w:eastAsia="Arial Unicode MS"/>
                <w:noProof/>
                <w:sz w:val="20"/>
                <w:szCs w:val="20"/>
              </w:rPr>
            </w:pPr>
            <w:r>
              <w:rPr>
                <w:noProof/>
                <w:sz w:val="20"/>
              </w:rPr>
              <w:t>Регламент (ЕО) № 458/2007 на Европейския парламент и на Съвета от 25 април 2007 г. относно Европейската система за интегрирана статистика на социалната закрила (Esspros)</w:t>
            </w:r>
          </w:p>
        </w:tc>
      </w:tr>
      <w:tr>
        <w:tc>
          <w:tcPr>
            <w:tcW w:w="1068" w:type="dxa"/>
          </w:tcPr>
          <w:p>
            <w:pPr>
              <w:spacing w:before="0" w:after="240"/>
              <w:rPr>
                <w:rFonts w:eastAsia="Arial Unicode MS"/>
                <w:noProof/>
                <w:sz w:val="20"/>
                <w:szCs w:val="20"/>
              </w:rPr>
            </w:pPr>
            <w:r>
              <w:rPr>
                <w:noProof/>
                <w:sz w:val="20"/>
              </w:rPr>
              <w:t>92</w:t>
            </w:r>
          </w:p>
        </w:tc>
        <w:tc>
          <w:tcPr>
            <w:tcW w:w="8160" w:type="dxa"/>
          </w:tcPr>
          <w:p>
            <w:pPr>
              <w:spacing w:before="0" w:after="240"/>
              <w:rPr>
                <w:rFonts w:eastAsia="Arial Unicode MS"/>
                <w:noProof/>
                <w:sz w:val="20"/>
                <w:szCs w:val="20"/>
              </w:rPr>
            </w:pPr>
            <w:r>
              <w:rPr>
                <w:noProof/>
                <w:sz w:val="20"/>
              </w:rPr>
              <w:t>Директива 2009/34/ЕО на Европейския парламент и на Съвета от 23 април 2009 г. относно общите разпоредби за измервателните уреди и за методите за метрологичен контрол</w:t>
            </w:r>
          </w:p>
        </w:tc>
      </w:tr>
      <w:tr>
        <w:tc>
          <w:tcPr>
            <w:tcW w:w="1068" w:type="dxa"/>
          </w:tcPr>
          <w:p>
            <w:pPr>
              <w:spacing w:before="0" w:after="240"/>
              <w:rPr>
                <w:rFonts w:eastAsia="Arial Unicode MS"/>
                <w:noProof/>
                <w:sz w:val="20"/>
                <w:szCs w:val="20"/>
              </w:rPr>
            </w:pPr>
            <w:r>
              <w:rPr>
                <w:noProof/>
                <w:sz w:val="20"/>
              </w:rPr>
              <w:t>133</w:t>
            </w:r>
          </w:p>
        </w:tc>
        <w:tc>
          <w:tcPr>
            <w:tcW w:w="8160" w:type="dxa"/>
          </w:tcPr>
          <w:p>
            <w:pPr>
              <w:spacing w:before="0" w:after="240"/>
              <w:rPr>
                <w:rFonts w:eastAsia="Arial Unicode MS"/>
                <w:bCs/>
                <w:noProof/>
                <w:sz w:val="20"/>
                <w:szCs w:val="20"/>
              </w:rPr>
            </w:pPr>
            <w:r>
              <w:rPr>
                <w:noProof/>
                <w:sz w:val="20"/>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p>
        </w:tc>
      </w:tr>
      <w:tr>
        <w:tc>
          <w:tcPr>
            <w:tcW w:w="1068" w:type="dxa"/>
          </w:tcPr>
          <w:p>
            <w:pPr>
              <w:spacing w:before="0" w:after="240"/>
              <w:rPr>
                <w:rFonts w:eastAsia="Arial Unicode MS"/>
                <w:noProof/>
                <w:sz w:val="20"/>
                <w:szCs w:val="20"/>
              </w:rPr>
            </w:pPr>
            <w:r>
              <w:rPr>
                <w:noProof/>
                <w:sz w:val="20"/>
              </w:rPr>
              <w:t>168</w:t>
            </w:r>
          </w:p>
        </w:tc>
        <w:tc>
          <w:tcPr>
            <w:tcW w:w="8160" w:type="dxa"/>
          </w:tcPr>
          <w:p>
            <w:pPr>
              <w:spacing w:before="0" w:after="240"/>
              <w:rPr>
                <w:rFonts w:eastAsia="Arial Unicode MS"/>
                <w:bCs/>
                <w:noProof/>
                <w:sz w:val="20"/>
                <w:szCs w:val="20"/>
              </w:rPr>
            </w:pPr>
            <w:r>
              <w:rPr>
                <w:noProof/>
                <w:sz w:val="20"/>
              </w:rPr>
              <w:t>Решение № 70/2008/ЕО на Европейския парламент и на Съвета от 15 януари 2008 г. относно безкнижна среда в митниците и търговията</w:t>
            </w:r>
          </w:p>
        </w:tc>
      </w:tr>
    </w:tbl>
    <w:p>
      <w:pPr>
        <w:pBdr>
          <w:top w:val="nil"/>
          <w:left w:val="nil"/>
          <w:bottom w:val="nil"/>
          <w:right w:val="nil"/>
          <w:between w:val="nil"/>
          <w:bar w:val="nil"/>
        </w:pBdr>
        <w:spacing w:before="0" w:after="240"/>
        <w:rPr>
          <w:rFonts w:eastAsia="Arial Unicode MS"/>
          <w:bCs/>
          <w:noProof/>
          <w:sz w:val="20"/>
          <w:szCs w:val="20"/>
        </w:rPr>
      </w:pPr>
      <w:r>
        <w:rPr>
          <w:noProof/>
          <w:sz w:val="20"/>
        </w:rPr>
        <w:t xml:space="preserve">* </w:t>
      </w:r>
      <w:r>
        <w:rPr>
          <w:noProof/>
        </w:rPr>
        <w:tab/>
      </w:r>
      <w:r>
        <w:rPr>
          <w:noProof/>
          <w:sz w:val="20"/>
        </w:rPr>
        <w:t xml:space="preserve">За тези актове заличаването на определени разпоредби беше предложено още през 2013 г. </w:t>
      </w:r>
    </w:p>
    <w:p>
      <w:pPr>
        <w:pBdr>
          <w:top w:val="nil"/>
          <w:left w:val="nil"/>
          <w:bottom w:val="nil"/>
          <w:right w:val="nil"/>
          <w:between w:val="nil"/>
          <w:bar w:val="nil"/>
        </w:pBdr>
        <w:spacing w:before="0" w:after="240"/>
        <w:rPr>
          <w:rFonts w:eastAsia="Arial Unicode MS"/>
          <w:noProof/>
        </w:rPr>
      </w:pPr>
      <w:r>
        <w:rPr>
          <w:noProof/>
        </w:rPr>
        <w:t xml:space="preserve">Що се отнася до </w:t>
      </w:r>
      <w:r>
        <w:rPr>
          <w:b/>
          <w:noProof/>
        </w:rPr>
        <w:t>продължителността на правомощието</w:t>
      </w:r>
      <w:r>
        <w:rPr>
          <w:noProof/>
        </w:rPr>
        <w:t xml:space="preserve">, Комисията предлага правомощия с неопределен срок. По време на преговорите относно предложенията от 2013 г. и Съветът, и Европейският парламент подкрепиха фиксиран петгодишен срок, който ще бъде автоматично подновяван в резултат на доклад, който Комисията трябва да представи преди изтичането на делегирането. В новото предложение Комисията запазва позицията си, че предоставянето на правомощие за неопределен срок е обосновано поради факта, че във всички случаи законодателят може да оттегли правомощието по всяко време. Освен това, съгласно изискването за докладване преди автоматичното подновяване, пет години след приемането на настоящото предложение Комисията ще трябва да публикува доклади за 174 различни акта, което ще създаде значителна административна тежест. И накрая, Междуинституционалното споразумение доведе до по-голяма прозрачност във връзка с делегираните актове, по-конкретно посредством съвместен регистър на делегираните актове, който институциите се договориха да създадат до края на 2017 г. Регистърът ще даде възможност за лесен преглед на делегираните актове, приети по линия на всички инструменти.  </w:t>
      </w:r>
    </w:p>
    <w:p>
      <w:pPr>
        <w:pBdr>
          <w:top w:val="nil"/>
          <w:left w:val="nil"/>
          <w:bottom w:val="nil"/>
          <w:right w:val="nil"/>
          <w:between w:val="nil"/>
          <w:bar w:val="nil"/>
        </w:pBdr>
        <w:spacing w:before="0" w:after="240"/>
        <w:rPr>
          <w:rFonts w:eastAsia="Arial Unicode MS"/>
          <w:noProof/>
        </w:rPr>
      </w:pPr>
      <w:r>
        <w:rPr>
          <w:noProof/>
        </w:rPr>
        <w:t xml:space="preserve">Предложението предвижда въвеждането на </w:t>
      </w:r>
      <w:r>
        <w:rPr>
          <w:b/>
          <w:noProof/>
        </w:rPr>
        <w:t>процедура по спешност</w:t>
      </w:r>
      <w:r>
        <w:rPr>
          <w:noProof/>
        </w:rPr>
        <w:t xml:space="preserve"> в някои случаи. Това се прави, когато е възможно прилагането на действащата процедура по спешност по силата на член 5а, параграф 6 от Решение 1999/468/ЕО и това прилагане е необходимо. В такъв случай във всеки акт се въвежда съответната стандартна клауза, даваща възможност за използването на процедурата по спешност, като се предвижда ясно обосноваване за всяко използване на тази процедура. </w:t>
      </w:r>
    </w:p>
    <w:p>
      <w:pPr>
        <w:pStyle w:val="ManualHeading1"/>
        <w:rPr>
          <w:caps/>
          <w:noProof/>
        </w:rPr>
      </w:pPr>
      <w:r>
        <w:rPr>
          <w:noProof/>
        </w:rPr>
        <w:t xml:space="preserve">3. </w:t>
      </w:r>
      <w:r>
        <w:rPr>
          <w:noProof/>
        </w:rPr>
        <w:tab/>
        <w:t xml:space="preserve">СПИСЪК НА ОСНОВНИТЕ АКТОВЕ, ПОЗОВАВАЩИ СЕ НА ПРК, ЗА КОИТО ТЕЧЕ ОТДЕЛНО ПРЕРАЗГЛЕЖДАНЕ </w:t>
      </w:r>
      <w:r>
        <w:rPr>
          <w:caps/>
          <w:noProof/>
        </w:rPr>
        <w:t>или за които е предвидено преразглеждане</w:t>
      </w:r>
      <w:r>
        <w:rPr>
          <w:noProof/>
        </w:rPr>
        <w:t xml:space="preserve"> </w:t>
      </w:r>
      <w:r>
        <w:rPr>
          <w:caps/>
          <w:noProof/>
        </w:rPr>
        <w:t xml:space="preserve">  </w:t>
      </w:r>
    </w:p>
    <w:p>
      <w:pPr>
        <w:pBdr>
          <w:top w:val="nil"/>
          <w:left w:val="nil"/>
          <w:bottom w:val="nil"/>
          <w:right w:val="nil"/>
          <w:between w:val="nil"/>
          <w:bar w:val="nil"/>
        </w:pBdr>
        <w:spacing w:before="0" w:after="240"/>
        <w:rPr>
          <w:rFonts w:eastAsia="Arial Unicode MS"/>
          <w:b/>
          <w:noProof/>
        </w:rPr>
      </w:pPr>
      <w:r>
        <w:rPr>
          <w:b/>
          <w:noProof/>
        </w:rPr>
        <w:t xml:space="preserve">Таблица 3: Предложения, приети от Комисията </w:t>
      </w:r>
    </w:p>
    <w:tbl>
      <w:tblPr>
        <w:tblStyle w:val="TableGrid"/>
        <w:tblW w:w="0" w:type="auto"/>
        <w:tblLook w:val="04A0" w:firstRow="1" w:lastRow="0" w:firstColumn="1" w:lastColumn="0" w:noHBand="0" w:noVBand="1"/>
      </w:tblPr>
      <w:tblGrid>
        <w:gridCol w:w="1308"/>
        <w:gridCol w:w="5640"/>
        <w:gridCol w:w="2340"/>
      </w:tblGrid>
      <w:tr>
        <w:tc>
          <w:tcPr>
            <w:tcW w:w="1308" w:type="dxa"/>
            <w:shd w:val="clear" w:color="auto" w:fill="FFFFFF" w:themeFill="background1"/>
          </w:tcPr>
          <w:p>
            <w:pPr>
              <w:spacing w:before="0" w:after="0"/>
              <w:jc w:val="left"/>
              <w:rPr>
                <w:b/>
                <w:noProof/>
                <w:sz w:val="22"/>
              </w:rPr>
            </w:pPr>
            <w:r>
              <w:rPr>
                <w:b/>
                <w:noProof/>
                <w:sz w:val="22"/>
              </w:rPr>
              <w:t xml:space="preserve">Област </w:t>
            </w:r>
          </w:p>
        </w:tc>
        <w:tc>
          <w:tcPr>
            <w:tcW w:w="5640" w:type="dxa"/>
            <w:shd w:val="clear" w:color="auto" w:fill="FFFFFF" w:themeFill="background1"/>
          </w:tcPr>
          <w:p>
            <w:pPr>
              <w:spacing w:before="0" w:after="0"/>
              <w:jc w:val="left"/>
              <w:rPr>
                <w:b/>
                <w:noProof/>
                <w:sz w:val="22"/>
              </w:rPr>
            </w:pPr>
            <w:r>
              <w:rPr>
                <w:b/>
                <w:noProof/>
                <w:sz w:val="22"/>
              </w:rPr>
              <w:t xml:space="preserve">Инструмент </w:t>
            </w:r>
          </w:p>
        </w:tc>
        <w:tc>
          <w:tcPr>
            <w:tcW w:w="2340" w:type="dxa"/>
            <w:shd w:val="clear" w:color="auto" w:fill="FFFFFF" w:themeFill="background1"/>
          </w:tcPr>
          <w:p>
            <w:pPr>
              <w:spacing w:before="0" w:after="0"/>
              <w:jc w:val="left"/>
              <w:rPr>
                <w:b/>
                <w:noProof/>
                <w:sz w:val="22"/>
              </w:rPr>
            </w:pPr>
            <w:r>
              <w:rPr>
                <w:b/>
                <w:noProof/>
                <w:sz w:val="22"/>
              </w:rPr>
              <w:t xml:space="preserve">Номер на предложението </w:t>
            </w:r>
          </w:p>
          <w:p>
            <w:pPr>
              <w:spacing w:before="0" w:after="0"/>
              <w:jc w:val="left"/>
              <w:rPr>
                <w:b/>
                <w:noProof/>
                <w:sz w:val="22"/>
              </w:rPr>
            </w:pPr>
          </w:p>
        </w:tc>
      </w:tr>
      <w:tr>
        <w:tc>
          <w:tcPr>
            <w:tcW w:w="1308" w:type="dxa"/>
          </w:tcPr>
          <w:p>
            <w:pPr>
              <w:spacing w:before="0" w:after="0"/>
              <w:jc w:val="left"/>
              <w:rPr>
                <w:noProof/>
                <w:sz w:val="22"/>
                <w:highlight w:val="yellow"/>
              </w:rPr>
            </w:pPr>
            <w:r>
              <w:rPr>
                <w:noProof/>
                <w:sz w:val="22"/>
              </w:rPr>
              <w:t>CLIMA</w:t>
            </w:r>
          </w:p>
        </w:tc>
        <w:tc>
          <w:tcPr>
            <w:tcW w:w="5640" w:type="dxa"/>
          </w:tcPr>
          <w:p>
            <w:pPr>
              <w:spacing w:before="0" w:after="0"/>
              <w:jc w:val="left"/>
              <w:rPr>
                <w:noProof/>
                <w:sz w:val="22"/>
              </w:rPr>
            </w:pPr>
            <w:r>
              <w:rPr>
                <w:noProof/>
                <w:sz w:val="22"/>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tc>
        <w:tc>
          <w:tcPr>
            <w:tcW w:w="2340" w:type="dxa"/>
          </w:tcPr>
          <w:p>
            <w:pPr>
              <w:spacing w:before="0" w:after="0"/>
              <w:jc w:val="left"/>
              <w:rPr>
                <w:bCs/>
                <w:noProof/>
                <w:sz w:val="22"/>
              </w:rPr>
            </w:pPr>
            <w:r>
              <w:rPr>
                <w:noProof/>
                <w:sz w:val="22"/>
              </w:rPr>
              <w:t>COM(2015) 337</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Директива 2002/19/ЕО на Европейския парламент и на Съвета от 7 март 2002 г. относно достъпа до електронни съобщителни мрежи и тяхната инфраструктура и взаимосвързаността между тях (Директива за достъпа)</w:t>
            </w:r>
            <w:r>
              <w:rPr>
                <w:rStyle w:val="CommentReference"/>
                <w:noProof/>
              </w:rPr>
              <w:t xml:space="preserve"> </w:t>
            </w:r>
          </w:p>
        </w:tc>
        <w:tc>
          <w:tcPr>
            <w:tcW w:w="2340" w:type="dxa"/>
          </w:tcPr>
          <w:p>
            <w:pPr>
              <w:spacing w:before="0" w:after="0"/>
              <w:jc w:val="left"/>
              <w:rPr>
                <w:bCs/>
                <w:noProof/>
                <w:sz w:val="22"/>
              </w:rPr>
            </w:pPr>
            <w:r>
              <w:rPr>
                <w:noProof/>
                <w:sz w:val="22"/>
              </w:rPr>
              <w:t>COM(2016) 0590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w:t>
            </w:r>
            <w:r>
              <w:rPr>
                <w:rStyle w:val="CommentReference"/>
                <w:noProof/>
              </w:rPr>
              <w:t xml:space="preserve"> </w:t>
            </w:r>
          </w:p>
        </w:tc>
        <w:tc>
          <w:tcPr>
            <w:tcW w:w="2340" w:type="dxa"/>
          </w:tcPr>
          <w:p>
            <w:pPr>
              <w:spacing w:before="0" w:after="0"/>
              <w:jc w:val="left"/>
              <w:rPr>
                <w:bCs/>
                <w:noProof/>
                <w:sz w:val="22"/>
              </w:rPr>
            </w:pPr>
            <w:r>
              <w:rPr>
                <w:noProof/>
                <w:sz w:val="22"/>
              </w:rPr>
              <w:t>COM(2016) 0590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 xml:space="preserve">Директива 2002/22/ЕО на Европейския парламент и на Съвета от 7 март 2002 г. относно универсалната услуга и правата на потребителите във връзка с електронните съобщителни мрежи и услуги (Директива за универсалната услуга) </w:t>
            </w:r>
          </w:p>
        </w:tc>
        <w:tc>
          <w:tcPr>
            <w:tcW w:w="2340" w:type="dxa"/>
          </w:tcPr>
          <w:p>
            <w:pPr>
              <w:spacing w:before="0" w:after="0"/>
              <w:jc w:val="left"/>
              <w:rPr>
                <w:bCs/>
                <w:noProof/>
                <w:sz w:val="22"/>
              </w:rPr>
            </w:pPr>
            <w:r>
              <w:rPr>
                <w:noProof/>
                <w:sz w:val="22"/>
              </w:rPr>
              <w:t>COM(2016) 0590</w:t>
            </w:r>
          </w:p>
        </w:tc>
      </w:tr>
      <w:tr>
        <w:tc>
          <w:tcPr>
            <w:tcW w:w="1308" w:type="dxa"/>
          </w:tcPr>
          <w:p>
            <w:pPr>
              <w:spacing w:before="0" w:after="0"/>
              <w:jc w:val="left"/>
              <w:rPr>
                <w:noProof/>
                <w:sz w:val="22"/>
              </w:rPr>
            </w:pPr>
            <w:r>
              <w:rPr>
                <w:noProof/>
                <w:sz w:val="22"/>
              </w:rPr>
              <w:t xml:space="preserve">ENER </w:t>
            </w:r>
          </w:p>
        </w:tc>
        <w:tc>
          <w:tcPr>
            <w:tcW w:w="5640" w:type="dxa"/>
          </w:tcPr>
          <w:p>
            <w:pPr>
              <w:spacing w:before="0" w:after="0"/>
              <w:jc w:val="left"/>
              <w:rPr>
                <w:noProof/>
                <w:sz w:val="22"/>
              </w:rPr>
            </w:pPr>
            <w:r>
              <w:rPr>
                <w:noProof/>
                <w:sz w:val="22"/>
              </w:rPr>
              <w:t>Директива 2008/92/ЕО на Европейския парламент и на Съвета от 22 октомври 2008 г. относно процедура на Общността за подобряване на прозрачността на цените на газ и електроенергия за промишлени крайни потребители (преработена)</w:t>
            </w:r>
          </w:p>
        </w:tc>
        <w:tc>
          <w:tcPr>
            <w:tcW w:w="2340" w:type="dxa"/>
          </w:tcPr>
          <w:p>
            <w:pPr>
              <w:spacing w:before="0" w:after="0"/>
              <w:jc w:val="left"/>
              <w:rPr>
                <w:noProof/>
                <w:sz w:val="22"/>
              </w:rPr>
            </w:pPr>
            <w:r>
              <w:rPr>
                <w:noProof/>
                <w:sz w:val="22"/>
              </w:rPr>
              <w:t>COM(2015) 496</w:t>
            </w:r>
          </w:p>
        </w:tc>
      </w:tr>
      <w:tr>
        <w:tc>
          <w:tcPr>
            <w:tcW w:w="1308" w:type="dxa"/>
          </w:tcPr>
          <w:p>
            <w:pPr>
              <w:spacing w:before="0" w:after="0"/>
              <w:jc w:val="left"/>
              <w:rPr>
                <w:noProof/>
                <w:sz w:val="22"/>
              </w:rPr>
            </w:pPr>
            <w:r>
              <w:rPr>
                <w:noProof/>
                <w:sz w:val="22"/>
              </w:rPr>
              <w:t xml:space="preserve">GROW </w:t>
            </w:r>
          </w:p>
        </w:tc>
        <w:tc>
          <w:tcPr>
            <w:tcW w:w="5640" w:type="dxa"/>
          </w:tcPr>
          <w:p>
            <w:pPr>
              <w:spacing w:before="0" w:after="0"/>
              <w:rPr>
                <w:bCs/>
                <w:noProof/>
                <w:spacing w:val="-6"/>
                <w:sz w:val="22"/>
              </w:rPr>
            </w:pPr>
            <w:r>
              <w:rPr>
                <w:noProof/>
                <w:spacing w:val="-6"/>
                <w:sz w:val="22"/>
              </w:rPr>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p>
        </w:tc>
        <w:tc>
          <w:tcPr>
            <w:tcW w:w="2340" w:type="dxa"/>
          </w:tcPr>
          <w:p>
            <w:pPr>
              <w:spacing w:before="0" w:after="0"/>
              <w:jc w:val="left"/>
              <w:rPr>
                <w:bCs/>
                <w:noProof/>
                <w:sz w:val="22"/>
              </w:rPr>
            </w:pPr>
            <w:r>
              <w:rPr>
                <w:noProof/>
                <w:sz w:val="22"/>
              </w:rPr>
              <w:t>COM(2014) 28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w:t>
            </w:r>
          </w:p>
        </w:tc>
        <w:tc>
          <w:tcPr>
            <w:tcW w:w="2340" w:type="dxa"/>
          </w:tcPr>
          <w:p>
            <w:pPr>
              <w:spacing w:before="0" w:after="0"/>
              <w:jc w:val="left"/>
              <w:rPr>
                <w:bCs/>
                <w:noProof/>
                <w:sz w:val="22"/>
              </w:rPr>
            </w:pPr>
            <w:r>
              <w:rPr>
                <w:noProof/>
                <w:sz w:val="22"/>
              </w:rPr>
              <w:t>COM(2016) 31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Директива 97/68/EO на Европейския парламент и на Съвета от 16 декември 1997 г. за сближаване законодателствата на държавите членки във връзка с мерките за ограничаване емисиите на газообразни и прахообразни замърсители от двигатели с вътрешно горене, инсталирани в извънпътна подвижна техника</w:t>
            </w:r>
          </w:p>
        </w:tc>
        <w:tc>
          <w:tcPr>
            <w:tcW w:w="2340" w:type="dxa"/>
          </w:tcPr>
          <w:p>
            <w:pPr>
              <w:spacing w:before="0" w:after="0"/>
              <w:jc w:val="left"/>
              <w:rPr>
                <w:bCs/>
                <w:noProof/>
                <w:sz w:val="22"/>
              </w:rPr>
            </w:pPr>
            <w:r>
              <w:rPr>
                <w:noProof/>
                <w:sz w:val="22"/>
              </w:rPr>
              <w:t>COM(2014) 581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p>
        </w:tc>
        <w:tc>
          <w:tcPr>
            <w:tcW w:w="2340" w:type="dxa"/>
          </w:tcPr>
          <w:p>
            <w:pPr>
              <w:spacing w:before="0" w:after="0"/>
              <w:jc w:val="left"/>
              <w:rPr>
                <w:bCs/>
                <w:noProof/>
                <w:sz w:val="22"/>
              </w:rPr>
            </w:pPr>
            <w:r>
              <w:rPr>
                <w:noProof/>
                <w:sz w:val="22"/>
              </w:rPr>
              <w:t>COM(2014) 28 final</w:t>
            </w: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Директива 2008/98/ЕО на Европейския парламент и на Съвета от 19 ноември 2008 г. относно отпадъците и за отмяна на определени директиви (Рамкова директива за отпадъците)</w:t>
            </w:r>
          </w:p>
        </w:tc>
        <w:tc>
          <w:tcPr>
            <w:tcW w:w="2340" w:type="dxa"/>
          </w:tcPr>
          <w:p>
            <w:pPr>
              <w:spacing w:before="0" w:after="0"/>
              <w:jc w:val="left"/>
              <w:rPr>
                <w:bCs/>
                <w:noProof/>
                <w:sz w:val="22"/>
              </w:rPr>
            </w:pPr>
            <w:r>
              <w:rPr>
                <w:noProof/>
                <w:sz w:val="22"/>
              </w:rPr>
              <w:t>COM(2015) 595</w:t>
            </w:r>
          </w:p>
          <w:p>
            <w:pPr>
              <w:spacing w:before="0" w:after="0"/>
              <w:jc w:val="left"/>
              <w:rPr>
                <w:bCs/>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Директива 1999/31/ЕО на Съвета от 26 април 1999 г. относно депонирането на отпадъци</w:t>
            </w:r>
          </w:p>
        </w:tc>
        <w:tc>
          <w:tcPr>
            <w:tcW w:w="2340" w:type="dxa"/>
          </w:tcPr>
          <w:p>
            <w:pPr>
              <w:spacing w:before="0" w:after="0"/>
              <w:jc w:val="left"/>
              <w:rPr>
                <w:bCs/>
                <w:noProof/>
                <w:sz w:val="22"/>
              </w:rPr>
            </w:pPr>
            <w:r>
              <w:rPr>
                <w:noProof/>
                <w:sz w:val="22"/>
              </w:rPr>
              <w:t>COM(2015) 594</w:t>
            </w:r>
          </w:p>
          <w:p>
            <w:pPr>
              <w:spacing w:before="0" w:after="0"/>
              <w:jc w:val="left"/>
              <w:rPr>
                <w:bCs/>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Директива 94/62/ЕО на Европейския парламент и на Съвета от 20 декември 1994 г. относно опаковките и отпадъците от опаковки</w:t>
            </w:r>
          </w:p>
        </w:tc>
        <w:tc>
          <w:tcPr>
            <w:tcW w:w="2340" w:type="dxa"/>
          </w:tcPr>
          <w:p>
            <w:pPr>
              <w:spacing w:before="0" w:after="0"/>
              <w:jc w:val="left"/>
              <w:rPr>
                <w:bCs/>
                <w:noProof/>
                <w:sz w:val="22"/>
              </w:rPr>
            </w:pPr>
            <w:r>
              <w:rPr>
                <w:noProof/>
                <w:sz w:val="22"/>
              </w:rPr>
              <w:t>COM(2015) 593</w:t>
            </w:r>
          </w:p>
          <w:p>
            <w:pPr>
              <w:spacing w:before="0" w:after="0"/>
              <w:jc w:val="left"/>
              <w:rPr>
                <w:bCs/>
                <w:i/>
                <w:noProof/>
                <w:sz w:val="22"/>
              </w:rPr>
            </w:pPr>
          </w:p>
        </w:tc>
      </w:tr>
      <w:tr>
        <w:tc>
          <w:tcPr>
            <w:tcW w:w="1308" w:type="dxa"/>
          </w:tcPr>
          <w:p>
            <w:pPr>
              <w:spacing w:before="0" w:after="0"/>
              <w:jc w:val="left"/>
              <w:rPr>
                <w:noProof/>
                <w:sz w:val="22"/>
              </w:rPr>
            </w:pPr>
            <w:r>
              <w:rPr>
                <w:noProof/>
                <w:sz w:val="22"/>
              </w:rPr>
              <w:t xml:space="preserve">ENV </w:t>
            </w:r>
          </w:p>
        </w:tc>
        <w:tc>
          <w:tcPr>
            <w:tcW w:w="5640" w:type="dxa"/>
          </w:tcPr>
          <w:p>
            <w:pPr>
              <w:spacing w:before="0" w:after="0"/>
              <w:jc w:val="left"/>
              <w:rPr>
                <w:bCs/>
                <w:noProof/>
                <w:sz w:val="22"/>
              </w:rPr>
            </w:pPr>
            <w:r>
              <w:rPr>
                <w:noProof/>
                <w:sz w:val="22"/>
              </w:rPr>
              <w:t>Регламент (ЕО) № 338/97 на Съвета от 9 декември 1996 г. относно защитата на видовете от дивата флора и фауна чрез регулиране на търговията с тях</w:t>
            </w:r>
          </w:p>
        </w:tc>
        <w:tc>
          <w:tcPr>
            <w:tcW w:w="2340" w:type="dxa"/>
          </w:tcPr>
          <w:p>
            <w:pPr>
              <w:spacing w:before="0" w:after="0"/>
              <w:jc w:val="left"/>
              <w:rPr>
                <w:bCs/>
                <w:noProof/>
                <w:sz w:val="22"/>
              </w:rPr>
            </w:pPr>
            <w:r>
              <w:rPr>
                <w:noProof/>
                <w:sz w:val="22"/>
              </w:rPr>
              <w:t>COM(2012) 0403</w:t>
            </w:r>
          </w:p>
        </w:tc>
      </w:tr>
      <w:tr>
        <w:tc>
          <w:tcPr>
            <w:tcW w:w="1308" w:type="dxa"/>
          </w:tcPr>
          <w:p>
            <w:pPr>
              <w:spacing w:before="0" w:after="0"/>
              <w:jc w:val="left"/>
              <w:rPr>
                <w:noProof/>
                <w:sz w:val="22"/>
              </w:rPr>
            </w:pPr>
            <w:r>
              <w:rPr>
                <w:noProof/>
                <w:sz w:val="22"/>
              </w:rPr>
              <w:t>ESTAT</w:t>
            </w:r>
          </w:p>
        </w:tc>
        <w:tc>
          <w:tcPr>
            <w:tcW w:w="5640" w:type="dxa"/>
          </w:tcPr>
          <w:p>
            <w:pPr>
              <w:spacing w:before="0" w:after="0"/>
              <w:jc w:val="left"/>
              <w:rPr>
                <w:bCs/>
                <w:noProof/>
                <w:sz w:val="22"/>
              </w:rPr>
            </w:pPr>
            <w:r>
              <w:rPr>
                <w:noProof/>
                <w:sz w:val="22"/>
              </w:rPr>
              <w:t>Регламент (EO) № 1177/2003 на Европейския парламент и на Съвета от 16 юни 2003 г. относно статистическите данни на Общността за доходите и условията на живот (ЕU-SILC)</w:t>
            </w:r>
          </w:p>
        </w:tc>
        <w:tc>
          <w:tcPr>
            <w:tcW w:w="2340" w:type="dxa"/>
          </w:tcPr>
          <w:p>
            <w:pPr>
              <w:spacing w:before="0" w:after="0"/>
              <w:jc w:val="left"/>
              <w:rPr>
                <w:bCs/>
                <w:noProof/>
                <w:sz w:val="22"/>
              </w:rPr>
            </w:pPr>
            <w:r>
              <w:rPr>
                <w:noProof/>
                <w:sz w:val="22"/>
              </w:rPr>
              <w:t xml:space="preserve">Отменяне, предложено с COM(2016) 551 </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z w:val="22"/>
              </w:rPr>
            </w:pPr>
            <w:r>
              <w:rPr>
                <w:noProof/>
                <w:sz w:val="22"/>
              </w:rPr>
              <w:t xml:space="preserve">Директива 2006/87/ЕО на Европейския парламент и на Съвета от 12 декември 2016 г. за установяване на техническите изисквания за плавателни съдове по вътрешни водни пътища </w:t>
            </w:r>
          </w:p>
        </w:tc>
        <w:tc>
          <w:tcPr>
            <w:tcW w:w="2340" w:type="dxa"/>
            <w:shd w:val="clear" w:color="auto" w:fill="FFFFFF" w:themeFill="background1"/>
          </w:tcPr>
          <w:p>
            <w:pPr>
              <w:spacing w:before="0" w:after="0"/>
              <w:jc w:val="left"/>
              <w:rPr>
                <w:noProof/>
                <w:sz w:val="22"/>
              </w:rPr>
            </w:pPr>
            <w:r>
              <w:rPr>
                <w:noProof/>
                <w:sz w:val="22"/>
              </w:rPr>
              <w:t>COM(2013) 0622</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pacing w:val="-4"/>
                <w:sz w:val="22"/>
              </w:rPr>
            </w:pPr>
            <w:r>
              <w:rPr>
                <w:noProof/>
                <w:spacing w:val="-4"/>
                <w:sz w:val="22"/>
              </w:rPr>
              <w:t>Директива 2002/30/ЕО на Европейския парламент и на Съвета от 26</w:t>
            </w:r>
            <w:r>
              <w:rPr>
                <w:noProof/>
                <w:spacing w:val="-4"/>
                <w:sz w:val="22"/>
                <w:vertAlign w:val="superscript"/>
              </w:rPr>
              <w:t xml:space="preserve"> </w:t>
            </w:r>
            <w:r>
              <w:rPr>
                <w:noProof/>
                <w:spacing w:val="-4"/>
                <w:sz w:val="22"/>
              </w:rPr>
              <w:t xml:space="preserve">март 2002 г. относно установяването на правила и процедури за въвеждането на експлоатационни ограничения, свързани с шума на летищата на Общността </w:t>
            </w:r>
          </w:p>
        </w:tc>
        <w:tc>
          <w:tcPr>
            <w:tcW w:w="2340" w:type="dxa"/>
            <w:shd w:val="clear" w:color="auto" w:fill="FFFFFF" w:themeFill="background1"/>
          </w:tcPr>
          <w:p>
            <w:pPr>
              <w:spacing w:before="0" w:after="0"/>
              <w:jc w:val="left"/>
              <w:rPr>
                <w:noProof/>
                <w:sz w:val="22"/>
              </w:rPr>
            </w:pPr>
            <w:r>
              <w:rPr>
                <w:noProof/>
                <w:sz w:val="22"/>
              </w:rPr>
              <w:t>COM(2011) 0828</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pacing w:val="-6"/>
                <w:sz w:val="22"/>
              </w:rPr>
            </w:pPr>
            <w:r>
              <w:rPr>
                <w:noProof/>
                <w:spacing w:val="-6"/>
                <w:sz w:val="22"/>
              </w:rPr>
              <w:t>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вътрешноводни пътища в Общността</w:t>
            </w:r>
          </w:p>
        </w:tc>
        <w:tc>
          <w:tcPr>
            <w:tcW w:w="2340" w:type="dxa"/>
          </w:tcPr>
          <w:p>
            <w:pPr>
              <w:spacing w:before="0" w:after="0"/>
              <w:jc w:val="left"/>
              <w:rPr>
                <w:noProof/>
                <w:sz w:val="22"/>
              </w:rPr>
            </w:pPr>
            <w:r>
              <w:rPr>
                <w:noProof/>
                <w:sz w:val="22"/>
              </w:rPr>
              <w:t>COM(2016) 82 final</w:t>
            </w:r>
          </w:p>
        </w:tc>
      </w:tr>
      <w:tr>
        <w:trPr>
          <w:trHeight w:val="169"/>
        </w:trP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Директива 91/672/ЕИО на Съвета от 16 декември 1991 г. относно взаимното признаване на национални свидетелства за капитани на речни кораби за превоз на стоки и пътници по вътрешни водни пътища</w:t>
            </w:r>
          </w:p>
        </w:tc>
        <w:tc>
          <w:tcPr>
            <w:tcW w:w="2340" w:type="dxa"/>
          </w:tcPr>
          <w:p>
            <w:pPr>
              <w:spacing w:before="0" w:after="0"/>
              <w:jc w:val="left"/>
              <w:rPr>
                <w:noProof/>
                <w:sz w:val="22"/>
              </w:rPr>
            </w:pPr>
            <w:r>
              <w:rPr>
                <w:noProof/>
                <w:sz w:val="22"/>
              </w:rPr>
              <w:t>COM(2016) 82 final</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Директива 2009/45/ЕО на Европейския парламент и на Съвета от 6 май 2009 г. за правилата за безопасност и стандартите за пътническите кораби (преработена)</w:t>
            </w:r>
          </w:p>
        </w:tc>
        <w:tc>
          <w:tcPr>
            <w:tcW w:w="2340" w:type="dxa"/>
          </w:tcPr>
          <w:p>
            <w:pPr>
              <w:spacing w:before="0" w:after="0"/>
              <w:jc w:val="left"/>
              <w:rPr>
                <w:noProof/>
                <w:sz w:val="22"/>
              </w:rPr>
            </w:pPr>
            <w:r>
              <w:rPr>
                <w:noProof/>
                <w:sz w:val="22"/>
              </w:rPr>
              <w:t>COM(2016) 0369</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Директива 1999/35/ЕО на Съвета от 29 април 1999 г. относно система за задължителни прегледи за безопасна работа при редовни услуги от ро-ро фериботи и бързоходни пътнически плавателни съдове</w:t>
            </w:r>
          </w:p>
        </w:tc>
        <w:tc>
          <w:tcPr>
            <w:tcW w:w="2340" w:type="dxa"/>
          </w:tcPr>
          <w:p>
            <w:pPr>
              <w:spacing w:before="0" w:after="0"/>
              <w:jc w:val="left"/>
              <w:rPr>
                <w:noProof/>
                <w:sz w:val="22"/>
              </w:rPr>
            </w:pPr>
            <w:r>
              <w:rPr>
                <w:noProof/>
                <w:sz w:val="22"/>
              </w:rPr>
              <w:t>COM(2016) 371</w:t>
            </w:r>
          </w:p>
        </w:tc>
      </w:tr>
      <w:tr>
        <w:tc>
          <w:tcPr>
            <w:tcW w:w="1308" w:type="dxa"/>
          </w:tcPr>
          <w:p>
            <w:pPr>
              <w:spacing w:before="0" w:after="0"/>
              <w:jc w:val="left"/>
              <w:rPr>
                <w:noProof/>
                <w:sz w:val="22"/>
              </w:rPr>
            </w:pPr>
            <w:r>
              <w:rPr>
                <w:noProof/>
                <w:sz w:val="22"/>
              </w:rPr>
              <w:t xml:space="preserve">MOVE </w:t>
            </w:r>
          </w:p>
        </w:tc>
        <w:tc>
          <w:tcPr>
            <w:tcW w:w="5640" w:type="dxa"/>
          </w:tcPr>
          <w:p>
            <w:pPr>
              <w:spacing w:before="0" w:after="0"/>
              <w:jc w:val="left"/>
              <w:rPr>
                <w:noProof/>
                <w:sz w:val="22"/>
              </w:rPr>
            </w:pPr>
            <w:r>
              <w:rPr>
                <w:noProof/>
                <w:sz w:val="22"/>
              </w:rPr>
              <w:t>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членки от Общността</w:t>
            </w:r>
          </w:p>
        </w:tc>
        <w:tc>
          <w:tcPr>
            <w:tcW w:w="2340" w:type="dxa"/>
          </w:tcPr>
          <w:p>
            <w:pPr>
              <w:spacing w:before="0" w:after="0"/>
              <w:jc w:val="left"/>
              <w:rPr>
                <w:noProof/>
                <w:sz w:val="22"/>
              </w:rPr>
            </w:pPr>
            <w:r>
              <w:rPr>
                <w:noProof/>
                <w:sz w:val="22"/>
              </w:rPr>
              <w:t>COM(2016) 370</w:t>
            </w:r>
          </w:p>
        </w:tc>
      </w:tr>
      <w:tr>
        <w:tc>
          <w:tcPr>
            <w:tcW w:w="1308" w:type="dxa"/>
          </w:tcPr>
          <w:p>
            <w:pPr>
              <w:spacing w:before="0" w:after="0"/>
              <w:jc w:val="left"/>
              <w:rPr>
                <w:noProof/>
                <w:sz w:val="22"/>
              </w:rPr>
            </w:pPr>
            <w:r>
              <w:rPr>
                <w:noProof/>
                <w:sz w:val="22"/>
              </w:rPr>
              <w:t xml:space="preserve">SANTE </w:t>
            </w:r>
          </w:p>
        </w:tc>
        <w:tc>
          <w:tcPr>
            <w:tcW w:w="5640" w:type="dxa"/>
          </w:tcPr>
          <w:p>
            <w:pPr>
              <w:spacing w:before="0" w:after="0"/>
              <w:rPr>
                <w:bCs/>
                <w:noProof/>
                <w:spacing w:val="-4"/>
                <w:sz w:val="22"/>
              </w:rPr>
            </w:pPr>
            <w:r>
              <w:rPr>
                <w:noProof/>
                <w:spacing w:val="-4"/>
                <w:sz w:val="22"/>
              </w:rPr>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p>
        </w:tc>
        <w:tc>
          <w:tcPr>
            <w:tcW w:w="2340" w:type="dxa"/>
          </w:tcPr>
          <w:p>
            <w:pPr>
              <w:spacing w:before="0" w:after="0"/>
              <w:jc w:val="left"/>
              <w:rPr>
                <w:bCs/>
                <w:noProof/>
                <w:sz w:val="22"/>
              </w:rPr>
            </w:pPr>
            <w:r>
              <w:rPr>
                <w:noProof/>
                <w:sz w:val="22"/>
              </w:rPr>
              <w:t>COM(2014) 0557</w:t>
            </w:r>
          </w:p>
        </w:tc>
      </w:tr>
    </w:tbl>
    <w:p>
      <w:pPr>
        <w:pBdr>
          <w:top w:val="nil"/>
          <w:left w:val="nil"/>
          <w:bottom w:val="nil"/>
          <w:right w:val="nil"/>
          <w:between w:val="nil"/>
          <w:bar w:val="nil"/>
        </w:pBdr>
        <w:spacing w:before="0" w:after="240"/>
        <w:rPr>
          <w:rFonts w:eastAsia="Arial Unicode MS"/>
          <w:noProof/>
          <w:sz w:val="22"/>
        </w:rPr>
      </w:pPr>
      <w:r>
        <w:rPr>
          <w:noProof/>
          <w:sz w:val="22"/>
        </w:rPr>
        <w:t xml:space="preserve">За изброените по-долу инструменти, които се позовават на ПРК, е предвидено отделно съществено преразглеждане, което все още не е прието. Тяхното привеждане в съответствие ще бъде част от тези планирани преразглеждания. </w:t>
      </w:r>
    </w:p>
    <w:p>
      <w:pPr>
        <w:pBdr>
          <w:top w:val="nil"/>
          <w:left w:val="nil"/>
          <w:bottom w:val="nil"/>
          <w:right w:val="nil"/>
          <w:between w:val="nil"/>
          <w:bar w:val="nil"/>
        </w:pBdr>
        <w:spacing w:before="0" w:after="240"/>
        <w:rPr>
          <w:rFonts w:eastAsia="Arial Unicode MS"/>
          <w:b/>
          <w:noProof/>
          <w:sz w:val="22"/>
        </w:rPr>
      </w:pPr>
      <w:r>
        <w:rPr>
          <w:b/>
          <w:noProof/>
          <w:sz w:val="22"/>
        </w:rPr>
        <w:t>Таблица 4: Актове, за които са планирани предложения</w:t>
      </w:r>
    </w:p>
    <w:tbl>
      <w:tblPr>
        <w:tblW w:w="5000" w:type="pct"/>
        <w:tblLook w:val="04A0" w:firstRow="1" w:lastRow="0" w:firstColumn="1" w:lastColumn="0" w:noHBand="0" w:noVBand="1"/>
      </w:tblPr>
      <w:tblGrid>
        <w:gridCol w:w="1308"/>
        <w:gridCol w:w="7981"/>
      </w:tblGrid>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b/>
                <w:noProof/>
                <w:sz w:val="22"/>
              </w:rPr>
              <w:t>Област</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b/>
                <w:noProof/>
                <w:sz w:val="22"/>
              </w:rPr>
              <w:t>Инструмент</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 xml:space="preserve">AGRI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noProof/>
                <w:sz w:val="22"/>
              </w:rPr>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CLIMA</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pacing w:val="-4"/>
                <w:sz w:val="22"/>
              </w:rPr>
            </w:pPr>
            <w:r>
              <w:rPr>
                <w:noProof/>
                <w:spacing w:val="-4"/>
                <w:sz w:val="22"/>
              </w:rPr>
              <w:t>Регламент (ЕО) № 713/2009 на Европейския парламент и на Съвета от 13 юли 2009 г. за създаване на Агенция за сътрудничество между регулаторите на енергия</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 xml:space="preserve">ENV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Регламент (ЕО) № 850/2004 на Европейския парламент и на Съвета от 29 април 2004 г. относно устойчивите органични замърсители и за изменение на Директива 79/117/ЕИО</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 xml:space="preserve">ENV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Директива 86/278/ЕИО на Съвета от 12 юни 1986 г. за опазване на околната среда, и по-специално на почвата, при използване на утайки от отпадъчни води в земеделието</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Регламент (ЕО) № 1166/2008 на Европейския парламент и на Съвета от 19 ноември 2008 г. относно изследванията на структурата на земеделските стопанства и изследването на земеделските производствени методи и за отмяна на Регламент (ЕИО) № 571/88 на Съвета</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w:t>
            </w:r>
          </w:p>
        </w:tc>
      </w:tr>
    </w:tbl>
    <w:p>
      <w:pPr>
        <w:pStyle w:val="ManualHeading1"/>
        <w:rPr>
          <w:noProof/>
        </w:rPr>
      </w:pPr>
      <w:r>
        <w:rPr>
          <w:noProof/>
        </w:rPr>
        <w:t xml:space="preserve">4. </w:t>
      </w:r>
      <w:r>
        <w:rPr>
          <w:noProof/>
        </w:rPr>
        <w:tab/>
        <w:t xml:space="preserve">ПРАВНО ОСНОВАНИЕ, СУБСИДИАРНОСТ </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правните основания на всички изменени основни актове. </w:t>
      </w:r>
    </w:p>
    <w:p>
      <w:pPr>
        <w:pBdr>
          <w:top w:val="nil"/>
          <w:left w:val="nil"/>
          <w:bottom w:val="nil"/>
          <w:right w:val="nil"/>
          <w:between w:val="nil"/>
          <w:bar w:val="nil"/>
        </w:pBdr>
        <w:spacing w:before="0" w:after="240"/>
        <w:rPr>
          <w:rFonts w:eastAsia="Arial Unicode MS"/>
          <w:noProof/>
          <w:spacing w:val="-4"/>
        </w:rPr>
      </w:pPr>
      <w:r>
        <w:rPr>
          <w:noProof/>
          <w:spacing w:val="-4"/>
        </w:rPr>
        <w:t xml:space="preserve">Тази инициатива е свързана изключително с процедурите, които трябва да се прилагат на равнището на Съюза при приемането на актове, основани на предоставени правомощия.   </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2016/0400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color w:val="0000FF"/>
        </w:rPr>
      </w:pPr>
      <w:r>
        <w:rPr>
          <w:noProof/>
        </w:rPr>
        <w:t>като взеха предвид Договора за функционирането на Европейския съюз, и по-специално член 33, член 43, параграф 2, член 53, параграф 1, член 62, член 64, параграф 2, член 91, член 100, параграф 2, член 114, член 153, параграф 2, буква б), член 168, параграф 4, буква а), член 168, параграф 4, буква б), член 172, член 192, параграф 1, член 207, член 214, параграф 3 и член 338,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6"/>
      </w:r>
      <w:r>
        <w:rPr>
          <w:noProof/>
        </w:rPr>
        <w:t xml:space="preserve">, </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t>(1)</w:t>
      </w:r>
      <w:r>
        <w:tab/>
      </w:r>
      <w:r>
        <w:rPr>
          <w:noProof/>
        </w:rPr>
        <w:t>В Договора от Лисабон се въвежда разграничение между правомощията, делегирани на Комисията за приемане на незаконодателни актове от общ характер, които допълват или изменят определени несъществени елементи на законодателен акт (делегирани актове), и правомощията, предоставени на Комисията за приемане на актове, с които се осигуряват единни условия за изпълнението на правно обвързващи актове на Съюза (актове за изпълнение).</w:t>
      </w:r>
    </w:p>
    <w:p>
      <w:pPr>
        <w:pStyle w:val="ManualConsidrant"/>
        <w:rPr>
          <w:noProof/>
        </w:rPr>
      </w:pPr>
      <w:r>
        <w:t>(2)</w:t>
      </w:r>
      <w:r>
        <w:tab/>
      </w:r>
      <w:r>
        <w:rPr>
          <w:noProof/>
        </w:rPr>
        <w:t>Мерките, които могат да бъдат предмет на делегиране на правомощия по член 290, параграф 1 от Договора за функционирането на Европейския съюз (ДФЕС), съответстват по принцип на тези, които попадат в обхвата на процедурата по регулиране с контрол, установена с член 5а от Решение 1999/468/ЕО на Съвета</w:t>
      </w:r>
      <w:r>
        <w:rPr>
          <w:rStyle w:val="FootnoteReference"/>
          <w:noProof/>
        </w:rPr>
        <w:footnoteReference w:id="17"/>
      </w:r>
      <w:r>
        <w:rPr>
          <w:noProof/>
        </w:rPr>
        <w:t xml:space="preserve">. </w:t>
      </w:r>
    </w:p>
    <w:p>
      <w:pPr>
        <w:pStyle w:val="ManualConsidrant"/>
        <w:rPr>
          <w:noProof/>
        </w:rPr>
      </w:pPr>
      <w:r>
        <w:t>(3)</w:t>
      </w:r>
      <w:r>
        <w:tab/>
      </w:r>
      <w:r>
        <w:rPr>
          <w:noProof/>
        </w:rPr>
        <w:t>Предходните предложения, свързани с привеждането на законодателството, позоваващо се на процедурата по регулиране с контрол, в съответствие с правната рамка, въведена с Договора от Лисабон</w:t>
      </w:r>
      <w:r>
        <w:rPr>
          <w:rStyle w:val="FootnoteReference"/>
          <w:noProof/>
        </w:rPr>
        <w:footnoteReference w:id="18"/>
      </w:r>
      <w:r>
        <w:rPr>
          <w:noProof/>
        </w:rPr>
        <w:t>, бяха оттеглени</w:t>
      </w:r>
      <w:r>
        <w:rPr>
          <w:rStyle w:val="FootnoteReference"/>
          <w:noProof/>
        </w:rPr>
        <w:footnoteReference w:id="19"/>
      </w:r>
      <w:r>
        <w:rPr>
          <w:noProof/>
        </w:rPr>
        <w:t xml:space="preserve"> поради застой в междуинституционалните преговори. </w:t>
      </w:r>
    </w:p>
    <w:p>
      <w:pPr>
        <w:pStyle w:val="ManualConsidrant"/>
        <w:rPr>
          <w:noProof/>
        </w:rPr>
      </w:pPr>
      <w:r>
        <w:t>(4)</w:t>
      </w:r>
      <w:r>
        <w:tab/>
      </w:r>
      <w:r>
        <w:rPr>
          <w:noProof/>
        </w:rPr>
        <w:t xml:space="preserve"> Впоследствие Европейският парламент, Съветът и Комисията се договориха за нова рамка за делегираните актове в Междуинституционалното споразумение за по-добро законотворчество от 13 април 2016 г.</w:t>
      </w:r>
      <w:r>
        <w:rPr>
          <w:rStyle w:val="FootnoteReference"/>
          <w:noProof/>
        </w:rPr>
        <w:footnoteReference w:id="20"/>
      </w:r>
      <w:r>
        <w:rPr>
          <w:noProof/>
        </w:rPr>
        <w:t xml:space="preserve"> и признаха необходимостта цялото действащо законодателство да бъде приведено в съответствие с правната рамка, въведена с Договора от Лисабон. По-конкретно те се споразумяха за нуждата да се отдаде голям приоритет на бързото привеждане в съответствие на всички основни актове, които все още се позовават на процедурата по регулиране с контрол. Комисията пое ангажимента да изготви до края на 2016 г. предложение за това привеждане в съответствие. </w:t>
      </w:r>
    </w:p>
    <w:p>
      <w:pPr>
        <w:pStyle w:val="ManualConsidrant"/>
        <w:rPr>
          <w:noProof/>
        </w:rPr>
      </w:pPr>
      <w:r>
        <w:t>(5)</w:t>
      </w:r>
      <w:r>
        <w:tab/>
      </w:r>
      <w:r>
        <w:rPr>
          <w:noProof/>
        </w:rPr>
        <w:t xml:space="preserve">По-голямата част от правомощията в основните актове, предвиждащи използването на процедурата по регулиране с контрол, изпълняват критериите в член 290, параграф 1 от ДФЕС и следва да бъдат адаптирани към тази разпоредба. </w:t>
      </w:r>
    </w:p>
    <w:p>
      <w:pPr>
        <w:pStyle w:val="ManualConsidrant"/>
        <w:rPr>
          <w:noProof/>
        </w:rPr>
      </w:pPr>
      <w:r>
        <w:t>(6)</w:t>
      </w:r>
      <w:r>
        <w:tab/>
      </w:r>
      <w:r>
        <w:rPr>
          <w:noProof/>
        </w:rPr>
        <w:t>Други правомощия в основните актове, предвиждащи използването на процедурата по регулиране с контрол, изпълняват критериите в член 291, параграф 2 от ДФЕС и следва да бъдат адаптирани към тази разпоредба.</w:t>
      </w:r>
    </w:p>
    <w:p>
      <w:pPr>
        <w:pStyle w:val="ManualConsidrant"/>
        <w:rPr>
          <w:noProof/>
        </w:rPr>
      </w:pPr>
      <w:r>
        <w:t>(7)</w:t>
      </w:r>
      <w:r>
        <w:tab/>
      </w:r>
      <w:r>
        <w:rPr>
          <w:noProof/>
        </w:rPr>
        <w:t>Когато са предоставени изпълнителни правомощия на Комисията,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1"/>
      </w:r>
      <w:r>
        <w:rPr>
          <w:noProof/>
        </w:rPr>
        <w:t xml:space="preserve">. </w:t>
      </w:r>
    </w:p>
    <w:p>
      <w:pPr>
        <w:pStyle w:val="ManualConsidrant"/>
        <w:rPr>
          <w:noProof/>
        </w:rPr>
      </w:pPr>
      <w:r>
        <w:t>(8)</w:t>
      </w:r>
      <w:r>
        <w:tab/>
      </w:r>
      <w:r>
        <w:rPr>
          <w:noProof/>
        </w:rPr>
        <w:t>В няколко основни акта, които понастоящем предвиждат използването на процедурата по регулиране с контрол, определени правомощия вече не са актуални и следва да бъдат заличени.</w:t>
      </w:r>
    </w:p>
    <w:p>
      <w:pPr>
        <w:pStyle w:val="ManualConsidrant"/>
        <w:rPr>
          <w:noProof/>
        </w:rPr>
      </w:pPr>
      <w:r>
        <w:t>(9)</w:t>
      </w:r>
      <w:r>
        <w:tab/>
      </w:r>
      <w:r>
        <w:rPr>
          <w:noProof/>
        </w:rPr>
        <w:t>Настоящият регламент следва да не засяга започналите процедури, по които комитетът вече е изразил становище в съответствие с член 5a от Решение 1999/468/ЕО преди влизането в сила на настоящия регламент.</w:t>
      </w:r>
    </w:p>
    <w:p>
      <w:pPr>
        <w:pStyle w:val="ManualConsidrant"/>
        <w:rPr>
          <w:noProof/>
        </w:rPr>
      </w:pPr>
      <w:r>
        <w:t>(10)</w:t>
      </w:r>
      <w:r>
        <w:tab/>
      </w:r>
      <w:r>
        <w:rPr>
          <w:noProof/>
        </w:rPr>
        <w:t xml:space="preserve">Тъй като адаптациите и измененията, които ще бъдат направени, се отнасят само до процедури на равнището на Съюза, в случая на директивите те не се нуждаят от транспониране от държавите членки. </w:t>
      </w:r>
    </w:p>
    <w:p>
      <w:pPr>
        <w:pStyle w:val="ManualConsidrant"/>
        <w:rPr>
          <w:noProof/>
        </w:rPr>
      </w:pPr>
      <w:r>
        <w:t>(11)</w:t>
      </w:r>
      <w:r>
        <w:tab/>
      </w:r>
      <w:r>
        <w:rPr>
          <w:noProof/>
        </w:rPr>
        <w:t xml:space="preserve">Поради това засегнатите актове следва да бъдат съответно изменени,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Изброените в приложението актове се изменят в съответствие с посоченото в него. </w:t>
      </w:r>
    </w:p>
    <w:p>
      <w:pPr>
        <w:pStyle w:val="Titrearticle"/>
        <w:rPr>
          <w:noProof/>
        </w:rPr>
      </w:pPr>
      <w:r>
        <w:rPr>
          <w:noProof/>
        </w:rPr>
        <w:t>Член 2</w:t>
      </w:r>
    </w:p>
    <w:p>
      <w:pPr>
        <w:rPr>
          <w:noProof/>
        </w:rPr>
      </w:pPr>
      <w:r>
        <w:rPr>
          <w:noProof/>
        </w:rPr>
        <w:t>Настоящият регламент не засяга започналите процедури, по които вече има становище на комитет в съответствие с член 5а от Решение 1999/468/ЕО.</w:t>
      </w:r>
    </w:p>
    <w:p>
      <w:pPr>
        <w:pStyle w:val="Titrearticle"/>
        <w:rPr>
          <w:noProof/>
        </w:rPr>
      </w:pPr>
      <w:r>
        <w:rPr>
          <w:noProof/>
        </w:rPr>
        <w:t>Член 3</w:t>
      </w:r>
    </w:p>
    <w:p>
      <w:pPr>
        <w:rPr>
          <w:noProof/>
        </w:rPr>
      </w:pPr>
      <w:r>
        <w:rPr>
          <w:noProof/>
        </w:rPr>
        <w:t xml:space="preserve">Настоящият регламент влиза в сила на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C 306, 17.12.2007 г.</w:t>
      </w:r>
    </w:p>
  </w:footnote>
  <w:footnote w:id="2">
    <w:p>
      <w:pPr>
        <w:pStyle w:val="FootnoteText"/>
        <w:rPr>
          <w:lang w:val="pl-PL"/>
        </w:rPr>
      </w:pPr>
      <w:r>
        <w:rPr>
          <w:rStyle w:val="FootnoteReference"/>
        </w:rPr>
        <w:footnoteRef/>
      </w:r>
      <w:r>
        <w:tab/>
        <w:t>ОВ L 184, 17.7.1999 г., стр. 23.</w:t>
      </w:r>
    </w:p>
  </w:footnote>
  <w:footnote w:id="3">
    <w:p>
      <w:pPr>
        <w:pStyle w:val="FootnoteText"/>
        <w:rPr>
          <w:lang w:val="pl-PL"/>
        </w:rPr>
      </w:pPr>
      <w:r>
        <w:rPr>
          <w:rStyle w:val="FootnoteReference"/>
        </w:rPr>
        <w:footnoteRef/>
      </w:r>
      <w:r>
        <w:tab/>
        <w:t>ОВ L 55, 28.2.2011 г., стр. 13.</w:t>
      </w:r>
    </w:p>
  </w:footnote>
  <w:footnote w:id="4">
    <w:p>
      <w:pPr>
        <w:pStyle w:val="FootnoteText"/>
        <w:rPr>
          <w:lang w:val="pl-PL"/>
        </w:rPr>
      </w:pPr>
      <w:r>
        <w:rPr>
          <w:rStyle w:val="FootnoteReference"/>
        </w:rPr>
        <w:footnoteRef/>
      </w:r>
      <w:r>
        <w:tab/>
        <w:t xml:space="preserve">OВ L 55, 28.2.2011 г., стр. 19.  </w:t>
      </w:r>
    </w:p>
  </w:footnote>
  <w:footnote w:id="5">
    <w:p>
      <w:pPr>
        <w:pStyle w:val="FootnoteText"/>
        <w:rPr>
          <w:lang w:val="pt-PT"/>
        </w:rPr>
      </w:pPr>
      <w:r>
        <w:rPr>
          <w:rStyle w:val="FootnoteReference"/>
        </w:rPr>
        <w:footnoteRef/>
      </w:r>
      <w:r>
        <w:tab/>
        <w:t>COM(2013) 451 final, COM(2013) 452 final и COM(2013) 751 final.</w:t>
      </w:r>
    </w:p>
  </w:footnote>
  <w:footnote w:id="6">
    <w:p>
      <w:pPr>
        <w:pStyle w:val="FootnoteText"/>
        <w:rPr>
          <w:lang w:val="pt-PT"/>
        </w:rPr>
      </w:pPr>
      <w:r>
        <w:rPr>
          <w:rStyle w:val="FootnoteReference"/>
        </w:rPr>
        <w:footnoteRef/>
      </w:r>
      <w:r>
        <w:tab/>
        <w:t>A7-0010/2014, P7_TA-PROV(2014)0114, A7-0011/2014, P7_TA-PROV(2014)0112.</w:t>
      </w:r>
    </w:p>
  </w:footnote>
  <w:footnote w:id="7">
    <w:p>
      <w:pPr>
        <w:pStyle w:val="FootnoteText"/>
        <w:rPr>
          <w:lang w:val="pt-PT"/>
        </w:rPr>
      </w:pPr>
      <w:r>
        <w:rPr>
          <w:rStyle w:val="FootnoteReference"/>
        </w:rPr>
        <w:footnoteRef/>
      </w:r>
      <w:r>
        <w:tab/>
        <w:t>COM(2014) 910 final.</w:t>
      </w:r>
    </w:p>
  </w:footnote>
  <w:footnote w:id="8">
    <w:p>
      <w:pPr>
        <w:pStyle w:val="FootnoteText"/>
      </w:pPr>
      <w:r>
        <w:rPr>
          <w:rStyle w:val="FootnoteReference"/>
        </w:rPr>
        <w:footnoteRef/>
      </w:r>
      <w:r>
        <w:tab/>
        <w:t>(2015/C 80/08), ОВ C 80, 7.2.2015 г., стр. 17.</w:t>
      </w:r>
    </w:p>
  </w:footnote>
  <w:footnote w:id="9">
    <w:p>
      <w:pPr>
        <w:pStyle w:val="FootnoteText"/>
      </w:pPr>
      <w:r>
        <w:rPr>
          <w:rStyle w:val="FootnoteReference"/>
        </w:rPr>
        <w:footnoteRef/>
      </w:r>
      <w:r>
        <w:tab/>
        <w:t>ОВ L 123, 12.5.2016 г., стр. 1.</w:t>
      </w:r>
    </w:p>
  </w:footnote>
  <w:footnote w:id="10">
    <w:p>
      <w:pPr>
        <w:pStyle w:val="FootnoteText"/>
      </w:pPr>
      <w:r>
        <w:rPr>
          <w:rStyle w:val="FootnoteReference"/>
        </w:rPr>
        <w:footnoteRef/>
      </w:r>
      <w:r>
        <w:tab/>
        <w:t>Тези актове са изброени за информация в точка 3.</w:t>
      </w:r>
    </w:p>
  </w:footnote>
  <w:footnote w:id="11">
    <w:p>
      <w:pPr>
        <w:pStyle w:val="FootnoteText"/>
        <w:jc w:val="left"/>
      </w:pPr>
      <w:r>
        <w:rPr>
          <w:rStyle w:val="FootnoteReference"/>
        </w:rPr>
        <w:footnoteRef/>
      </w:r>
      <w: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 (ОВ L 354, 31.12.2008 г., стр. 1); Регламент (ЕО) № 1332/2008 на Европейския парламент и на Съвета от 16 декември 2008 г. относно ензимите в храните и за изменение на Директива 83/417/ЕИО на Съвета, Регламент (ЕО) № 1493/1999 на Съвета, Директива 2000/13/ЕО, Директива 2001/112/ЕО на Съвета и Регламент (ЕО) № 258/97 (ОВ L 354, 31.12.2008 г., стр. 7);</w:t>
      </w:r>
      <w:r>
        <w:rPr>
          <w:i/>
        </w:rPr>
        <w:t xml:space="preserve"> </w:t>
      </w:r>
      <w:r>
        <w:t>Регламент (ЕО) № 1333/2008 на Европейския парламент и на Съвета от 16 декември 2008 г. относно добавките в храните (ОВ L 354, 31.12.2008 г., стр. 16); Регламент (ЕО) № 1334/2008 на Европейския парламент и на Съвета от 16 декември 2008 г. относно ароматизантите и определени хранителни съставки с ароматични свойства за влагане във или върху храни и за изменение на Регламент (ЕИО) № 1601/91 на Съвета, регламенти (ЕО) № 2232/96 и (ЕО) № 110/2008 и Директива 2000/13/ЕО (ОВ L 354, 31.12.2008 г., стр. 34); 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(ОВ L 338, 13.11.2004 г., стр. 4); Регламент (ЕИО) № 315/93 на Съвета от 8 февруари 1993 г. за установяване на общностни процедури относно замърсителите в храните (ОВ L 37, 13.2.1993 г., стр. 1);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(OВ L 70, 16.3.2005 г., стр. 1) и 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12">
    <w:p>
      <w:pPr>
        <w:pStyle w:val="FootnoteText"/>
        <w:jc w:val="left"/>
      </w:pPr>
      <w:r>
        <w:rPr>
          <w:rStyle w:val="FootnoteReference"/>
        </w:rPr>
        <w:footnoteRef/>
      </w:r>
      <w:r>
        <w:tab/>
        <w:t>Регламент (ЕС) 2015/2283 на Европейския парламент и на Съвета от 25 ноември 2015 г. относно новите храни, за изменение на Регламент (ЕС) № 1169/2001 на Европейския парламент и на Съвета и за отмяна на Регламент (ЕО) № 258/97 на Европейския парламент и на Съвета и на Регламент (ЕО) № 1852/2001 на Комисията (ОВ L 327, 11.12.2015 г., стр. 1).</w:t>
      </w:r>
    </w:p>
  </w:footnote>
  <w:footnote w:id="13">
    <w:p>
      <w:pPr>
        <w:pStyle w:val="FootnoteText"/>
      </w:pPr>
      <w:r>
        <w:rPr>
          <w:rStyle w:val="FootnoteReference"/>
        </w:rPr>
        <w:footnoteRef/>
      </w:r>
      <w:r>
        <w:tab/>
        <w:t>Регламент (ЕО) № 1137/2008, ОВ L 311, 21.11.2008 г., стр. 1.</w:t>
      </w:r>
    </w:p>
  </w:footnote>
  <w:footnote w:id="14">
    <w:p>
      <w:pPr>
        <w:pStyle w:val="FootnoteText"/>
      </w:pPr>
      <w:r>
        <w:rPr>
          <w:rStyle w:val="FootnoteReference"/>
        </w:rPr>
        <w:footnoteRef/>
      </w:r>
      <w:r>
        <w:tab/>
        <w:t>Дело C-88/14, Комисия/Европейски парламент и Съвет, дело C-286/14, Европейски парламент/Комисия и дело C-472/12, Комисия/Европейски парламент и Съвет.</w:t>
      </w:r>
    </w:p>
  </w:footnote>
  <w:footnote w:id="15">
    <w:p>
      <w:pPr>
        <w:pStyle w:val="FootnoteText"/>
      </w:pPr>
      <w:r>
        <w:rPr>
          <w:rStyle w:val="FootnoteReference"/>
        </w:rPr>
        <w:footnoteRef/>
      </w:r>
      <w:r>
        <w:tab/>
        <w:t>OВ C ,  г., стр. .</w:t>
      </w:r>
    </w:p>
  </w:footnote>
  <w:footnote w:id="16">
    <w:p>
      <w:pPr>
        <w:pStyle w:val="FootnoteText"/>
      </w:pPr>
      <w:r>
        <w:rPr>
          <w:rStyle w:val="FootnoteReference"/>
        </w:rPr>
        <w:footnoteRef/>
      </w:r>
      <w:r>
        <w:tab/>
        <w:t>OВ C ,  г., стр. .</w:t>
      </w:r>
    </w:p>
  </w:footnote>
  <w:footnote w:id="17">
    <w:p>
      <w:pPr>
        <w:pStyle w:val="FootnoteText"/>
      </w:pPr>
      <w:r>
        <w:rPr>
          <w:rStyle w:val="FootnoteReference"/>
        </w:rPr>
        <w:footnoteRef/>
      </w:r>
      <w:r>
        <w:tab/>
        <w:t>Решение 1999/468/ЕО на Съвета от 28 юни 1999 г. за установяване на условията и реда за упражняване на изпълнителните правомощия, предоставени на Комисията (ОВ L 184, 17.7.1999 г., стр. 23).</w:t>
      </w:r>
    </w:p>
  </w:footnote>
  <w:footnote w:id="18">
    <w:p>
      <w:pPr>
        <w:pStyle w:val="FootnoteText"/>
        <w:rPr>
          <w:lang w:val="pt-PT"/>
        </w:rPr>
      </w:pPr>
      <w:r>
        <w:rPr>
          <w:rStyle w:val="FootnoteReference"/>
        </w:rPr>
        <w:footnoteRef/>
      </w:r>
      <w:r>
        <w:tab/>
        <w:t>COM(2013) 451 final, COM(2013) 452 final и COM(2013) 751 final.</w:t>
      </w:r>
    </w:p>
  </w:footnote>
  <w:footnote w:id="19">
    <w:p>
      <w:pPr>
        <w:pStyle w:val="FootnoteText"/>
      </w:pPr>
      <w:r>
        <w:rPr>
          <w:rStyle w:val="FootnoteReference"/>
        </w:rPr>
        <w:footnoteRef/>
      </w:r>
      <w:r>
        <w:tab/>
        <w:t xml:space="preserve">(2015/C 80/08), ОВ C 80, 7.2.2015 г., стр. 17.  </w:t>
      </w:r>
    </w:p>
  </w:footnote>
  <w:footnote w:id="20">
    <w:p>
      <w:pPr>
        <w:pStyle w:val="FootnoteText"/>
      </w:pPr>
      <w:r>
        <w:rPr>
          <w:rStyle w:val="FootnoteReference"/>
        </w:rPr>
        <w:footnoteRef/>
      </w:r>
      <w:r>
        <w:tab/>
        <w:t xml:space="preserve">OВ L 123, 12.5.2016 г., стр. 1. </w:t>
      </w:r>
    </w:p>
  </w:footnote>
  <w:footnote w:id="2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B2A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E020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D2BE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4B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2A6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0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EEF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2E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the Christensen">
    <w15:presenceInfo w15:providerId="Windows Live" w15:userId="456c02a2a925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6 17:36: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35AB0F01AAF4F8482CB53C60E04AA96"/>
    <w:docVar w:name="LW_CROSSREFERENCE" w:val="&lt;UNUSED&gt;"/>
    <w:docVar w:name="LW_DocType" w:val="COM"/>
    <w:docVar w:name="LW_EMISSION" w:val="14.12.2016"/>
    <w:docVar w:name="LW_EMISSION_ISODATE" w:val="2016-12-1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00"/>
    <w:docVar w:name="LW_REF.II.NEW.CP_YEAR" w:val="2016"/>
    <w:docVar w:name="LW_REF.INST.NEW" w:val="COM"/>
    <w:docVar w:name="LW_REF.INST.NEW_ADOPTED" w:val="final"/>
    <w:docVar w:name="LW_REF.INST.NEW_TEXT" w:val="(2016) 799"/>
    <w:docVar w:name="LW_REF.INTERNE" w:val="&lt;UNUSED&gt;"/>
    <w:docVar w:name="LW_SOUS.TITRE.OBJ.CP" w:val="&lt;UNUSED&gt;"/>
    <w:docVar w:name="LW_STATUT.CP" w:val="\u1055?\u1088?\u1077?\u1076?\u1083?\u1086?\u1078?\u1077?\u1085?\u1080?\u1077? \u1079?\u1072?"/>
    <w:docVar w:name="LW_SUPERTITRE" w:val="&lt;UNUSED&gt;"/>
    <w:docVar w:name="LW_TITRE.OBJ.CP" w:val="\u1079?\u1072? \u1072?\u1076?\u1072?\u1087?\u1090?\u1080?\u1088?\u1072?\u1085?\u1077? \u1085?\u1072? \u1088?\u1077?\u1076?\u1080?\u1094?\u1072? \u1087?\u1088?\u1072?\u1074?\u1085?\u1080? \u1072?\u1082?\u1090?\u1086?\u1074?\u1077?, \u1087?\u1088?\u1077?\u1076?\u1074?\u1080?\u1078?\u1076?\u1072?\u1097?\u1080? \u1080?\u1079?\u1087?\u1086?\u1083?\u1079?\u1074?\u1072?\u1085?\u1077? \u1085?\u1072? \u1087?\u1088?\u1086?\u1094?\u1077?\u1076?\u1091?\u1088?\u1072?\u1090?\u1072? \u1087?\u1086? \u1088?\u1077?\u1075?\u1091?\u1083?\u1080?\u1088?\u1072?\u1085?\u1077? \u1089? \u1082?\u1086?\u1085?\u1090?\u1088?\u1086?\u1083?, \u1082?\u1098?\u1084? \u1095?\u1083?\u1077?\u1085?\u1086?\u1074?\u1077? 290 \u1080? 291 \u1086?\u1090? \u1044?\u1086?\u1075?\u1086?\u1074?\u1086?\u1088?\u1072? \u1079?\u1072? \u1092?\u1091?\u1085?\u1082?\u1094?\u1080?\u1086?\u1085?\u1080?\u1088?\u1072?\u1085?\u1077?\u1090?\u1086? \u1085?\u1072? \u1045?\u1074?\u1088?\u1086?\u1087?\u1077?\u1081?\u1089?\u1082?\u1080?\u1103? \u1089?\u1098?\u1102?\u107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5">
      <w:bodyDiv w:val="1"/>
      <w:marLeft w:val="0"/>
      <w:marRight w:val="0"/>
      <w:marTop w:val="0"/>
      <w:marBottom w:val="0"/>
      <w:divBdr>
        <w:top w:val="none" w:sz="0" w:space="0" w:color="auto"/>
        <w:left w:val="none" w:sz="0" w:space="0" w:color="auto"/>
        <w:bottom w:val="none" w:sz="0" w:space="0" w:color="auto"/>
        <w:right w:val="none" w:sz="0" w:space="0" w:color="auto"/>
      </w:divBdr>
    </w:div>
    <w:div w:id="132795430">
      <w:bodyDiv w:val="1"/>
      <w:marLeft w:val="0"/>
      <w:marRight w:val="0"/>
      <w:marTop w:val="0"/>
      <w:marBottom w:val="0"/>
      <w:divBdr>
        <w:top w:val="none" w:sz="0" w:space="0" w:color="auto"/>
        <w:left w:val="none" w:sz="0" w:space="0" w:color="auto"/>
        <w:bottom w:val="none" w:sz="0" w:space="0" w:color="auto"/>
        <w:right w:val="none" w:sz="0" w:space="0" w:color="auto"/>
      </w:divBdr>
      <w:divsChild>
        <w:div w:id="2074741547">
          <w:marLeft w:val="0"/>
          <w:marRight w:val="0"/>
          <w:marTop w:val="0"/>
          <w:marBottom w:val="0"/>
          <w:divBdr>
            <w:top w:val="none" w:sz="0" w:space="0" w:color="auto"/>
            <w:left w:val="none" w:sz="0" w:space="0" w:color="auto"/>
            <w:bottom w:val="none" w:sz="0" w:space="0" w:color="auto"/>
            <w:right w:val="none" w:sz="0" w:space="0" w:color="auto"/>
          </w:divBdr>
          <w:divsChild>
            <w:div w:id="495071122">
              <w:marLeft w:val="0"/>
              <w:marRight w:val="0"/>
              <w:marTop w:val="0"/>
              <w:marBottom w:val="0"/>
              <w:divBdr>
                <w:top w:val="none" w:sz="0" w:space="0" w:color="auto"/>
                <w:left w:val="none" w:sz="0" w:space="0" w:color="auto"/>
                <w:bottom w:val="none" w:sz="0" w:space="0" w:color="auto"/>
                <w:right w:val="none" w:sz="0" w:space="0" w:color="auto"/>
              </w:divBdr>
              <w:divsChild>
                <w:div w:id="1483498887">
                  <w:marLeft w:val="0"/>
                  <w:marRight w:val="0"/>
                  <w:marTop w:val="0"/>
                  <w:marBottom w:val="0"/>
                  <w:divBdr>
                    <w:top w:val="none" w:sz="0" w:space="0" w:color="auto"/>
                    <w:left w:val="none" w:sz="0" w:space="0" w:color="auto"/>
                    <w:bottom w:val="none" w:sz="0" w:space="0" w:color="auto"/>
                    <w:right w:val="none" w:sz="0" w:space="0" w:color="auto"/>
                  </w:divBdr>
                  <w:divsChild>
                    <w:div w:id="1243685809">
                      <w:marLeft w:val="1"/>
                      <w:marRight w:val="1"/>
                      <w:marTop w:val="0"/>
                      <w:marBottom w:val="0"/>
                      <w:divBdr>
                        <w:top w:val="none" w:sz="0" w:space="0" w:color="auto"/>
                        <w:left w:val="none" w:sz="0" w:space="0" w:color="auto"/>
                        <w:bottom w:val="none" w:sz="0" w:space="0" w:color="auto"/>
                        <w:right w:val="none" w:sz="0" w:space="0" w:color="auto"/>
                      </w:divBdr>
                      <w:divsChild>
                        <w:div w:id="1001544459">
                          <w:marLeft w:val="0"/>
                          <w:marRight w:val="0"/>
                          <w:marTop w:val="0"/>
                          <w:marBottom w:val="0"/>
                          <w:divBdr>
                            <w:top w:val="none" w:sz="0" w:space="0" w:color="auto"/>
                            <w:left w:val="none" w:sz="0" w:space="0" w:color="auto"/>
                            <w:bottom w:val="none" w:sz="0" w:space="0" w:color="auto"/>
                            <w:right w:val="none" w:sz="0" w:space="0" w:color="auto"/>
                          </w:divBdr>
                          <w:divsChild>
                            <w:div w:id="1519346943">
                              <w:marLeft w:val="0"/>
                              <w:marRight w:val="0"/>
                              <w:marTop w:val="0"/>
                              <w:marBottom w:val="360"/>
                              <w:divBdr>
                                <w:top w:val="none" w:sz="0" w:space="0" w:color="auto"/>
                                <w:left w:val="none" w:sz="0" w:space="0" w:color="auto"/>
                                <w:bottom w:val="none" w:sz="0" w:space="0" w:color="auto"/>
                                <w:right w:val="none" w:sz="0" w:space="0" w:color="auto"/>
                              </w:divBdr>
                              <w:divsChild>
                                <w:div w:id="843015925">
                                  <w:marLeft w:val="0"/>
                                  <w:marRight w:val="0"/>
                                  <w:marTop w:val="0"/>
                                  <w:marBottom w:val="0"/>
                                  <w:divBdr>
                                    <w:top w:val="none" w:sz="0" w:space="0" w:color="auto"/>
                                    <w:left w:val="none" w:sz="0" w:space="0" w:color="auto"/>
                                    <w:bottom w:val="none" w:sz="0" w:space="0" w:color="auto"/>
                                    <w:right w:val="none" w:sz="0" w:space="0" w:color="auto"/>
                                  </w:divBdr>
                                  <w:divsChild>
                                    <w:div w:id="14684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3435">
      <w:bodyDiv w:val="1"/>
      <w:marLeft w:val="0"/>
      <w:marRight w:val="0"/>
      <w:marTop w:val="0"/>
      <w:marBottom w:val="0"/>
      <w:divBdr>
        <w:top w:val="none" w:sz="0" w:space="0" w:color="auto"/>
        <w:left w:val="none" w:sz="0" w:space="0" w:color="auto"/>
        <w:bottom w:val="none" w:sz="0" w:space="0" w:color="auto"/>
        <w:right w:val="none" w:sz="0" w:space="0" w:color="auto"/>
      </w:divBdr>
      <w:divsChild>
        <w:div w:id="164394439">
          <w:marLeft w:val="0"/>
          <w:marRight w:val="0"/>
          <w:marTop w:val="0"/>
          <w:marBottom w:val="0"/>
          <w:divBdr>
            <w:top w:val="none" w:sz="0" w:space="0" w:color="auto"/>
            <w:left w:val="none" w:sz="0" w:space="0" w:color="auto"/>
            <w:bottom w:val="none" w:sz="0" w:space="0" w:color="auto"/>
            <w:right w:val="none" w:sz="0" w:space="0" w:color="auto"/>
          </w:divBdr>
          <w:divsChild>
            <w:div w:id="520708650">
              <w:marLeft w:val="0"/>
              <w:marRight w:val="0"/>
              <w:marTop w:val="0"/>
              <w:marBottom w:val="0"/>
              <w:divBdr>
                <w:top w:val="none" w:sz="0" w:space="0" w:color="auto"/>
                <w:left w:val="none" w:sz="0" w:space="0" w:color="auto"/>
                <w:bottom w:val="none" w:sz="0" w:space="0" w:color="auto"/>
                <w:right w:val="none" w:sz="0" w:space="0" w:color="auto"/>
              </w:divBdr>
              <w:divsChild>
                <w:div w:id="2025202141">
                  <w:marLeft w:val="0"/>
                  <w:marRight w:val="0"/>
                  <w:marTop w:val="0"/>
                  <w:marBottom w:val="0"/>
                  <w:divBdr>
                    <w:top w:val="none" w:sz="0" w:space="0" w:color="auto"/>
                    <w:left w:val="none" w:sz="0" w:space="0" w:color="auto"/>
                    <w:bottom w:val="none" w:sz="0" w:space="0" w:color="auto"/>
                    <w:right w:val="none" w:sz="0" w:space="0" w:color="auto"/>
                  </w:divBdr>
                  <w:divsChild>
                    <w:div w:id="956060230">
                      <w:marLeft w:val="1"/>
                      <w:marRight w:val="1"/>
                      <w:marTop w:val="0"/>
                      <w:marBottom w:val="0"/>
                      <w:divBdr>
                        <w:top w:val="none" w:sz="0" w:space="0" w:color="auto"/>
                        <w:left w:val="none" w:sz="0" w:space="0" w:color="auto"/>
                        <w:bottom w:val="none" w:sz="0" w:space="0" w:color="auto"/>
                        <w:right w:val="none" w:sz="0" w:space="0" w:color="auto"/>
                      </w:divBdr>
                      <w:divsChild>
                        <w:div w:id="1536578837">
                          <w:marLeft w:val="0"/>
                          <w:marRight w:val="0"/>
                          <w:marTop w:val="0"/>
                          <w:marBottom w:val="0"/>
                          <w:divBdr>
                            <w:top w:val="none" w:sz="0" w:space="0" w:color="auto"/>
                            <w:left w:val="none" w:sz="0" w:space="0" w:color="auto"/>
                            <w:bottom w:val="none" w:sz="0" w:space="0" w:color="auto"/>
                            <w:right w:val="none" w:sz="0" w:space="0" w:color="auto"/>
                          </w:divBdr>
                          <w:divsChild>
                            <w:div w:id="1686899124">
                              <w:marLeft w:val="0"/>
                              <w:marRight w:val="0"/>
                              <w:marTop w:val="0"/>
                              <w:marBottom w:val="360"/>
                              <w:divBdr>
                                <w:top w:val="none" w:sz="0" w:space="0" w:color="auto"/>
                                <w:left w:val="none" w:sz="0" w:space="0" w:color="auto"/>
                                <w:bottom w:val="none" w:sz="0" w:space="0" w:color="auto"/>
                                <w:right w:val="none" w:sz="0" w:space="0" w:color="auto"/>
                              </w:divBdr>
                              <w:divsChild>
                                <w:div w:id="1539780070">
                                  <w:marLeft w:val="0"/>
                                  <w:marRight w:val="0"/>
                                  <w:marTop w:val="0"/>
                                  <w:marBottom w:val="0"/>
                                  <w:divBdr>
                                    <w:top w:val="none" w:sz="0" w:space="0" w:color="auto"/>
                                    <w:left w:val="none" w:sz="0" w:space="0" w:color="auto"/>
                                    <w:bottom w:val="none" w:sz="0" w:space="0" w:color="auto"/>
                                    <w:right w:val="none" w:sz="0" w:space="0" w:color="auto"/>
                                  </w:divBdr>
                                  <w:divsChild>
                                    <w:div w:id="1861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420855">
      <w:bodyDiv w:val="1"/>
      <w:marLeft w:val="0"/>
      <w:marRight w:val="0"/>
      <w:marTop w:val="0"/>
      <w:marBottom w:val="0"/>
      <w:divBdr>
        <w:top w:val="none" w:sz="0" w:space="0" w:color="auto"/>
        <w:left w:val="none" w:sz="0" w:space="0" w:color="auto"/>
        <w:bottom w:val="none" w:sz="0" w:space="0" w:color="auto"/>
        <w:right w:val="none" w:sz="0" w:space="0" w:color="auto"/>
      </w:divBdr>
      <w:divsChild>
        <w:div w:id="2095585078">
          <w:marLeft w:val="0"/>
          <w:marRight w:val="0"/>
          <w:marTop w:val="0"/>
          <w:marBottom w:val="0"/>
          <w:divBdr>
            <w:top w:val="none" w:sz="0" w:space="0" w:color="auto"/>
            <w:left w:val="none" w:sz="0" w:space="0" w:color="auto"/>
            <w:bottom w:val="none" w:sz="0" w:space="0" w:color="auto"/>
            <w:right w:val="none" w:sz="0" w:space="0" w:color="auto"/>
          </w:divBdr>
          <w:divsChild>
            <w:div w:id="1226716794">
              <w:marLeft w:val="0"/>
              <w:marRight w:val="0"/>
              <w:marTop w:val="0"/>
              <w:marBottom w:val="0"/>
              <w:divBdr>
                <w:top w:val="none" w:sz="0" w:space="0" w:color="auto"/>
                <w:left w:val="none" w:sz="0" w:space="0" w:color="auto"/>
                <w:bottom w:val="none" w:sz="0" w:space="0" w:color="auto"/>
                <w:right w:val="none" w:sz="0" w:space="0" w:color="auto"/>
              </w:divBdr>
              <w:divsChild>
                <w:div w:id="820345573">
                  <w:marLeft w:val="0"/>
                  <w:marRight w:val="0"/>
                  <w:marTop w:val="0"/>
                  <w:marBottom w:val="0"/>
                  <w:divBdr>
                    <w:top w:val="none" w:sz="0" w:space="0" w:color="auto"/>
                    <w:left w:val="none" w:sz="0" w:space="0" w:color="auto"/>
                    <w:bottom w:val="none" w:sz="0" w:space="0" w:color="auto"/>
                    <w:right w:val="none" w:sz="0" w:space="0" w:color="auto"/>
                  </w:divBdr>
                  <w:divsChild>
                    <w:div w:id="566184516">
                      <w:marLeft w:val="1"/>
                      <w:marRight w:val="1"/>
                      <w:marTop w:val="0"/>
                      <w:marBottom w:val="0"/>
                      <w:divBdr>
                        <w:top w:val="none" w:sz="0" w:space="0" w:color="auto"/>
                        <w:left w:val="none" w:sz="0" w:space="0" w:color="auto"/>
                        <w:bottom w:val="none" w:sz="0" w:space="0" w:color="auto"/>
                        <w:right w:val="none" w:sz="0" w:space="0" w:color="auto"/>
                      </w:divBdr>
                      <w:divsChild>
                        <w:div w:id="417675572">
                          <w:marLeft w:val="0"/>
                          <w:marRight w:val="0"/>
                          <w:marTop w:val="0"/>
                          <w:marBottom w:val="0"/>
                          <w:divBdr>
                            <w:top w:val="none" w:sz="0" w:space="0" w:color="auto"/>
                            <w:left w:val="none" w:sz="0" w:space="0" w:color="auto"/>
                            <w:bottom w:val="none" w:sz="0" w:space="0" w:color="auto"/>
                            <w:right w:val="none" w:sz="0" w:space="0" w:color="auto"/>
                          </w:divBdr>
                          <w:divsChild>
                            <w:div w:id="2100565454">
                              <w:marLeft w:val="0"/>
                              <w:marRight w:val="0"/>
                              <w:marTop w:val="0"/>
                              <w:marBottom w:val="360"/>
                              <w:divBdr>
                                <w:top w:val="none" w:sz="0" w:space="0" w:color="auto"/>
                                <w:left w:val="none" w:sz="0" w:space="0" w:color="auto"/>
                                <w:bottom w:val="none" w:sz="0" w:space="0" w:color="auto"/>
                                <w:right w:val="none" w:sz="0" w:space="0" w:color="auto"/>
                              </w:divBdr>
                              <w:divsChild>
                                <w:div w:id="64114453">
                                  <w:marLeft w:val="0"/>
                                  <w:marRight w:val="0"/>
                                  <w:marTop w:val="0"/>
                                  <w:marBottom w:val="0"/>
                                  <w:divBdr>
                                    <w:top w:val="none" w:sz="0" w:space="0" w:color="auto"/>
                                    <w:left w:val="none" w:sz="0" w:space="0" w:color="auto"/>
                                    <w:bottom w:val="none" w:sz="0" w:space="0" w:color="auto"/>
                                    <w:right w:val="none" w:sz="0" w:space="0" w:color="auto"/>
                                  </w:divBdr>
                                  <w:divsChild>
                                    <w:div w:id="338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248042">
      <w:bodyDiv w:val="1"/>
      <w:marLeft w:val="0"/>
      <w:marRight w:val="0"/>
      <w:marTop w:val="0"/>
      <w:marBottom w:val="0"/>
      <w:divBdr>
        <w:top w:val="none" w:sz="0" w:space="0" w:color="auto"/>
        <w:left w:val="none" w:sz="0" w:space="0" w:color="auto"/>
        <w:bottom w:val="none" w:sz="0" w:space="0" w:color="auto"/>
        <w:right w:val="none" w:sz="0" w:space="0" w:color="auto"/>
      </w:divBdr>
      <w:divsChild>
        <w:div w:id="1171604886">
          <w:marLeft w:val="0"/>
          <w:marRight w:val="0"/>
          <w:marTop w:val="0"/>
          <w:marBottom w:val="0"/>
          <w:divBdr>
            <w:top w:val="none" w:sz="0" w:space="0" w:color="auto"/>
            <w:left w:val="none" w:sz="0" w:space="0" w:color="auto"/>
            <w:bottom w:val="none" w:sz="0" w:space="0" w:color="auto"/>
            <w:right w:val="none" w:sz="0" w:space="0" w:color="auto"/>
          </w:divBdr>
          <w:divsChild>
            <w:div w:id="2111854446">
              <w:marLeft w:val="0"/>
              <w:marRight w:val="0"/>
              <w:marTop w:val="0"/>
              <w:marBottom w:val="0"/>
              <w:divBdr>
                <w:top w:val="none" w:sz="0" w:space="0" w:color="auto"/>
                <w:left w:val="none" w:sz="0" w:space="0" w:color="auto"/>
                <w:bottom w:val="none" w:sz="0" w:space="0" w:color="auto"/>
                <w:right w:val="none" w:sz="0" w:space="0" w:color="auto"/>
              </w:divBdr>
              <w:divsChild>
                <w:div w:id="513886293">
                  <w:marLeft w:val="0"/>
                  <w:marRight w:val="0"/>
                  <w:marTop w:val="0"/>
                  <w:marBottom w:val="0"/>
                  <w:divBdr>
                    <w:top w:val="none" w:sz="0" w:space="0" w:color="auto"/>
                    <w:left w:val="none" w:sz="0" w:space="0" w:color="auto"/>
                    <w:bottom w:val="none" w:sz="0" w:space="0" w:color="auto"/>
                    <w:right w:val="none" w:sz="0" w:space="0" w:color="auto"/>
                  </w:divBdr>
                  <w:divsChild>
                    <w:div w:id="1646158515">
                      <w:marLeft w:val="1"/>
                      <w:marRight w:val="1"/>
                      <w:marTop w:val="0"/>
                      <w:marBottom w:val="0"/>
                      <w:divBdr>
                        <w:top w:val="none" w:sz="0" w:space="0" w:color="auto"/>
                        <w:left w:val="none" w:sz="0" w:space="0" w:color="auto"/>
                        <w:bottom w:val="none" w:sz="0" w:space="0" w:color="auto"/>
                        <w:right w:val="none" w:sz="0" w:space="0" w:color="auto"/>
                      </w:divBdr>
                      <w:divsChild>
                        <w:div w:id="745416482">
                          <w:marLeft w:val="0"/>
                          <w:marRight w:val="0"/>
                          <w:marTop w:val="0"/>
                          <w:marBottom w:val="0"/>
                          <w:divBdr>
                            <w:top w:val="none" w:sz="0" w:space="0" w:color="auto"/>
                            <w:left w:val="none" w:sz="0" w:space="0" w:color="auto"/>
                            <w:bottom w:val="none" w:sz="0" w:space="0" w:color="auto"/>
                            <w:right w:val="none" w:sz="0" w:space="0" w:color="auto"/>
                          </w:divBdr>
                          <w:divsChild>
                            <w:div w:id="550654339">
                              <w:marLeft w:val="0"/>
                              <w:marRight w:val="0"/>
                              <w:marTop w:val="0"/>
                              <w:marBottom w:val="360"/>
                              <w:divBdr>
                                <w:top w:val="none" w:sz="0" w:space="0" w:color="auto"/>
                                <w:left w:val="none" w:sz="0" w:space="0" w:color="auto"/>
                                <w:bottom w:val="none" w:sz="0" w:space="0" w:color="auto"/>
                                <w:right w:val="none" w:sz="0" w:space="0" w:color="auto"/>
                              </w:divBdr>
                              <w:divsChild>
                                <w:div w:id="1580479432">
                                  <w:marLeft w:val="0"/>
                                  <w:marRight w:val="0"/>
                                  <w:marTop w:val="0"/>
                                  <w:marBottom w:val="0"/>
                                  <w:divBdr>
                                    <w:top w:val="none" w:sz="0" w:space="0" w:color="auto"/>
                                    <w:left w:val="none" w:sz="0" w:space="0" w:color="auto"/>
                                    <w:bottom w:val="none" w:sz="0" w:space="0" w:color="auto"/>
                                    <w:right w:val="none" w:sz="0" w:space="0" w:color="auto"/>
                                  </w:divBdr>
                                  <w:divsChild>
                                    <w:div w:id="946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573464">
      <w:bodyDiv w:val="1"/>
      <w:marLeft w:val="0"/>
      <w:marRight w:val="0"/>
      <w:marTop w:val="0"/>
      <w:marBottom w:val="0"/>
      <w:divBdr>
        <w:top w:val="none" w:sz="0" w:space="0" w:color="auto"/>
        <w:left w:val="none" w:sz="0" w:space="0" w:color="auto"/>
        <w:bottom w:val="none" w:sz="0" w:space="0" w:color="auto"/>
        <w:right w:val="none" w:sz="0" w:space="0" w:color="auto"/>
      </w:divBdr>
      <w:divsChild>
        <w:div w:id="174154713">
          <w:marLeft w:val="0"/>
          <w:marRight w:val="0"/>
          <w:marTop w:val="0"/>
          <w:marBottom w:val="0"/>
          <w:divBdr>
            <w:top w:val="none" w:sz="0" w:space="0" w:color="auto"/>
            <w:left w:val="none" w:sz="0" w:space="0" w:color="auto"/>
            <w:bottom w:val="none" w:sz="0" w:space="0" w:color="auto"/>
            <w:right w:val="none" w:sz="0" w:space="0" w:color="auto"/>
          </w:divBdr>
          <w:divsChild>
            <w:div w:id="1536384293">
              <w:marLeft w:val="0"/>
              <w:marRight w:val="0"/>
              <w:marTop w:val="0"/>
              <w:marBottom w:val="0"/>
              <w:divBdr>
                <w:top w:val="none" w:sz="0" w:space="0" w:color="auto"/>
                <w:left w:val="none" w:sz="0" w:space="0" w:color="auto"/>
                <w:bottom w:val="none" w:sz="0" w:space="0" w:color="auto"/>
                <w:right w:val="none" w:sz="0" w:space="0" w:color="auto"/>
              </w:divBdr>
              <w:divsChild>
                <w:div w:id="2146313137">
                  <w:marLeft w:val="0"/>
                  <w:marRight w:val="0"/>
                  <w:marTop w:val="0"/>
                  <w:marBottom w:val="0"/>
                  <w:divBdr>
                    <w:top w:val="none" w:sz="0" w:space="0" w:color="auto"/>
                    <w:left w:val="none" w:sz="0" w:space="0" w:color="auto"/>
                    <w:bottom w:val="none" w:sz="0" w:space="0" w:color="auto"/>
                    <w:right w:val="none" w:sz="0" w:space="0" w:color="auto"/>
                  </w:divBdr>
                  <w:divsChild>
                    <w:div w:id="760836704">
                      <w:marLeft w:val="1"/>
                      <w:marRight w:val="1"/>
                      <w:marTop w:val="0"/>
                      <w:marBottom w:val="0"/>
                      <w:divBdr>
                        <w:top w:val="none" w:sz="0" w:space="0" w:color="auto"/>
                        <w:left w:val="none" w:sz="0" w:space="0" w:color="auto"/>
                        <w:bottom w:val="none" w:sz="0" w:space="0" w:color="auto"/>
                        <w:right w:val="none" w:sz="0" w:space="0" w:color="auto"/>
                      </w:divBdr>
                      <w:divsChild>
                        <w:div w:id="1770005354">
                          <w:marLeft w:val="0"/>
                          <w:marRight w:val="0"/>
                          <w:marTop w:val="0"/>
                          <w:marBottom w:val="0"/>
                          <w:divBdr>
                            <w:top w:val="none" w:sz="0" w:space="0" w:color="auto"/>
                            <w:left w:val="none" w:sz="0" w:space="0" w:color="auto"/>
                            <w:bottom w:val="none" w:sz="0" w:space="0" w:color="auto"/>
                            <w:right w:val="none" w:sz="0" w:space="0" w:color="auto"/>
                          </w:divBdr>
                          <w:divsChild>
                            <w:div w:id="703136834">
                              <w:marLeft w:val="0"/>
                              <w:marRight w:val="0"/>
                              <w:marTop w:val="0"/>
                              <w:marBottom w:val="360"/>
                              <w:divBdr>
                                <w:top w:val="none" w:sz="0" w:space="0" w:color="auto"/>
                                <w:left w:val="none" w:sz="0" w:space="0" w:color="auto"/>
                                <w:bottom w:val="none" w:sz="0" w:space="0" w:color="auto"/>
                                <w:right w:val="none" w:sz="0" w:space="0" w:color="auto"/>
                              </w:divBdr>
                              <w:divsChild>
                                <w:div w:id="1249463683">
                                  <w:marLeft w:val="0"/>
                                  <w:marRight w:val="0"/>
                                  <w:marTop w:val="0"/>
                                  <w:marBottom w:val="0"/>
                                  <w:divBdr>
                                    <w:top w:val="none" w:sz="0" w:space="0" w:color="auto"/>
                                    <w:left w:val="none" w:sz="0" w:space="0" w:color="auto"/>
                                    <w:bottom w:val="none" w:sz="0" w:space="0" w:color="auto"/>
                                    <w:right w:val="none" w:sz="0" w:space="0" w:color="auto"/>
                                  </w:divBdr>
                                  <w:divsChild>
                                    <w:div w:id="1072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45170">
      <w:bodyDiv w:val="1"/>
      <w:marLeft w:val="0"/>
      <w:marRight w:val="0"/>
      <w:marTop w:val="0"/>
      <w:marBottom w:val="0"/>
      <w:divBdr>
        <w:top w:val="none" w:sz="0" w:space="0" w:color="auto"/>
        <w:left w:val="none" w:sz="0" w:space="0" w:color="auto"/>
        <w:bottom w:val="none" w:sz="0" w:space="0" w:color="auto"/>
        <w:right w:val="none" w:sz="0" w:space="0" w:color="auto"/>
      </w:divBdr>
      <w:divsChild>
        <w:div w:id="1336111019">
          <w:marLeft w:val="0"/>
          <w:marRight w:val="0"/>
          <w:marTop w:val="0"/>
          <w:marBottom w:val="0"/>
          <w:divBdr>
            <w:top w:val="none" w:sz="0" w:space="0" w:color="auto"/>
            <w:left w:val="none" w:sz="0" w:space="0" w:color="auto"/>
            <w:bottom w:val="none" w:sz="0" w:space="0" w:color="auto"/>
            <w:right w:val="none" w:sz="0" w:space="0" w:color="auto"/>
          </w:divBdr>
          <w:divsChild>
            <w:div w:id="376398396">
              <w:marLeft w:val="0"/>
              <w:marRight w:val="0"/>
              <w:marTop w:val="0"/>
              <w:marBottom w:val="0"/>
              <w:divBdr>
                <w:top w:val="none" w:sz="0" w:space="0" w:color="auto"/>
                <w:left w:val="none" w:sz="0" w:space="0" w:color="auto"/>
                <w:bottom w:val="none" w:sz="0" w:space="0" w:color="auto"/>
                <w:right w:val="none" w:sz="0" w:space="0" w:color="auto"/>
              </w:divBdr>
              <w:divsChild>
                <w:div w:id="159466912">
                  <w:marLeft w:val="0"/>
                  <w:marRight w:val="0"/>
                  <w:marTop w:val="0"/>
                  <w:marBottom w:val="0"/>
                  <w:divBdr>
                    <w:top w:val="none" w:sz="0" w:space="0" w:color="auto"/>
                    <w:left w:val="none" w:sz="0" w:space="0" w:color="auto"/>
                    <w:bottom w:val="none" w:sz="0" w:space="0" w:color="auto"/>
                    <w:right w:val="none" w:sz="0" w:space="0" w:color="auto"/>
                  </w:divBdr>
                  <w:divsChild>
                    <w:div w:id="1270120083">
                      <w:marLeft w:val="1"/>
                      <w:marRight w:val="1"/>
                      <w:marTop w:val="0"/>
                      <w:marBottom w:val="0"/>
                      <w:divBdr>
                        <w:top w:val="none" w:sz="0" w:space="0" w:color="auto"/>
                        <w:left w:val="none" w:sz="0" w:space="0" w:color="auto"/>
                        <w:bottom w:val="none" w:sz="0" w:space="0" w:color="auto"/>
                        <w:right w:val="none" w:sz="0" w:space="0" w:color="auto"/>
                      </w:divBdr>
                      <w:divsChild>
                        <w:div w:id="1624994526">
                          <w:marLeft w:val="0"/>
                          <w:marRight w:val="0"/>
                          <w:marTop w:val="0"/>
                          <w:marBottom w:val="0"/>
                          <w:divBdr>
                            <w:top w:val="none" w:sz="0" w:space="0" w:color="auto"/>
                            <w:left w:val="none" w:sz="0" w:space="0" w:color="auto"/>
                            <w:bottom w:val="none" w:sz="0" w:space="0" w:color="auto"/>
                            <w:right w:val="none" w:sz="0" w:space="0" w:color="auto"/>
                          </w:divBdr>
                          <w:divsChild>
                            <w:div w:id="18046081">
                              <w:marLeft w:val="0"/>
                              <w:marRight w:val="0"/>
                              <w:marTop w:val="0"/>
                              <w:marBottom w:val="360"/>
                              <w:divBdr>
                                <w:top w:val="none" w:sz="0" w:space="0" w:color="auto"/>
                                <w:left w:val="none" w:sz="0" w:space="0" w:color="auto"/>
                                <w:bottom w:val="none" w:sz="0" w:space="0" w:color="auto"/>
                                <w:right w:val="none" w:sz="0" w:space="0" w:color="auto"/>
                              </w:divBdr>
                              <w:divsChild>
                                <w:div w:id="1357078948">
                                  <w:marLeft w:val="0"/>
                                  <w:marRight w:val="0"/>
                                  <w:marTop w:val="0"/>
                                  <w:marBottom w:val="0"/>
                                  <w:divBdr>
                                    <w:top w:val="none" w:sz="0" w:space="0" w:color="auto"/>
                                    <w:left w:val="none" w:sz="0" w:space="0" w:color="auto"/>
                                    <w:bottom w:val="none" w:sz="0" w:space="0" w:color="auto"/>
                                    <w:right w:val="none" w:sz="0" w:space="0" w:color="auto"/>
                                  </w:divBdr>
                                  <w:divsChild>
                                    <w:div w:id="776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555">
      <w:bodyDiv w:val="1"/>
      <w:marLeft w:val="0"/>
      <w:marRight w:val="0"/>
      <w:marTop w:val="0"/>
      <w:marBottom w:val="0"/>
      <w:divBdr>
        <w:top w:val="none" w:sz="0" w:space="0" w:color="auto"/>
        <w:left w:val="none" w:sz="0" w:space="0" w:color="auto"/>
        <w:bottom w:val="none" w:sz="0" w:space="0" w:color="auto"/>
        <w:right w:val="none" w:sz="0" w:space="0" w:color="auto"/>
      </w:divBdr>
    </w:div>
    <w:div w:id="1012338114">
      <w:bodyDiv w:val="1"/>
      <w:marLeft w:val="0"/>
      <w:marRight w:val="0"/>
      <w:marTop w:val="0"/>
      <w:marBottom w:val="0"/>
      <w:divBdr>
        <w:top w:val="none" w:sz="0" w:space="0" w:color="auto"/>
        <w:left w:val="none" w:sz="0" w:space="0" w:color="auto"/>
        <w:bottom w:val="none" w:sz="0" w:space="0" w:color="auto"/>
        <w:right w:val="none" w:sz="0" w:space="0" w:color="auto"/>
      </w:divBdr>
      <w:divsChild>
        <w:div w:id="1596471835">
          <w:marLeft w:val="0"/>
          <w:marRight w:val="0"/>
          <w:marTop w:val="0"/>
          <w:marBottom w:val="0"/>
          <w:divBdr>
            <w:top w:val="none" w:sz="0" w:space="0" w:color="auto"/>
            <w:left w:val="none" w:sz="0" w:space="0" w:color="auto"/>
            <w:bottom w:val="none" w:sz="0" w:space="0" w:color="auto"/>
            <w:right w:val="none" w:sz="0" w:space="0" w:color="auto"/>
          </w:divBdr>
          <w:divsChild>
            <w:div w:id="450907034">
              <w:marLeft w:val="0"/>
              <w:marRight w:val="0"/>
              <w:marTop w:val="0"/>
              <w:marBottom w:val="0"/>
              <w:divBdr>
                <w:top w:val="none" w:sz="0" w:space="0" w:color="auto"/>
                <w:left w:val="none" w:sz="0" w:space="0" w:color="auto"/>
                <w:bottom w:val="none" w:sz="0" w:space="0" w:color="auto"/>
                <w:right w:val="none" w:sz="0" w:space="0" w:color="auto"/>
              </w:divBdr>
              <w:divsChild>
                <w:div w:id="1958752707">
                  <w:marLeft w:val="0"/>
                  <w:marRight w:val="0"/>
                  <w:marTop w:val="0"/>
                  <w:marBottom w:val="0"/>
                  <w:divBdr>
                    <w:top w:val="none" w:sz="0" w:space="0" w:color="auto"/>
                    <w:left w:val="none" w:sz="0" w:space="0" w:color="auto"/>
                    <w:bottom w:val="none" w:sz="0" w:space="0" w:color="auto"/>
                    <w:right w:val="none" w:sz="0" w:space="0" w:color="auto"/>
                  </w:divBdr>
                  <w:divsChild>
                    <w:div w:id="1842113400">
                      <w:marLeft w:val="1"/>
                      <w:marRight w:val="1"/>
                      <w:marTop w:val="0"/>
                      <w:marBottom w:val="0"/>
                      <w:divBdr>
                        <w:top w:val="none" w:sz="0" w:space="0" w:color="auto"/>
                        <w:left w:val="none" w:sz="0" w:space="0" w:color="auto"/>
                        <w:bottom w:val="none" w:sz="0" w:space="0" w:color="auto"/>
                        <w:right w:val="none" w:sz="0" w:space="0" w:color="auto"/>
                      </w:divBdr>
                      <w:divsChild>
                        <w:div w:id="788627084">
                          <w:marLeft w:val="0"/>
                          <w:marRight w:val="0"/>
                          <w:marTop w:val="0"/>
                          <w:marBottom w:val="0"/>
                          <w:divBdr>
                            <w:top w:val="none" w:sz="0" w:space="0" w:color="auto"/>
                            <w:left w:val="none" w:sz="0" w:space="0" w:color="auto"/>
                            <w:bottom w:val="none" w:sz="0" w:space="0" w:color="auto"/>
                            <w:right w:val="none" w:sz="0" w:space="0" w:color="auto"/>
                          </w:divBdr>
                          <w:divsChild>
                            <w:div w:id="465516339">
                              <w:marLeft w:val="0"/>
                              <w:marRight w:val="0"/>
                              <w:marTop w:val="0"/>
                              <w:marBottom w:val="360"/>
                              <w:divBdr>
                                <w:top w:val="none" w:sz="0" w:space="0" w:color="auto"/>
                                <w:left w:val="none" w:sz="0" w:space="0" w:color="auto"/>
                                <w:bottom w:val="none" w:sz="0" w:space="0" w:color="auto"/>
                                <w:right w:val="none" w:sz="0" w:space="0" w:color="auto"/>
                              </w:divBdr>
                              <w:divsChild>
                                <w:div w:id="1043561324">
                                  <w:marLeft w:val="0"/>
                                  <w:marRight w:val="0"/>
                                  <w:marTop w:val="0"/>
                                  <w:marBottom w:val="0"/>
                                  <w:divBdr>
                                    <w:top w:val="none" w:sz="0" w:space="0" w:color="auto"/>
                                    <w:left w:val="none" w:sz="0" w:space="0" w:color="auto"/>
                                    <w:bottom w:val="none" w:sz="0" w:space="0" w:color="auto"/>
                                    <w:right w:val="none" w:sz="0" w:space="0" w:color="auto"/>
                                  </w:divBdr>
                                  <w:divsChild>
                                    <w:div w:id="15093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54567">
      <w:bodyDiv w:val="1"/>
      <w:marLeft w:val="0"/>
      <w:marRight w:val="0"/>
      <w:marTop w:val="0"/>
      <w:marBottom w:val="0"/>
      <w:divBdr>
        <w:top w:val="none" w:sz="0" w:space="0" w:color="auto"/>
        <w:left w:val="none" w:sz="0" w:space="0" w:color="auto"/>
        <w:bottom w:val="none" w:sz="0" w:space="0" w:color="auto"/>
        <w:right w:val="none" w:sz="0" w:space="0" w:color="auto"/>
      </w:divBdr>
      <w:divsChild>
        <w:div w:id="1247497213">
          <w:marLeft w:val="0"/>
          <w:marRight w:val="0"/>
          <w:marTop w:val="0"/>
          <w:marBottom w:val="0"/>
          <w:divBdr>
            <w:top w:val="none" w:sz="0" w:space="0" w:color="auto"/>
            <w:left w:val="none" w:sz="0" w:space="0" w:color="auto"/>
            <w:bottom w:val="none" w:sz="0" w:space="0" w:color="auto"/>
            <w:right w:val="none" w:sz="0" w:space="0" w:color="auto"/>
          </w:divBdr>
          <w:divsChild>
            <w:div w:id="915938675">
              <w:marLeft w:val="0"/>
              <w:marRight w:val="0"/>
              <w:marTop w:val="0"/>
              <w:marBottom w:val="0"/>
              <w:divBdr>
                <w:top w:val="none" w:sz="0" w:space="0" w:color="auto"/>
                <w:left w:val="none" w:sz="0" w:space="0" w:color="auto"/>
                <w:bottom w:val="none" w:sz="0" w:space="0" w:color="auto"/>
                <w:right w:val="none" w:sz="0" w:space="0" w:color="auto"/>
              </w:divBdr>
              <w:divsChild>
                <w:div w:id="1316883118">
                  <w:marLeft w:val="0"/>
                  <w:marRight w:val="0"/>
                  <w:marTop w:val="0"/>
                  <w:marBottom w:val="0"/>
                  <w:divBdr>
                    <w:top w:val="none" w:sz="0" w:space="0" w:color="auto"/>
                    <w:left w:val="none" w:sz="0" w:space="0" w:color="auto"/>
                    <w:bottom w:val="none" w:sz="0" w:space="0" w:color="auto"/>
                    <w:right w:val="none" w:sz="0" w:space="0" w:color="auto"/>
                  </w:divBdr>
                  <w:divsChild>
                    <w:div w:id="396317934">
                      <w:marLeft w:val="1"/>
                      <w:marRight w:val="1"/>
                      <w:marTop w:val="0"/>
                      <w:marBottom w:val="0"/>
                      <w:divBdr>
                        <w:top w:val="none" w:sz="0" w:space="0" w:color="auto"/>
                        <w:left w:val="none" w:sz="0" w:space="0" w:color="auto"/>
                        <w:bottom w:val="none" w:sz="0" w:space="0" w:color="auto"/>
                        <w:right w:val="none" w:sz="0" w:space="0" w:color="auto"/>
                      </w:divBdr>
                      <w:divsChild>
                        <w:div w:id="1268779243">
                          <w:marLeft w:val="0"/>
                          <w:marRight w:val="0"/>
                          <w:marTop w:val="0"/>
                          <w:marBottom w:val="0"/>
                          <w:divBdr>
                            <w:top w:val="none" w:sz="0" w:space="0" w:color="auto"/>
                            <w:left w:val="none" w:sz="0" w:space="0" w:color="auto"/>
                            <w:bottom w:val="none" w:sz="0" w:space="0" w:color="auto"/>
                            <w:right w:val="none" w:sz="0" w:space="0" w:color="auto"/>
                          </w:divBdr>
                          <w:divsChild>
                            <w:div w:id="195048964">
                              <w:marLeft w:val="0"/>
                              <w:marRight w:val="0"/>
                              <w:marTop w:val="0"/>
                              <w:marBottom w:val="360"/>
                              <w:divBdr>
                                <w:top w:val="none" w:sz="0" w:space="0" w:color="auto"/>
                                <w:left w:val="none" w:sz="0" w:space="0" w:color="auto"/>
                                <w:bottom w:val="none" w:sz="0" w:space="0" w:color="auto"/>
                                <w:right w:val="none" w:sz="0" w:space="0" w:color="auto"/>
                              </w:divBdr>
                              <w:divsChild>
                                <w:div w:id="701395839">
                                  <w:marLeft w:val="0"/>
                                  <w:marRight w:val="0"/>
                                  <w:marTop w:val="0"/>
                                  <w:marBottom w:val="0"/>
                                  <w:divBdr>
                                    <w:top w:val="none" w:sz="0" w:space="0" w:color="auto"/>
                                    <w:left w:val="none" w:sz="0" w:space="0" w:color="auto"/>
                                    <w:bottom w:val="none" w:sz="0" w:space="0" w:color="auto"/>
                                    <w:right w:val="none" w:sz="0" w:space="0" w:color="auto"/>
                                  </w:divBdr>
                                  <w:divsChild>
                                    <w:div w:id="1965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438">
      <w:bodyDiv w:val="1"/>
      <w:marLeft w:val="0"/>
      <w:marRight w:val="0"/>
      <w:marTop w:val="0"/>
      <w:marBottom w:val="0"/>
      <w:divBdr>
        <w:top w:val="none" w:sz="0" w:space="0" w:color="auto"/>
        <w:left w:val="none" w:sz="0" w:space="0" w:color="auto"/>
        <w:bottom w:val="none" w:sz="0" w:space="0" w:color="auto"/>
        <w:right w:val="none" w:sz="0" w:space="0" w:color="auto"/>
      </w:divBdr>
      <w:divsChild>
        <w:div w:id="1623489190">
          <w:marLeft w:val="0"/>
          <w:marRight w:val="0"/>
          <w:marTop w:val="0"/>
          <w:marBottom w:val="0"/>
          <w:divBdr>
            <w:top w:val="none" w:sz="0" w:space="0" w:color="auto"/>
            <w:left w:val="none" w:sz="0" w:space="0" w:color="auto"/>
            <w:bottom w:val="none" w:sz="0" w:space="0" w:color="auto"/>
            <w:right w:val="none" w:sz="0" w:space="0" w:color="auto"/>
          </w:divBdr>
          <w:divsChild>
            <w:div w:id="1196313357">
              <w:marLeft w:val="0"/>
              <w:marRight w:val="0"/>
              <w:marTop w:val="0"/>
              <w:marBottom w:val="0"/>
              <w:divBdr>
                <w:top w:val="none" w:sz="0" w:space="0" w:color="auto"/>
                <w:left w:val="none" w:sz="0" w:space="0" w:color="auto"/>
                <w:bottom w:val="none" w:sz="0" w:space="0" w:color="auto"/>
                <w:right w:val="none" w:sz="0" w:space="0" w:color="auto"/>
              </w:divBdr>
              <w:divsChild>
                <w:div w:id="1299216094">
                  <w:marLeft w:val="0"/>
                  <w:marRight w:val="0"/>
                  <w:marTop w:val="0"/>
                  <w:marBottom w:val="0"/>
                  <w:divBdr>
                    <w:top w:val="none" w:sz="0" w:space="0" w:color="auto"/>
                    <w:left w:val="none" w:sz="0" w:space="0" w:color="auto"/>
                    <w:bottom w:val="none" w:sz="0" w:space="0" w:color="auto"/>
                    <w:right w:val="none" w:sz="0" w:space="0" w:color="auto"/>
                  </w:divBdr>
                  <w:divsChild>
                    <w:div w:id="1416978611">
                      <w:marLeft w:val="1"/>
                      <w:marRight w:val="1"/>
                      <w:marTop w:val="0"/>
                      <w:marBottom w:val="0"/>
                      <w:divBdr>
                        <w:top w:val="none" w:sz="0" w:space="0" w:color="auto"/>
                        <w:left w:val="none" w:sz="0" w:space="0" w:color="auto"/>
                        <w:bottom w:val="none" w:sz="0" w:space="0" w:color="auto"/>
                        <w:right w:val="none" w:sz="0" w:space="0" w:color="auto"/>
                      </w:divBdr>
                      <w:divsChild>
                        <w:div w:id="985817384">
                          <w:marLeft w:val="0"/>
                          <w:marRight w:val="0"/>
                          <w:marTop w:val="0"/>
                          <w:marBottom w:val="0"/>
                          <w:divBdr>
                            <w:top w:val="none" w:sz="0" w:space="0" w:color="auto"/>
                            <w:left w:val="none" w:sz="0" w:space="0" w:color="auto"/>
                            <w:bottom w:val="none" w:sz="0" w:space="0" w:color="auto"/>
                            <w:right w:val="none" w:sz="0" w:space="0" w:color="auto"/>
                          </w:divBdr>
                          <w:divsChild>
                            <w:div w:id="1802765324">
                              <w:marLeft w:val="0"/>
                              <w:marRight w:val="0"/>
                              <w:marTop w:val="0"/>
                              <w:marBottom w:val="360"/>
                              <w:divBdr>
                                <w:top w:val="none" w:sz="0" w:space="0" w:color="auto"/>
                                <w:left w:val="none" w:sz="0" w:space="0" w:color="auto"/>
                                <w:bottom w:val="none" w:sz="0" w:space="0" w:color="auto"/>
                                <w:right w:val="none" w:sz="0" w:space="0" w:color="auto"/>
                              </w:divBdr>
                              <w:divsChild>
                                <w:div w:id="1820149577">
                                  <w:marLeft w:val="0"/>
                                  <w:marRight w:val="0"/>
                                  <w:marTop w:val="0"/>
                                  <w:marBottom w:val="0"/>
                                  <w:divBdr>
                                    <w:top w:val="none" w:sz="0" w:space="0" w:color="auto"/>
                                    <w:left w:val="none" w:sz="0" w:space="0" w:color="auto"/>
                                    <w:bottom w:val="none" w:sz="0" w:space="0" w:color="auto"/>
                                    <w:right w:val="none" w:sz="0" w:space="0" w:color="auto"/>
                                  </w:divBdr>
                                  <w:divsChild>
                                    <w:div w:id="907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140940">
      <w:bodyDiv w:val="1"/>
      <w:marLeft w:val="0"/>
      <w:marRight w:val="0"/>
      <w:marTop w:val="0"/>
      <w:marBottom w:val="0"/>
      <w:divBdr>
        <w:top w:val="none" w:sz="0" w:space="0" w:color="auto"/>
        <w:left w:val="none" w:sz="0" w:space="0" w:color="auto"/>
        <w:bottom w:val="none" w:sz="0" w:space="0" w:color="auto"/>
        <w:right w:val="none" w:sz="0" w:space="0" w:color="auto"/>
      </w:divBdr>
      <w:divsChild>
        <w:div w:id="260839084">
          <w:marLeft w:val="0"/>
          <w:marRight w:val="0"/>
          <w:marTop w:val="0"/>
          <w:marBottom w:val="0"/>
          <w:divBdr>
            <w:top w:val="none" w:sz="0" w:space="0" w:color="auto"/>
            <w:left w:val="none" w:sz="0" w:space="0" w:color="auto"/>
            <w:bottom w:val="none" w:sz="0" w:space="0" w:color="auto"/>
            <w:right w:val="none" w:sz="0" w:space="0" w:color="auto"/>
          </w:divBdr>
          <w:divsChild>
            <w:div w:id="385837164">
              <w:marLeft w:val="0"/>
              <w:marRight w:val="0"/>
              <w:marTop w:val="0"/>
              <w:marBottom w:val="0"/>
              <w:divBdr>
                <w:top w:val="none" w:sz="0" w:space="0" w:color="auto"/>
                <w:left w:val="none" w:sz="0" w:space="0" w:color="auto"/>
                <w:bottom w:val="none" w:sz="0" w:space="0" w:color="auto"/>
                <w:right w:val="none" w:sz="0" w:space="0" w:color="auto"/>
              </w:divBdr>
              <w:divsChild>
                <w:div w:id="2106269812">
                  <w:marLeft w:val="0"/>
                  <w:marRight w:val="0"/>
                  <w:marTop w:val="0"/>
                  <w:marBottom w:val="0"/>
                  <w:divBdr>
                    <w:top w:val="none" w:sz="0" w:space="0" w:color="auto"/>
                    <w:left w:val="none" w:sz="0" w:space="0" w:color="auto"/>
                    <w:bottom w:val="none" w:sz="0" w:space="0" w:color="auto"/>
                    <w:right w:val="none" w:sz="0" w:space="0" w:color="auto"/>
                  </w:divBdr>
                  <w:divsChild>
                    <w:div w:id="969827178">
                      <w:marLeft w:val="1"/>
                      <w:marRight w:val="1"/>
                      <w:marTop w:val="0"/>
                      <w:marBottom w:val="0"/>
                      <w:divBdr>
                        <w:top w:val="none" w:sz="0" w:space="0" w:color="auto"/>
                        <w:left w:val="none" w:sz="0" w:space="0" w:color="auto"/>
                        <w:bottom w:val="none" w:sz="0" w:space="0" w:color="auto"/>
                        <w:right w:val="none" w:sz="0" w:space="0" w:color="auto"/>
                      </w:divBdr>
                      <w:divsChild>
                        <w:div w:id="1222906806">
                          <w:marLeft w:val="0"/>
                          <w:marRight w:val="0"/>
                          <w:marTop w:val="0"/>
                          <w:marBottom w:val="0"/>
                          <w:divBdr>
                            <w:top w:val="none" w:sz="0" w:space="0" w:color="auto"/>
                            <w:left w:val="none" w:sz="0" w:space="0" w:color="auto"/>
                            <w:bottom w:val="none" w:sz="0" w:space="0" w:color="auto"/>
                            <w:right w:val="none" w:sz="0" w:space="0" w:color="auto"/>
                          </w:divBdr>
                          <w:divsChild>
                            <w:div w:id="1967542676">
                              <w:marLeft w:val="0"/>
                              <w:marRight w:val="0"/>
                              <w:marTop w:val="0"/>
                              <w:marBottom w:val="360"/>
                              <w:divBdr>
                                <w:top w:val="none" w:sz="0" w:space="0" w:color="auto"/>
                                <w:left w:val="none" w:sz="0" w:space="0" w:color="auto"/>
                                <w:bottom w:val="none" w:sz="0" w:space="0" w:color="auto"/>
                                <w:right w:val="none" w:sz="0" w:space="0" w:color="auto"/>
                              </w:divBdr>
                              <w:divsChild>
                                <w:div w:id="827328949">
                                  <w:marLeft w:val="0"/>
                                  <w:marRight w:val="0"/>
                                  <w:marTop w:val="0"/>
                                  <w:marBottom w:val="0"/>
                                  <w:divBdr>
                                    <w:top w:val="none" w:sz="0" w:space="0" w:color="auto"/>
                                    <w:left w:val="none" w:sz="0" w:space="0" w:color="auto"/>
                                    <w:bottom w:val="none" w:sz="0" w:space="0" w:color="auto"/>
                                    <w:right w:val="none" w:sz="0" w:space="0" w:color="auto"/>
                                  </w:divBdr>
                                  <w:divsChild>
                                    <w:div w:id="9040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0758">
      <w:bodyDiv w:val="1"/>
      <w:marLeft w:val="0"/>
      <w:marRight w:val="0"/>
      <w:marTop w:val="0"/>
      <w:marBottom w:val="0"/>
      <w:divBdr>
        <w:top w:val="none" w:sz="0" w:space="0" w:color="auto"/>
        <w:left w:val="none" w:sz="0" w:space="0" w:color="auto"/>
        <w:bottom w:val="none" w:sz="0" w:space="0" w:color="auto"/>
        <w:right w:val="none" w:sz="0" w:space="0" w:color="auto"/>
      </w:divBdr>
      <w:divsChild>
        <w:div w:id="36128482">
          <w:marLeft w:val="0"/>
          <w:marRight w:val="0"/>
          <w:marTop w:val="0"/>
          <w:marBottom w:val="0"/>
          <w:divBdr>
            <w:top w:val="none" w:sz="0" w:space="0" w:color="auto"/>
            <w:left w:val="none" w:sz="0" w:space="0" w:color="auto"/>
            <w:bottom w:val="none" w:sz="0" w:space="0" w:color="auto"/>
            <w:right w:val="none" w:sz="0" w:space="0" w:color="auto"/>
          </w:divBdr>
          <w:divsChild>
            <w:div w:id="1770200223">
              <w:marLeft w:val="0"/>
              <w:marRight w:val="0"/>
              <w:marTop w:val="0"/>
              <w:marBottom w:val="0"/>
              <w:divBdr>
                <w:top w:val="none" w:sz="0" w:space="0" w:color="auto"/>
                <w:left w:val="none" w:sz="0" w:space="0" w:color="auto"/>
                <w:bottom w:val="none" w:sz="0" w:space="0" w:color="auto"/>
                <w:right w:val="none" w:sz="0" w:space="0" w:color="auto"/>
              </w:divBdr>
              <w:divsChild>
                <w:div w:id="176043735">
                  <w:marLeft w:val="0"/>
                  <w:marRight w:val="0"/>
                  <w:marTop w:val="0"/>
                  <w:marBottom w:val="0"/>
                  <w:divBdr>
                    <w:top w:val="none" w:sz="0" w:space="0" w:color="auto"/>
                    <w:left w:val="none" w:sz="0" w:space="0" w:color="auto"/>
                    <w:bottom w:val="none" w:sz="0" w:space="0" w:color="auto"/>
                    <w:right w:val="none" w:sz="0" w:space="0" w:color="auto"/>
                  </w:divBdr>
                  <w:divsChild>
                    <w:div w:id="1096755553">
                      <w:marLeft w:val="1"/>
                      <w:marRight w:val="1"/>
                      <w:marTop w:val="0"/>
                      <w:marBottom w:val="0"/>
                      <w:divBdr>
                        <w:top w:val="none" w:sz="0" w:space="0" w:color="auto"/>
                        <w:left w:val="none" w:sz="0" w:space="0" w:color="auto"/>
                        <w:bottom w:val="none" w:sz="0" w:space="0" w:color="auto"/>
                        <w:right w:val="none" w:sz="0" w:space="0" w:color="auto"/>
                      </w:divBdr>
                      <w:divsChild>
                        <w:div w:id="838889321">
                          <w:marLeft w:val="0"/>
                          <w:marRight w:val="0"/>
                          <w:marTop w:val="0"/>
                          <w:marBottom w:val="0"/>
                          <w:divBdr>
                            <w:top w:val="none" w:sz="0" w:space="0" w:color="auto"/>
                            <w:left w:val="none" w:sz="0" w:space="0" w:color="auto"/>
                            <w:bottom w:val="none" w:sz="0" w:space="0" w:color="auto"/>
                            <w:right w:val="none" w:sz="0" w:space="0" w:color="auto"/>
                          </w:divBdr>
                          <w:divsChild>
                            <w:div w:id="1183208695">
                              <w:marLeft w:val="0"/>
                              <w:marRight w:val="0"/>
                              <w:marTop w:val="0"/>
                              <w:marBottom w:val="360"/>
                              <w:divBdr>
                                <w:top w:val="none" w:sz="0" w:space="0" w:color="auto"/>
                                <w:left w:val="none" w:sz="0" w:space="0" w:color="auto"/>
                                <w:bottom w:val="none" w:sz="0" w:space="0" w:color="auto"/>
                                <w:right w:val="none" w:sz="0" w:space="0" w:color="auto"/>
                              </w:divBdr>
                              <w:divsChild>
                                <w:div w:id="905846488">
                                  <w:marLeft w:val="0"/>
                                  <w:marRight w:val="0"/>
                                  <w:marTop w:val="0"/>
                                  <w:marBottom w:val="0"/>
                                  <w:divBdr>
                                    <w:top w:val="none" w:sz="0" w:space="0" w:color="auto"/>
                                    <w:left w:val="none" w:sz="0" w:space="0" w:color="auto"/>
                                    <w:bottom w:val="none" w:sz="0" w:space="0" w:color="auto"/>
                                    <w:right w:val="none" w:sz="0" w:space="0" w:color="auto"/>
                                  </w:divBdr>
                                  <w:divsChild>
                                    <w:div w:id="13857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629580689">
          <w:marLeft w:val="0"/>
          <w:marRight w:val="0"/>
          <w:marTop w:val="0"/>
          <w:marBottom w:val="0"/>
          <w:divBdr>
            <w:top w:val="none" w:sz="0" w:space="0" w:color="auto"/>
            <w:left w:val="none" w:sz="0" w:space="0" w:color="auto"/>
            <w:bottom w:val="none" w:sz="0" w:space="0" w:color="auto"/>
            <w:right w:val="none" w:sz="0" w:space="0" w:color="auto"/>
          </w:divBdr>
          <w:divsChild>
            <w:div w:id="1448157335">
              <w:marLeft w:val="0"/>
              <w:marRight w:val="0"/>
              <w:marTop w:val="0"/>
              <w:marBottom w:val="0"/>
              <w:divBdr>
                <w:top w:val="none" w:sz="0" w:space="0" w:color="auto"/>
                <w:left w:val="none" w:sz="0" w:space="0" w:color="auto"/>
                <w:bottom w:val="none" w:sz="0" w:space="0" w:color="auto"/>
                <w:right w:val="none" w:sz="0" w:space="0" w:color="auto"/>
              </w:divBdr>
              <w:divsChild>
                <w:div w:id="979461993">
                  <w:marLeft w:val="0"/>
                  <w:marRight w:val="0"/>
                  <w:marTop w:val="0"/>
                  <w:marBottom w:val="0"/>
                  <w:divBdr>
                    <w:top w:val="none" w:sz="0" w:space="0" w:color="auto"/>
                    <w:left w:val="none" w:sz="0" w:space="0" w:color="auto"/>
                    <w:bottom w:val="none" w:sz="0" w:space="0" w:color="auto"/>
                    <w:right w:val="none" w:sz="0" w:space="0" w:color="auto"/>
                  </w:divBdr>
                  <w:divsChild>
                    <w:div w:id="1197424479">
                      <w:marLeft w:val="1"/>
                      <w:marRight w:val="1"/>
                      <w:marTop w:val="0"/>
                      <w:marBottom w:val="0"/>
                      <w:divBdr>
                        <w:top w:val="none" w:sz="0" w:space="0" w:color="auto"/>
                        <w:left w:val="none" w:sz="0" w:space="0" w:color="auto"/>
                        <w:bottom w:val="none" w:sz="0" w:space="0" w:color="auto"/>
                        <w:right w:val="none" w:sz="0" w:space="0" w:color="auto"/>
                      </w:divBdr>
                      <w:divsChild>
                        <w:div w:id="759060341">
                          <w:marLeft w:val="0"/>
                          <w:marRight w:val="0"/>
                          <w:marTop w:val="0"/>
                          <w:marBottom w:val="0"/>
                          <w:divBdr>
                            <w:top w:val="none" w:sz="0" w:space="0" w:color="auto"/>
                            <w:left w:val="none" w:sz="0" w:space="0" w:color="auto"/>
                            <w:bottom w:val="none" w:sz="0" w:space="0" w:color="auto"/>
                            <w:right w:val="none" w:sz="0" w:space="0" w:color="auto"/>
                          </w:divBdr>
                          <w:divsChild>
                            <w:div w:id="2110656738">
                              <w:marLeft w:val="0"/>
                              <w:marRight w:val="0"/>
                              <w:marTop w:val="0"/>
                              <w:marBottom w:val="360"/>
                              <w:divBdr>
                                <w:top w:val="none" w:sz="0" w:space="0" w:color="auto"/>
                                <w:left w:val="none" w:sz="0" w:space="0" w:color="auto"/>
                                <w:bottom w:val="none" w:sz="0" w:space="0" w:color="auto"/>
                                <w:right w:val="none" w:sz="0" w:space="0" w:color="auto"/>
                              </w:divBdr>
                              <w:divsChild>
                                <w:div w:id="1889101934">
                                  <w:marLeft w:val="0"/>
                                  <w:marRight w:val="0"/>
                                  <w:marTop w:val="0"/>
                                  <w:marBottom w:val="0"/>
                                  <w:divBdr>
                                    <w:top w:val="none" w:sz="0" w:space="0" w:color="auto"/>
                                    <w:left w:val="none" w:sz="0" w:space="0" w:color="auto"/>
                                    <w:bottom w:val="none" w:sz="0" w:space="0" w:color="auto"/>
                                    <w:right w:val="none" w:sz="0" w:space="0" w:color="auto"/>
                                  </w:divBdr>
                                  <w:divsChild>
                                    <w:div w:id="1494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4952">
      <w:bodyDiv w:val="1"/>
      <w:marLeft w:val="0"/>
      <w:marRight w:val="0"/>
      <w:marTop w:val="0"/>
      <w:marBottom w:val="0"/>
      <w:divBdr>
        <w:top w:val="none" w:sz="0" w:space="0" w:color="auto"/>
        <w:left w:val="none" w:sz="0" w:space="0" w:color="auto"/>
        <w:bottom w:val="none" w:sz="0" w:space="0" w:color="auto"/>
        <w:right w:val="none" w:sz="0" w:space="0" w:color="auto"/>
      </w:divBdr>
    </w:div>
    <w:div w:id="2010519221">
      <w:bodyDiv w:val="1"/>
      <w:marLeft w:val="0"/>
      <w:marRight w:val="0"/>
      <w:marTop w:val="0"/>
      <w:marBottom w:val="0"/>
      <w:divBdr>
        <w:top w:val="none" w:sz="0" w:space="0" w:color="auto"/>
        <w:left w:val="none" w:sz="0" w:space="0" w:color="auto"/>
        <w:bottom w:val="none" w:sz="0" w:space="0" w:color="auto"/>
        <w:right w:val="none" w:sz="0" w:space="0" w:color="auto"/>
      </w:divBdr>
      <w:divsChild>
        <w:div w:id="258298338">
          <w:marLeft w:val="0"/>
          <w:marRight w:val="0"/>
          <w:marTop w:val="0"/>
          <w:marBottom w:val="0"/>
          <w:divBdr>
            <w:top w:val="none" w:sz="0" w:space="0" w:color="auto"/>
            <w:left w:val="none" w:sz="0" w:space="0" w:color="auto"/>
            <w:bottom w:val="none" w:sz="0" w:space="0" w:color="auto"/>
            <w:right w:val="none" w:sz="0" w:space="0" w:color="auto"/>
          </w:divBdr>
          <w:divsChild>
            <w:div w:id="917835324">
              <w:marLeft w:val="0"/>
              <w:marRight w:val="0"/>
              <w:marTop w:val="0"/>
              <w:marBottom w:val="0"/>
              <w:divBdr>
                <w:top w:val="none" w:sz="0" w:space="0" w:color="auto"/>
                <w:left w:val="none" w:sz="0" w:space="0" w:color="auto"/>
                <w:bottom w:val="none" w:sz="0" w:space="0" w:color="auto"/>
                <w:right w:val="none" w:sz="0" w:space="0" w:color="auto"/>
              </w:divBdr>
              <w:divsChild>
                <w:div w:id="1223103254">
                  <w:marLeft w:val="0"/>
                  <w:marRight w:val="0"/>
                  <w:marTop w:val="0"/>
                  <w:marBottom w:val="0"/>
                  <w:divBdr>
                    <w:top w:val="none" w:sz="0" w:space="0" w:color="auto"/>
                    <w:left w:val="none" w:sz="0" w:space="0" w:color="auto"/>
                    <w:bottom w:val="none" w:sz="0" w:space="0" w:color="auto"/>
                    <w:right w:val="none" w:sz="0" w:space="0" w:color="auto"/>
                  </w:divBdr>
                  <w:divsChild>
                    <w:div w:id="108671732">
                      <w:marLeft w:val="1"/>
                      <w:marRight w:val="1"/>
                      <w:marTop w:val="0"/>
                      <w:marBottom w:val="0"/>
                      <w:divBdr>
                        <w:top w:val="none" w:sz="0" w:space="0" w:color="auto"/>
                        <w:left w:val="none" w:sz="0" w:space="0" w:color="auto"/>
                        <w:bottom w:val="none" w:sz="0" w:space="0" w:color="auto"/>
                        <w:right w:val="none" w:sz="0" w:space="0" w:color="auto"/>
                      </w:divBdr>
                      <w:divsChild>
                        <w:div w:id="1684554630">
                          <w:marLeft w:val="0"/>
                          <w:marRight w:val="0"/>
                          <w:marTop w:val="0"/>
                          <w:marBottom w:val="0"/>
                          <w:divBdr>
                            <w:top w:val="none" w:sz="0" w:space="0" w:color="auto"/>
                            <w:left w:val="none" w:sz="0" w:space="0" w:color="auto"/>
                            <w:bottom w:val="none" w:sz="0" w:space="0" w:color="auto"/>
                            <w:right w:val="none" w:sz="0" w:space="0" w:color="auto"/>
                          </w:divBdr>
                          <w:divsChild>
                            <w:div w:id="1214346271">
                              <w:marLeft w:val="0"/>
                              <w:marRight w:val="0"/>
                              <w:marTop w:val="0"/>
                              <w:marBottom w:val="360"/>
                              <w:divBdr>
                                <w:top w:val="none" w:sz="0" w:space="0" w:color="auto"/>
                                <w:left w:val="none" w:sz="0" w:space="0" w:color="auto"/>
                                <w:bottom w:val="none" w:sz="0" w:space="0" w:color="auto"/>
                                <w:right w:val="none" w:sz="0" w:space="0" w:color="auto"/>
                              </w:divBdr>
                              <w:divsChild>
                                <w:div w:id="1101561413">
                                  <w:marLeft w:val="0"/>
                                  <w:marRight w:val="0"/>
                                  <w:marTop w:val="0"/>
                                  <w:marBottom w:val="0"/>
                                  <w:divBdr>
                                    <w:top w:val="none" w:sz="0" w:space="0" w:color="auto"/>
                                    <w:left w:val="none" w:sz="0" w:space="0" w:color="auto"/>
                                    <w:bottom w:val="none" w:sz="0" w:space="0" w:color="auto"/>
                                    <w:right w:val="none" w:sz="0" w:space="0" w:color="auto"/>
                                  </w:divBdr>
                                  <w:divsChild>
                                    <w:div w:id="10668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B570-EEF3-4964-ABE4-AC2B34F6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4753</Words>
  <Characters>26952</Characters>
  <Application>Microsoft Office Word</Application>
  <DocSecurity>0</DocSecurity>
  <Lines>598</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2016-11-29T16:21:00Z</cp:lastPrinted>
  <dcterms:created xsi:type="dcterms:W3CDTF">2017-02-10T11:39:00Z</dcterms:created>
  <dcterms:modified xsi:type="dcterms:W3CDTF">2017-03-06T16:36:00Z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