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F3EF34390743EEA92B3FB1AF210D70"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 относно упражняването на правомощието за приемане на делегирани актове, предоставено на Комисията по силата на Директива 2012/18/ЕС относно контрола на опасностите от големи аварии, които включват опасни вещества, за изменение и последваща отмяна на Директива 96/82/ЕО на Съвета</w:t>
      </w:r>
    </w:p>
    <w:p>
      <w:pPr>
        <w:jc w:val="both"/>
        <w:rPr>
          <w:rFonts w:ascii="Times New Roman" w:hAnsi="Times New Roman" w:cs="Times New Roman"/>
          <w:noProof/>
          <w:sz w:val="24"/>
          <w:szCs w:val="24"/>
        </w:rPr>
      </w:pPr>
      <w:r>
        <w:rPr>
          <w:rFonts w:ascii="Times New Roman" w:hAnsi="Times New Roman"/>
          <w:noProof/>
          <w:sz w:val="24"/>
        </w:rPr>
        <w:t>1. ВЪВЕДЕНИЕ</w:t>
      </w:r>
    </w:p>
    <w:p>
      <w:pPr>
        <w:jc w:val="both"/>
        <w:rPr>
          <w:rFonts w:ascii="Times New Roman" w:hAnsi="Times New Roman" w:cs="Times New Roman"/>
          <w:noProof/>
          <w:sz w:val="24"/>
          <w:szCs w:val="24"/>
        </w:rPr>
      </w:pPr>
      <w:r>
        <w:rPr>
          <w:rFonts w:ascii="Times New Roman" w:hAnsi="Times New Roman"/>
          <w:noProof/>
          <w:sz w:val="24"/>
        </w:rPr>
        <w:t>Целта на 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 (Директива Севезо III)</w:t>
      </w:r>
      <w:r>
        <w:rPr>
          <w:rStyle w:val="FootnoteReference"/>
          <w:rFonts w:ascii="Times New Roman" w:hAnsi="Times New Roman"/>
          <w:noProof/>
          <w:sz w:val="24"/>
        </w:rPr>
        <w:footnoteReference w:id="1"/>
      </w:r>
      <w:r>
        <w:rPr>
          <w:rFonts w:ascii="Times New Roman" w:hAnsi="Times New Roman"/>
          <w:noProof/>
          <w:sz w:val="24"/>
        </w:rPr>
        <w:t xml:space="preserve"> е намаляване на вероятността и последствията от промишлените аварии, за да се засили защитата на гражданите, общините и околната среда. </w:t>
      </w:r>
    </w:p>
    <w:p>
      <w:pPr>
        <w:jc w:val="both"/>
        <w:rPr>
          <w:rFonts w:ascii="Times New Roman" w:hAnsi="Times New Roman" w:cs="Times New Roman"/>
          <w:noProof/>
          <w:sz w:val="24"/>
          <w:szCs w:val="24"/>
        </w:rPr>
      </w:pPr>
      <w:r>
        <w:rPr>
          <w:rFonts w:ascii="Times New Roman" w:hAnsi="Times New Roman"/>
          <w:noProof/>
          <w:sz w:val="24"/>
        </w:rPr>
        <w:t xml:space="preserve">По силата на член 25 от посочената директива Комисията се оправомощава да приема делегирани актове с цел адаптиране на приложения II—VI към техническия прогрес. В приложенията се съдържа информацията, която предприятията, попадащи в обхвата на Директива Севезо, трябва да вземат предвид в доклада за безопасност, в политиката за предотвратяване на големи аварии и в аварийните планове, информацията, която трябва да бъде публично достъпна, както и критериите, които налагат на държавите членки задължението да уведомят Комисията за големи аварии. </w:t>
      </w:r>
    </w:p>
    <w:p>
      <w:pPr>
        <w:jc w:val="both"/>
        <w:rPr>
          <w:rFonts w:ascii="Times New Roman" w:hAnsi="Times New Roman" w:cs="Times New Roman"/>
          <w:noProof/>
          <w:sz w:val="24"/>
          <w:szCs w:val="24"/>
        </w:rPr>
      </w:pPr>
      <w:r>
        <w:rPr>
          <w:rFonts w:ascii="Times New Roman" w:hAnsi="Times New Roman"/>
          <w:noProof/>
          <w:sz w:val="24"/>
        </w:rPr>
        <w:t>2. ПРАВНО ОСНОВАНИЕ</w:t>
      </w:r>
    </w:p>
    <w:p>
      <w:pPr>
        <w:jc w:val="both"/>
        <w:rPr>
          <w:rFonts w:ascii="Times New Roman" w:hAnsi="Times New Roman" w:cs="Times New Roman"/>
          <w:noProof/>
          <w:sz w:val="24"/>
          <w:szCs w:val="24"/>
        </w:rPr>
      </w:pPr>
      <w:r>
        <w:rPr>
          <w:rFonts w:ascii="Times New Roman" w:hAnsi="Times New Roman"/>
          <w:noProof/>
          <w:sz w:val="24"/>
        </w:rPr>
        <w:t>Настоящият доклад се изисква съгласно член 26, параграф 2 от Директива 2012/18/ЕС. В съответствие с посочената разпоредба правомощията да приема делегирани актове се предоставят на Комисията за срок от пет години, считано от 13 август 2012 г., като Комисията се задължава да изготви доклад относно делегирането на правомощията най-късно 9 месеца преди изтичането на петгодишния период. Делегирането на правомощия се продължава автоматично за срокове с еднаква продължителност, освен ако Европейският парламент или Съветът възразят срещу подобно продължаване в съответствие с правилата, установени в член 26.</w:t>
      </w:r>
    </w:p>
    <w:p>
      <w:pPr>
        <w:jc w:val="both"/>
        <w:rPr>
          <w:rFonts w:ascii="Times New Roman" w:hAnsi="Times New Roman" w:cs="Times New Roman"/>
          <w:noProof/>
          <w:sz w:val="24"/>
          <w:szCs w:val="24"/>
        </w:rPr>
      </w:pPr>
      <w:r>
        <w:rPr>
          <w:rFonts w:ascii="Times New Roman" w:hAnsi="Times New Roman"/>
          <w:noProof/>
          <w:sz w:val="24"/>
        </w:rPr>
        <w:t>3. УПРАЖНЯВАНЕ НА ДЕЛЕГИРАНОТО ПРАВОМОЩИЕ</w:t>
      </w:r>
    </w:p>
    <w:p>
      <w:pPr>
        <w:jc w:val="both"/>
        <w:rPr>
          <w:rFonts w:ascii="Times New Roman" w:hAnsi="Times New Roman" w:cs="Times New Roman"/>
          <w:noProof/>
          <w:sz w:val="24"/>
          <w:szCs w:val="24"/>
        </w:rPr>
      </w:pPr>
      <w:r>
        <w:rPr>
          <w:rFonts w:ascii="Times New Roman" w:hAnsi="Times New Roman"/>
          <w:noProof/>
          <w:sz w:val="24"/>
        </w:rPr>
        <w:t xml:space="preserve">Упражняването на делегираното правомощие бе счетено за необходимо за адаптирането на редица предвидени в директивата разпоредби към техническия прогрес. </w:t>
      </w:r>
    </w:p>
    <w:p>
      <w:pPr>
        <w:jc w:val="both"/>
        <w:rPr>
          <w:rFonts w:ascii="Times New Roman" w:hAnsi="Times New Roman" w:cs="Times New Roman"/>
          <w:noProof/>
          <w:sz w:val="24"/>
          <w:szCs w:val="24"/>
        </w:rPr>
      </w:pPr>
      <w:r>
        <w:rPr>
          <w:rFonts w:ascii="Times New Roman" w:hAnsi="Times New Roman"/>
          <w:noProof/>
          <w:sz w:val="24"/>
        </w:rPr>
        <w:t xml:space="preserve">Предвид факта, че Директива Севезо III е изцяло приложима едва от юни 2015 г. (член 31, параграф 1), до момента Комисията не счете за необходимо или уместно да бъдат адаптирани нейните приложения II—VI към техническия прогрес. </w:t>
      </w:r>
    </w:p>
    <w:p>
      <w:pPr>
        <w:jc w:val="both"/>
        <w:rPr>
          <w:rFonts w:ascii="Times New Roman" w:hAnsi="Times New Roman" w:cs="Times New Roman"/>
          <w:noProof/>
          <w:sz w:val="24"/>
          <w:szCs w:val="24"/>
        </w:rPr>
      </w:pPr>
      <w:r>
        <w:rPr>
          <w:rFonts w:ascii="Times New Roman" w:hAnsi="Times New Roman"/>
          <w:noProof/>
          <w:sz w:val="24"/>
        </w:rPr>
        <w:t>4. ЗАКЛЮЧЕНИЕ</w:t>
      </w:r>
    </w:p>
    <w:p>
      <w:pPr>
        <w:jc w:val="both"/>
        <w:rPr>
          <w:rFonts w:ascii="Times New Roman" w:hAnsi="Times New Roman" w:cs="Times New Roman"/>
          <w:noProof/>
          <w:sz w:val="24"/>
          <w:szCs w:val="24"/>
        </w:rPr>
      </w:pPr>
      <w:r>
        <w:rPr>
          <w:rFonts w:ascii="Times New Roman" w:hAnsi="Times New Roman"/>
          <w:noProof/>
          <w:sz w:val="24"/>
        </w:rPr>
        <w:lastRenderedPageBreak/>
        <w:t>През последните пет години Комисията не е упражнила делегираните правомощия, предоставени ѝ по силата на Директива 2012/18/ЕС. Комисията приканва Европейския парламент и Съвета да вземат под внимание настоящия доклад.</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24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ОВ L 197, 24.7.2012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AF3EF34390743EEA92B3FB1AF210D70"/>
    <w:docVar w:name="LW_CROSSREFERENCE" w:val="&lt;UNUSED&gt;"/>
    <w:docVar w:name="LW_DocType" w:val="NORMAL"/>
    <w:docVar w:name="LW_EMISSION" w:val="9.3.2017"/>
    <w:docVar w:name="LW_EMISSION_ISODATE" w:val="2017-03-0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22"/>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77? \u1072?\u1082?\u1090?\u1086?\u1074?\u1077?, \u1087?\u1088?\u1077?\u1076?\u1086?\u1089?\u1090?\u1072?\u1074?\u1077?\u1085?\u1086? \u1085?\u1072? \u1050?\u1086?\u1084?\u1080?\u1089?\u1080?\u1103?\u1090?\u1072? \u1087?\u1086? \u1089?\u1080?\u1083?\u1072?\u1090?\u1072? \u1085?\u1072? \u1044?\u1080?\u1088?\u1077?\u1082?\u1090?\u1080?\u1074?\u1072? 2012/18/E\u1057? \u1086?\u1090?\u1085?\u1086?\u1089?\u1085?\u1086? \u1082?\u1086?\u1085?\u1090?\u1088?\u1086?\u1083?\u1072? \u1085?\u1072? \u1086?\u1087?\u1072?\u1089?\u1085?\u1086?\u1089?\u1090?\u1080?\u1090?\u1077? \u1086?\u1090? \u1075?\u1086?\u1083?\u1077?\u1084?\u1080? \u1072?\u1074?\u1072?\u1088?\u1080?\u1080?, \u1082?\u1086?\u1080?\u1090?\u1086? \u1074?\u1082?\u1083?\u1102?\u1095?\u1074?\u1072?\u1090? \u1086?\u1087?\u1072?\u1089?\u1085?\u1080? \u1074?\u1077?\u1097?\u1077?\u1089?\u1090?\u1074?\u1072?, \u1079?\u1072? \u1080?\u1079?\u1084?\u1077?\u1085?\u1077?\u1085?\u1080?\u1077? \u1080? \u1087?\u1086?\u1089?\u1083?\u1077?\u1076?\u1074?\u1072?\u1097?\u1072? \u1086?\u1090?\u1084?\u1103?\u1085?\u1072? \u1085?\u1072? \u1044?\u1080?\u1088?\u1077?\u1082?\u1090?\u1080?\u1074?\u1072? 96/82/E\u1054?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B71A-04F7-4515-A31E-3F202193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367</Words>
  <Characters>2206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2015-03-27T16:52:00Z</cp:lastPrinted>
  <dcterms:created xsi:type="dcterms:W3CDTF">2017-02-09T13:26:00Z</dcterms:created>
  <dcterms:modified xsi:type="dcterms:W3CDTF">2017-03-09T07:31:00Z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