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A0D" w:rsidRDefault="00E6093D" w:rsidP="00792748">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15AAECBF75F48C48545559ED3E68BFC" style="width:450.6pt;height:585pt">
            <v:imagedata r:id="rId12" o:title=""/>
          </v:shape>
        </w:pict>
      </w:r>
    </w:p>
    <w:p w:rsidR="00926A0D" w:rsidRDefault="00926A0D">
      <w:pPr>
        <w:rPr>
          <w:noProof/>
        </w:rPr>
        <w:sectPr w:rsidR="00926A0D" w:rsidSect="00211F8F">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rsidR="00926A0D" w:rsidRDefault="006023A9">
      <w:pPr>
        <w:pStyle w:val="Exposdesmotifstitre"/>
        <w:rPr>
          <w:noProof/>
        </w:rPr>
      </w:pPr>
      <w:r>
        <w:rPr>
          <w:noProof/>
        </w:rPr>
        <w:lastRenderedPageBreak/>
        <w:t>EXPLANATORY MEMORANDUM</w:t>
      </w:r>
    </w:p>
    <w:p w:rsidR="00926A0D" w:rsidRDefault="006023A9">
      <w:pPr>
        <w:pStyle w:val="ManualHeading1"/>
        <w:rPr>
          <w:noProof/>
        </w:rPr>
      </w:pPr>
      <w:r>
        <w:rPr>
          <w:noProof/>
        </w:rPr>
        <w:t>1.</w:t>
      </w:r>
      <w:r>
        <w:rPr>
          <w:noProof/>
        </w:rPr>
        <w:tab/>
        <w:t>CONTEXT OF THE PROPOSAL</w:t>
      </w:r>
    </w:p>
    <w:p w:rsidR="00926A0D" w:rsidRDefault="006023A9">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rsidR="00926A0D" w:rsidRDefault="006023A9">
      <w:pPr>
        <w:pBdr>
          <w:top w:val="nil"/>
          <w:left w:val="nil"/>
          <w:bottom w:val="nil"/>
          <w:right w:val="nil"/>
          <w:between w:val="nil"/>
          <w:bar w:val="nil"/>
        </w:pBdr>
        <w:spacing w:before="0" w:after="240"/>
        <w:rPr>
          <w:rFonts w:eastAsia="Arial Unicode MS"/>
          <w:noProof/>
        </w:rPr>
      </w:pPr>
      <w:r>
        <w:rPr>
          <w:rFonts w:eastAsia="Arial Unicode MS"/>
          <w:noProof/>
        </w:rPr>
        <w:t xml:space="preserve">A resilient Energy Union with an ambitious climate policy and a fundamental transformation of our energy system can only be achieved through a combination of coordinated action – legislative and non-legislative – at EU and national level. To achieve this, the Energy Union needs strong </w:t>
      </w:r>
      <w:r>
        <w:rPr>
          <w:rFonts w:eastAsia="Arial Unicode MS"/>
          <w:i/>
          <w:noProof/>
        </w:rPr>
        <w:t>Governance</w:t>
      </w:r>
      <w:r>
        <w:rPr>
          <w:rFonts w:eastAsia="Arial Unicode MS"/>
          <w:noProof/>
        </w:rPr>
        <w:t xml:space="preserve"> ensuring that policies and measures at various levels are coherent, complementary and sufficiently ambitious. The main objective of this initiative is to set out the necessary legislative foundation for this process</w:t>
      </w:r>
      <w:r>
        <w:rPr>
          <w:noProof/>
        </w:rPr>
        <w:t xml:space="preserve"> </w:t>
      </w:r>
      <w:r>
        <w:rPr>
          <w:rFonts w:eastAsia="Arial Unicode MS"/>
          <w:noProof/>
        </w:rPr>
        <w:t xml:space="preserve">in view of delivering the Energy Union, which will have to be complemented by non-legislative measures and action for the Governance to succeed. </w:t>
      </w:r>
    </w:p>
    <w:p w:rsidR="00926A0D" w:rsidRDefault="006023A9">
      <w:pPr>
        <w:pBdr>
          <w:top w:val="nil"/>
          <w:left w:val="nil"/>
          <w:bottom w:val="nil"/>
          <w:right w:val="nil"/>
          <w:between w:val="nil"/>
          <w:bar w:val="nil"/>
        </w:pBdr>
        <w:spacing w:before="0" w:after="240"/>
        <w:rPr>
          <w:rFonts w:eastAsia="Arial Unicode MS"/>
          <w:noProof/>
        </w:rPr>
      </w:pPr>
      <w:r>
        <w:rPr>
          <w:rFonts w:eastAsia="Arial Unicode MS"/>
          <w:noProof/>
        </w:rPr>
        <w:t xml:space="preserve">In line with the </w:t>
      </w:r>
      <w:r>
        <w:rPr>
          <w:rFonts w:eastAsia="Arial Unicode MS"/>
          <w:b/>
          <w:noProof/>
        </w:rPr>
        <w:t>Commission's strong commitment to Better Regulation</w:t>
      </w:r>
      <w:r>
        <w:rPr>
          <w:rFonts w:eastAsia="Arial Unicode MS"/>
          <w:noProof/>
        </w:rPr>
        <w:t>, the proposal will result in significant reduction of administrative burden for the Member States, the Commission and other EU Institutions. Current planning and reporting requirements (for both the Commission and Member States) in the energy and climate fields provide benefits in terms of detailed information on specific policy areas and support the implementation of sectorial legislation. Nevertheless, they are found in a wide range of separate pieces of legislation adopted at different points in time, which has led to certain redundancy, incoherence and overlaps and lacking integration between energy and climate areas. Moreover, some of the current requirements have been defined in view of the achievement of the corresponding 2020 targets, and are for that reason not suited to support the achievement of the 2030 Framework for Energy and Climate, nor synchronised with the planning and reporting obligations under the Paris Agreement</w:t>
      </w:r>
      <w:r>
        <w:rPr>
          <w:rStyle w:val="FootnoteReference"/>
          <w:rFonts w:eastAsia="Arial Unicode MS"/>
          <w:noProof/>
        </w:rPr>
        <w:footnoteReference w:id="2"/>
      </w:r>
      <w:r>
        <w:rPr>
          <w:rFonts w:eastAsia="Arial Unicode MS"/>
          <w:noProof/>
        </w:rPr>
        <w:t xml:space="preserve">. </w:t>
      </w:r>
    </w:p>
    <w:p w:rsidR="00926A0D" w:rsidRDefault="006023A9">
      <w:pPr>
        <w:pBdr>
          <w:top w:val="nil"/>
          <w:left w:val="nil"/>
          <w:bottom w:val="nil"/>
          <w:right w:val="nil"/>
          <w:between w:val="nil"/>
          <w:bar w:val="nil"/>
        </w:pBdr>
        <w:spacing w:before="0" w:after="240"/>
        <w:rPr>
          <w:rFonts w:eastAsia="Arial Unicode MS"/>
          <w:noProof/>
        </w:rPr>
      </w:pPr>
      <w:r>
        <w:rPr>
          <w:rFonts w:eastAsia="Arial Unicode MS"/>
          <w:noProof/>
        </w:rPr>
        <w:t xml:space="preserve">This proposal will bring together the existing scattered planning and reporting obligations from the main pieces of EU legislation across energy, climate and other Energy Union related policy areas and thereby achieve a major simplification of obligations. It reduces, aligns and updates such requirements, and removes existing duplications. In total, the proposal integrates, </w:t>
      </w:r>
      <w:r>
        <w:rPr>
          <w:noProof/>
        </w:rPr>
        <w:t>streamlines or repeals more than 50 existing individual planning, reporting and monitoring obligations of the energy and climate acquis (integrating 31 and deleting 23)</w:t>
      </w:r>
      <w:r>
        <w:rPr>
          <w:rFonts w:eastAsia="Arial Unicode MS"/>
          <w:noProof/>
        </w:rPr>
        <w:t xml:space="preserve">. The streamlined political Governance process between the Commission and Member States, with close involvement of other EU Institutions, will align frequency and timing of obligations, significantly enhance transparency and cooperation and thereby bring additional benefits in terms of </w:t>
      </w:r>
      <w:r w:rsidR="001413AB">
        <w:rPr>
          <w:rFonts w:eastAsia="Arial Unicode MS"/>
          <w:noProof/>
        </w:rPr>
        <w:t>reducing administrative burden</w:t>
      </w:r>
      <w:r>
        <w:rPr>
          <w:rFonts w:eastAsia="Arial Unicode MS"/>
          <w:noProof/>
        </w:rPr>
        <w:t>.</w:t>
      </w:r>
    </w:p>
    <w:p w:rsidR="00926A0D" w:rsidRDefault="006023A9">
      <w:pPr>
        <w:pBdr>
          <w:top w:val="nil"/>
          <w:left w:val="nil"/>
          <w:bottom w:val="nil"/>
          <w:right w:val="nil"/>
          <w:between w:val="nil"/>
          <w:bar w:val="nil"/>
        </w:pBdr>
        <w:spacing w:before="0" w:after="240"/>
        <w:rPr>
          <w:rFonts w:eastAsia="Arial Unicode MS"/>
          <w:noProof/>
        </w:rPr>
      </w:pPr>
      <w:r>
        <w:rPr>
          <w:rFonts w:eastAsia="Arial Unicode MS"/>
          <w:noProof/>
        </w:rPr>
        <w:t>In its conclusions of 24 October 2014 the European Council agreed on the 2030 Framework for energy and climate</w:t>
      </w:r>
      <w:r>
        <w:rPr>
          <w:rStyle w:val="FootnoteReference"/>
          <w:rFonts w:eastAsia="Arial Unicode MS"/>
          <w:noProof/>
        </w:rPr>
        <w:footnoteReference w:id="3"/>
      </w:r>
      <w:r>
        <w:rPr>
          <w:rFonts w:eastAsia="Arial Unicode MS"/>
          <w:noProof/>
        </w:rPr>
        <w:t>, based on the Commission's proposal</w:t>
      </w:r>
      <w:r>
        <w:rPr>
          <w:rStyle w:val="FootnoteReference"/>
          <w:rFonts w:eastAsia="Arial Unicode MS"/>
          <w:noProof/>
        </w:rPr>
        <w:footnoteReference w:id="4"/>
      </w:r>
      <w:r>
        <w:rPr>
          <w:rFonts w:eastAsia="Arial Unicode MS"/>
          <w:noProof/>
        </w:rPr>
        <w:t xml:space="preserve">. </w:t>
      </w:r>
      <w:r>
        <w:rPr>
          <w:rStyle w:val="FootnoteReference"/>
          <w:rFonts w:eastAsia="Arial Unicode MS"/>
          <w:noProof/>
          <w:vertAlign w:val="baseline"/>
        </w:rPr>
        <w:t>T</w:t>
      </w:r>
      <w:r>
        <w:rPr>
          <w:rFonts w:eastAsia="Arial Unicode MS"/>
          <w:noProof/>
        </w:rPr>
        <w:t xml:space="preserve">he conclusions required the development of a reliable and transparent Governance, without any unnecessary </w:t>
      </w:r>
      <w:r>
        <w:rPr>
          <w:rFonts w:eastAsia="Arial Unicode MS"/>
          <w:noProof/>
        </w:rPr>
        <w:lastRenderedPageBreak/>
        <w:t xml:space="preserve">administrative burden, to help ensure that the EU meets its energy policy goals, with the necessary flexibility for Member States and fully respecting their freedom to determine their energy mix. It emphasized that this Governance should build on existing building blocks, such as national climate programmes, national plans for renewable energy and energy efficiency as well as the need to streamline and bring together separate planning and reporting strands. </w:t>
      </w:r>
    </w:p>
    <w:p w:rsidR="00926A0D" w:rsidRDefault="006023A9">
      <w:pPr>
        <w:pBdr>
          <w:top w:val="nil"/>
          <w:left w:val="nil"/>
          <w:bottom w:val="nil"/>
          <w:right w:val="nil"/>
          <w:between w:val="nil"/>
          <w:bar w:val="nil"/>
        </w:pBdr>
        <w:spacing w:before="0" w:after="240"/>
        <w:rPr>
          <w:rFonts w:eastAsia="Arial Unicode MS"/>
          <w:noProof/>
        </w:rPr>
      </w:pPr>
      <w:r>
        <w:rPr>
          <w:rFonts w:eastAsia="Arial Unicode MS"/>
          <w:noProof/>
        </w:rPr>
        <w:t>The Energy Union Strategy of 25 February 2015 broadened the scope of Governance – beyond the 2030 Framework for energy and climate – to all five dimensions of the Energy Union (energy security</w:t>
      </w:r>
      <w:r w:rsidR="000231AA">
        <w:rPr>
          <w:rFonts w:eastAsia="Arial Unicode MS"/>
          <w:noProof/>
        </w:rPr>
        <w:t>,</w:t>
      </w:r>
      <w:r>
        <w:rPr>
          <w:rFonts w:eastAsia="Arial Unicode MS"/>
          <w:noProof/>
        </w:rPr>
        <w:t xml:space="preserve"> solidarity and trust; internal energy market; moderation of demand; decarbonisation including renewable energy; and research, innovation and competitiveness).</w:t>
      </w:r>
    </w:p>
    <w:p w:rsidR="00926A0D" w:rsidRDefault="006023A9">
      <w:pPr>
        <w:pBdr>
          <w:top w:val="nil"/>
          <w:left w:val="nil"/>
          <w:bottom w:val="nil"/>
          <w:right w:val="nil"/>
          <w:between w:val="nil"/>
          <w:bar w:val="nil"/>
        </w:pBdr>
        <w:spacing w:before="0" w:after="240"/>
        <w:rPr>
          <w:rFonts w:eastAsia="Arial Unicode MS"/>
          <w:noProof/>
        </w:rPr>
      </w:pPr>
      <w:r>
        <w:rPr>
          <w:rFonts w:eastAsia="Arial Unicode MS"/>
          <w:noProof/>
        </w:rPr>
        <w:t>The State of the Energy Union of 18 November 2015 and the Commission's Guidance to Member States on the national energy and climate plans annexed to it provided further details and specified that the Governance should be anchored in legislation.</w:t>
      </w:r>
    </w:p>
    <w:p w:rsidR="00926A0D" w:rsidRDefault="006023A9">
      <w:pPr>
        <w:pBdr>
          <w:top w:val="nil"/>
          <w:left w:val="nil"/>
          <w:bottom w:val="nil"/>
          <w:right w:val="nil"/>
          <w:between w:val="nil"/>
          <w:bar w:val="nil"/>
        </w:pBdr>
        <w:spacing w:before="0" w:after="240"/>
        <w:rPr>
          <w:rFonts w:eastAsia="Arial Unicode MS"/>
          <w:noProof/>
        </w:rPr>
      </w:pPr>
      <w:r>
        <w:rPr>
          <w:rFonts w:eastAsia="Arial Unicode MS"/>
          <w:noProof/>
        </w:rPr>
        <w:t>The Conclusions of the Energy Council of 26 November 2015 recognised that the Governance will be an essential tool for the efficient and effective construction of the Energy Union. In parallel, regular discussions are held between the Commission and Member States in the framework of the Technical Working Group on National Energy and Climate Plans.</w:t>
      </w:r>
    </w:p>
    <w:p w:rsidR="00926A0D" w:rsidRDefault="006023A9">
      <w:pPr>
        <w:pBdr>
          <w:top w:val="nil"/>
          <w:left w:val="nil"/>
          <w:bottom w:val="nil"/>
          <w:right w:val="nil"/>
          <w:between w:val="nil"/>
          <w:bar w:val="nil"/>
        </w:pBdr>
        <w:spacing w:before="0" w:after="240"/>
        <w:rPr>
          <w:rFonts w:eastAsia="Arial Unicode MS"/>
          <w:noProof/>
        </w:rPr>
      </w:pPr>
      <w:r>
        <w:rPr>
          <w:rFonts w:eastAsia="Arial Unicode MS"/>
          <w:noProof/>
        </w:rPr>
        <w:t>The European Parliament's resolution "Towards a European Energy Union" of 15</w:t>
      </w:r>
      <w:r w:rsidR="007235BA">
        <w:rPr>
          <w:rFonts w:eastAsia="Arial Unicode MS"/>
          <w:noProof/>
        </w:rPr>
        <w:t xml:space="preserve"> </w:t>
      </w:r>
      <w:r>
        <w:rPr>
          <w:rFonts w:eastAsia="Arial Unicode MS"/>
          <w:noProof/>
        </w:rPr>
        <w:t>December</w:t>
      </w:r>
      <w:r w:rsidR="007235BA">
        <w:rPr>
          <w:rFonts w:eastAsia="Arial Unicode MS"/>
          <w:noProof/>
        </w:rPr>
        <w:t xml:space="preserve"> </w:t>
      </w:r>
      <w:r>
        <w:rPr>
          <w:rFonts w:eastAsia="Arial Unicode MS"/>
          <w:noProof/>
        </w:rPr>
        <w:t>2015 called for the Energy Union Governance to be ambitious, reliable, transparent, democratic and fully inclusive of the European Parliament and to ensure that the 2030 climate and energy targets are achieved.</w:t>
      </w:r>
    </w:p>
    <w:p w:rsidR="00926A0D" w:rsidRDefault="006023A9">
      <w:pPr>
        <w:pBdr>
          <w:top w:val="nil"/>
          <w:left w:val="nil"/>
          <w:bottom w:val="nil"/>
          <w:right w:val="nil"/>
          <w:between w:val="nil"/>
          <w:bar w:val="nil"/>
        </w:pBdr>
        <w:spacing w:before="0" w:after="240"/>
        <w:rPr>
          <w:rFonts w:eastAsia="Arial Unicode MS"/>
          <w:noProof/>
        </w:rPr>
      </w:pPr>
      <w:r>
        <w:rPr>
          <w:rFonts w:eastAsia="Arial Unicode MS"/>
          <w:noProof/>
        </w:rPr>
        <w:t>On this basis, this proposal aims to establish the regulatory framework for the Governance of the Energy Union with two main pillars: First, the s</w:t>
      </w:r>
      <w:r>
        <w:rPr>
          <w:noProof/>
        </w:rPr>
        <w:t xml:space="preserve">treamlining and integration of existing </w:t>
      </w:r>
      <w:r>
        <w:rPr>
          <w:rFonts w:eastAsia="Arial Unicode MS"/>
          <w:noProof/>
        </w:rPr>
        <w:t xml:space="preserve">planning, reporting and monitoring obligations in the </w:t>
      </w:r>
      <w:r>
        <w:rPr>
          <w:noProof/>
        </w:rPr>
        <w:t>energy and climate field in order</w:t>
      </w:r>
      <w:r>
        <w:rPr>
          <w:rFonts w:eastAsia="Arial Unicode MS"/>
          <w:noProof/>
        </w:rPr>
        <w:t xml:space="preserve"> to </w:t>
      </w:r>
      <w:r>
        <w:rPr>
          <w:noProof/>
        </w:rPr>
        <w:t>reflect Better Regulation principle</w:t>
      </w:r>
      <w:r>
        <w:rPr>
          <w:rFonts w:eastAsia="Arial Unicode MS"/>
          <w:noProof/>
        </w:rPr>
        <w:t>s. Second,</w:t>
      </w:r>
      <w:r>
        <w:rPr>
          <w:noProof/>
        </w:rPr>
        <w:t xml:space="preserve"> the definition of a robust political process between Member States and the Commission </w:t>
      </w:r>
      <w:r>
        <w:rPr>
          <w:rFonts w:eastAsia="Arial Unicode MS"/>
          <w:noProof/>
        </w:rPr>
        <w:t>with close involvement of other EU institutions</w:t>
      </w:r>
      <w:r>
        <w:rPr>
          <w:noProof/>
        </w:rPr>
        <w:t xml:space="preserve"> in view of the achievement of the Energy Union objectives, in particular its 2030 targets for energy and climate.</w:t>
      </w:r>
    </w:p>
    <w:p w:rsidR="00926A0D" w:rsidRDefault="006023A9">
      <w:pPr>
        <w:pBdr>
          <w:top w:val="nil"/>
          <w:left w:val="nil"/>
          <w:bottom w:val="nil"/>
          <w:right w:val="nil"/>
          <w:between w:val="nil"/>
          <w:bar w:val="nil"/>
        </w:pBdr>
        <w:spacing w:before="0" w:after="240"/>
        <w:rPr>
          <w:rFonts w:eastAsia="Arial Unicode MS"/>
          <w:noProof/>
        </w:rPr>
      </w:pPr>
      <w:r>
        <w:rPr>
          <w:rFonts w:eastAsia="Arial Unicode MS"/>
          <w:noProof/>
        </w:rPr>
        <w:t>On 5 October 2016, the European Union ratified the Paris Agreement, which entered into force on 4 November 2016. The proposed Regulation contributes to the implementation of the Paris Agreement including its 5 years review cycle and ensures that monitoring, reporting and verification requirements under the UNFCCC and Paris Agreement are harmoniously integrated in the governance of the Energy Union.</w:t>
      </w:r>
    </w:p>
    <w:p w:rsidR="00926A0D" w:rsidRDefault="006023A9">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rsidR="00926A0D" w:rsidRDefault="006023A9">
      <w:pPr>
        <w:pBdr>
          <w:top w:val="nil"/>
          <w:left w:val="nil"/>
          <w:bottom w:val="nil"/>
          <w:right w:val="nil"/>
          <w:between w:val="nil"/>
          <w:bar w:val="nil"/>
        </w:pBdr>
        <w:spacing w:before="0" w:after="240"/>
        <w:rPr>
          <w:noProof/>
        </w:rPr>
      </w:pPr>
      <w:r>
        <w:rPr>
          <w:noProof/>
        </w:rPr>
        <w:t xml:space="preserve">Based on the outcome of a Fitness Check of the energy acquis and the relevant parts of the climate acquis, the proposed Regulation either leaves intact, repeals or amends planning and reporting obligations on Member States and monitoring obligations on the Commission currently found in sectorial legislation. The proposal has been prepared in parallel to the Commission's reviews of the Energy Efficiency Directive, the Energy Performance of Buildings Directive, the Renewable Energy Directive, and of the various pieces of legislation encompassed by the Market Design Initiative with a view to ensure full coherence among these initiatives. Consistency with other pieces of EU legislation in the climate and energy fields has also been ensured. </w:t>
      </w:r>
    </w:p>
    <w:p w:rsidR="00926A0D" w:rsidRDefault="006023A9">
      <w:pPr>
        <w:pBdr>
          <w:top w:val="nil"/>
          <w:left w:val="nil"/>
          <w:bottom w:val="nil"/>
          <w:right w:val="nil"/>
          <w:between w:val="nil"/>
          <w:bar w:val="nil"/>
        </w:pBdr>
        <w:spacing w:before="0" w:after="240"/>
        <w:rPr>
          <w:rFonts w:eastAsia="Arial Unicode MS"/>
          <w:noProof/>
        </w:rPr>
      </w:pPr>
      <w:r>
        <w:rPr>
          <w:noProof/>
        </w:rPr>
        <w:lastRenderedPageBreak/>
        <w:t xml:space="preserve">Moreover, the proposal fully integrates the Climate Monitoring Mechanism Regulation (MMR) to ensure integration between the energy and climate fields. The proposal, in general, continues the approach of existing planning, reporting and monitoring provisions under the MMR, which was the result of an earlier streamlining exercise in the climate field. However, this proposal streamlines the existing provisions of the MMR with legislation in the energy field, updates the existing provisions to make them fit for monitoring the implementation of the proposed Effort Sharing and the Land Use, Land Use Change and Forestry (LULUCF) Regulations and for fulfilling the EU's commitments under the Paris Agreement. As the proposal covers a range of subject areas, it was decided not to propose a recast of the MMR. Nevertheless, the Commission attaches significant importance to maintaining all content that was in the MMR that is not proposed to be changed by the current proposal. </w:t>
      </w:r>
    </w:p>
    <w:p w:rsidR="00926A0D" w:rsidRDefault="006023A9">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rsidR="00926A0D" w:rsidRDefault="006023A9">
      <w:pPr>
        <w:pBdr>
          <w:top w:val="nil"/>
          <w:left w:val="nil"/>
          <w:bottom w:val="nil"/>
          <w:right w:val="nil"/>
          <w:between w:val="nil"/>
          <w:bar w:val="nil"/>
        </w:pBdr>
        <w:spacing w:before="0" w:after="240"/>
        <w:rPr>
          <w:rFonts w:eastAsia="Arial Unicode MS"/>
          <w:noProof/>
        </w:rPr>
      </w:pPr>
      <w:r>
        <w:rPr>
          <w:rFonts w:eastAsia="Arial Unicode MS"/>
          <w:noProof/>
        </w:rPr>
        <w:t>The initiative is also linked to other policy areas such as transport, environment, industry, economy, research and competition. It is however important to note that this initiative – as far as streamlining and integration of planning and reporting is concerned – focuses on the energy and climate areas, while at the same time incorporating some specific reporting and planning strands in other areas. This is necessary to ensure a manageable process with a focus on the main objectives of the Energy Union.</w:t>
      </w:r>
    </w:p>
    <w:p w:rsidR="00926A0D" w:rsidRDefault="006023A9">
      <w:pPr>
        <w:pBdr>
          <w:top w:val="nil"/>
          <w:left w:val="nil"/>
          <w:bottom w:val="nil"/>
          <w:right w:val="nil"/>
          <w:between w:val="nil"/>
          <w:bar w:val="nil"/>
        </w:pBdr>
        <w:spacing w:before="0" w:after="240"/>
        <w:rPr>
          <w:rFonts w:eastAsia="Arial Unicode MS"/>
          <w:noProof/>
        </w:rPr>
      </w:pPr>
      <w:r>
        <w:rPr>
          <w:rFonts w:eastAsia="Arial Unicode MS"/>
          <w:noProof/>
        </w:rPr>
        <w:t>The aspect of Commission recommendations to Member States as set out by the proposed Regulation is complementary to and consistent with the recommendations issued in the context of the European Semester, which focuses on macro-economic and structural reform issues (rarely linked to energy or climate), whereas the Governance addresses energy and climate specific policy issues. Where energy and climate specific policy issues have macroeconomic or structural reform relevance, they should still be part of the European Semester.</w:t>
      </w:r>
    </w:p>
    <w:p w:rsidR="00926A0D" w:rsidRDefault="006023A9">
      <w:pPr>
        <w:pStyle w:val="ManualHeading1"/>
        <w:rPr>
          <w:noProof/>
        </w:rPr>
      </w:pPr>
      <w:r>
        <w:rPr>
          <w:noProof/>
        </w:rPr>
        <w:t>2.</w:t>
      </w:r>
      <w:r>
        <w:rPr>
          <w:noProof/>
        </w:rPr>
        <w:tab/>
        <w:t>LEGAL BASIS, SUBSIDIARITY AND PROPORTIONALITY</w:t>
      </w:r>
    </w:p>
    <w:p w:rsidR="00926A0D" w:rsidRDefault="006023A9">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926A0D" w:rsidRDefault="006023A9">
      <w:pPr>
        <w:pBdr>
          <w:top w:val="nil"/>
          <w:left w:val="nil"/>
          <w:bottom w:val="nil"/>
          <w:right w:val="nil"/>
          <w:between w:val="nil"/>
          <w:bar w:val="nil"/>
        </w:pBdr>
        <w:spacing w:before="0" w:after="240"/>
        <w:rPr>
          <w:rFonts w:eastAsia="Arial Unicode MS"/>
          <w:noProof/>
        </w:rPr>
      </w:pPr>
      <w:r>
        <w:rPr>
          <w:rFonts w:eastAsia="Arial Unicode MS"/>
          <w:noProof/>
        </w:rPr>
        <w:t>The legal bases of all provisions of the Regulation are Articles 191, 192 and 194 TFEU.</w:t>
      </w:r>
    </w:p>
    <w:p w:rsidR="00926A0D" w:rsidRDefault="006023A9">
      <w:pPr>
        <w:pBdr>
          <w:top w:val="nil"/>
          <w:left w:val="nil"/>
          <w:bottom w:val="nil"/>
          <w:right w:val="nil"/>
          <w:between w:val="nil"/>
          <w:bar w:val="nil"/>
        </w:pBdr>
        <w:spacing w:before="0" w:after="240"/>
        <w:rPr>
          <w:rFonts w:eastAsia="Arial Unicode MS"/>
          <w:noProof/>
        </w:rPr>
      </w:pPr>
      <w:r>
        <w:rPr>
          <w:rFonts w:eastAsia="Arial Unicode MS"/>
          <w:noProof/>
        </w:rPr>
        <w:t>The proposed Regulation pursues a legitimate objective within the scope of these articles. The ordinary legislative procedure applies generally for the adoption of measures according to Article 192(1) TFEU and Article 194(2) of the TFEU.</w:t>
      </w:r>
    </w:p>
    <w:p w:rsidR="00926A0D" w:rsidRDefault="006023A9">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Subsidiarity (for non-exclusive competence)</w:t>
      </w:r>
    </w:p>
    <w:p w:rsidR="00926A0D" w:rsidRDefault="006023A9">
      <w:pPr>
        <w:pBdr>
          <w:top w:val="nil"/>
          <w:left w:val="nil"/>
          <w:bottom w:val="nil"/>
          <w:right w:val="nil"/>
          <w:between w:val="nil"/>
          <w:bar w:val="nil"/>
        </w:pBdr>
        <w:spacing w:before="0" w:after="240"/>
        <w:rPr>
          <w:rFonts w:eastAsia="Arial Unicode MS"/>
          <w:noProof/>
        </w:rPr>
      </w:pPr>
      <w:r>
        <w:rPr>
          <w:rFonts w:eastAsia="Arial Unicode MS"/>
          <w:noProof/>
        </w:rPr>
        <w:t xml:space="preserve">The need to respect the subsidiarity principle is one of the fundamental considerations behind the Governance based on the approach that the Member States themselves should establish the national plans and the objectives and measures set out therein. </w:t>
      </w:r>
    </w:p>
    <w:p w:rsidR="00926A0D" w:rsidRDefault="006023A9">
      <w:pPr>
        <w:pBdr>
          <w:top w:val="nil"/>
          <w:left w:val="nil"/>
          <w:bottom w:val="nil"/>
          <w:right w:val="nil"/>
          <w:between w:val="nil"/>
          <w:bar w:val="nil"/>
        </w:pBdr>
        <w:spacing w:before="0" w:after="240"/>
        <w:rPr>
          <w:rFonts w:eastAsia="Arial Unicode MS"/>
          <w:i/>
          <w:noProof/>
        </w:rPr>
      </w:pPr>
      <w:r>
        <w:rPr>
          <w:rFonts w:eastAsia="Arial Unicode MS"/>
          <w:i/>
          <w:noProof/>
        </w:rPr>
        <w:t>Necessity of EU action</w:t>
      </w:r>
    </w:p>
    <w:p w:rsidR="00926A0D" w:rsidRDefault="006023A9">
      <w:pPr>
        <w:pBdr>
          <w:top w:val="nil"/>
          <w:left w:val="nil"/>
          <w:bottom w:val="nil"/>
          <w:right w:val="nil"/>
          <w:between w:val="nil"/>
          <w:bar w:val="nil"/>
        </w:pBdr>
        <w:spacing w:before="0" w:after="240"/>
        <w:rPr>
          <w:rFonts w:eastAsia="Arial Unicode MS"/>
          <w:noProof/>
        </w:rPr>
      </w:pPr>
      <w:r>
        <w:rPr>
          <w:rFonts w:eastAsia="Arial Unicode MS"/>
          <w:noProof/>
        </w:rPr>
        <w:t xml:space="preserve">As several elements of the Energy Union Strategy relate to objectives set at EU level, action at EU level is needed to ensure the attainment of these objectives, as well as coherence of energy and climate policies within the EU and across its Member States, while preserving flexibility for Member States. Moreover, the majority of the energy challenges facing the Union cannot be met through uncoordinated national action. The same holds true for climate </w:t>
      </w:r>
      <w:r>
        <w:rPr>
          <w:rFonts w:eastAsia="Arial Unicode MS"/>
          <w:noProof/>
        </w:rPr>
        <w:lastRenderedPageBreak/>
        <w:t xml:space="preserve">change, which is by its very nature trans-boundary and cannot be solved by local, national or even EU action alone. </w:t>
      </w:r>
    </w:p>
    <w:p w:rsidR="00926A0D" w:rsidRDefault="006023A9">
      <w:pPr>
        <w:pBdr>
          <w:top w:val="nil"/>
          <w:left w:val="nil"/>
          <w:bottom w:val="nil"/>
          <w:right w:val="nil"/>
          <w:between w:val="nil"/>
          <w:bar w:val="nil"/>
        </w:pBdr>
        <w:spacing w:before="0" w:after="240"/>
        <w:rPr>
          <w:rFonts w:eastAsia="Arial Unicode MS"/>
          <w:noProof/>
        </w:rPr>
      </w:pPr>
      <w:r>
        <w:rPr>
          <w:rFonts w:eastAsia="Arial Unicode MS"/>
          <w:noProof/>
        </w:rPr>
        <w:t>Moreover, because of the cross-border relevance of each dimension of the Energy Union, EU action is needed to further promote enhanced cooperation among Member States. None of the Energy Union dimensions could be effectively implemented in the absence of an EU Governance between Member States and the Commission fostering regional cooperation in energy and climate policy. EU level action is also necessary to ensure that the EU is ready to participate fully in the review processes under the Paris Agreement.</w:t>
      </w:r>
    </w:p>
    <w:p w:rsidR="00926A0D" w:rsidRDefault="006023A9">
      <w:pPr>
        <w:pBdr>
          <w:top w:val="nil"/>
          <w:left w:val="nil"/>
          <w:bottom w:val="nil"/>
          <w:right w:val="nil"/>
          <w:between w:val="nil"/>
          <w:bar w:val="nil"/>
        </w:pBdr>
        <w:spacing w:before="0" w:after="240"/>
        <w:rPr>
          <w:rFonts w:eastAsia="Arial Unicode MS"/>
          <w:noProof/>
        </w:rPr>
      </w:pPr>
      <w:r>
        <w:rPr>
          <w:rFonts w:eastAsia="Arial Unicode MS"/>
          <w:noProof/>
        </w:rPr>
        <w:t xml:space="preserve">Finally, EU action is necessary to streamline existing planning, reporting and monitoring obligations, as existing requirements in this regard are set in </w:t>
      </w:r>
      <w:r w:rsidRPr="003C4AC6">
        <w:rPr>
          <w:rFonts w:eastAsia="Arial Unicode MS"/>
          <w:noProof/>
        </w:rPr>
        <w:t>EU</w:t>
      </w:r>
      <w:r>
        <w:rPr>
          <w:rFonts w:eastAsia="Arial Unicode MS"/>
          <w:noProof/>
        </w:rPr>
        <w:t xml:space="preserve"> legislation – these can only be amended and / or repealed through a legislative proposal at EU level.</w:t>
      </w:r>
    </w:p>
    <w:p w:rsidR="00926A0D" w:rsidRDefault="006023A9">
      <w:pPr>
        <w:pBdr>
          <w:top w:val="nil"/>
          <w:left w:val="nil"/>
          <w:bottom w:val="nil"/>
          <w:right w:val="nil"/>
          <w:between w:val="nil"/>
          <w:bar w:val="nil"/>
        </w:pBdr>
        <w:spacing w:before="0" w:after="240"/>
        <w:rPr>
          <w:rFonts w:eastAsia="Arial Unicode MS"/>
          <w:i/>
          <w:noProof/>
        </w:rPr>
      </w:pPr>
      <w:r>
        <w:rPr>
          <w:rFonts w:eastAsia="Arial Unicode MS"/>
          <w:i/>
          <w:noProof/>
        </w:rPr>
        <w:t>EU added-value</w:t>
      </w:r>
    </w:p>
    <w:p w:rsidR="00926A0D" w:rsidRDefault="006023A9">
      <w:pPr>
        <w:pBdr>
          <w:top w:val="nil"/>
          <w:left w:val="nil"/>
          <w:bottom w:val="nil"/>
          <w:right w:val="nil"/>
          <w:between w:val="nil"/>
          <w:bar w:val="nil"/>
        </w:pBdr>
        <w:spacing w:before="0" w:after="240"/>
        <w:rPr>
          <w:rFonts w:eastAsia="Arial Unicode MS"/>
          <w:noProof/>
        </w:rPr>
      </w:pPr>
      <w:r>
        <w:rPr>
          <w:rFonts w:eastAsia="Arial Unicode MS"/>
          <w:noProof/>
        </w:rPr>
        <w:t xml:space="preserve">The establishment of a solid Energy Union Governance will help to ensure that the EU and its Member States collectively achieve the agreed objectives of the Energy Union, including the 2030 targets for energy and climate, and find coordinated and common solutions to common challenges in an effective and affordable manner. This is imperative in view of the considerable investment needs in the energy sector over the next decades. </w:t>
      </w:r>
    </w:p>
    <w:p w:rsidR="00926A0D" w:rsidRDefault="006023A9">
      <w:pPr>
        <w:pBdr>
          <w:top w:val="nil"/>
          <w:left w:val="nil"/>
          <w:bottom w:val="nil"/>
          <w:right w:val="nil"/>
          <w:between w:val="nil"/>
          <w:bar w:val="nil"/>
        </w:pBdr>
        <w:spacing w:before="0" w:after="240"/>
        <w:rPr>
          <w:rFonts w:eastAsia="Arial Unicode MS"/>
          <w:noProof/>
        </w:rPr>
      </w:pPr>
      <w:r>
        <w:rPr>
          <w:rFonts w:eastAsia="Arial Unicode MS"/>
          <w:noProof/>
        </w:rPr>
        <w:t>Member States will benefit from a streamlined and simplified planning and reporting framework for their energy and climate policies. More efficient and coherent administrative procedures both within national authorities and between the Member States will enable a more efficient development and implementation of energy and climate policies. The private sector will benefit from more transparent national regulatory frameworks as basis for investment decisions in the energy and climate fields; and citizens will seize the benefits of better information on the implementation of the Energy Union and its associated policies.</w:t>
      </w:r>
    </w:p>
    <w:p w:rsidR="00926A0D" w:rsidRDefault="006023A9">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rsidR="00926A0D" w:rsidRDefault="006023A9">
      <w:pPr>
        <w:pBdr>
          <w:top w:val="nil"/>
          <w:left w:val="nil"/>
          <w:bottom w:val="nil"/>
          <w:right w:val="nil"/>
          <w:between w:val="nil"/>
          <w:bar w:val="nil"/>
        </w:pBdr>
        <w:spacing w:before="0" w:after="240"/>
        <w:rPr>
          <w:rFonts w:eastAsia="Arial Unicode MS"/>
          <w:noProof/>
        </w:rPr>
      </w:pPr>
      <w:r>
        <w:rPr>
          <w:rFonts w:eastAsia="Arial Unicode MS"/>
          <w:noProof/>
        </w:rPr>
        <w:t>The Governance proposal anchored in legislation (rather than a non-legislative approach) is necessary to ensure that all Member States contribute to the process and attainment of common objectives and targets in a comparable manner, to improve regulatory stability and investor certainty, and to ensure a common monitoring between Member States and the Union.</w:t>
      </w:r>
    </w:p>
    <w:p w:rsidR="00926A0D" w:rsidRDefault="006023A9">
      <w:pPr>
        <w:pBdr>
          <w:top w:val="nil"/>
          <w:left w:val="nil"/>
          <w:bottom w:val="nil"/>
          <w:right w:val="nil"/>
          <w:between w:val="nil"/>
          <w:bar w:val="nil"/>
        </w:pBdr>
        <w:spacing w:before="0" w:after="240"/>
        <w:rPr>
          <w:rFonts w:eastAsia="Arial Unicode MS"/>
          <w:noProof/>
        </w:rPr>
      </w:pPr>
      <w:r>
        <w:rPr>
          <w:rFonts w:eastAsia="Arial Unicode MS"/>
          <w:noProof/>
        </w:rPr>
        <w:t>The approach to national planning and reporting is based on the Fitness Check (see below) which had as a main objective to assess the proportionality of the current approach and as appropriate improve the respect of the principle.</w:t>
      </w:r>
    </w:p>
    <w:p w:rsidR="00926A0D" w:rsidRDefault="006023A9">
      <w:pPr>
        <w:pBdr>
          <w:top w:val="nil"/>
          <w:left w:val="nil"/>
          <w:bottom w:val="nil"/>
          <w:right w:val="nil"/>
          <w:between w:val="nil"/>
          <w:bar w:val="nil"/>
        </w:pBdr>
        <w:spacing w:before="0" w:after="240"/>
        <w:rPr>
          <w:rFonts w:eastAsia="Arial Unicode MS"/>
          <w:noProof/>
        </w:rPr>
      </w:pPr>
      <w:r>
        <w:rPr>
          <w:rFonts w:eastAsia="Arial Unicode MS"/>
          <w:noProof/>
        </w:rPr>
        <w:t>The approach to the iterative process between Member States and the Commission is based on Commission recommendations rather than e.g. Commission Decisions to ensure proportionality and full respect of the Member State's rights under Article 194 TFEU.</w:t>
      </w:r>
    </w:p>
    <w:p w:rsidR="00926A0D" w:rsidRDefault="006023A9">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rsidR="00926A0D" w:rsidRDefault="006023A9">
      <w:pPr>
        <w:pBdr>
          <w:top w:val="nil"/>
          <w:left w:val="nil"/>
          <w:bottom w:val="nil"/>
          <w:right w:val="nil"/>
          <w:between w:val="nil"/>
          <w:bar w:val="nil"/>
        </w:pBdr>
        <w:spacing w:before="0" w:after="240"/>
        <w:rPr>
          <w:noProof/>
        </w:rPr>
      </w:pPr>
      <w:r>
        <w:rPr>
          <w:noProof/>
        </w:rPr>
        <w:t>A Regulation rather than a Directive is necessary to ensure direct applicability of the provisions and thereby ensure comparability of national energy and climate plans and reports. The direct applicability has the further advantage to enable the plans to be in place well before 2021.</w:t>
      </w:r>
    </w:p>
    <w:p w:rsidR="00926A0D" w:rsidRDefault="006023A9">
      <w:pPr>
        <w:pBdr>
          <w:top w:val="nil"/>
          <w:left w:val="nil"/>
          <w:bottom w:val="nil"/>
          <w:right w:val="nil"/>
          <w:between w:val="nil"/>
          <w:bar w:val="nil"/>
        </w:pBdr>
        <w:spacing w:before="0" w:after="240"/>
        <w:rPr>
          <w:rFonts w:eastAsia="Arial Unicode MS"/>
          <w:noProof/>
        </w:rPr>
      </w:pPr>
      <w:r>
        <w:rPr>
          <w:noProof/>
        </w:rPr>
        <w:lastRenderedPageBreak/>
        <w:t>Moreover, many of the provisions of the Regulation are not directed to Member States and could therefore not be implemented by national transposition (e.g. obligations on the Commission, the process around Commission recommendations, the European Environment Agency</w:t>
      </w:r>
      <w:r w:rsidR="00C54C88">
        <w:rPr>
          <w:noProof/>
        </w:rPr>
        <w:t xml:space="preserve"> (EEA)</w:t>
      </w:r>
      <w:r>
        <w:rPr>
          <w:noProof/>
        </w:rPr>
        <w:t>, etc.).</w:t>
      </w:r>
    </w:p>
    <w:p w:rsidR="00926A0D" w:rsidRDefault="006023A9">
      <w:pPr>
        <w:pStyle w:val="ManualHeading1"/>
        <w:rPr>
          <w:noProof/>
        </w:rPr>
      </w:pPr>
      <w:r>
        <w:rPr>
          <w:noProof/>
        </w:rPr>
        <w:t>3.</w:t>
      </w:r>
      <w:r>
        <w:rPr>
          <w:noProof/>
        </w:rPr>
        <w:tab/>
        <w:t>RESULTS OF EX-POST EVALUATIONS, STAKEHOLDER CONSULTATIONS AND IMPACT ASSESSMENTS</w:t>
      </w:r>
    </w:p>
    <w:p w:rsidR="00926A0D" w:rsidRDefault="006023A9">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rsidR="00926A0D" w:rsidRDefault="006023A9">
      <w:pPr>
        <w:pBdr>
          <w:top w:val="nil"/>
          <w:left w:val="nil"/>
          <w:bottom w:val="nil"/>
          <w:right w:val="nil"/>
          <w:between w:val="nil"/>
          <w:bar w:val="nil"/>
        </w:pBdr>
        <w:spacing w:before="0" w:after="240"/>
        <w:rPr>
          <w:noProof/>
        </w:rPr>
      </w:pPr>
      <w:r>
        <w:rPr>
          <w:noProof/>
        </w:rPr>
        <w:t xml:space="preserve">Ensuring regulatory fitness and simplification is one of the core objectives of the proposed Regulation. </w:t>
      </w:r>
      <w:r>
        <w:rPr>
          <w:rFonts w:eastAsia="Arial Unicode MS"/>
          <w:noProof/>
        </w:rPr>
        <w:t>In line with the Commission's commitment to Better Regulation, the proposal has been prepared inclusively, based on transparency and continuous engagement with stakeholders.</w:t>
      </w:r>
    </w:p>
    <w:p w:rsidR="00926A0D" w:rsidRDefault="006023A9">
      <w:pPr>
        <w:pBdr>
          <w:top w:val="nil"/>
          <w:left w:val="nil"/>
          <w:bottom w:val="nil"/>
          <w:right w:val="nil"/>
          <w:between w:val="nil"/>
          <w:bar w:val="nil"/>
        </w:pBdr>
        <w:spacing w:before="0" w:after="240"/>
        <w:rPr>
          <w:noProof/>
        </w:rPr>
      </w:pPr>
      <w:r>
        <w:rPr>
          <w:noProof/>
        </w:rPr>
        <w:t>The Fitness Check (</w:t>
      </w:r>
      <w:r>
        <w:rPr>
          <w:b/>
          <w:noProof/>
        </w:rPr>
        <w:t>REFIT</w:t>
      </w:r>
      <w:r>
        <w:rPr>
          <w:noProof/>
        </w:rPr>
        <w:t xml:space="preserve">) supporting the proposed Regulation suggests that significant reduction of administrative burden on Member States as well as on the Commission could be expected from the new approach, while </w:t>
      </w:r>
      <w:r w:rsidR="00027B18">
        <w:rPr>
          <w:noProof/>
        </w:rPr>
        <w:t xml:space="preserve">being able to </w:t>
      </w:r>
      <w:r>
        <w:rPr>
          <w:noProof/>
        </w:rPr>
        <w:t>only partially quantify such impacts</w:t>
      </w:r>
      <w:r w:rsidR="001413AB">
        <w:rPr>
          <w:noProof/>
        </w:rPr>
        <w:t xml:space="preserve"> due to the </w:t>
      </w:r>
      <w:r w:rsidR="000C5384">
        <w:rPr>
          <w:noProof/>
        </w:rPr>
        <w:t>limited availability of reliable data</w:t>
      </w:r>
      <w:r>
        <w:rPr>
          <w:noProof/>
        </w:rPr>
        <w:t>. At the same time, the new approach would result in a series of benefits significantly enhancing coherence and effectiveness. The proposal does not include any exemptions with regard to micro-enterprises nor does it include any dedicated approach to SMEs as such entities are not impacted by the initiative.</w:t>
      </w:r>
    </w:p>
    <w:p w:rsidR="00926A0D" w:rsidRDefault="006023A9">
      <w:pPr>
        <w:pBdr>
          <w:top w:val="nil"/>
          <w:left w:val="nil"/>
          <w:bottom w:val="nil"/>
          <w:right w:val="nil"/>
          <w:between w:val="nil"/>
          <w:bar w:val="nil"/>
        </w:pBdr>
        <w:spacing w:before="0" w:after="240"/>
        <w:rPr>
          <w:rFonts w:eastAsia="Arial Unicode MS"/>
          <w:noProof/>
        </w:rPr>
      </w:pPr>
      <w:r>
        <w:rPr>
          <w:noProof/>
        </w:rPr>
        <w:t>The proposed Regulation will enhance the role of e-reporting</w:t>
      </w:r>
      <w:r w:rsidR="001413AB">
        <w:rPr>
          <w:noProof/>
        </w:rPr>
        <w:t>, which is expected to further reduce administrative burden</w:t>
      </w:r>
      <w:r>
        <w:rPr>
          <w:noProof/>
        </w:rPr>
        <w:t>.</w:t>
      </w:r>
    </w:p>
    <w:p w:rsidR="00926A0D" w:rsidRDefault="006023A9">
      <w:pPr>
        <w:pStyle w:val="ManualHeading2"/>
        <w:rPr>
          <w:rFonts w:eastAsia="Arial Unicode MS"/>
          <w:noProof/>
          <w:u w:color="000000"/>
          <w:bdr w:val="nil"/>
          <w:lang w:val="en-US" w:eastAsia="en-GB"/>
        </w:rPr>
      </w:pPr>
      <w:r>
        <w:rPr>
          <w:rFonts w:eastAsia="Arial Unicode MS"/>
          <w:noProof/>
          <w:u w:color="000000"/>
          <w:bdr w:val="nil"/>
          <w:lang w:val="en-US" w:eastAsia="en-GB"/>
        </w:rPr>
        <w:t xml:space="preserve"> •</w:t>
      </w:r>
      <w:r>
        <w:rPr>
          <w:rFonts w:eastAsia="Arial Unicode MS"/>
          <w:noProof/>
          <w:u w:color="000000"/>
          <w:bdr w:val="nil"/>
          <w:lang w:val="en-US" w:eastAsia="en-GB"/>
        </w:rPr>
        <w:tab/>
        <w:t>Impact assessment</w:t>
      </w:r>
    </w:p>
    <w:p w:rsidR="00926A0D" w:rsidRDefault="006023A9">
      <w:pPr>
        <w:pBdr>
          <w:top w:val="nil"/>
          <w:left w:val="nil"/>
          <w:bottom w:val="nil"/>
          <w:right w:val="nil"/>
          <w:between w:val="nil"/>
          <w:bar w:val="nil"/>
        </w:pBdr>
        <w:spacing w:before="0" w:after="240"/>
        <w:rPr>
          <w:noProof/>
        </w:rPr>
      </w:pPr>
      <w:r>
        <w:rPr>
          <w:rFonts w:eastAsia="Arial Unicode MS"/>
          <w:noProof/>
        </w:rPr>
        <w:t>The Impact Assessment accompanying this proposal has been prepared and developed in line with the applicable Better Regulation guidance, and the Regulatory Scrutiny Board has issued a positive opinion. Improvements as recommended by the Board have been incorporated in the final version.</w:t>
      </w:r>
      <w:r w:rsidR="00CD0ED4">
        <w:rPr>
          <w:rFonts w:eastAsia="Arial Unicode MS"/>
          <w:noProof/>
        </w:rPr>
        <w:t xml:space="preserve"> </w:t>
      </w:r>
      <w:r>
        <w:rPr>
          <w:noProof/>
        </w:rPr>
        <w:t>With regard to policy options for streamlining of planning, reporting and monitoring obligations, the options assessed range from soft (non-legislative) guidance to Member States to various legal approaches to streamline and integrate existing obligations.</w:t>
      </w:r>
    </w:p>
    <w:p w:rsidR="00926A0D" w:rsidRDefault="006023A9">
      <w:pPr>
        <w:pBdr>
          <w:top w:val="nil"/>
          <w:left w:val="nil"/>
          <w:bottom w:val="nil"/>
          <w:right w:val="nil"/>
          <w:between w:val="nil"/>
          <w:bar w:val="nil"/>
        </w:pBdr>
        <w:spacing w:before="0" w:after="240"/>
        <w:rPr>
          <w:noProof/>
        </w:rPr>
      </w:pPr>
      <w:r>
        <w:rPr>
          <w:noProof/>
        </w:rPr>
        <w:t>Various policy options were also assessed with respect to e.g. updates and periodicity of national plans and reports and the Commission's monitoring; the iterative process between Member States and the Commission including recommendations to Member States; the possible policy response where the aggregated efforts by Member States would be insufficient to meet the agreed objectives at EU level; and the role of regional consultation in the development of national plans.</w:t>
      </w:r>
    </w:p>
    <w:p w:rsidR="00926A0D" w:rsidRDefault="006023A9">
      <w:pPr>
        <w:pBdr>
          <w:top w:val="nil"/>
          <w:left w:val="nil"/>
          <w:bottom w:val="nil"/>
          <w:right w:val="nil"/>
          <w:between w:val="nil"/>
          <w:bar w:val="nil"/>
        </w:pBdr>
        <w:spacing w:before="0" w:after="240"/>
        <w:rPr>
          <w:noProof/>
        </w:rPr>
      </w:pPr>
      <w:r>
        <w:rPr>
          <w:noProof/>
        </w:rPr>
        <w:t xml:space="preserve">The Impact Assessment concluded that a new, single legal act fully incorporating the Monitoring Mechanism Regulation (MMR) is the preferred option. It pointed to the need to allow for some formal updates of the national plans and </w:t>
      </w:r>
      <w:r>
        <w:rPr>
          <w:i/>
          <w:noProof/>
        </w:rPr>
        <w:t>biennial</w:t>
      </w:r>
      <w:r>
        <w:rPr>
          <w:noProof/>
        </w:rPr>
        <w:t xml:space="preserve"> progress reports from the Member States and monitoring reports from the Commission (including annual reports for specific policy areas). It concluded that the iterative process with the Commission should cover both the development (ambition) and implementation (delivery) of national plans and that Commission recommendations on national plans and progress reports will be necessary. In addition it concluded that mandatory regional consultations of other Member States on draft and final national plans are necessary to ensure adequate coordination of national planning processes and policies in the context of the Energy Union.</w:t>
      </w:r>
    </w:p>
    <w:p w:rsidR="00926A0D" w:rsidRDefault="006023A9">
      <w:pPr>
        <w:pBdr>
          <w:top w:val="nil"/>
          <w:left w:val="nil"/>
          <w:bottom w:val="nil"/>
          <w:right w:val="nil"/>
          <w:between w:val="nil"/>
          <w:bar w:val="nil"/>
        </w:pBdr>
        <w:spacing w:before="0" w:after="240"/>
        <w:rPr>
          <w:noProof/>
        </w:rPr>
      </w:pPr>
      <w:r>
        <w:rPr>
          <w:noProof/>
        </w:rPr>
        <w:lastRenderedPageBreak/>
        <w:t>The above mentioned combination of preferred policy options would result in the best impacts in terms of reduced administrative burden and flexibility to Member States while at the same time ensuring a Governance that is sufficiently strong to ensure that the objectives of the Energy Union are met.</w:t>
      </w:r>
    </w:p>
    <w:p w:rsidR="00926A0D" w:rsidRDefault="000E5E2A">
      <w:pPr>
        <w:pBdr>
          <w:top w:val="nil"/>
          <w:left w:val="nil"/>
          <w:bottom w:val="nil"/>
          <w:right w:val="nil"/>
          <w:between w:val="nil"/>
          <w:bar w:val="nil"/>
        </w:pBdr>
        <w:spacing w:before="0" w:after="240"/>
        <w:rPr>
          <w:noProof/>
        </w:rPr>
      </w:pPr>
      <w:r>
        <w:rPr>
          <w:noProof/>
        </w:rPr>
        <w:t>Reference of</w:t>
      </w:r>
      <w:r w:rsidR="006023A9">
        <w:rPr>
          <w:noProof/>
        </w:rPr>
        <w:t xml:space="preserve"> the </w:t>
      </w:r>
      <w:r>
        <w:rPr>
          <w:noProof/>
        </w:rPr>
        <w:t>E</w:t>
      </w:r>
      <w:r w:rsidR="006023A9">
        <w:rPr>
          <w:noProof/>
        </w:rPr>
        <w:t xml:space="preserve">xecutive Summary of the Impact Assessment: </w:t>
      </w:r>
      <w:r w:rsidRPr="000E5E2A">
        <w:rPr>
          <w:noProof/>
        </w:rPr>
        <w:t>SWD(2016)395</w:t>
      </w:r>
      <w:r>
        <w:rPr>
          <w:rStyle w:val="FootnoteReference"/>
          <w:noProof/>
        </w:rPr>
        <w:footnoteReference w:id="5"/>
      </w:r>
    </w:p>
    <w:p w:rsidR="00926A0D" w:rsidRDefault="000E5E2A">
      <w:pPr>
        <w:pBdr>
          <w:top w:val="nil"/>
          <w:left w:val="nil"/>
          <w:bottom w:val="nil"/>
          <w:right w:val="nil"/>
          <w:between w:val="nil"/>
          <w:bar w:val="nil"/>
        </w:pBdr>
        <w:spacing w:before="0" w:after="240"/>
        <w:rPr>
          <w:noProof/>
        </w:rPr>
      </w:pPr>
      <w:r>
        <w:rPr>
          <w:noProof/>
        </w:rPr>
        <w:t xml:space="preserve">Reference of </w:t>
      </w:r>
      <w:r w:rsidR="006023A9">
        <w:rPr>
          <w:noProof/>
        </w:rPr>
        <w:t xml:space="preserve">the positive opinion of the Regulatory Scrutiny Board: </w:t>
      </w:r>
      <w:r w:rsidRPr="000E5E2A">
        <w:rPr>
          <w:noProof/>
        </w:rPr>
        <w:t>SEC(2016)494</w:t>
      </w:r>
      <w:r>
        <w:rPr>
          <w:rStyle w:val="FootnoteReference"/>
          <w:noProof/>
        </w:rPr>
        <w:footnoteReference w:id="6"/>
      </w:r>
      <w:r w:rsidRPr="000E5E2A">
        <w:rPr>
          <w:noProof/>
        </w:rPr>
        <w:t xml:space="preserve">  </w:t>
      </w:r>
    </w:p>
    <w:p w:rsidR="00926A0D" w:rsidRDefault="006023A9">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rsidR="00926A0D" w:rsidRDefault="006023A9">
      <w:pPr>
        <w:pBdr>
          <w:top w:val="nil"/>
          <w:left w:val="nil"/>
          <w:bottom w:val="nil"/>
          <w:right w:val="nil"/>
          <w:between w:val="nil"/>
          <w:bar w:val="nil"/>
        </w:pBdr>
        <w:spacing w:before="0" w:after="240"/>
        <w:rPr>
          <w:rFonts w:eastAsia="Arial Unicode MS"/>
          <w:noProof/>
        </w:rPr>
      </w:pPr>
      <w:r>
        <w:rPr>
          <w:rFonts w:eastAsia="Arial Unicode MS"/>
          <w:noProof/>
        </w:rPr>
        <w:t xml:space="preserve">A Fitness Check of the planning, reporting and monitoring obligations within the EU energy acquis (REFIT) supported the preparations of the proposed Regulation. The Fitness Check also evaluated interlinkages between the planning, reporting and monitoring obligation in the energy acquis with the obligations under key EU climate legislation. </w:t>
      </w:r>
    </w:p>
    <w:p w:rsidR="00926A0D" w:rsidRDefault="006023A9">
      <w:pPr>
        <w:pBdr>
          <w:top w:val="nil"/>
          <w:left w:val="nil"/>
          <w:bottom w:val="nil"/>
          <w:right w:val="nil"/>
          <w:between w:val="nil"/>
          <w:bar w:val="nil"/>
        </w:pBdr>
        <w:spacing w:before="0" w:after="240"/>
        <w:rPr>
          <w:rFonts w:eastAsia="Arial Unicode MS"/>
          <w:noProof/>
        </w:rPr>
      </w:pPr>
      <w:r>
        <w:rPr>
          <w:rFonts w:eastAsia="Arial Unicode MS"/>
          <w:noProof/>
        </w:rPr>
        <w:t xml:space="preserve">The general conclusion of the Fitness Check is that while the existing planning, reporting and monitoring system within the EU energy acquis has delivered overall good results, there is potential for significant improvement of the current EU energy acquis in this regard, as well as strengthening interlinkages with the EU climate acquis, thus significantly improving the current benefits/costs ratio. </w:t>
      </w:r>
    </w:p>
    <w:p w:rsidR="00926A0D" w:rsidRDefault="006023A9">
      <w:pPr>
        <w:pBdr>
          <w:top w:val="nil"/>
          <w:left w:val="nil"/>
          <w:bottom w:val="nil"/>
          <w:right w:val="nil"/>
          <w:between w:val="nil"/>
          <w:bar w:val="nil"/>
        </w:pBdr>
        <w:spacing w:before="0" w:after="240"/>
        <w:rPr>
          <w:rFonts w:eastAsia="Arial Unicode MS"/>
          <w:noProof/>
        </w:rPr>
      </w:pPr>
      <w:r>
        <w:rPr>
          <w:rFonts w:eastAsia="Arial Unicode MS"/>
          <w:noProof/>
        </w:rPr>
        <w:t>On this basis the Fitness Check strongly suggested that a systematic integration of Member States' planning and reporting as well as of the Commission's monitoring will be necessary to ensure coherence and enable Member States as well as the Commission to make full use of synergies and ensure consistency between various planning and reporting strands, also to  make the system fit for purpose under the new overarching framework of the Energy Union, including the 2030 Climate and Energy Framework targets. The proposed Regulation implements the recommendations of the Fitness Check with the exception of a few cases where this was not possible mainly due to the fact that the frequency did not coincide with the one foreseen in the Governance Regulation or that the obligation proved to be too technical.</w:t>
      </w:r>
    </w:p>
    <w:p w:rsidR="00926A0D" w:rsidRDefault="006023A9">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rsidR="00926A0D" w:rsidRDefault="006023A9">
      <w:pPr>
        <w:pBdr>
          <w:top w:val="nil"/>
          <w:left w:val="nil"/>
          <w:bottom w:val="nil"/>
          <w:right w:val="nil"/>
          <w:between w:val="nil"/>
          <w:bar w:val="nil"/>
        </w:pBdr>
        <w:spacing w:before="0" w:after="240"/>
        <w:rPr>
          <w:noProof/>
        </w:rPr>
      </w:pPr>
      <w:r>
        <w:rPr>
          <w:noProof/>
        </w:rPr>
        <w:t>A public consultation was launched on 11 January 2016 to collect views and input from stakeholders and citizens. The consultation lasted over 12 weeks and closed on 22 April 2016.</w:t>
      </w:r>
      <w:r>
        <w:rPr>
          <w:rStyle w:val="FootnoteReference"/>
          <w:noProof/>
        </w:rPr>
        <w:footnoteReference w:id="7"/>
      </w:r>
      <w:r>
        <w:rPr>
          <w:noProof/>
        </w:rPr>
        <w:t xml:space="preserve"> </w:t>
      </w:r>
    </w:p>
    <w:p w:rsidR="00926A0D" w:rsidRDefault="006023A9">
      <w:pPr>
        <w:pBdr>
          <w:top w:val="nil"/>
          <w:left w:val="nil"/>
          <w:bottom w:val="nil"/>
          <w:right w:val="nil"/>
          <w:between w:val="nil"/>
          <w:bar w:val="nil"/>
        </w:pBdr>
        <w:spacing w:before="0" w:after="240"/>
        <w:rPr>
          <w:noProof/>
        </w:rPr>
      </w:pPr>
      <w:r>
        <w:rPr>
          <w:noProof/>
        </w:rPr>
        <w:lastRenderedPageBreak/>
        <w:t>The online survey received a total of 103 submissions with additional submissions by email, out of which 15 from Member States</w:t>
      </w:r>
      <w:r>
        <w:rPr>
          <w:rStyle w:val="FootnoteReference"/>
          <w:noProof/>
        </w:rPr>
        <w:footnoteReference w:id="8"/>
      </w:r>
      <w:r>
        <w:rPr>
          <w:noProof/>
        </w:rPr>
        <w:t>. The responses to this public consultation fed into the Commission's evaluation and Fitness Check of existing planning and reporting obligations as well as into the Impact Assessment underpinning the proposed Regulation.</w:t>
      </w:r>
    </w:p>
    <w:p w:rsidR="00926A0D" w:rsidRDefault="006023A9">
      <w:pPr>
        <w:pBdr>
          <w:top w:val="nil"/>
          <w:left w:val="nil"/>
          <w:bottom w:val="nil"/>
          <w:right w:val="nil"/>
          <w:between w:val="nil"/>
          <w:bar w:val="nil"/>
        </w:pBdr>
        <w:spacing w:before="0" w:after="240"/>
        <w:rPr>
          <w:rFonts w:eastAsia="Arial Unicode MS"/>
          <w:noProof/>
        </w:rPr>
      </w:pPr>
      <w:r>
        <w:rPr>
          <w:rFonts w:eastAsia="Arial Unicode MS"/>
          <w:noProof/>
        </w:rPr>
        <w:t>A vast majority of respondents recognised the importance of existing planning and reporting obligations, but also agreed on the need to better streamline, align and integrate existing planning and reporting obligations to avoid gaps, duplications and inconsistencies and to focus the streamlining efforts on planning obligations more closely related to the objectives of the 2030 Framework. Several stakeholders pointed towards the necessity to better integrate current national plans in these areas</w:t>
      </w:r>
      <w:r>
        <w:rPr>
          <w:rStyle w:val="FootnoteReference"/>
          <w:rFonts w:eastAsia="Arial Unicode MS"/>
          <w:noProof/>
        </w:rPr>
        <w:footnoteReference w:id="9"/>
      </w:r>
      <w:r>
        <w:rPr>
          <w:rFonts w:eastAsia="Arial Unicode MS"/>
          <w:noProof/>
        </w:rPr>
        <w:t>, while also highlighting the necessity of streamlining and reducing overall planning obligations.</w:t>
      </w:r>
    </w:p>
    <w:p w:rsidR="00926A0D" w:rsidRDefault="006023A9">
      <w:pPr>
        <w:pBdr>
          <w:top w:val="nil"/>
          <w:left w:val="nil"/>
          <w:bottom w:val="nil"/>
          <w:right w:val="nil"/>
          <w:between w:val="nil"/>
          <w:bar w:val="nil"/>
        </w:pBdr>
        <w:spacing w:before="0" w:after="240"/>
        <w:rPr>
          <w:rFonts w:eastAsia="Arial Unicode MS"/>
          <w:noProof/>
        </w:rPr>
      </w:pPr>
      <w:r>
        <w:rPr>
          <w:rFonts w:eastAsia="Arial Unicode MS"/>
          <w:noProof/>
        </w:rPr>
        <w:t xml:space="preserve">A vast majority of respondents considered that a single legislative act is the preferred option for streamlining planning and reporting obligations in the energy and climate field post 2020. Member States were more divided between the legislative and the non-legislative options. </w:t>
      </w:r>
    </w:p>
    <w:p w:rsidR="00926A0D" w:rsidRDefault="006023A9">
      <w:pPr>
        <w:pBdr>
          <w:top w:val="nil"/>
          <w:left w:val="nil"/>
          <w:bottom w:val="nil"/>
          <w:right w:val="nil"/>
          <w:between w:val="nil"/>
          <w:bar w:val="nil"/>
        </w:pBdr>
        <w:spacing w:before="0" w:after="240"/>
        <w:rPr>
          <w:rFonts w:eastAsia="Arial Unicode MS"/>
          <w:noProof/>
        </w:rPr>
      </w:pPr>
      <w:r>
        <w:rPr>
          <w:rFonts w:eastAsia="Arial Unicode MS"/>
          <w:noProof/>
        </w:rPr>
        <w:t>Most respondents considered that the national plans should reflect all five dimensions of the Energy Union, be produced on the basis of a detailed template (also confirmed by Member States in the Technical Working Group) and have a clear focus on the areas with quantified EU targets. A limited number of respondents – including several Member States – rather favoured short strategic national plans. Several stakeholders, including a majority of Member States, insisted on the necessity of avoiding new administrative burden or additional costs.</w:t>
      </w:r>
    </w:p>
    <w:p w:rsidR="00926A0D" w:rsidRDefault="006023A9">
      <w:pPr>
        <w:pBdr>
          <w:top w:val="nil"/>
          <w:left w:val="nil"/>
          <w:bottom w:val="nil"/>
          <w:right w:val="nil"/>
          <w:between w:val="nil"/>
          <w:bar w:val="nil"/>
        </w:pBdr>
        <w:spacing w:before="0" w:after="240"/>
        <w:rPr>
          <w:rFonts w:eastAsia="Arial Unicode MS"/>
          <w:noProof/>
        </w:rPr>
      </w:pPr>
      <w:r>
        <w:rPr>
          <w:rFonts w:eastAsia="Arial Unicode MS"/>
          <w:noProof/>
        </w:rPr>
        <w:t xml:space="preserve">On the political process governing the finalisation and review of the plans, many respondents advocated a transparent and participatory planning process conducive to investor confidence and widespread public acceptance. </w:t>
      </w:r>
    </w:p>
    <w:p w:rsidR="00926A0D" w:rsidRDefault="006023A9">
      <w:pPr>
        <w:pBdr>
          <w:top w:val="nil"/>
          <w:left w:val="nil"/>
          <w:bottom w:val="nil"/>
          <w:right w:val="nil"/>
          <w:between w:val="nil"/>
          <w:bar w:val="nil"/>
        </w:pBdr>
        <w:spacing w:before="0" w:after="240"/>
        <w:rPr>
          <w:rFonts w:eastAsia="Arial Unicode MS"/>
          <w:noProof/>
        </w:rPr>
      </w:pPr>
      <w:r>
        <w:rPr>
          <w:rFonts w:eastAsia="Arial Unicode MS"/>
          <w:noProof/>
        </w:rPr>
        <w:t>Finally, respondents generally agreed that the new Governance system should facilitate the coordination of national energy policies and foster regional cooperation and that the Commission should play an important role in the process.</w:t>
      </w:r>
    </w:p>
    <w:p w:rsidR="00926A0D" w:rsidRDefault="006023A9">
      <w:pPr>
        <w:pBdr>
          <w:top w:val="nil"/>
          <w:left w:val="nil"/>
          <w:bottom w:val="nil"/>
          <w:right w:val="nil"/>
          <w:between w:val="nil"/>
          <w:bar w:val="nil"/>
        </w:pBdr>
        <w:spacing w:before="0" w:after="240"/>
        <w:rPr>
          <w:rFonts w:eastAsia="Arial Unicode MS"/>
          <w:noProof/>
        </w:rPr>
      </w:pPr>
      <w:r>
        <w:rPr>
          <w:rFonts w:eastAsia="Arial Unicode MS"/>
          <w:noProof/>
        </w:rPr>
        <w:t>A more extensive summary of the public consultation is included in the Impact Assessment.</w:t>
      </w:r>
    </w:p>
    <w:p w:rsidR="00926A0D" w:rsidRDefault="006023A9">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rsidR="00926A0D" w:rsidRDefault="006023A9">
      <w:pPr>
        <w:pBdr>
          <w:top w:val="nil"/>
          <w:left w:val="nil"/>
          <w:bottom w:val="nil"/>
          <w:right w:val="nil"/>
          <w:between w:val="nil"/>
          <w:bar w:val="nil"/>
        </w:pBdr>
        <w:spacing w:before="0" w:after="240"/>
        <w:rPr>
          <w:noProof/>
        </w:rPr>
      </w:pPr>
      <w:r>
        <w:rPr>
          <w:noProof/>
        </w:rPr>
        <w:t xml:space="preserve">The Fitness Check and the Impact Assessment underpinning the proposed Regulation were supported by two studies carried out on behalf of the Commission by Trinomics and Amec Foster Wheeler during the </w:t>
      </w:r>
      <w:r w:rsidR="00101F4A">
        <w:rPr>
          <w:noProof/>
        </w:rPr>
        <w:t>first half of 2016</w:t>
      </w:r>
      <w:r>
        <w:rPr>
          <w:noProof/>
        </w:rPr>
        <w:t>.</w:t>
      </w:r>
    </w:p>
    <w:p w:rsidR="00926A0D" w:rsidRDefault="006023A9">
      <w:pPr>
        <w:pBdr>
          <w:top w:val="nil"/>
          <w:left w:val="nil"/>
          <w:bottom w:val="nil"/>
          <w:right w:val="nil"/>
          <w:between w:val="nil"/>
          <w:bar w:val="nil"/>
        </w:pBdr>
        <w:spacing w:before="0" w:after="240"/>
        <w:rPr>
          <w:noProof/>
        </w:rPr>
      </w:pPr>
      <w:r>
        <w:rPr>
          <w:noProof/>
        </w:rPr>
        <w:t xml:space="preserve">The scope and approach to the national plans in the proposed Regulation and its Annex 1 (template for national plans) has benefitted from the work carried out by the Technical Working Group on </w:t>
      </w:r>
      <w:r>
        <w:rPr>
          <w:rFonts w:eastAsia="Arial Unicode MS"/>
          <w:noProof/>
        </w:rPr>
        <w:t>National Energy and Climate Plans</w:t>
      </w:r>
      <w:r>
        <w:rPr>
          <w:noProof/>
        </w:rPr>
        <w:t>, chaired by the Commission with representation of all Member States.</w:t>
      </w:r>
    </w:p>
    <w:p w:rsidR="00926A0D" w:rsidRDefault="006023A9">
      <w:pPr>
        <w:pBdr>
          <w:top w:val="nil"/>
          <w:left w:val="nil"/>
          <w:bottom w:val="nil"/>
          <w:right w:val="nil"/>
          <w:between w:val="nil"/>
          <w:bar w:val="nil"/>
        </w:pBdr>
        <w:spacing w:before="0" w:after="240"/>
        <w:rPr>
          <w:rFonts w:eastAsia="Arial Unicode MS"/>
          <w:noProof/>
        </w:rPr>
      </w:pPr>
      <w:r>
        <w:rPr>
          <w:rFonts w:eastAsia="Arial Unicode MS"/>
          <w:noProof/>
        </w:rPr>
        <w:lastRenderedPageBreak/>
        <w:t>Expertise reflected in stakeholder contributions during the public consultation has been used as additional source of knowledge to complement the analysis.</w:t>
      </w:r>
    </w:p>
    <w:p w:rsidR="00926A0D" w:rsidRDefault="006023A9">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rsidR="00926A0D" w:rsidRDefault="006023A9">
      <w:pPr>
        <w:pBdr>
          <w:top w:val="nil"/>
          <w:left w:val="nil"/>
          <w:bottom w:val="nil"/>
          <w:right w:val="nil"/>
          <w:between w:val="nil"/>
          <w:bar w:val="nil"/>
        </w:pBdr>
        <w:spacing w:before="0" w:after="240"/>
        <w:rPr>
          <w:rFonts w:eastAsia="Arial Unicode MS"/>
          <w:noProof/>
        </w:rPr>
      </w:pPr>
      <w:r>
        <w:rPr>
          <w:rFonts w:eastAsia="Arial Unicode MS"/>
          <w:noProof/>
        </w:rPr>
        <w:t xml:space="preserve">As the proposed policy primarily addresses Member States as institutional actors, it is consistent with the Charter </w:t>
      </w:r>
      <w:r w:rsidR="00C92229">
        <w:rPr>
          <w:rFonts w:eastAsia="Arial Unicode MS"/>
          <w:noProof/>
        </w:rPr>
        <w:t>of F</w:t>
      </w:r>
      <w:r>
        <w:rPr>
          <w:rFonts w:eastAsia="Arial Unicode MS"/>
          <w:noProof/>
        </w:rPr>
        <w:t xml:space="preserve">undamental </w:t>
      </w:r>
      <w:r w:rsidR="00C92229">
        <w:rPr>
          <w:rFonts w:eastAsia="Arial Unicode MS"/>
          <w:noProof/>
        </w:rPr>
        <w:t>R</w:t>
      </w:r>
      <w:r>
        <w:rPr>
          <w:rFonts w:eastAsia="Arial Unicode MS"/>
          <w:noProof/>
        </w:rPr>
        <w:t>ights.</w:t>
      </w:r>
    </w:p>
    <w:p w:rsidR="00926A0D" w:rsidRDefault="006023A9">
      <w:pPr>
        <w:pStyle w:val="ManualHeading1"/>
        <w:rPr>
          <w:noProof/>
        </w:rPr>
      </w:pPr>
      <w:r>
        <w:rPr>
          <w:noProof/>
        </w:rPr>
        <w:t>4.</w:t>
      </w:r>
      <w:r>
        <w:rPr>
          <w:noProof/>
        </w:rPr>
        <w:tab/>
        <w:t xml:space="preserve"> BUDGETARY IMPLICATIONS</w:t>
      </w:r>
    </w:p>
    <w:p w:rsidR="00926A0D" w:rsidRDefault="006023A9">
      <w:pPr>
        <w:spacing w:after="240"/>
        <w:rPr>
          <w:noProof/>
        </w:rPr>
      </w:pPr>
      <w:r>
        <w:rPr>
          <w:noProof/>
        </w:rPr>
        <w:t>The main objectives of this proposal are to streamline the planning, reporting and monitoring obligations and to establish a Governance mechanism. Member States would have to submit integrated plans and reports to the Commission at regular intervals. On the basis of the information provided by the Member States, the Commission should produce the necessary monitoring reports. Officials, temporary agents or external personnel working in the Energy and Climate action policy areas will be allocated for the performance of the tasks of the Commission</w:t>
      </w:r>
      <w:r w:rsidR="002627AD">
        <w:rPr>
          <w:noProof/>
        </w:rPr>
        <w:t>, within the Commission's existing overall human resources outlook. Regarding the EEA, a phasing in of additional contract agents (up to 3 in 2020) is requested on top of the existing human resources programming for the EEA</w:t>
      </w:r>
      <w:r>
        <w:rPr>
          <w:noProof/>
        </w:rPr>
        <w:t>.</w:t>
      </w:r>
    </w:p>
    <w:p w:rsidR="00926A0D" w:rsidRDefault="006023A9">
      <w:pPr>
        <w:spacing w:after="240"/>
        <w:rPr>
          <w:noProof/>
        </w:rPr>
      </w:pPr>
      <w:r>
        <w:rPr>
          <w:noProof/>
        </w:rPr>
        <w:t xml:space="preserve">The costs resulting from the implementation of the proposed Regulation by DG ENER and DG CLIMA – which are further set out in the attached legislative financial statement – will be fully accommodated under the current programmed financial envelope of the budget items in question until 2020. In so far as the financial resources needed for the </w:t>
      </w:r>
      <w:r w:rsidR="00C54C88">
        <w:rPr>
          <w:noProof/>
        </w:rPr>
        <w:t>EEA</w:t>
      </w:r>
      <w:r>
        <w:rPr>
          <w:noProof/>
        </w:rPr>
        <w:t xml:space="preserve"> are concerned, those will be additional in comparison to the current </w:t>
      </w:r>
      <w:r w:rsidR="002627AD">
        <w:rPr>
          <w:noProof/>
        </w:rPr>
        <w:t>financial programming</w:t>
      </w:r>
      <w:r>
        <w:rPr>
          <w:noProof/>
        </w:rPr>
        <w:t xml:space="preserve">. </w:t>
      </w:r>
    </w:p>
    <w:p w:rsidR="00926A0D" w:rsidRDefault="006023A9">
      <w:pPr>
        <w:pStyle w:val="ManualHeading1"/>
        <w:rPr>
          <w:noProof/>
        </w:rPr>
      </w:pPr>
      <w:r>
        <w:rPr>
          <w:noProof/>
        </w:rPr>
        <w:t>5.</w:t>
      </w:r>
      <w:r>
        <w:rPr>
          <w:noProof/>
        </w:rPr>
        <w:tab/>
        <w:t>OTHER ELEMENTS</w:t>
      </w:r>
    </w:p>
    <w:p w:rsidR="00926A0D" w:rsidRDefault="006023A9">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rsidR="00926A0D" w:rsidRDefault="006023A9">
      <w:pPr>
        <w:pBdr>
          <w:top w:val="nil"/>
          <w:left w:val="nil"/>
          <w:bottom w:val="nil"/>
          <w:right w:val="nil"/>
          <w:between w:val="nil"/>
          <w:bar w:val="nil"/>
        </w:pBdr>
        <w:spacing w:before="0" w:after="240"/>
        <w:rPr>
          <w:noProof/>
        </w:rPr>
      </w:pPr>
      <w:r>
        <w:rPr>
          <w:noProof/>
        </w:rPr>
        <w:t>The Commission's and Member States' reporting and assessment set out in this Regulation will ensure a close monitoring of the implementation of the Regulation.</w:t>
      </w:r>
    </w:p>
    <w:p w:rsidR="00926A0D" w:rsidRDefault="006023A9">
      <w:pPr>
        <w:pBdr>
          <w:top w:val="nil"/>
          <w:left w:val="nil"/>
          <w:bottom w:val="nil"/>
          <w:right w:val="nil"/>
          <w:between w:val="nil"/>
          <w:bar w:val="nil"/>
        </w:pBdr>
        <w:spacing w:before="0" w:after="240"/>
        <w:rPr>
          <w:rFonts w:eastAsia="Arial Unicode MS"/>
          <w:noProof/>
        </w:rPr>
      </w:pPr>
      <w:r>
        <w:rPr>
          <w:noProof/>
        </w:rPr>
        <w:t xml:space="preserve">The Regulation will be subject to a formal review in 2026. </w:t>
      </w:r>
      <w:r>
        <w:rPr>
          <w:rFonts w:eastAsia="Arial Unicode MS"/>
          <w:noProof/>
        </w:rPr>
        <w:t>The review should take into account the results of the global stocktake of the Paris Agreement.</w:t>
      </w:r>
    </w:p>
    <w:p w:rsidR="00926A0D" w:rsidRDefault="006023A9">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rsidR="00926A0D" w:rsidRDefault="006023A9">
      <w:pPr>
        <w:pBdr>
          <w:top w:val="nil"/>
          <w:left w:val="nil"/>
          <w:bottom w:val="nil"/>
          <w:right w:val="nil"/>
          <w:between w:val="nil"/>
          <w:bar w:val="nil"/>
        </w:pBdr>
        <w:spacing w:before="0" w:after="240"/>
        <w:rPr>
          <w:rFonts w:eastAsia="Arial Unicode MS"/>
          <w:noProof/>
        </w:rPr>
      </w:pPr>
      <w:r>
        <w:rPr>
          <w:noProof/>
        </w:rPr>
        <w:t>Not applicable.</w:t>
      </w:r>
    </w:p>
    <w:p w:rsidR="00926A0D" w:rsidRDefault="006023A9">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rsidR="00926A0D" w:rsidRDefault="006023A9">
      <w:pPr>
        <w:pBdr>
          <w:top w:val="nil"/>
          <w:left w:val="nil"/>
          <w:bottom w:val="nil"/>
          <w:right w:val="nil"/>
          <w:between w:val="nil"/>
          <w:bar w:val="nil"/>
        </w:pBdr>
        <w:spacing w:before="0" w:after="240"/>
        <w:rPr>
          <w:noProof/>
        </w:rPr>
      </w:pPr>
      <w:r>
        <w:rPr>
          <w:noProof/>
        </w:rPr>
        <w:t>Chapter One of the proposed Regulation sets out its scope and subject matter and sets outs the definitions of terms used.</w:t>
      </w:r>
    </w:p>
    <w:p w:rsidR="00926A0D" w:rsidRDefault="006023A9">
      <w:pPr>
        <w:pBdr>
          <w:top w:val="nil"/>
          <w:left w:val="nil"/>
          <w:bottom w:val="nil"/>
          <w:right w:val="nil"/>
          <w:between w:val="nil"/>
          <w:bar w:val="nil"/>
        </w:pBdr>
        <w:spacing w:before="0" w:after="240"/>
        <w:rPr>
          <w:noProof/>
        </w:rPr>
      </w:pPr>
      <w:r>
        <w:rPr>
          <w:noProof/>
        </w:rPr>
        <w:t>Chapter Two of the proposed Regulation sets out the obligation for Member States to produce a national integrated energy and climate plan for the period 2021 to 2030 by 1 January 2019, as well as for subsequent ten-year periods. Annex I provides a binding template for the plans, providing further elements on e.g. policies, measures and analytical bases.</w:t>
      </w:r>
    </w:p>
    <w:p w:rsidR="00926A0D" w:rsidRDefault="006023A9">
      <w:pPr>
        <w:pBdr>
          <w:top w:val="nil"/>
          <w:left w:val="nil"/>
          <w:bottom w:val="nil"/>
          <w:right w:val="nil"/>
          <w:between w:val="nil"/>
          <w:bar w:val="nil"/>
        </w:pBdr>
        <w:spacing w:before="0" w:after="240"/>
        <w:rPr>
          <w:noProof/>
        </w:rPr>
      </w:pPr>
      <w:r>
        <w:rPr>
          <w:noProof/>
        </w:rPr>
        <w:t>This Chapter also establishes an iterative consultation process between the Commission and the Member States before the finalisation of the plan, based on the draft national plan to be provided to the Commission by 1 January 2018, and every ten years thereafter for the following ten</w:t>
      </w:r>
      <w:r w:rsidR="00EF1A2E">
        <w:rPr>
          <w:noProof/>
        </w:rPr>
        <w:t>-</w:t>
      </w:r>
      <w:r>
        <w:rPr>
          <w:noProof/>
        </w:rPr>
        <w:t>year period</w:t>
      </w:r>
      <w:r w:rsidR="00CD0ED4">
        <w:rPr>
          <w:noProof/>
        </w:rPr>
        <w:t>s</w:t>
      </w:r>
      <w:r>
        <w:rPr>
          <w:noProof/>
        </w:rPr>
        <w:t xml:space="preserve">. In this framework the Commission will be able to make </w:t>
      </w:r>
      <w:r>
        <w:rPr>
          <w:noProof/>
        </w:rPr>
        <w:lastRenderedPageBreak/>
        <w:t xml:space="preserve">recommendations regarding the level of ambition of objectives, targets and contributions as well as on specific policies and measures included in the plan. Other Member States will also be able to comment on the draft plan in the framework of regional consultations. The plans need to be updated by 1 January 2024 (still with a 2030 perspective). </w:t>
      </w:r>
    </w:p>
    <w:p w:rsidR="00926A0D" w:rsidRDefault="006023A9">
      <w:pPr>
        <w:pBdr>
          <w:top w:val="nil"/>
          <w:left w:val="nil"/>
          <w:bottom w:val="nil"/>
          <w:right w:val="nil"/>
          <w:between w:val="nil"/>
          <w:bar w:val="nil"/>
        </w:pBdr>
        <w:spacing w:before="0" w:after="240"/>
        <w:rPr>
          <w:noProof/>
        </w:rPr>
      </w:pPr>
      <w:r>
        <w:rPr>
          <w:noProof/>
        </w:rPr>
        <w:t xml:space="preserve">Chapter Three sets out the obligation for Member States to prepare and report to the Commission long-term low emission strategies with a 50 years perspective, which are key to contribute towards economic transformation, jobs, growth and the achievement of broader sustainable development goals, as well as </w:t>
      </w:r>
      <w:r w:rsidR="006D5663">
        <w:rPr>
          <w:noProof/>
        </w:rPr>
        <w:t xml:space="preserve">to </w:t>
      </w:r>
      <w:r>
        <w:rPr>
          <w:noProof/>
        </w:rPr>
        <w:t>mov</w:t>
      </w:r>
      <w:r w:rsidR="006D5663">
        <w:rPr>
          <w:noProof/>
        </w:rPr>
        <w:t>e</w:t>
      </w:r>
      <w:r>
        <w:rPr>
          <w:noProof/>
        </w:rPr>
        <w:t xml:space="preserve"> in a fair and cost-effective manner towards the long-term goal set by the Paris Agreement. </w:t>
      </w:r>
    </w:p>
    <w:p w:rsidR="00926A0D" w:rsidRDefault="006023A9">
      <w:pPr>
        <w:pBdr>
          <w:top w:val="nil"/>
          <w:left w:val="nil"/>
          <w:bottom w:val="nil"/>
          <w:right w:val="nil"/>
          <w:between w:val="nil"/>
          <w:bar w:val="nil"/>
        </w:pBdr>
        <w:spacing w:before="0" w:after="240"/>
        <w:rPr>
          <w:noProof/>
        </w:rPr>
      </w:pPr>
      <w:r>
        <w:rPr>
          <w:noProof/>
        </w:rPr>
        <w:t>Chapter Four of the proposed Regulation sets out the obligation for Member States to produce biennial progress reports on the implementation of the plans from 2021 onwards across the five dimensions of the Energy Union to track progress. In these progress reports, Member States are also required to report biennially on their national climate change adaptation planning and strategies, aligning the timeline with the Paris Agreement.</w:t>
      </w:r>
    </w:p>
    <w:p w:rsidR="00926A0D" w:rsidRDefault="006023A9">
      <w:pPr>
        <w:pBdr>
          <w:top w:val="nil"/>
          <w:left w:val="nil"/>
          <w:bottom w:val="nil"/>
          <w:right w:val="nil"/>
          <w:between w:val="nil"/>
          <w:bar w:val="nil"/>
        </w:pBdr>
        <w:spacing w:before="0" w:after="240"/>
        <w:rPr>
          <w:noProof/>
          <w:szCs w:val="24"/>
        </w:rPr>
      </w:pPr>
      <w:r>
        <w:rPr>
          <w:noProof/>
        </w:rPr>
        <w:t>This Chapter also specifies the reports which have to be produced annually, e.g in view of complying with the international commitments of the Union and its Member States, and to have the necessary basis for the compliance assessment under Regulation</w:t>
      </w:r>
      <w:r w:rsidR="0023686E">
        <w:rPr>
          <w:noProof/>
        </w:rPr>
        <w:t xml:space="preserve"> [</w:t>
      </w:r>
      <w:r w:rsidR="0023686E">
        <w:rPr>
          <w:noProof/>
          <w:lang w:val="mt-MT"/>
        </w:rPr>
        <w:t xml:space="preserve">OP: act number </w:t>
      </w:r>
      <w:r w:rsidR="0023686E">
        <w:rPr>
          <w:noProof/>
        </w:rPr>
        <w:t xml:space="preserve">XXX </w:t>
      </w:r>
      <w:r w:rsidR="00B93F32">
        <w:rPr>
          <w:noProof/>
        </w:rPr>
        <w:t>on binding annual greenhouse gas emission reductions by Member States from 2021 to 2030 for a resilient Energy Union and to meet commitments under the Paris Agreement and amending</w:t>
      </w:r>
      <w:r>
        <w:rPr>
          <w:noProof/>
        </w:rPr>
        <w:t xml:space="preserve"> Regulation </w:t>
      </w:r>
      <w:r w:rsidR="00B93F32">
        <w:rPr>
          <w:noProof/>
        </w:rPr>
        <w:t>No 525/2013 of the European Parliament and the Council on a mechanism for monitoring and reporting greenhouse gas emissions and other information relevant to climate change</w:t>
      </w:r>
      <w:r w:rsidR="0023686E">
        <w:rPr>
          <w:noProof/>
        </w:rPr>
        <w:t>]</w:t>
      </w:r>
      <w:r w:rsidR="0023686E">
        <w:rPr>
          <w:rStyle w:val="FootnoteReference"/>
          <w:noProof/>
        </w:rPr>
        <w:footnoteReference w:id="10"/>
      </w:r>
      <w:r>
        <w:rPr>
          <w:noProof/>
        </w:rPr>
        <w:t xml:space="preserve"> and Regulation</w:t>
      </w:r>
      <w:r w:rsidR="0023686E">
        <w:rPr>
          <w:noProof/>
        </w:rPr>
        <w:t xml:space="preserve"> [</w:t>
      </w:r>
      <w:r w:rsidR="0023686E">
        <w:rPr>
          <w:noProof/>
          <w:lang w:val="mt-MT"/>
        </w:rPr>
        <w:t xml:space="preserve">OP: act number </w:t>
      </w:r>
      <w:r w:rsidR="0023686E">
        <w:rPr>
          <w:noProof/>
        </w:rPr>
        <w:t>XXX</w:t>
      </w:r>
      <w:r w:rsidR="00B93F32" w:rsidRPr="00B93F32">
        <w:rPr>
          <w:noProof/>
        </w:rPr>
        <w:t xml:space="preserve"> on the inclusion of greenhouse gas emissions and removals from land use, land use change and forestry into the 2030 climate and energy framework and amending Regulation No 525/2013 of the European Parliament and the Council on a mechanism for monitoring and reporting greenhouse gas emissions and other information relevant to climate change</w:t>
      </w:r>
      <w:r w:rsidR="0023686E">
        <w:rPr>
          <w:noProof/>
        </w:rPr>
        <w:t>]</w:t>
      </w:r>
      <w:r w:rsidR="00B93F32">
        <w:rPr>
          <w:rStyle w:val="FootnoteReference"/>
          <w:noProof/>
        </w:rPr>
        <w:footnoteReference w:id="11"/>
      </w:r>
      <w:r>
        <w:rPr>
          <w:noProof/>
        </w:rPr>
        <w:t>. These reports relate to e.g. GHG inventories and the support to developing countries and allow the Union and its Member States to demonstrate progress in implementing their commitments under the UNFCCC and Paris Agreement. It also provides for t</w:t>
      </w:r>
      <w:r>
        <w:rPr>
          <w:noProof/>
          <w:szCs w:val="24"/>
        </w:rPr>
        <w:t xml:space="preserve">ransparency on the use of revenue generated from the auctioning of allowances under the Directive establishing a scheme for greenhouse gas emission allowance trading (the ETS Directive). </w:t>
      </w:r>
    </w:p>
    <w:p w:rsidR="00926A0D" w:rsidRDefault="006023A9">
      <w:pPr>
        <w:pBdr>
          <w:top w:val="nil"/>
          <w:left w:val="nil"/>
          <w:bottom w:val="nil"/>
          <w:right w:val="nil"/>
          <w:between w:val="nil"/>
          <w:bar w:val="nil"/>
        </w:pBdr>
        <w:spacing w:before="0" w:after="240"/>
        <w:rPr>
          <w:noProof/>
        </w:rPr>
      </w:pPr>
      <w:r>
        <w:rPr>
          <w:noProof/>
        </w:rPr>
        <w:t>This Chapter also provides for the necessary content of these reports across the five dimensions, and establishes an e-reporting platform which should build on and benefit from existing reporting processes, databases and e-tools, such as those of the EEA, Eurostat (ESTAT) and the Joint Research Centre (JRC)</w:t>
      </w:r>
      <w:r>
        <w:rPr>
          <w:noProof/>
          <w:szCs w:val="24"/>
        </w:rPr>
        <w:t>.</w:t>
      </w:r>
    </w:p>
    <w:p w:rsidR="00926A0D" w:rsidRDefault="006023A9">
      <w:pPr>
        <w:pBdr>
          <w:top w:val="nil"/>
          <w:left w:val="nil"/>
          <w:bottom w:val="nil"/>
          <w:right w:val="nil"/>
          <w:between w:val="nil"/>
          <w:bar w:val="nil"/>
        </w:pBdr>
        <w:spacing w:before="0" w:after="240"/>
        <w:rPr>
          <w:noProof/>
        </w:rPr>
      </w:pPr>
      <w:r>
        <w:rPr>
          <w:noProof/>
        </w:rPr>
        <w:t xml:space="preserve">Chapter Five of the proposed Regulation sets out the necessary monitoring and assessment by the Commission to monitor Member States progress in relation to the objectives set in the national plan. It also sets out a process for the Commission to </w:t>
      </w:r>
      <w:r w:rsidR="006D5663">
        <w:rPr>
          <w:noProof/>
        </w:rPr>
        <w:t>take measures to ensure collective achiev</w:t>
      </w:r>
      <w:r w:rsidR="007202B5">
        <w:rPr>
          <w:noProof/>
        </w:rPr>
        <w:t>e</w:t>
      </w:r>
      <w:r w:rsidR="006D5663">
        <w:rPr>
          <w:noProof/>
        </w:rPr>
        <w:t xml:space="preserve">ment of the Energy Union objectives or </w:t>
      </w:r>
      <w:r>
        <w:rPr>
          <w:noProof/>
        </w:rPr>
        <w:t xml:space="preserve">make recommendations regarding the implementation of the plans in order to achieve the objectives already set. </w:t>
      </w:r>
    </w:p>
    <w:p w:rsidR="00926A0D" w:rsidRDefault="006023A9">
      <w:pPr>
        <w:pBdr>
          <w:top w:val="nil"/>
          <w:left w:val="nil"/>
          <w:bottom w:val="nil"/>
          <w:right w:val="nil"/>
          <w:between w:val="nil"/>
          <w:bar w:val="nil"/>
        </w:pBdr>
        <w:spacing w:before="0" w:after="240"/>
        <w:rPr>
          <w:noProof/>
        </w:rPr>
      </w:pPr>
      <w:r>
        <w:rPr>
          <w:noProof/>
        </w:rPr>
        <w:t xml:space="preserve">It provides for Commission recommendations based on the progress reports and sets out that the Commission shall take action at the EU level or request measures from Member States if </w:t>
      </w:r>
      <w:r>
        <w:rPr>
          <w:noProof/>
        </w:rPr>
        <w:lastRenderedPageBreak/>
        <w:t xml:space="preserve">the assessment of progress suggests that the EU's 2030 targets for energy and climate will not be met (i.e. reducing potential ambition and delivery gaps, or closing these gap). It also sets out the approach to the Commission's annual State of the Energy Union. </w:t>
      </w:r>
    </w:p>
    <w:p w:rsidR="00926A0D" w:rsidRDefault="006023A9">
      <w:pPr>
        <w:rPr>
          <w:noProof/>
        </w:rPr>
      </w:pPr>
      <w:r>
        <w:rPr>
          <w:noProof/>
        </w:rPr>
        <w:t xml:space="preserve">Chapter Six of the proposed Regulation sets out the requirements for national and Union inventory systems for GHG emissions, policies, measures and projections. The establishment of such systems is required internationally. They will also support the implementation of National Plans with regard to the decarbonisation dimension. </w:t>
      </w:r>
    </w:p>
    <w:p w:rsidR="00926A0D" w:rsidRDefault="006023A9">
      <w:pPr>
        <w:rPr>
          <w:rFonts w:eastAsia="Arial Unicode MS"/>
          <w:noProof/>
        </w:rPr>
      </w:pPr>
      <w:r>
        <w:rPr>
          <w:noProof/>
        </w:rPr>
        <w:t xml:space="preserve">This Chapter also provides the legal basis for the establishment of Union and national registries in order to take account for the nationally determined contributions and allows for the use of internationally transferred mitigation outcomes under Articles 4(13) and 6 of the Paris Agreement. </w:t>
      </w:r>
    </w:p>
    <w:p w:rsidR="00926A0D" w:rsidRDefault="006023A9">
      <w:pPr>
        <w:rPr>
          <w:noProof/>
        </w:rPr>
      </w:pPr>
      <w:r>
        <w:rPr>
          <w:noProof/>
        </w:rPr>
        <w:t xml:space="preserve">Chapter Seven of the </w:t>
      </w:r>
      <w:r w:rsidR="002D134D">
        <w:rPr>
          <w:noProof/>
        </w:rPr>
        <w:t>p</w:t>
      </w:r>
      <w:r>
        <w:rPr>
          <w:noProof/>
        </w:rPr>
        <w:t xml:space="preserve">roposed Regulation sets out the mechanisms and principles for cooperation and support between Member States and the Union. It also sets out the role of the </w:t>
      </w:r>
      <w:r w:rsidR="0021396E">
        <w:rPr>
          <w:noProof/>
        </w:rPr>
        <w:t xml:space="preserve">EEA </w:t>
      </w:r>
      <w:r>
        <w:rPr>
          <w:noProof/>
        </w:rPr>
        <w:t>to support the Commission as appropriate with monitoring and reporting work under this Regulation.</w:t>
      </w:r>
    </w:p>
    <w:p w:rsidR="00926A0D" w:rsidRDefault="006023A9">
      <w:pPr>
        <w:rPr>
          <w:noProof/>
        </w:rPr>
      </w:pPr>
      <w:r>
        <w:rPr>
          <w:noProof/>
        </w:rPr>
        <w:t xml:space="preserve">Chapter Eight of the proposed Regulation sets out the necessary provisions for conferral of certain powers to the Commission to adopt delegated acts in precisely defined situations. </w:t>
      </w:r>
    </w:p>
    <w:p w:rsidR="00926A0D" w:rsidRDefault="006023A9">
      <w:pPr>
        <w:rPr>
          <w:noProof/>
        </w:rPr>
      </w:pPr>
      <w:r>
        <w:rPr>
          <w:noProof/>
        </w:rPr>
        <w:t xml:space="preserve">Chapter Nine of the proposed Regulation establishes an Energy Union Committee (an examination committee under Regulation (EU) No 182/2011) and sets out provisions on the review of the Regulation in 2026, repeals and amendments of other pieces of EU legislation to ensure coherence, as well </w:t>
      </w:r>
      <w:r w:rsidR="002D134D">
        <w:rPr>
          <w:noProof/>
        </w:rPr>
        <w:t xml:space="preserve">as </w:t>
      </w:r>
      <w:r>
        <w:rPr>
          <w:noProof/>
        </w:rPr>
        <w:t>provisions on transitional measures and entry into force.</w:t>
      </w:r>
    </w:p>
    <w:p w:rsidR="00926A0D" w:rsidRDefault="00926A0D">
      <w:pPr>
        <w:rPr>
          <w:noProof/>
        </w:rPr>
        <w:sectPr w:rsidR="00926A0D" w:rsidSect="00211F8F">
          <w:footerReference w:type="default" r:id="rId19"/>
          <w:footerReference w:type="first" r:id="rId20"/>
          <w:pgSz w:w="11907" w:h="16839"/>
          <w:pgMar w:top="1134" w:right="1417" w:bottom="1134" w:left="1417" w:header="709" w:footer="709" w:gutter="0"/>
          <w:cols w:space="708"/>
          <w:docGrid w:linePitch="360"/>
        </w:sectPr>
      </w:pPr>
    </w:p>
    <w:p w:rsidR="00926A0D" w:rsidRDefault="00792748" w:rsidP="00792748">
      <w:pPr>
        <w:pStyle w:val="Rfrenceinterinstitutionnelle"/>
        <w:rPr>
          <w:noProof/>
        </w:rPr>
      </w:pPr>
      <w:r w:rsidRPr="00792748">
        <w:lastRenderedPageBreak/>
        <w:t>2016/0375 (COD)</w:t>
      </w:r>
    </w:p>
    <w:p w:rsidR="00926A0D" w:rsidRDefault="00792748" w:rsidP="00792748">
      <w:pPr>
        <w:pStyle w:val="Statut"/>
        <w:rPr>
          <w:noProof/>
        </w:rPr>
      </w:pPr>
      <w:r w:rsidRPr="00792748">
        <w:t>Proposal for a</w:t>
      </w:r>
    </w:p>
    <w:p w:rsidR="00926A0D" w:rsidRDefault="00792748" w:rsidP="00792748">
      <w:pPr>
        <w:pStyle w:val="Typedudocument"/>
        <w:rPr>
          <w:noProof/>
        </w:rPr>
      </w:pPr>
      <w:r w:rsidRPr="00792748">
        <w:t>REGULATION OF THE EUROPEAN PARLIAMENT AND OF THE COUNCIL</w:t>
      </w:r>
    </w:p>
    <w:p w:rsidR="00926A0D" w:rsidRDefault="00792748" w:rsidP="00792748">
      <w:pPr>
        <w:pStyle w:val="Titreobjet"/>
        <w:rPr>
          <w:noProof/>
        </w:rPr>
      </w:pPr>
      <w:r w:rsidRPr="00792748">
        <w:t>on the Governance of the Energy Union,</w:t>
      </w:r>
      <w:r w:rsidRPr="00792748">
        <w:br/>
      </w:r>
      <w:r w:rsidRPr="00792748">
        <w:br/>
        <w:t>amending Directive 94/22/EC, Directive 98/70/EC, Directive 2009/31/EC, Regulation</w:t>
      </w:r>
      <w:r>
        <w:t> </w:t>
      </w:r>
      <w:r w:rsidRPr="00792748">
        <w:t>(EC) No 663/2009, Regulation</w:t>
      </w:r>
      <w:r>
        <w:t> </w:t>
      </w:r>
      <w:r w:rsidRPr="00792748">
        <w:t>(EC) No 715/2009, Directive 2009/73/EC, Council</w:t>
      </w:r>
      <w:r>
        <w:t> </w:t>
      </w:r>
      <w:r w:rsidRPr="00792748">
        <w:t xml:space="preserve">Directive 2009/119/EC, Directive 2010/31/EU, </w:t>
      </w:r>
      <w:r w:rsidRPr="00792748">
        <w:br/>
        <w:t>Directive 2012/27/EU, Directive 2013/30/EU and Council Directive (EU) 2015/652 and repealing Regulation (EU) No 525/2013</w:t>
      </w:r>
    </w:p>
    <w:p w:rsidR="00926A0D" w:rsidRDefault="00792748" w:rsidP="00792748">
      <w:pPr>
        <w:pStyle w:val="IntrtEEE"/>
        <w:rPr>
          <w:noProof/>
        </w:rPr>
      </w:pPr>
      <w:r w:rsidRPr="00792748">
        <w:t>(Text with EEA relevance)</w:t>
      </w:r>
    </w:p>
    <w:p w:rsidR="00926A0D" w:rsidRPr="003C4AC6" w:rsidRDefault="006023A9">
      <w:pPr>
        <w:pStyle w:val="Institutionquiagit"/>
        <w:rPr>
          <w:noProof/>
        </w:rPr>
      </w:pPr>
      <w:r>
        <w:rPr>
          <w:noProof/>
        </w:rPr>
        <w:t xml:space="preserve">THE EUROPEAN </w:t>
      </w:r>
      <w:r w:rsidRPr="003C4AC6">
        <w:rPr>
          <w:noProof/>
        </w:rPr>
        <w:t>PARLIAMENT AND THE COUNCIL OF THE EUROPEAN UNION,</w:t>
      </w:r>
    </w:p>
    <w:p w:rsidR="00926A0D" w:rsidRPr="003C4AC6" w:rsidRDefault="006023A9">
      <w:pPr>
        <w:rPr>
          <w:noProof/>
        </w:rPr>
      </w:pPr>
      <w:r w:rsidRPr="003C4AC6">
        <w:rPr>
          <w:noProof/>
        </w:rPr>
        <w:t>Having regard to the Treaty on the Functioning of the European Union, and in particular Article 192</w:t>
      </w:r>
      <w:r w:rsidR="00E77B9B" w:rsidRPr="003C4AC6">
        <w:rPr>
          <w:noProof/>
        </w:rPr>
        <w:t xml:space="preserve">(1) </w:t>
      </w:r>
      <w:r w:rsidRPr="003C4AC6">
        <w:rPr>
          <w:noProof/>
        </w:rPr>
        <w:t xml:space="preserve">and </w:t>
      </w:r>
      <w:r w:rsidR="002A6B1F" w:rsidRPr="003C4AC6">
        <w:rPr>
          <w:noProof/>
        </w:rPr>
        <w:t xml:space="preserve">Article </w:t>
      </w:r>
      <w:r w:rsidRPr="003C4AC6">
        <w:rPr>
          <w:noProof/>
        </w:rPr>
        <w:t>194</w:t>
      </w:r>
      <w:r w:rsidR="00E77B9B" w:rsidRPr="003C4AC6">
        <w:rPr>
          <w:noProof/>
        </w:rPr>
        <w:t>(2)</w:t>
      </w:r>
      <w:r w:rsidRPr="003C4AC6">
        <w:rPr>
          <w:noProof/>
        </w:rPr>
        <w:t xml:space="preserve"> thereof,</w:t>
      </w:r>
    </w:p>
    <w:p w:rsidR="00926A0D" w:rsidRPr="003C4AC6" w:rsidRDefault="006023A9">
      <w:pPr>
        <w:rPr>
          <w:noProof/>
        </w:rPr>
      </w:pPr>
      <w:r w:rsidRPr="003C4AC6">
        <w:rPr>
          <w:noProof/>
        </w:rPr>
        <w:t>Having regard to the proposal from the European Commission,</w:t>
      </w:r>
    </w:p>
    <w:p w:rsidR="00926A0D" w:rsidRPr="003C4AC6" w:rsidRDefault="006023A9">
      <w:pPr>
        <w:rPr>
          <w:noProof/>
        </w:rPr>
      </w:pPr>
      <w:r w:rsidRPr="003C4AC6">
        <w:rPr>
          <w:noProof/>
        </w:rPr>
        <w:t>After transmission of the draft legislative act to the national parliaments,</w:t>
      </w:r>
    </w:p>
    <w:p w:rsidR="00926A0D" w:rsidRPr="003C4AC6" w:rsidRDefault="006023A9">
      <w:pPr>
        <w:rPr>
          <w:noProof/>
        </w:rPr>
      </w:pPr>
      <w:r w:rsidRPr="003C4AC6">
        <w:rPr>
          <w:noProof/>
          <w:szCs w:val="24"/>
        </w:rPr>
        <w:t>[</w:t>
      </w:r>
      <w:r w:rsidRPr="003C4AC6">
        <w:rPr>
          <w:noProof/>
        </w:rPr>
        <w:t>Having regard to the opinion of the European Economic and Social Committee</w:t>
      </w:r>
      <w:r w:rsidRPr="003C4AC6">
        <w:rPr>
          <w:rStyle w:val="FootnoteReference"/>
          <w:noProof/>
        </w:rPr>
        <w:footnoteReference w:id="12"/>
      </w:r>
      <w:r w:rsidRPr="003C4AC6">
        <w:rPr>
          <w:noProof/>
        </w:rPr>
        <w:t>,]</w:t>
      </w:r>
    </w:p>
    <w:p w:rsidR="00926A0D" w:rsidRPr="003C4AC6" w:rsidRDefault="006023A9">
      <w:pPr>
        <w:rPr>
          <w:noProof/>
        </w:rPr>
      </w:pPr>
      <w:r w:rsidRPr="003C4AC6">
        <w:rPr>
          <w:noProof/>
          <w:szCs w:val="24"/>
        </w:rPr>
        <w:t>[</w:t>
      </w:r>
      <w:r w:rsidRPr="003C4AC6">
        <w:rPr>
          <w:noProof/>
        </w:rPr>
        <w:t>Having regard to the opinion of the Committee of the Regions</w:t>
      </w:r>
      <w:r w:rsidRPr="003C4AC6">
        <w:rPr>
          <w:rStyle w:val="FootnoteReference"/>
          <w:noProof/>
        </w:rPr>
        <w:footnoteReference w:id="13"/>
      </w:r>
      <w:r w:rsidRPr="003C4AC6">
        <w:rPr>
          <w:noProof/>
        </w:rPr>
        <w:t>,</w:t>
      </w:r>
      <w:r w:rsidRPr="003C4AC6">
        <w:rPr>
          <w:noProof/>
          <w:szCs w:val="24"/>
        </w:rPr>
        <w:t>]</w:t>
      </w:r>
    </w:p>
    <w:p w:rsidR="00926A0D" w:rsidRPr="003C4AC6" w:rsidRDefault="006023A9">
      <w:pPr>
        <w:rPr>
          <w:noProof/>
        </w:rPr>
      </w:pPr>
      <w:r w:rsidRPr="003C4AC6">
        <w:rPr>
          <w:noProof/>
        </w:rPr>
        <w:t>Acting in accordance with the ordinary legislative procedure,</w:t>
      </w:r>
    </w:p>
    <w:p w:rsidR="00926A0D" w:rsidRPr="003C4AC6" w:rsidRDefault="006023A9">
      <w:pPr>
        <w:rPr>
          <w:noProof/>
        </w:rPr>
      </w:pPr>
      <w:r w:rsidRPr="003C4AC6">
        <w:rPr>
          <w:noProof/>
        </w:rPr>
        <w:t>Whereas:</w:t>
      </w:r>
    </w:p>
    <w:p w:rsidR="00926A0D" w:rsidRPr="003C4AC6" w:rsidRDefault="006023A9">
      <w:pPr>
        <w:pStyle w:val="ManualConsidrant"/>
        <w:rPr>
          <w:noProof/>
        </w:rPr>
      </w:pPr>
      <w:r w:rsidRPr="003C4AC6">
        <w:t>(1)</w:t>
      </w:r>
      <w:r w:rsidRPr="003C4AC6">
        <w:tab/>
      </w:r>
      <w:r w:rsidRPr="003C4AC6">
        <w:rPr>
          <w:noProof/>
        </w:rPr>
        <w:t>This Regulation sets out the necessary legislative foundation for a reliable and transparent Governance that ensures the achievement of the objectives and targets of the Energy Union through complementary, coherent and ambitious efforts by the Union and its Member States, while promoting the Union's Better Regulation principles.</w:t>
      </w:r>
    </w:p>
    <w:p w:rsidR="00926A0D" w:rsidRPr="003C4AC6" w:rsidRDefault="006023A9">
      <w:pPr>
        <w:pStyle w:val="ManualConsidrant"/>
        <w:rPr>
          <w:noProof/>
        </w:rPr>
      </w:pPr>
      <w:r w:rsidRPr="003C4AC6">
        <w:t>(2)</w:t>
      </w:r>
      <w:r w:rsidRPr="003C4AC6">
        <w:tab/>
      </w:r>
      <w:r w:rsidRPr="003C4AC6">
        <w:rPr>
          <w:noProof/>
        </w:rPr>
        <w:t>The European Energy Union should cover five key dimensions: energy security; the internal energy market; energy efficiency; decarbonisation; and research, innovation and competitiveness.</w:t>
      </w:r>
    </w:p>
    <w:p w:rsidR="00926A0D" w:rsidRPr="003C4AC6" w:rsidRDefault="006023A9">
      <w:pPr>
        <w:pStyle w:val="ManualConsidrant"/>
        <w:rPr>
          <w:noProof/>
        </w:rPr>
      </w:pPr>
      <w:r w:rsidRPr="003C4AC6">
        <w:t>(3)</w:t>
      </w:r>
      <w:r w:rsidRPr="003C4AC6">
        <w:tab/>
      </w:r>
      <w:r w:rsidRPr="003C4AC6">
        <w:rPr>
          <w:noProof/>
        </w:rPr>
        <w:t>The goal of a resilient Energy Union with an ambitious climate policy at its core is to give Union consumers, both households and businesses, secure, sustainable, competitive and affordable energy, which requires a fundamental transformation of Europe's energy system. That objective can only be achieved through coordinated action, combining both legislative and non-legislative acts at Union and national level.</w:t>
      </w:r>
    </w:p>
    <w:p w:rsidR="00926A0D" w:rsidRPr="003C4AC6" w:rsidRDefault="006023A9">
      <w:pPr>
        <w:pStyle w:val="ManualConsidrant"/>
        <w:rPr>
          <w:noProof/>
        </w:rPr>
      </w:pPr>
      <w:r w:rsidRPr="003C4AC6">
        <w:t>(4)</w:t>
      </w:r>
      <w:r w:rsidRPr="003C4AC6">
        <w:tab/>
      </w:r>
      <w:r w:rsidRPr="003C4AC6">
        <w:rPr>
          <w:noProof/>
        </w:rPr>
        <w:t xml:space="preserve">The Commission's proposal was developed in parallel to and is adopted together with a series of initiatives in sectorial energy policy, notably with regard to renewable </w:t>
      </w:r>
      <w:r w:rsidRPr="003C4AC6">
        <w:rPr>
          <w:noProof/>
        </w:rPr>
        <w:lastRenderedPageBreak/>
        <w:t>energy, energy efficiency and market design. Those initiatives form a package under the overarching theme of energy efficiency first, the Union’s global leadership in renewables, and a fair deal for energy consumers.</w:t>
      </w:r>
    </w:p>
    <w:p w:rsidR="00926A0D" w:rsidRPr="003C4AC6" w:rsidRDefault="006023A9">
      <w:pPr>
        <w:pStyle w:val="ManualConsidrant"/>
        <w:rPr>
          <w:noProof/>
        </w:rPr>
      </w:pPr>
      <w:r w:rsidRPr="003C4AC6">
        <w:t>(5)</w:t>
      </w:r>
      <w:r w:rsidRPr="003C4AC6">
        <w:tab/>
      </w:r>
      <w:r w:rsidRPr="003C4AC6">
        <w:rPr>
          <w:noProof/>
        </w:rPr>
        <w:t>The European Council agreed on 24 October 2014 on the 2030 Framework for Energy and Climate for the Union based on four key targets: at least 40% cut in economy wide greenhouse gas (</w:t>
      </w:r>
      <w:r w:rsidR="0026065D" w:rsidRPr="003C4AC6">
        <w:rPr>
          <w:noProof/>
        </w:rPr>
        <w:t>"</w:t>
      </w:r>
      <w:r w:rsidRPr="003C4AC6">
        <w:rPr>
          <w:noProof/>
        </w:rPr>
        <w:t>GHG</w:t>
      </w:r>
      <w:r w:rsidR="0026065D" w:rsidRPr="003C4AC6">
        <w:rPr>
          <w:noProof/>
        </w:rPr>
        <w:t>"</w:t>
      </w:r>
      <w:r w:rsidRPr="003C4AC6">
        <w:rPr>
          <w:noProof/>
        </w:rPr>
        <w:t>) emissions, at least 27% improvement in energy efficiency with a view to a level of 30%, at least 27% for the share of renewable energy consumed in the Union, and at least 15% for electricity interconnection. It specified that the target for renewable energy is binding at Union level and that it will be fulfilled through Member States’ contributions guided by the need to deliver collectively the Union target.</w:t>
      </w:r>
    </w:p>
    <w:p w:rsidR="00926A0D" w:rsidRPr="003C4AC6" w:rsidRDefault="006023A9">
      <w:pPr>
        <w:pStyle w:val="ManualConsidrant"/>
        <w:rPr>
          <w:noProof/>
        </w:rPr>
      </w:pPr>
      <w:r w:rsidRPr="003C4AC6">
        <w:t>(6)</w:t>
      </w:r>
      <w:r w:rsidRPr="003C4AC6">
        <w:tab/>
      </w:r>
      <w:r w:rsidRPr="003C4AC6">
        <w:rPr>
          <w:noProof/>
        </w:rPr>
        <w:t>The binding target of at least a 40% domestic reduction in economy-wide greenhouse gas emissions by 2030 compared to 1990 was formally approved as the Intended Nationally Determined Contribution of the Union and its Member States to the Paris Agreement at the Environment Council meeting on 6 March 2015. The Paris Agreement was ratified by the Union on 5 October 2016</w:t>
      </w:r>
      <w:r w:rsidRPr="003C4AC6">
        <w:rPr>
          <w:rStyle w:val="FootnoteReference"/>
          <w:noProof/>
        </w:rPr>
        <w:footnoteReference w:id="14"/>
      </w:r>
      <w:r w:rsidRPr="003C4AC6">
        <w:rPr>
          <w:noProof/>
        </w:rPr>
        <w:t xml:space="preserve"> and entered into force on 4 November 2016. It replaces the approach taken under the 1997 Kyoto Protocol which will not be continued beyond 2020. Therefore the Union’s system for monitoring and reporting emissions and removals should be updated in the light of this.</w:t>
      </w:r>
    </w:p>
    <w:p w:rsidR="00926A0D" w:rsidRPr="003C4AC6" w:rsidRDefault="006023A9">
      <w:pPr>
        <w:pStyle w:val="ManualConsidrant"/>
        <w:rPr>
          <w:noProof/>
        </w:rPr>
      </w:pPr>
      <w:r w:rsidRPr="003C4AC6">
        <w:t>(7)</w:t>
      </w:r>
      <w:r w:rsidRPr="003C4AC6">
        <w:tab/>
      </w:r>
      <w:r w:rsidRPr="003C4AC6">
        <w:rPr>
          <w:noProof/>
        </w:rPr>
        <w:t>The European Council also concluded on 24 October 2014</w:t>
      </w:r>
      <w:r w:rsidRPr="003C4AC6">
        <w:rPr>
          <w:rStyle w:val="FootnoteReference"/>
          <w:noProof/>
        </w:rPr>
        <w:footnoteReference w:id="15"/>
      </w:r>
      <w:r w:rsidRPr="003C4AC6">
        <w:rPr>
          <w:noProof/>
        </w:rPr>
        <w:t xml:space="preserve"> that a reliable and transparent governance system, without any unnecessary administrative burden, should be developed to help ensure that the Union meets its energy policy goals, with the necessary flexibility for Member States and fully respecting their freedom to determine their energy mix. It emphasized that such governance system should build on existing building blocks, such as national climate programmes, national plans for renewable energy and energy efficiency as well as the need to streamline and bring together separate planning and reporting strands. It also agreed to step up the role and rights of consumers, transparency and predictability for investors, inter alia by systematic monitoring of key indicators for an affordable, safe, competitive, secure and sustainable energy system and to facilitate coordination of national energy policies and foster regional cooperation between Member States.</w:t>
      </w:r>
    </w:p>
    <w:p w:rsidR="00926A0D" w:rsidRPr="003C4AC6" w:rsidRDefault="006023A9">
      <w:pPr>
        <w:pStyle w:val="ManualConsidrant"/>
        <w:rPr>
          <w:noProof/>
        </w:rPr>
      </w:pPr>
      <w:r w:rsidRPr="003C4AC6">
        <w:t>(8)</w:t>
      </w:r>
      <w:r w:rsidRPr="003C4AC6">
        <w:tab/>
      </w:r>
      <w:r w:rsidRPr="003C4AC6">
        <w:rPr>
          <w:noProof/>
        </w:rPr>
        <w:t>The Commission's Energy Union Strategy of 25 February 2015 states the need for an integrated Governance to make sure that energy-related actions at Union, regional, national and local level all contribute to the Energy Union's objectives, thereby broadening the scope of Governance – beyond the 2030 Framework for Climate and Energy – to all five key dimensions of the Energy Union.</w:t>
      </w:r>
    </w:p>
    <w:p w:rsidR="00926A0D" w:rsidRPr="003C4AC6" w:rsidRDefault="006023A9">
      <w:pPr>
        <w:pStyle w:val="ManualConsidrant"/>
        <w:rPr>
          <w:noProof/>
        </w:rPr>
      </w:pPr>
      <w:r w:rsidRPr="003C4AC6">
        <w:t>(9)</w:t>
      </w:r>
      <w:r w:rsidRPr="003C4AC6">
        <w:tab/>
      </w:r>
      <w:r w:rsidRPr="003C4AC6">
        <w:rPr>
          <w:noProof/>
        </w:rPr>
        <w:t>In its Communication on the State of the Energy Union of 18 November 2015</w:t>
      </w:r>
      <w:r w:rsidRPr="003C4AC6">
        <w:rPr>
          <w:rStyle w:val="FootnoteReference"/>
          <w:noProof/>
        </w:rPr>
        <w:footnoteReference w:id="16"/>
      </w:r>
      <w:r w:rsidRPr="003C4AC6">
        <w:rPr>
          <w:noProof/>
        </w:rPr>
        <w:t xml:space="preserve"> the Commission further specified that integrated national energy and climate plans, addressing all five key dimensions of the Energy Union, are necessary tools for a more strategic energy and climate policy planning. As part of the State of the Energy Union, the Commission Guidance to Member States on integrated national energy and climate plans provided the basis for Member States to start developing national plans for the </w:t>
      </w:r>
      <w:r w:rsidRPr="003C4AC6">
        <w:rPr>
          <w:noProof/>
        </w:rPr>
        <w:lastRenderedPageBreak/>
        <w:t>period 2021 to 2030 and set out the main pillars of the governance process. The State of the Energy Union also specified that the Governance should be anchored in legislation.</w:t>
      </w:r>
    </w:p>
    <w:p w:rsidR="00926A0D" w:rsidRPr="003C4AC6" w:rsidRDefault="006023A9">
      <w:pPr>
        <w:pStyle w:val="ManualConsidrant"/>
        <w:rPr>
          <w:noProof/>
        </w:rPr>
      </w:pPr>
      <w:r w:rsidRPr="003C4AC6">
        <w:t>(10)</w:t>
      </w:r>
      <w:r w:rsidRPr="003C4AC6">
        <w:tab/>
      </w:r>
      <w:r w:rsidRPr="003C4AC6">
        <w:rPr>
          <w:noProof/>
        </w:rPr>
        <w:t>The Conclusions of the Council of 26 November 2015</w:t>
      </w:r>
      <w:r w:rsidRPr="003C4AC6">
        <w:rPr>
          <w:rStyle w:val="FootnoteReference"/>
          <w:noProof/>
        </w:rPr>
        <w:footnoteReference w:id="17"/>
      </w:r>
      <w:r w:rsidRPr="003C4AC6">
        <w:rPr>
          <w:noProof/>
        </w:rPr>
        <w:t xml:space="preserve"> recognised that the Governance of the Energy Union will be an essential tool for the efficient and effective construction of the Energy Union and the achievement of its objectives. They underlined that the governance system should be based on the principles of integration of strategic planning and reporting on the implementation of climate and energy policies and coordination between actors responsible for energy and climate policy, at Union, regional and national level. They also underlined that the Governance should ensure that the agreed energy and climate targets for 2030 are met; and that the Governance would monitor the Union’s collective progress towards the achievement of the policy objectives across the five dimensions of the Energy Union. </w:t>
      </w:r>
    </w:p>
    <w:p w:rsidR="00926A0D" w:rsidRPr="003C4AC6" w:rsidRDefault="006023A9">
      <w:pPr>
        <w:pStyle w:val="ManualConsidrant"/>
        <w:rPr>
          <w:noProof/>
        </w:rPr>
      </w:pPr>
      <w:r w:rsidRPr="003C4AC6">
        <w:t>(11)</w:t>
      </w:r>
      <w:r w:rsidRPr="003C4AC6">
        <w:tab/>
      </w:r>
      <w:r w:rsidRPr="003C4AC6">
        <w:rPr>
          <w:noProof/>
        </w:rPr>
        <w:t>The European Parliament's resolution "Towards a European Energy Union" of 15 December 2015</w:t>
      </w:r>
      <w:r w:rsidRPr="003C4AC6">
        <w:rPr>
          <w:rStyle w:val="FootnoteReference"/>
          <w:noProof/>
        </w:rPr>
        <w:footnoteReference w:id="18"/>
      </w:r>
      <w:r w:rsidRPr="003C4AC6">
        <w:rPr>
          <w:noProof/>
        </w:rPr>
        <w:t xml:space="preserve"> called for the Governance framework for the Energy Union to be ambitious, reliable, transparent, democratic and fully inclusive of the European Parliament and to ensure that the 2030 climate and energy targets are achieved.</w:t>
      </w:r>
    </w:p>
    <w:p w:rsidR="00926A0D" w:rsidRPr="003C4AC6" w:rsidRDefault="006023A9">
      <w:pPr>
        <w:pStyle w:val="ManualConsidrant"/>
        <w:rPr>
          <w:noProof/>
        </w:rPr>
      </w:pPr>
      <w:r w:rsidRPr="003C4AC6">
        <w:t>(12)</w:t>
      </w:r>
      <w:r w:rsidRPr="003C4AC6">
        <w:tab/>
      </w:r>
      <w:r w:rsidRPr="003C4AC6">
        <w:rPr>
          <w:noProof/>
        </w:rPr>
        <w:t xml:space="preserve">Therefore, the main objective of the Energy Union Governance should be to enable the achievement of the objectives of the Energy Union and in particular the targets of the 2030 Framework for Climate and Energy. This Regulation is therefore linked to sectorial legislation implementing the 2030 targets for energy and climate. While Member States need flexibility to choose policies that are best-matched to their national energy mix and preferences, that flexibility </w:t>
      </w:r>
      <w:r w:rsidR="00E77B9B" w:rsidRPr="003C4AC6">
        <w:rPr>
          <w:noProof/>
        </w:rPr>
        <w:t xml:space="preserve">should </w:t>
      </w:r>
      <w:r w:rsidRPr="003C4AC6">
        <w:rPr>
          <w:noProof/>
        </w:rPr>
        <w:t>be compatible with further market integration, increased competition, the attainment of climate and energy objectives and the gradual shift towards a low-carbon economy.</w:t>
      </w:r>
    </w:p>
    <w:p w:rsidR="00926A0D" w:rsidRPr="003C4AC6" w:rsidRDefault="006023A9">
      <w:pPr>
        <w:pStyle w:val="ManualConsidrant"/>
        <w:rPr>
          <w:noProof/>
        </w:rPr>
      </w:pPr>
      <w:r w:rsidRPr="003C4AC6">
        <w:t>(13)</w:t>
      </w:r>
      <w:r w:rsidRPr="003C4AC6">
        <w:tab/>
      </w:r>
      <w:r w:rsidRPr="003C4AC6">
        <w:rPr>
          <w:noProof/>
        </w:rPr>
        <w:t>The transition to a low-carbon economy requires changes in investment behaviour and incentives across the entire policy spectrum. Achieving greenhouse gas emission reductions requires a boost to efficiency and innovation in the European economy and in particular should also lead to improvements of air quality.</w:t>
      </w:r>
    </w:p>
    <w:p w:rsidR="00926A0D" w:rsidRPr="003C4AC6" w:rsidRDefault="006023A9">
      <w:pPr>
        <w:pStyle w:val="ManualConsidrant"/>
        <w:rPr>
          <w:noProof/>
          <w:szCs w:val="24"/>
        </w:rPr>
      </w:pPr>
      <w:r w:rsidRPr="003C4AC6">
        <w:t>(14)</w:t>
      </w:r>
      <w:r w:rsidRPr="003C4AC6">
        <w:tab/>
      </w:r>
      <w:r w:rsidRPr="003C4AC6">
        <w:rPr>
          <w:noProof/>
        </w:rPr>
        <w:t>As greenhouse gases and air pollutants largely derive from common sources, policy designed to reduce GHGs can have co-benefits for air quality that could offset some or all of the near-term costs of GHG mitigation. As data reported under Directive 2001/81/EC</w:t>
      </w:r>
      <w:r w:rsidR="002A6B1F" w:rsidRPr="003C4AC6">
        <w:rPr>
          <w:noProof/>
        </w:rPr>
        <w:t xml:space="preserve"> </w:t>
      </w:r>
      <w:r w:rsidR="002A6B1F" w:rsidRPr="003C4AC6">
        <w:t>of the European Parliament and the Council</w:t>
      </w:r>
      <w:r w:rsidRPr="003C4AC6">
        <w:rPr>
          <w:rStyle w:val="FootnoteReference"/>
          <w:noProof/>
        </w:rPr>
        <w:footnoteReference w:id="19"/>
      </w:r>
      <w:r w:rsidRPr="003C4AC6">
        <w:rPr>
          <w:noProof/>
        </w:rPr>
        <w:t xml:space="preserve"> represent an important input for the compilation of the GHG inventory and the national plans, the importance of compilation and reporting of consistent data between Directive </w:t>
      </w:r>
      <w:r w:rsidR="00B03442" w:rsidRPr="003C4AC6">
        <w:rPr>
          <w:noProof/>
        </w:rPr>
        <w:t xml:space="preserve">2001/81/EC </w:t>
      </w:r>
      <w:r w:rsidRPr="003C4AC6">
        <w:rPr>
          <w:noProof/>
        </w:rPr>
        <w:t>and the GHG inventory</w:t>
      </w:r>
      <w:r w:rsidR="0026065D" w:rsidRPr="003C4AC6">
        <w:rPr>
          <w:noProof/>
        </w:rPr>
        <w:t xml:space="preserve"> should be recognised</w:t>
      </w:r>
      <w:r w:rsidRPr="003C4AC6">
        <w:rPr>
          <w:noProof/>
        </w:rPr>
        <w:t>.</w:t>
      </w:r>
    </w:p>
    <w:p w:rsidR="00926A0D" w:rsidRPr="003C4AC6" w:rsidRDefault="006023A9">
      <w:pPr>
        <w:pStyle w:val="ManualConsidrant"/>
        <w:rPr>
          <w:noProof/>
        </w:rPr>
      </w:pPr>
      <w:r w:rsidRPr="003C4AC6">
        <w:t>(15)</w:t>
      </w:r>
      <w:r w:rsidRPr="003C4AC6">
        <w:tab/>
      </w:r>
      <w:r w:rsidRPr="003C4AC6">
        <w:rPr>
          <w:noProof/>
        </w:rPr>
        <w:t>The experience gained in implementing Regulation (EU) No 525/2013</w:t>
      </w:r>
      <w:r w:rsidR="002A6B1F" w:rsidRPr="003C4AC6">
        <w:rPr>
          <w:noProof/>
        </w:rPr>
        <w:t xml:space="preserve"> </w:t>
      </w:r>
      <w:r w:rsidR="002A6B1F" w:rsidRPr="003C4AC6">
        <w:t>of the European Parliament and the Council</w:t>
      </w:r>
      <w:r w:rsidRPr="003C4AC6">
        <w:rPr>
          <w:rStyle w:val="FootnoteReference"/>
          <w:noProof/>
        </w:rPr>
        <w:footnoteReference w:id="20"/>
      </w:r>
      <w:r w:rsidRPr="003C4AC6">
        <w:rPr>
          <w:noProof/>
        </w:rPr>
        <w:t xml:space="preserve"> indicated the need for synergies and coherence </w:t>
      </w:r>
      <w:r w:rsidRPr="003C4AC6">
        <w:rPr>
          <w:noProof/>
        </w:rPr>
        <w:lastRenderedPageBreak/>
        <w:t>with reporting under other legal instruments, in particular with Directive 2003/87/EC</w:t>
      </w:r>
      <w:r w:rsidR="002A6B1F" w:rsidRPr="003C4AC6">
        <w:t xml:space="preserve"> of the European Parliament and the Council</w:t>
      </w:r>
      <w:r w:rsidRPr="003C4AC6">
        <w:rPr>
          <w:rStyle w:val="FootnoteReference"/>
          <w:noProof/>
          <w:szCs w:val="24"/>
        </w:rPr>
        <w:footnoteReference w:id="21"/>
      </w:r>
      <w:r w:rsidRPr="003C4AC6">
        <w:rPr>
          <w:noProof/>
        </w:rPr>
        <w:t>, Regulation (EC) No 166/2006</w:t>
      </w:r>
      <w:r w:rsidR="002A6B1F" w:rsidRPr="003C4AC6">
        <w:t xml:space="preserve"> of the European Parliament and the Council</w:t>
      </w:r>
      <w:r w:rsidRPr="003C4AC6">
        <w:rPr>
          <w:rStyle w:val="FootnoteReference"/>
          <w:noProof/>
          <w:szCs w:val="24"/>
        </w:rPr>
        <w:footnoteReference w:id="22"/>
      </w:r>
      <w:r w:rsidR="002A6B1F" w:rsidRPr="003C4AC6">
        <w:rPr>
          <w:noProof/>
        </w:rPr>
        <w:t xml:space="preserve">, Regulation (EC) No 1099/2008 </w:t>
      </w:r>
      <w:r w:rsidR="002A6B1F" w:rsidRPr="003C4AC6">
        <w:t>of the European Parliament and the Council</w:t>
      </w:r>
      <w:r w:rsidR="002A6B1F" w:rsidRPr="003C4AC6">
        <w:rPr>
          <w:rStyle w:val="FootnoteReference"/>
          <w:noProof/>
          <w:szCs w:val="24"/>
        </w:rPr>
        <w:footnoteReference w:id="23"/>
      </w:r>
      <w:r w:rsidR="002A6B1F" w:rsidRPr="003C4AC6">
        <w:rPr>
          <w:noProof/>
        </w:rPr>
        <w:t xml:space="preserve"> and</w:t>
      </w:r>
      <w:r w:rsidRPr="003C4AC6">
        <w:rPr>
          <w:noProof/>
        </w:rPr>
        <w:t xml:space="preserve"> Regulation (EC) No 517/2014</w:t>
      </w:r>
      <w:r w:rsidR="002A6B1F" w:rsidRPr="003C4AC6">
        <w:rPr>
          <w:noProof/>
        </w:rPr>
        <w:t xml:space="preserve"> </w:t>
      </w:r>
      <w:r w:rsidR="002A6B1F" w:rsidRPr="003C4AC6">
        <w:t>of the European Parliament and the Council</w:t>
      </w:r>
      <w:r w:rsidRPr="003C4AC6">
        <w:rPr>
          <w:rStyle w:val="FootnoteReference"/>
          <w:noProof/>
          <w:szCs w:val="24"/>
        </w:rPr>
        <w:footnoteReference w:id="24"/>
      </w:r>
      <w:r w:rsidRPr="003C4AC6">
        <w:rPr>
          <w:noProof/>
        </w:rPr>
        <w:t>. The use of consistent data to report greenhouse gas emissions is essential to ensuring the quality of emissions reporting.</w:t>
      </w:r>
    </w:p>
    <w:p w:rsidR="00926A0D" w:rsidRPr="003C4AC6" w:rsidRDefault="006023A9">
      <w:pPr>
        <w:pStyle w:val="ManualConsidrant"/>
        <w:rPr>
          <w:noProof/>
        </w:rPr>
      </w:pPr>
      <w:r w:rsidRPr="003C4AC6">
        <w:t>(16)</w:t>
      </w:r>
      <w:r w:rsidRPr="003C4AC6">
        <w:tab/>
      </w:r>
      <w:r w:rsidRPr="003C4AC6">
        <w:rPr>
          <w:noProof/>
        </w:rPr>
        <w:t>In line with the Commission's strong commitment to Better Regulation, the Energy Union Governance should result in a significant reduction of administrative burden for the Member States, the Commission and other Union Institutions and it should help to ensure coherence and adequacy of policies and measures at Union and national level with regard to the transformation of the energy system towards a low-carbon economy.</w:t>
      </w:r>
    </w:p>
    <w:p w:rsidR="00926A0D" w:rsidRPr="003C4AC6" w:rsidRDefault="006023A9">
      <w:pPr>
        <w:pStyle w:val="ManualConsidrant"/>
        <w:rPr>
          <w:noProof/>
        </w:rPr>
      </w:pPr>
      <w:r w:rsidRPr="003C4AC6">
        <w:t>(17)</w:t>
      </w:r>
      <w:r w:rsidRPr="003C4AC6">
        <w:tab/>
      </w:r>
      <w:r w:rsidRPr="003C4AC6">
        <w:rPr>
          <w:noProof/>
        </w:rPr>
        <w:t xml:space="preserve">The achievement of the Energy Union objectives should be ensured through a combination of Union initiatives and coherent national policies set out in integrated national energy and climate plans. Sectorial Union legislation in the energy and climate fields sets out planning requirements, which have been useful tools to drive change at the national level. Their introduction at different moments in time has led to overlaps and insufficient consideration of synergies and interactions between policy areas. Current separate planning, reporting and monitoring in the climate and energy fields should therefore as far as possible be streamlined and integrated. </w:t>
      </w:r>
    </w:p>
    <w:p w:rsidR="00926A0D" w:rsidRPr="003C4AC6" w:rsidRDefault="006023A9">
      <w:pPr>
        <w:pStyle w:val="ManualConsidrant"/>
        <w:rPr>
          <w:noProof/>
        </w:rPr>
      </w:pPr>
      <w:r w:rsidRPr="003C4AC6">
        <w:t>(18)</w:t>
      </w:r>
      <w:r w:rsidRPr="003C4AC6">
        <w:tab/>
      </w:r>
      <w:r w:rsidRPr="003C4AC6">
        <w:rPr>
          <w:noProof/>
        </w:rPr>
        <w:t>The integrated national energy and climate plans should cover ten-year periods and provide an overview of the current energy system and policy situation. They should set out national objectives for each of the five key dimensions of the Energy Union and corresponding policies and measures to meet those objectives and have an analytical basis. The national plans covering the first period from 2021 to 2030 should pay particular attention to the 2030 targets for greenhouse gas emission reductions, renewable energy, energy efficiency and electricity interconnection. Member States should aim to ensure that the national plans are consistent with and contribute to achieving the Sustainable Development Goals.</w:t>
      </w:r>
    </w:p>
    <w:p w:rsidR="00926A0D" w:rsidRPr="003C4AC6" w:rsidRDefault="006023A9">
      <w:pPr>
        <w:pStyle w:val="ManualConsidrant"/>
        <w:rPr>
          <w:noProof/>
        </w:rPr>
      </w:pPr>
      <w:r w:rsidRPr="003C4AC6">
        <w:t>(19)</w:t>
      </w:r>
      <w:r w:rsidRPr="003C4AC6">
        <w:tab/>
      </w:r>
      <w:r w:rsidRPr="003C4AC6">
        <w:rPr>
          <w:noProof/>
        </w:rPr>
        <w:t>A mandatory template for the national plans should be established to ensure that all national plans are sufficiently comprehensive and to facilitate comparison and aggregation of national plans, while at the same time ensuring sufficient flexibility to Member States to set out the details of national plans reflecting national preferences and specificities.</w:t>
      </w:r>
    </w:p>
    <w:p w:rsidR="00926A0D" w:rsidRDefault="006023A9">
      <w:pPr>
        <w:pStyle w:val="ManualConsidrant"/>
        <w:rPr>
          <w:noProof/>
        </w:rPr>
      </w:pPr>
      <w:r w:rsidRPr="003C4AC6">
        <w:t>(20)</w:t>
      </w:r>
      <w:r w:rsidRPr="003C4AC6">
        <w:tab/>
      </w:r>
      <w:r w:rsidRPr="003C4AC6">
        <w:rPr>
          <w:noProof/>
        </w:rPr>
        <w:t xml:space="preserve">The implementation of policies and measures in the areas of the energy and climate has an impact on the environment. Member States should therefore ensure that the public is given early and effective opportunities to participate in and to be consulted </w:t>
      </w:r>
      <w:r w:rsidRPr="003C4AC6">
        <w:rPr>
          <w:noProof/>
        </w:rPr>
        <w:lastRenderedPageBreak/>
        <w:t>on the preparation of the integrated national energy and climate plans in accordance, where applicable, with the provisions of Directive 2001/42/EC</w:t>
      </w:r>
      <w:r w:rsidR="00AA4922" w:rsidRPr="003C4AC6">
        <w:rPr>
          <w:noProof/>
        </w:rPr>
        <w:t xml:space="preserve"> </w:t>
      </w:r>
      <w:r w:rsidR="00AA4922" w:rsidRPr="003C4AC6">
        <w:t>of the European Parliament and of the Council</w:t>
      </w:r>
      <w:r w:rsidRPr="003C4AC6">
        <w:rPr>
          <w:rStyle w:val="FootnoteReference"/>
          <w:noProof/>
        </w:rPr>
        <w:footnoteReference w:id="25"/>
      </w:r>
      <w:r w:rsidRPr="003C4AC6">
        <w:rPr>
          <w:noProof/>
        </w:rPr>
        <w:t xml:space="preserve"> and the</w:t>
      </w:r>
      <w:r>
        <w:rPr>
          <w:noProof/>
        </w:rPr>
        <w:t xml:space="preserve"> United Nations Economic Commission for Europe (</w:t>
      </w:r>
      <w:r w:rsidR="00F75EF0">
        <w:rPr>
          <w:noProof/>
        </w:rPr>
        <w:t>"</w:t>
      </w:r>
      <w:r>
        <w:rPr>
          <w:noProof/>
        </w:rPr>
        <w:t>UNECE</w:t>
      </w:r>
      <w:r w:rsidR="00F75EF0">
        <w:rPr>
          <w:noProof/>
        </w:rPr>
        <w:t>"</w:t>
      </w:r>
      <w:r>
        <w:rPr>
          <w:noProof/>
        </w:rPr>
        <w:t xml:space="preserve">) Convention on Access to Information, Public Participation in Decision-making and Access to Justice in Environmental Matters of 25 June 1998 (the </w:t>
      </w:r>
      <w:r w:rsidR="00F75EF0">
        <w:rPr>
          <w:noProof/>
        </w:rPr>
        <w:t>"</w:t>
      </w:r>
      <w:r>
        <w:rPr>
          <w:noProof/>
        </w:rPr>
        <w:t>Aarhus convention</w:t>
      </w:r>
      <w:r w:rsidR="00F75EF0">
        <w:rPr>
          <w:noProof/>
        </w:rPr>
        <w:t>"</w:t>
      </w:r>
      <w:r>
        <w:rPr>
          <w:noProof/>
        </w:rPr>
        <w:t xml:space="preserve">). </w:t>
      </w:r>
      <w:r w:rsidR="00AE0CD3" w:rsidRPr="00AE0CD3">
        <w:rPr>
          <w:noProof/>
        </w:rPr>
        <w:t>Member States should also ensure involvement of social partners in the preparation of the integrated national energy and climate plans</w:t>
      </w:r>
      <w:r w:rsidR="00AE0CD3">
        <w:rPr>
          <w:noProof/>
        </w:rPr>
        <w:t>.</w:t>
      </w:r>
    </w:p>
    <w:p w:rsidR="00926A0D" w:rsidRDefault="006023A9">
      <w:pPr>
        <w:pStyle w:val="ManualConsidrant"/>
        <w:rPr>
          <w:noProof/>
        </w:rPr>
      </w:pPr>
      <w:r>
        <w:t>(21)</w:t>
      </w:r>
      <w:r>
        <w:tab/>
      </w:r>
      <w:r>
        <w:rPr>
          <w:noProof/>
        </w:rPr>
        <w:t xml:space="preserve">Regional cooperation is key to ensure an effective achievement of the objectives of the Energy Union. Member States should get the opportunity to comment on other Member States' plans before they are finalised to avoid inconsistencies and potential negative impacts on other Member States and ensure that common objectives are met collectively. Regional cooperation in elaborating and finalising national plans as well as in the subsequent implementation of national plans </w:t>
      </w:r>
      <w:r w:rsidR="00B03442">
        <w:rPr>
          <w:noProof/>
        </w:rPr>
        <w:t xml:space="preserve">should </w:t>
      </w:r>
      <w:r>
        <w:rPr>
          <w:noProof/>
        </w:rPr>
        <w:t xml:space="preserve">be essential to improve effectiveness and efficiency of measures and foster market integration and energy security. </w:t>
      </w:r>
    </w:p>
    <w:p w:rsidR="00926A0D" w:rsidRDefault="006023A9">
      <w:pPr>
        <w:pStyle w:val="ManualConsidrant"/>
        <w:rPr>
          <w:noProof/>
        </w:rPr>
      </w:pPr>
      <w:r>
        <w:t>(22)</w:t>
      </w:r>
      <w:r>
        <w:tab/>
      </w:r>
      <w:r>
        <w:rPr>
          <w:noProof/>
        </w:rPr>
        <w:t xml:space="preserve">National plans should be stable to ensure transparency and predictability of national policies and measures in order to ensure investor certainty. Updates of national plans should however be foreseen once during the ten-year period covered to give Member States the opportunity to adapt to significant changing circumstances. For the plans covering the period from 2021 to 2030, Member States should be able to update their plans </w:t>
      </w:r>
      <w:r w:rsidR="00C70F94">
        <w:rPr>
          <w:noProof/>
        </w:rPr>
        <w:t>by 1 January</w:t>
      </w:r>
      <w:r>
        <w:rPr>
          <w:noProof/>
        </w:rPr>
        <w:t xml:space="preserve"> 2024. Targets</w:t>
      </w:r>
      <w:r w:rsidR="00A441F9">
        <w:rPr>
          <w:noProof/>
        </w:rPr>
        <w:t>,</w:t>
      </w:r>
      <w:r>
        <w:rPr>
          <w:noProof/>
        </w:rPr>
        <w:t xml:space="preserve"> objectives </w:t>
      </w:r>
      <w:r w:rsidR="00A441F9">
        <w:rPr>
          <w:noProof/>
        </w:rPr>
        <w:t xml:space="preserve">and contributions </w:t>
      </w:r>
      <w:r>
        <w:rPr>
          <w:noProof/>
        </w:rPr>
        <w:t xml:space="preserve">should only be </w:t>
      </w:r>
      <w:r w:rsidR="00A441F9">
        <w:rPr>
          <w:noProof/>
        </w:rPr>
        <w:t>modified</w:t>
      </w:r>
      <w:r>
        <w:rPr>
          <w:noProof/>
        </w:rPr>
        <w:t xml:space="preserve"> to reflect an increased overall ambition in particular as regards the 2030 targets for energy and climate. As part of the updates, Member States should make efforts to mitigate any adverse environmental impacts that become apparent as part of the integrated reporting.</w:t>
      </w:r>
    </w:p>
    <w:p w:rsidR="00926A0D" w:rsidRDefault="006023A9">
      <w:pPr>
        <w:pStyle w:val="ManualConsidrant"/>
        <w:rPr>
          <w:noProof/>
        </w:rPr>
      </w:pPr>
      <w:r>
        <w:t>(23)</w:t>
      </w:r>
      <w:r>
        <w:tab/>
      </w:r>
      <w:r>
        <w:rPr>
          <w:noProof/>
        </w:rPr>
        <w:t xml:space="preserve">Stable long-term low emission strategies are crucial to contribute towards economic transformation, jobs, growth and the achievement of broader sustainable development goals, as well as to move in a fair and cost-effective manner towards the long-term goal set by the Paris Agreement. Furthermore, Parties to the Paris Agreement are invited to communicate, by 2020, their mid-century, long-term low greenhouse gas emission development strategies. </w:t>
      </w:r>
    </w:p>
    <w:p w:rsidR="00926A0D" w:rsidRDefault="006023A9">
      <w:pPr>
        <w:pStyle w:val="ManualConsidrant"/>
        <w:rPr>
          <w:noProof/>
        </w:rPr>
      </w:pPr>
      <w:r>
        <w:t>(24)</w:t>
      </w:r>
      <w:r>
        <w:tab/>
      </w:r>
      <w:r>
        <w:rPr>
          <w:noProof/>
        </w:rPr>
        <w:t xml:space="preserve">As is the case for planning, sectorial Union legislation in the energy and climate fields sets out reporting requirements, many of which have been useful tools to drive change at the national level, but those requirements have been introduced at different moments in time which has led to overlaps and insufficient consideration of synergies and interactions between policy areas such as GHG mitigation, renewable energy, energy efficiency and market integration. To strike the right balance between the need to ensure a proper follow-up of the implementation of national plans and the need to reduce administrative burden, Member States should establish biennial progress reports on the implementation of the plans and other developments in the energy system. Some reporting however, particularly with regard to reporting requirements in the climate field stemming from the </w:t>
      </w:r>
      <w:r>
        <w:rPr>
          <w:rFonts w:eastAsia="Arial Unicode MS"/>
          <w:noProof/>
        </w:rPr>
        <w:t>United Nations Framework Convention on Climate Change</w:t>
      </w:r>
      <w:r>
        <w:rPr>
          <w:noProof/>
        </w:rPr>
        <w:t xml:space="preserve"> (</w:t>
      </w:r>
      <w:r w:rsidR="009E04A9">
        <w:rPr>
          <w:noProof/>
        </w:rPr>
        <w:t>"</w:t>
      </w:r>
      <w:r>
        <w:rPr>
          <w:noProof/>
        </w:rPr>
        <w:t>UNFCCC</w:t>
      </w:r>
      <w:r w:rsidR="009E04A9">
        <w:rPr>
          <w:noProof/>
        </w:rPr>
        <w:t>"</w:t>
      </w:r>
      <w:r>
        <w:rPr>
          <w:noProof/>
        </w:rPr>
        <w:t xml:space="preserve">) and Union Regulations, would still be necessary on a yearly basis. </w:t>
      </w:r>
    </w:p>
    <w:p w:rsidR="00926A0D" w:rsidRDefault="006023A9">
      <w:pPr>
        <w:pStyle w:val="ManualConsidrant"/>
        <w:rPr>
          <w:noProof/>
        </w:rPr>
      </w:pPr>
      <w:r>
        <w:lastRenderedPageBreak/>
        <w:t>(25)</w:t>
      </w:r>
      <w:r>
        <w:tab/>
      </w:r>
      <w:r>
        <w:rPr>
          <w:noProof/>
        </w:rPr>
        <w:t>Member States' integrated progress reports should mirror the elements set out in the template for the national plans. A template for the integrated progress reports should be detailed in subsequent implementing act(s) given their technical nature and the fact that the first progress reports are due in 2021. The progress reports should be carried out in order to ensure transparency towards the Union, other Member States and market actors including consumers. They should be comprehensive across the five dimensions of the Energy Union and, for the first period, at the same time put emphasis on areas covered by the targets of the 2030 Climate and Energy Framework.</w:t>
      </w:r>
    </w:p>
    <w:p w:rsidR="00926A0D" w:rsidRDefault="006023A9">
      <w:pPr>
        <w:pStyle w:val="ManualConsidrant"/>
        <w:rPr>
          <w:noProof/>
        </w:rPr>
      </w:pPr>
      <w:r>
        <w:t>(26)</w:t>
      </w:r>
      <w:r>
        <w:tab/>
      </w:r>
      <w:r>
        <w:rPr>
          <w:noProof/>
        </w:rPr>
        <w:t>Under the UNFCCC, the Union and its Member States are required to develop, regularly update, publish and report to the Conference of the Parties national inventories of anthropogenic emissions by sources and removals by sinks of all greenhouse gases using comparable methodologies agreed by the Conference of the Parties. The GHG inventories are key to enabling the tracking of progress with the implementation of the decarbonisation dimension and for assessing compliance with the legislation</w:t>
      </w:r>
      <w:r w:rsidR="008261FD">
        <w:rPr>
          <w:noProof/>
        </w:rPr>
        <w:t xml:space="preserve"> in the field of climate</w:t>
      </w:r>
      <w:r>
        <w:rPr>
          <w:noProof/>
        </w:rPr>
        <w:t>, in particular Regulation [</w:t>
      </w:r>
      <w:r>
        <w:rPr>
          <w:noProof/>
          <w:lang w:val="mt-MT"/>
        </w:rPr>
        <w:t xml:space="preserve">OP: act number </w:t>
      </w:r>
      <w:r>
        <w:rPr>
          <w:noProof/>
        </w:rPr>
        <w:t xml:space="preserve">XXX on binding annual greenhouse gas emission reductions by Member States from 2021 to 2030 for a resilient Energy Union and to meet commitments under the Paris Agreement and amending Regulation </w:t>
      </w:r>
      <w:r w:rsidR="0043450B">
        <w:rPr>
          <w:noProof/>
        </w:rPr>
        <w:t xml:space="preserve">(EU) </w:t>
      </w:r>
      <w:r>
        <w:rPr>
          <w:noProof/>
        </w:rPr>
        <w:t>No 525/2013 of the European Parliament and the Council on a mechanism for monitoring and reporting greenhouse gas emissions and other information relevant to climate change]</w:t>
      </w:r>
      <w:r>
        <w:rPr>
          <w:rStyle w:val="FootnoteReference"/>
          <w:noProof/>
        </w:rPr>
        <w:footnoteReference w:id="26"/>
      </w:r>
      <w:r w:rsidR="008620EB">
        <w:rPr>
          <w:noProof/>
        </w:rPr>
        <w:t xml:space="preserve"> </w:t>
      </w:r>
      <w:r w:rsidR="00443D02">
        <w:rPr>
          <w:noProof/>
        </w:rPr>
        <w:t>(</w:t>
      </w:r>
      <w:r w:rsidR="00443D02">
        <w:t>"</w:t>
      </w:r>
      <w:r w:rsidR="00443D02" w:rsidRPr="00443D02">
        <w:rPr>
          <w:noProof/>
        </w:rPr>
        <w:t>Regulation [ ] [ESR]</w:t>
      </w:r>
      <w:r w:rsidR="00443D02">
        <w:rPr>
          <w:noProof/>
        </w:rPr>
        <w:t>")</w:t>
      </w:r>
      <w:r>
        <w:rPr>
          <w:noProof/>
        </w:rPr>
        <w:t xml:space="preserve"> and Regulation [</w:t>
      </w:r>
      <w:r>
        <w:rPr>
          <w:noProof/>
          <w:lang w:val="mt-MT"/>
        </w:rPr>
        <w:t xml:space="preserve">OP: act number </w:t>
      </w:r>
      <w:r>
        <w:rPr>
          <w:noProof/>
        </w:rPr>
        <w:t>XXX on the inclusion of greenhouse gas emissions and removals from land</w:t>
      </w:r>
      <w:r w:rsidR="00CD0ED4">
        <w:rPr>
          <w:noProof/>
        </w:rPr>
        <w:t xml:space="preserve"> </w:t>
      </w:r>
      <w:r>
        <w:rPr>
          <w:noProof/>
        </w:rPr>
        <w:t>use, land</w:t>
      </w:r>
      <w:r w:rsidR="00CD0ED4">
        <w:rPr>
          <w:noProof/>
        </w:rPr>
        <w:t xml:space="preserve"> </w:t>
      </w:r>
      <w:r>
        <w:rPr>
          <w:noProof/>
        </w:rPr>
        <w:t xml:space="preserve">use change and forestry into the 2030 climate and energy framework and amending Regulation </w:t>
      </w:r>
      <w:r w:rsidR="0043450B">
        <w:rPr>
          <w:noProof/>
        </w:rPr>
        <w:t xml:space="preserve">(EU) </w:t>
      </w:r>
      <w:r>
        <w:rPr>
          <w:noProof/>
        </w:rPr>
        <w:t>No 525/2013 of the European Parliament and the Council on a mechanism for monitoring and reporting greenhouse gas emissions and other information relevant to climate change]</w:t>
      </w:r>
      <w:r w:rsidR="00443D02" w:rsidRPr="00443D02">
        <w:t xml:space="preserve"> </w:t>
      </w:r>
      <w:r w:rsidR="00443D02">
        <w:t>("</w:t>
      </w:r>
      <w:r w:rsidR="00443D02" w:rsidRPr="00443D02">
        <w:rPr>
          <w:noProof/>
        </w:rPr>
        <w:t>Regulation [ ] [LULUCF]</w:t>
      </w:r>
      <w:r w:rsidR="00443D02">
        <w:rPr>
          <w:noProof/>
        </w:rPr>
        <w:t>")</w:t>
      </w:r>
      <w:r>
        <w:rPr>
          <w:rStyle w:val="FootnoteReference"/>
          <w:noProof/>
        </w:rPr>
        <w:footnoteReference w:id="27"/>
      </w:r>
      <w:r>
        <w:rPr>
          <w:noProof/>
        </w:rPr>
        <w:t>.</w:t>
      </w:r>
    </w:p>
    <w:p w:rsidR="00926A0D" w:rsidRDefault="006023A9">
      <w:pPr>
        <w:pStyle w:val="ManualConsidrant"/>
        <w:rPr>
          <w:noProof/>
        </w:rPr>
      </w:pPr>
      <w:r>
        <w:t>(27)</w:t>
      </w:r>
      <w:r>
        <w:tab/>
      </w:r>
      <w:r>
        <w:rPr>
          <w:noProof/>
        </w:rPr>
        <w:t xml:space="preserve">Decision 1/CP.16 of the Conference of the Parties </w:t>
      </w:r>
      <w:r w:rsidR="008261FD">
        <w:rPr>
          <w:noProof/>
        </w:rPr>
        <w:t>to</w:t>
      </w:r>
      <w:r>
        <w:rPr>
          <w:noProof/>
        </w:rPr>
        <w:t xml:space="preserve"> the UNFCCC requires the establishment of national arrangements to estimate anthropogenic emissions by sources and removals by sinks of all greenhouse gases. This Regulation should enable the establishment of those national arrangements.</w:t>
      </w:r>
    </w:p>
    <w:p w:rsidR="00926A0D" w:rsidRDefault="006023A9">
      <w:pPr>
        <w:pStyle w:val="ManualConsidrant"/>
        <w:rPr>
          <w:noProof/>
        </w:rPr>
      </w:pPr>
      <w:r>
        <w:t>(28)</w:t>
      </w:r>
      <w:r>
        <w:tab/>
      </w:r>
      <w:r>
        <w:rPr>
          <w:noProof/>
        </w:rPr>
        <w:t xml:space="preserve">The experience in the implementation of Regulation (EU) No 525/2013 demonstrated the importance of transparency, accuracy, consistency, completeness and comparability of information. Building on that experience, this Regulation should ensure that Member States report on their policies and measures and projections as a key component of the progress reports. The information in those reports </w:t>
      </w:r>
      <w:r w:rsidR="008261FD">
        <w:rPr>
          <w:noProof/>
        </w:rPr>
        <w:t>should</w:t>
      </w:r>
      <w:r>
        <w:rPr>
          <w:noProof/>
        </w:rPr>
        <w:t xml:space="preserve"> be essential for demonstrating the timely implementation of commitments under Regulation [ ] [ESR]. Operating and continuously improving systems at Union and Member State level coupled with better guidance on reporting should significantly contribute towards an on-going strengthening of the information necessary in order to track progress in the decarbonisation dimension. </w:t>
      </w:r>
    </w:p>
    <w:p w:rsidR="00926A0D" w:rsidRDefault="006023A9">
      <w:pPr>
        <w:pStyle w:val="ManualConsidrant"/>
        <w:rPr>
          <w:noProof/>
        </w:rPr>
      </w:pPr>
      <w:r>
        <w:t>(29)</w:t>
      </w:r>
      <w:r>
        <w:tab/>
      </w:r>
      <w:r>
        <w:rPr>
          <w:noProof/>
        </w:rPr>
        <w:t xml:space="preserve">This Regulation should ensure reporting by Member States on adaptation to climate change and the provision of financial, technological and capacity-building support to developing countries, thereby facilitating the implementation of the Union's commitments under the UNFCCC and Paris Agreement. Furthermore, information on national adaptation actions and support is also important in the context of the </w:t>
      </w:r>
      <w:r w:rsidR="00C70F94">
        <w:rPr>
          <w:noProof/>
        </w:rPr>
        <w:lastRenderedPageBreak/>
        <w:t>i</w:t>
      </w:r>
      <w:r>
        <w:rPr>
          <w:noProof/>
        </w:rPr>
        <w:t xml:space="preserve">ntegrated </w:t>
      </w:r>
      <w:r w:rsidR="00C70F94">
        <w:rPr>
          <w:noProof/>
        </w:rPr>
        <w:t>n</w:t>
      </w:r>
      <w:r>
        <w:rPr>
          <w:noProof/>
        </w:rPr>
        <w:t xml:space="preserve">ational </w:t>
      </w:r>
      <w:r w:rsidR="00C70F94">
        <w:rPr>
          <w:noProof/>
        </w:rPr>
        <w:t>e</w:t>
      </w:r>
      <w:r>
        <w:rPr>
          <w:noProof/>
        </w:rPr>
        <w:t xml:space="preserve">nergy and </w:t>
      </w:r>
      <w:r w:rsidR="00C70F94">
        <w:rPr>
          <w:noProof/>
        </w:rPr>
        <w:t>c</w:t>
      </w:r>
      <w:r>
        <w:rPr>
          <w:noProof/>
        </w:rPr>
        <w:t xml:space="preserve">limate </w:t>
      </w:r>
      <w:r w:rsidR="00C70F94">
        <w:rPr>
          <w:noProof/>
        </w:rPr>
        <w:t>p</w:t>
      </w:r>
      <w:r>
        <w:rPr>
          <w:noProof/>
        </w:rPr>
        <w:t>lans, especially as regards adaptation to those adverse effects of climate change related to the security of the Union's energy supply such as the availability of cooling water for power plants and biomass availability for energy, and information on support relevant to the external dimension of the Energy Union.</w:t>
      </w:r>
    </w:p>
    <w:p w:rsidR="00926A0D" w:rsidRDefault="006023A9">
      <w:pPr>
        <w:pStyle w:val="ManualConsidrant"/>
        <w:rPr>
          <w:noProof/>
        </w:rPr>
      </w:pPr>
      <w:r>
        <w:t>(30)</w:t>
      </w:r>
      <w:r>
        <w:tab/>
      </w:r>
      <w:r>
        <w:rPr>
          <w:noProof/>
        </w:rPr>
        <w:t xml:space="preserve">In order to limit administrative burden on Member States and the Commission, the latter should establish an online reporting platform to facilitate communication and promote cooperation. That </w:t>
      </w:r>
      <w:r w:rsidR="00EE1E6A">
        <w:rPr>
          <w:noProof/>
        </w:rPr>
        <w:t xml:space="preserve">should </w:t>
      </w:r>
      <w:r>
        <w:rPr>
          <w:noProof/>
        </w:rPr>
        <w:t>ensure timely submission of reports and facilitate improved transparency on national reporting. The e-reporting platform should complement, build on and benefit from existing reporting processes, databases and e-tools, such as those of the European Environment Agency, Eurostat, the Joint Research Centre and the lessons learned from the Union's Eco-Management and Audit Scheme.</w:t>
      </w:r>
    </w:p>
    <w:p w:rsidR="00926A0D" w:rsidRDefault="006023A9">
      <w:pPr>
        <w:pStyle w:val="ManualConsidrant"/>
        <w:rPr>
          <w:noProof/>
        </w:rPr>
      </w:pPr>
      <w:r>
        <w:t>(31)</w:t>
      </w:r>
      <w:r>
        <w:tab/>
      </w:r>
      <w:r>
        <w:rPr>
          <w:noProof/>
        </w:rPr>
        <w:t xml:space="preserve">As concerns data to be provided to the Commission by means of national planning and reporting, information from Member States should not duplicate data and statistics which have already </w:t>
      </w:r>
      <w:r w:rsidRPr="003C4AC6">
        <w:rPr>
          <w:noProof/>
        </w:rPr>
        <w:t>been made available via Eurostat in the context of Regulation (EC) No 223/2009</w:t>
      </w:r>
      <w:r w:rsidR="00DD27F4" w:rsidRPr="003C4AC6">
        <w:rPr>
          <w:noProof/>
        </w:rPr>
        <w:t xml:space="preserve"> </w:t>
      </w:r>
      <w:r w:rsidR="00DD27F4" w:rsidRPr="003C4AC6">
        <w:t>of the European Parliament and of the Council</w:t>
      </w:r>
      <w:r w:rsidR="00D57F6A" w:rsidRPr="003C4AC6">
        <w:rPr>
          <w:rStyle w:val="FootnoteReference"/>
          <w:noProof/>
        </w:rPr>
        <w:footnoteReference w:id="28"/>
      </w:r>
      <w:r>
        <w:rPr>
          <w:noProof/>
        </w:rPr>
        <w:t xml:space="preserve"> in the same form as under the planning and reporting obligations </w:t>
      </w:r>
      <w:r w:rsidRPr="00247D23">
        <w:rPr>
          <w:noProof/>
        </w:rPr>
        <w:t>of this</w:t>
      </w:r>
      <w:r w:rsidRPr="006B0ED5">
        <w:rPr>
          <w:noProof/>
        </w:rPr>
        <w:t xml:space="preserve"> Regulation</w:t>
      </w:r>
      <w:r>
        <w:rPr>
          <w:noProof/>
        </w:rPr>
        <w:t xml:space="preserve"> and are still available from Eurostat with the same values. Where available and appropriate in terms of timing, reported data and projections provided in the national energy and climate plans should build on and be consistent with Eurostat data and the methodology used for reporting European statistics in accordance with Regulation (EC) No 223/2009.</w:t>
      </w:r>
    </w:p>
    <w:p w:rsidR="00926A0D" w:rsidRDefault="006023A9">
      <w:pPr>
        <w:pStyle w:val="ManualConsidrant"/>
        <w:rPr>
          <w:noProof/>
        </w:rPr>
      </w:pPr>
      <w:r>
        <w:t>(32)</w:t>
      </w:r>
      <w:r>
        <w:tab/>
      </w:r>
      <w:r>
        <w:rPr>
          <w:noProof/>
        </w:rPr>
        <w:t>I</w:t>
      </w:r>
      <w:r w:rsidR="0030551F">
        <w:rPr>
          <w:noProof/>
        </w:rPr>
        <w:t>n view of the collective achievement of the objectives of the Energy Union Strategy, i</w:t>
      </w:r>
      <w:r>
        <w:rPr>
          <w:noProof/>
        </w:rPr>
        <w:t xml:space="preserve">t will be essential for the Commission to assess national plans </w:t>
      </w:r>
      <w:r w:rsidR="0030551F">
        <w:rPr>
          <w:noProof/>
        </w:rPr>
        <w:t xml:space="preserve">and, based on progress reports, </w:t>
      </w:r>
      <w:r>
        <w:rPr>
          <w:noProof/>
        </w:rPr>
        <w:t>the</w:t>
      </w:r>
      <w:r w:rsidR="0030551F">
        <w:rPr>
          <w:noProof/>
        </w:rPr>
        <w:t>ir</w:t>
      </w:r>
      <w:r>
        <w:rPr>
          <w:noProof/>
        </w:rPr>
        <w:t xml:space="preserve"> implementation</w:t>
      </w:r>
      <w:r w:rsidR="0030551F">
        <w:rPr>
          <w:noProof/>
        </w:rPr>
        <w:t>.</w:t>
      </w:r>
      <w:r>
        <w:rPr>
          <w:noProof/>
        </w:rPr>
        <w:t xml:space="preserve"> </w:t>
      </w:r>
      <w:r w:rsidR="0030551F">
        <w:rPr>
          <w:noProof/>
        </w:rPr>
        <w:t>F</w:t>
      </w:r>
      <w:r>
        <w:rPr>
          <w:noProof/>
        </w:rPr>
        <w:t xml:space="preserve">or the first </w:t>
      </w:r>
      <w:r w:rsidR="003B75EB">
        <w:rPr>
          <w:noProof/>
        </w:rPr>
        <w:t xml:space="preserve">ten-year </w:t>
      </w:r>
      <w:r>
        <w:rPr>
          <w:noProof/>
        </w:rPr>
        <w:t>period</w:t>
      </w:r>
      <w:r w:rsidR="0030551F">
        <w:rPr>
          <w:noProof/>
        </w:rPr>
        <w:t>, this concerns</w:t>
      </w:r>
      <w:r>
        <w:rPr>
          <w:noProof/>
        </w:rPr>
        <w:t xml:space="preserve"> in particular </w:t>
      </w:r>
      <w:r w:rsidR="003B75EB">
        <w:rPr>
          <w:noProof/>
        </w:rPr>
        <w:t xml:space="preserve">the achievement of </w:t>
      </w:r>
      <w:r>
        <w:rPr>
          <w:noProof/>
        </w:rPr>
        <w:t>the Union-level 2030 targets for energy and climate and national contributions to those targets. Such assessment should be undertaken on a biennial basis, and on an annual basis only where necessary, and should be consolidated in the Commission's State of the Energy Union reports.</w:t>
      </w:r>
    </w:p>
    <w:p w:rsidR="00926A0D" w:rsidRDefault="006023A9">
      <w:pPr>
        <w:pStyle w:val="ManualConsidrant"/>
        <w:rPr>
          <w:noProof/>
        </w:rPr>
      </w:pPr>
      <w:r>
        <w:t>(33)</w:t>
      </w:r>
      <w:r>
        <w:tab/>
      </w:r>
      <w:r>
        <w:rPr>
          <w:noProof/>
        </w:rPr>
        <w:t>Aviation has impacts on the global climate as a result of the release of CO</w:t>
      </w:r>
      <w:r>
        <w:rPr>
          <w:rStyle w:val="sub"/>
          <w:noProof/>
          <w:color w:val="000000"/>
          <w:bdr w:val="none" w:sz="0" w:space="0" w:color="auto" w:frame="1"/>
          <w:vertAlign w:val="subscript"/>
        </w:rPr>
        <w:t>2</w:t>
      </w:r>
      <w:r w:rsidR="007235BA">
        <w:rPr>
          <w:noProof/>
        </w:rPr>
        <w:t xml:space="preserve"> </w:t>
      </w:r>
      <w:r>
        <w:rPr>
          <w:noProof/>
        </w:rPr>
        <w:t>as well as of other emissions, including nitrogen oxides emissions, and mechanisms, such as cirrus cloud enhancement. In the light of the rapidly developing scientific understanding of those impacts, an updated assessment of the non-CO</w:t>
      </w:r>
      <w:r>
        <w:rPr>
          <w:rStyle w:val="sub"/>
          <w:noProof/>
          <w:color w:val="000000"/>
          <w:bdr w:val="none" w:sz="0" w:space="0" w:color="auto" w:frame="1"/>
          <w:vertAlign w:val="subscript"/>
        </w:rPr>
        <w:t>2</w:t>
      </w:r>
      <w:r w:rsidR="007235BA">
        <w:rPr>
          <w:noProof/>
        </w:rPr>
        <w:t xml:space="preserve"> </w:t>
      </w:r>
      <w:r>
        <w:rPr>
          <w:noProof/>
        </w:rPr>
        <w:t>impacts of aviation on the global climate is already foreseen in Regulation</w:t>
      </w:r>
      <w:r w:rsidR="00C02E60">
        <w:rPr>
          <w:noProof/>
        </w:rPr>
        <w:t xml:space="preserve"> </w:t>
      </w:r>
      <w:r>
        <w:rPr>
          <w:noProof/>
        </w:rPr>
        <w:t>(EU)</w:t>
      </w:r>
      <w:r w:rsidR="00C02E60">
        <w:rPr>
          <w:noProof/>
        </w:rPr>
        <w:t xml:space="preserve"> </w:t>
      </w:r>
      <w:r>
        <w:rPr>
          <w:noProof/>
        </w:rPr>
        <w:t>No</w:t>
      </w:r>
      <w:r w:rsidR="00C02E60">
        <w:rPr>
          <w:noProof/>
        </w:rPr>
        <w:t xml:space="preserve"> </w:t>
      </w:r>
      <w:r>
        <w:rPr>
          <w:noProof/>
        </w:rPr>
        <w:t>525/2013. The modelling used in this respect should be adapted to scientific progress. Based on its assessments of such impacts, the Commission could consider relevant policy options for addressing them.</w:t>
      </w:r>
    </w:p>
    <w:p w:rsidR="00926A0D" w:rsidRDefault="006023A9">
      <w:pPr>
        <w:pStyle w:val="ManualConsidrant"/>
        <w:rPr>
          <w:noProof/>
        </w:rPr>
      </w:pPr>
      <w:r>
        <w:t>(34)</w:t>
      </w:r>
      <w:r>
        <w:tab/>
      </w:r>
      <w:r>
        <w:rPr>
          <w:noProof/>
        </w:rPr>
        <w:t>To help ensure coherence between national and Union policies and objectives of the Energy Union, the</w:t>
      </w:r>
      <w:r>
        <w:rPr>
          <w:noProof/>
          <w:lang w:val="mt-MT"/>
        </w:rPr>
        <w:t>re should be an on-going dialogue between the</w:t>
      </w:r>
      <w:r>
        <w:rPr>
          <w:noProof/>
        </w:rPr>
        <w:t xml:space="preserve"> Commission and the Member States. As appropriate, the Commission should issue recommendations to Member States including on the level of ambition of the </w:t>
      </w:r>
      <w:r w:rsidR="00FD5B27">
        <w:rPr>
          <w:noProof/>
        </w:rPr>
        <w:t xml:space="preserve">draft </w:t>
      </w:r>
      <w:r>
        <w:rPr>
          <w:noProof/>
        </w:rPr>
        <w:t xml:space="preserve">national plans, on the </w:t>
      </w:r>
      <w:r>
        <w:rPr>
          <w:noProof/>
        </w:rPr>
        <w:lastRenderedPageBreak/>
        <w:t>subsequent implementation of policies and measures of the notified national plans, and on other national policies and measures of relevance for the implementation of the Energy Union. Member States should take utmost account of such recommendations and explain in subsequent progress reports how they have been implemented.</w:t>
      </w:r>
    </w:p>
    <w:p w:rsidR="00926A0D" w:rsidRPr="003C4AC6" w:rsidRDefault="006023A9">
      <w:pPr>
        <w:pStyle w:val="ManualConsidrant"/>
        <w:rPr>
          <w:noProof/>
        </w:rPr>
      </w:pPr>
      <w:r>
        <w:t>(35)</w:t>
      </w:r>
      <w:r>
        <w:tab/>
      </w:r>
      <w:r>
        <w:rPr>
          <w:noProof/>
        </w:rPr>
        <w:t xml:space="preserve">Should the ambition of integrated national energy and climate plans or their updates be insufficient for the collective achievement of the Energy Union objectives and, for the first period, in particular the 2030 targets for renewable energy and energy efficiency, the Commission should take measures at Union level in order to ensure the collective achievement of these objectives and targets (thereby closing any 'ambition gap'). Should progress made by the Union towards these objectives and targets be insufficient for their delivery, the Commission </w:t>
      </w:r>
      <w:r w:rsidR="00363CDF">
        <w:rPr>
          <w:noProof/>
        </w:rPr>
        <w:t>should</w:t>
      </w:r>
      <w:r>
        <w:rPr>
          <w:noProof/>
        </w:rPr>
        <w:t xml:space="preserve">, in addition to issuing recommendations, take measures at Union level or </w:t>
      </w:r>
      <w:r w:rsidR="00363CDF">
        <w:rPr>
          <w:noProof/>
        </w:rPr>
        <w:t xml:space="preserve">Member States should take </w:t>
      </w:r>
      <w:r>
        <w:rPr>
          <w:noProof/>
        </w:rPr>
        <w:t>additional measures in order to ensure achievement</w:t>
      </w:r>
      <w:r w:rsidR="00363CDF">
        <w:rPr>
          <w:noProof/>
        </w:rPr>
        <w:t xml:space="preserve"> of these objectives and targets</w:t>
      </w:r>
      <w:r>
        <w:rPr>
          <w:noProof/>
        </w:rPr>
        <w:t xml:space="preserve"> (thereby closing any 'delivery gap'). Such measures should take into account early </w:t>
      </w:r>
      <w:r>
        <w:rPr>
          <w:noProof/>
          <w:szCs w:val="24"/>
        </w:rPr>
        <w:t xml:space="preserve">ambitious contributions made by Member States to the </w:t>
      </w:r>
      <w:r>
        <w:rPr>
          <w:noProof/>
        </w:rPr>
        <w:t xml:space="preserve">2030 </w:t>
      </w:r>
      <w:r>
        <w:rPr>
          <w:noProof/>
          <w:szCs w:val="24"/>
        </w:rPr>
        <w:t xml:space="preserve">targets </w:t>
      </w:r>
      <w:r>
        <w:rPr>
          <w:noProof/>
        </w:rPr>
        <w:t>for renewable energy and energy efficiency</w:t>
      </w:r>
      <w:r>
        <w:rPr>
          <w:noProof/>
          <w:szCs w:val="24"/>
        </w:rPr>
        <w:t xml:space="preserve"> when sharing the effort for collective target achievement.</w:t>
      </w:r>
      <w:r>
        <w:rPr>
          <w:noProof/>
        </w:rPr>
        <w:t xml:space="preserve"> </w:t>
      </w:r>
      <w:r w:rsidRPr="003C4AC6">
        <w:rPr>
          <w:noProof/>
        </w:rPr>
        <w:t>In the area of renewable energy, s</w:t>
      </w:r>
      <w:r w:rsidRPr="003C4AC6">
        <w:rPr>
          <w:noProof/>
          <w:szCs w:val="24"/>
        </w:rPr>
        <w:t xml:space="preserve">uch measures </w:t>
      </w:r>
      <w:r w:rsidR="00D57F6A" w:rsidRPr="003C4AC6">
        <w:rPr>
          <w:noProof/>
          <w:szCs w:val="24"/>
        </w:rPr>
        <w:t xml:space="preserve">can </w:t>
      </w:r>
      <w:r w:rsidRPr="003C4AC6">
        <w:rPr>
          <w:noProof/>
          <w:szCs w:val="24"/>
        </w:rPr>
        <w:t xml:space="preserve">also include financial contributions by Member States to a </w:t>
      </w:r>
      <w:r w:rsidR="004D775E" w:rsidRPr="003C4AC6">
        <w:rPr>
          <w:noProof/>
          <w:szCs w:val="24"/>
        </w:rPr>
        <w:t>financing platform</w:t>
      </w:r>
      <w:r w:rsidRPr="003C4AC6">
        <w:rPr>
          <w:noProof/>
          <w:szCs w:val="24"/>
        </w:rPr>
        <w:t xml:space="preserve"> managed by the Commission, which would be used to </w:t>
      </w:r>
      <w:r w:rsidR="004D775E" w:rsidRPr="003C4AC6">
        <w:rPr>
          <w:noProof/>
          <w:lang w:val="en"/>
        </w:rPr>
        <w:t xml:space="preserve">contribute to </w:t>
      </w:r>
      <w:r w:rsidRPr="003C4AC6">
        <w:rPr>
          <w:noProof/>
          <w:szCs w:val="24"/>
        </w:rPr>
        <w:t xml:space="preserve">renewable energy projects across the Union. Member States' national renewable energy targets for 2020 </w:t>
      </w:r>
      <w:r w:rsidR="00403369" w:rsidRPr="003C4AC6">
        <w:rPr>
          <w:noProof/>
          <w:szCs w:val="24"/>
        </w:rPr>
        <w:t xml:space="preserve">should </w:t>
      </w:r>
      <w:r w:rsidRPr="003C4AC6">
        <w:rPr>
          <w:noProof/>
          <w:szCs w:val="24"/>
        </w:rPr>
        <w:t xml:space="preserve">serve as baseline shares of renewable energy from 2021 onwards. In the area of energy efficiency, additional measures </w:t>
      </w:r>
      <w:r w:rsidR="00D57F6A" w:rsidRPr="003C4AC6">
        <w:rPr>
          <w:noProof/>
          <w:szCs w:val="24"/>
        </w:rPr>
        <w:t xml:space="preserve">can </w:t>
      </w:r>
      <w:r w:rsidRPr="003C4AC6">
        <w:rPr>
          <w:noProof/>
          <w:szCs w:val="24"/>
        </w:rPr>
        <w:t>in particular aim at improving the energy efficiency of products, buildings and transport.</w:t>
      </w:r>
    </w:p>
    <w:p w:rsidR="00926A0D" w:rsidRPr="003C4AC6" w:rsidRDefault="006023A9">
      <w:pPr>
        <w:pStyle w:val="ManualConsidrant"/>
        <w:rPr>
          <w:noProof/>
        </w:rPr>
      </w:pPr>
      <w:r w:rsidRPr="003C4AC6">
        <w:t>(36)</w:t>
      </w:r>
      <w:r w:rsidRPr="003C4AC6">
        <w:tab/>
      </w:r>
      <w:r w:rsidRPr="003C4AC6">
        <w:rPr>
          <w:noProof/>
        </w:rPr>
        <w:t>The Union and the Member States should strive to provide the most up-to-date information on their greenhouse gas emissions and removals. This Regulation should enable such estimates to be prepared in the shortest timeframes possible by using statistical and other information, such as, where appropriate, space-based data provided by the Global Monitoring for Environment and Security programme and other satellite systems.</w:t>
      </w:r>
    </w:p>
    <w:p w:rsidR="00926A0D" w:rsidRPr="003C4AC6" w:rsidRDefault="006023A9">
      <w:pPr>
        <w:pStyle w:val="ManualConsidrant"/>
        <w:rPr>
          <w:noProof/>
        </w:rPr>
      </w:pPr>
      <w:r w:rsidRPr="003C4AC6">
        <w:t>(37)</w:t>
      </w:r>
      <w:r w:rsidRPr="003C4AC6">
        <w:tab/>
      </w:r>
      <w:r w:rsidRPr="003C4AC6">
        <w:rPr>
          <w:noProof/>
        </w:rPr>
        <w:t>Under Regulation [ ] [ESR], the approach of the annual commitment cycle taken in Decision No 406/2009/EC</w:t>
      </w:r>
      <w:r w:rsidR="00AA4922" w:rsidRPr="003C4AC6">
        <w:rPr>
          <w:noProof/>
        </w:rPr>
        <w:t xml:space="preserve"> </w:t>
      </w:r>
      <w:r w:rsidR="00AA4922" w:rsidRPr="003C4AC6">
        <w:t>of the European Parliament and of the Council</w:t>
      </w:r>
      <w:r w:rsidRPr="003C4AC6">
        <w:rPr>
          <w:rStyle w:val="FootnoteReference"/>
          <w:noProof/>
        </w:rPr>
        <w:footnoteReference w:id="29"/>
      </w:r>
      <w:r w:rsidRPr="003C4AC6">
        <w:rPr>
          <w:noProof/>
        </w:rPr>
        <w:t xml:space="preserve"> </w:t>
      </w:r>
      <w:r w:rsidR="00AA4922" w:rsidRPr="003C4AC6">
        <w:rPr>
          <w:noProof/>
        </w:rPr>
        <w:t xml:space="preserve">should </w:t>
      </w:r>
      <w:r w:rsidRPr="003C4AC6">
        <w:rPr>
          <w:noProof/>
        </w:rPr>
        <w:t>continue. That requires a comprehensive review of Member States’ greenhouse gas inventories to enable the assessment of compliance and the application of corrective action, where necessary. A review process at Union level of the greenhouse gas inventories submitted by Member States is necessary to ensure that compliance with Regulation [ ] [ESR] is assessed in a credible, consistent, transparent and timely manner.</w:t>
      </w:r>
    </w:p>
    <w:p w:rsidR="00926A0D" w:rsidRPr="003C4AC6" w:rsidRDefault="006023A9">
      <w:pPr>
        <w:pStyle w:val="ManualConsidrant"/>
        <w:rPr>
          <w:noProof/>
        </w:rPr>
      </w:pPr>
      <w:r w:rsidRPr="003C4AC6">
        <w:t>(38)</w:t>
      </w:r>
      <w:r w:rsidRPr="003C4AC6">
        <w:tab/>
      </w:r>
      <w:r w:rsidRPr="003C4AC6">
        <w:rPr>
          <w:noProof/>
        </w:rPr>
        <w:t>Member States and the Commission should ensure close cooperation on all matters relating to the implementation of the Energy Union and this Regulation, with close involvement of the European Parliament. The Commission should as appropriate assist Member States in implementing this Regulation, particularly with regard to the establishment of the national plans and associated capacity building.</w:t>
      </w:r>
    </w:p>
    <w:p w:rsidR="00926A0D" w:rsidRPr="003C4AC6" w:rsidRDefault="006023A9">
      <w:pPr>
        <w:pStyle w:val="ManualConsidrant"/>
        <w:rPr>
          <w:noProof/>
        </w:rPr>
      </w:pPr>
      <w:r w:rsidRPr="003C4AC6">
        <w:lastRenderedPageBreak/>
        <w:t>(39)</w:t>
      </w:r>
      <w:r w:rsidRPr="003C4AC6">
        <w:tab/>
      </w:r>
      <w:r w:rsidRPr="003C4AC6">
        <w:rPr>
          <w:noProof/>
        </w:rPr>
        <w:tab/>
        <w:t>Member States should ensure that integrated national energy and climate plans take into consideration the latest country-specific recommendations issued in the context of the European Semester.</w:t>
      </w:r>
    </w:p>
    <w:p w:rsidR="00926A0D" w:rsidRPr="003C4AC6" w:rsidRDefault="006023A9">
      <w:pPr>
        <w:pStyle w:val="ManualConsidrant"/>
        <w:rPr>
          <w:noProof/>
        </w:rPr>
      </w:pPr>
      <w:r w:rsidRPr="003C4AC6">
        <w:t>(40)</w:t>
      </w:r>
      <w:r w:rsidRPr="003C4AC6">
        <w:tab/>
      </w:r>
      <w:r w:rsidRPr="003C4AC6">
        <w:rPr>
          <w:noProof/>
        </w:rPr>
        <w:t xml:space="preserve">The European Environment Agency should assist the Commission, as appropriate and in accordance with its annual work programme, with assessment, monitoring and reporting work. </w:t>
      </w:r>
    </w:p>
    <w:p w:rsidR="00926A0D" w:rsidRPr="003C4AC6" w:rsidRDefault="006023A9">
      <w:pPr>
        <w:pStyle w:val="ManualConsidrant"/>
        <w:rPr>
          <w:noProof/>
        </w:rPr>
      </w:pPr>
      <w:r w:rsidRPr="003C4AC6">
        <w:t>(41)</w:t>
      </w:r>
      <w:r w:rsidRPr="003C4AC6">
        <w:tab/>
      </w:r>
      <w:r w:rsidRPr="003C4AC6">
        <w:rPr>
          <w:noProof/>
        </w:rPr>
        <w:t xml:space="preserve">The power to adopt acts in accordance with Article 290 of the Treaty on the Functioning of the European Union (TFEU) should be delegated to the Commission in order to amend the general framework for integrated national energy and climate plans (template), set up a </w:t>
      </w:r>
      <w:r w:rsidR="004D775E" w:rsidRPr="003C4AC6">
        <w:rPr>
          <w:noProof/>
          <w:szCs w:val="24"/>
        </w:rPr>
        <w:t xml:space="preserve">financing platform </w:t>
      </w:r>
      <w:r w:rsidRPr="003C4AC6">
        <w:rPr>
          <w:noProof/>
        </w:rPr>
        <w:t xml:space="preserve">to which Member States </w:t>
      </w:r>
      <w:r w:rsidR="00403369" w:rsidRPr="003C4AC6">
        <w:rPr>
          <w:noProof/>
        </w:rPr>
        <w:t xml:space="preserve">can </w:t>
      </w:r>
      <w:r w:rsidRPr="003C4AC6">
        <w:rPr>
          <w:noProof/>
        </w:rPr>
        <w:t>contribute in case the Union trajectory towards the 2030 Union renewable energy target is not collectively met, take account of changes in the global warming potentials (</w:t>
      </w:r>
      <w:r w:rsidR="00EA4DC4" w:rsidRPr="003C4AC6">
        <w:rPr>
          <w:noProof/>
        </w:rPr>
        <w:t>"</w:t>
      </w:r>
      <w:r w:rsidRPr="003C4AC6">
        <w:rPr>
          <w:noProof/>
        </w:rPr>
        <w:t>GWPs</w:t>
      </w:r>
      <w:r w:rsidR="00EA4DC4" w:rsidRPr="003C4AC6">
        <w:rPr>
          <w:noProof/>
        </w:rPr>
        <w:t>"</w:t>
      </w:r>
      <w:r w:rsidRPr="003C4AC6">
        <w:rPr>
          <w:noProof/>
        </w:rPr>
        <w:t>) and internationally agreed inventory guidelines, set substantive requirements for the Union inventory system and set up the registries pursuant to Article 33. It is of particular importance that the Commission carries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should receive all documents at the same time as Member States' experts, and their experts should systematically have access to meetings of Commission expert groups dealing with the preparation of delegated acts. It should also take into account, where necessary, decisions adopted under the UNFCCC and the Paris Agreement.</w:t>
      </w:r>
    </w:p>
    <w:p w:rsidR="00926A0D" w:rsidRPr="003C4AC6" w:rsidRDefault="006023A9">
      <w:pPr>
        <w:pStyle w:val="ManualConsidrant"/>
        <w:rPr>
          <w:noProof/>
        </w:rPr>
      </w:pPr>
      <w:r w:rsidRPr="003C4AC6">
        <w:t>(42)</w:t>
      </w:r>
      <w:r w:rsidRPr="003C4AC6">
        <w:tab/>
      </w:r>
      <w:r w:rsidRPr="003C4AC6">
        <w:rPr>
          <w:noProof/>
        </w:rPr>
        <w:t xml:space="preserve">In order to ensure uniform conditions for the implementation of Articles 15(3), </w:t>
      </w:r>
      <w:r w:rsidR="00AA4922" w:rsidRPr="003C4AC6">
        <w:rPr>
          <w:noProof/>
        </w:rPr>
        <w:t xml:space="preserve">Article </w:t>
      </w:r>
      <w:r w:rsidRPr="003C4AC6">
        <w:rPr>
          <w:noProof/>
        </w:rPr>
        <w:t xml:space="preserve">17(4), </w:t>
      </w:r>
      <w:r w:rsidR="00AA4922" w:rsidRPr="003C4AC6">
        <w:rPr>
          <w:noProof/>
        </w:rPr>
        <w:t xml:space="preserve">Article </w:t>
      </w:r>
      <w:r w:rsidRPr="003C4AC6">
        <w:rPr>
          <w:noProof/>
        </w:rPr>
        <w:t xml:space="preserve">23(6), </w:t>
      </w:r>
      <w:r w:rsidR="00AA4922" w:rsidRPr="003C4AC6">
        <w:rPr>
          <w:noProof/>
        </w:rPr>
        <w:t xml:space="preserve">Article </w:t>
      </w:r>
      <w:r w:rsidRPr="003C4AC6">
        <w:rPr>
          <w:noProof/>
        </w:rPr>
        <w:t xml:space="preserve">31(3) and (4) and </w:t>
      </w:r>
      <w:r w:rsidR="00AA4922" w:rsidRPr="003C4AC6">
        <w:rPr>
          <w:noProof/>
        </w:rPr>
        <w:t xml:space="preserve">Article </w:t>
      </w:r>
      <w:r w:rsidRPr="003C4AC6">
        <w:rPr>
          <w:noProof/>
        </w:rPr>
        <w:t>32(3) of this Regulation, implementing powers should be conferred on the Commission. Those powers should be exercised in accordance with Regulation (EU) No 182/2011</w:t>
      </w:r>
      <w:r w:rsidR="00AA4922" w:rsidRPr="003C4AC6">
        <w:rPr>
          <w:rStyle w:val="FootnoteReference"/>
          <w:noProof/>
        </w:rPr>
        <w:footnoteReference w:id="30"/>
      </w:r>
      <w:r w:rsidRPr="003C4AC6">
        <w:rPr>
          <w:noProof/>
        </w:rPr>
        <w:t>.</w:t>
      </w:r>
    </w:p>
    <w:p w:rsidR="00926A0D" w:rsidRPr="003C4AC6" w:rsidRDefault="006023A9">
      <w:pPr>
        <w:pStyle w:val="ManualConsidrant"/>
        <w:rPr>
          <w:noProof/>
        </w:rPr>
      </w:pPr>
      <w:r w:rsidRPr="003C4AC6">
        <w:t>(43)</w:t>
      </w:r>
      <w:r w:rsidRPr="003C4AC6">
        <w:tab/>
      </w:r>
      <w:r w:rsidRPr="003C4AC6">
        <w:rPr>
          <w:noProof/>
        </w:rPr>
        <w:t xml:space="preserve">The Commission should be assisted in its tasks under this Regulation by an Energy Union Committee to prepare implementing acts. It should replace and take on the assignments of the Climate Change Committee and other committees as appropriate. </w:t>
      </w:r>
    </w:p>
    <w:p w:rsidR="00926A0D" w:rsidRPr="003C4AC6" w:rsidRDefault="006023A9">
      <w:pPr>
        <w:pStyle w:val="ManualConsidrant"/>
        <w:rPr>
          <w:noProof/>
        </w:rPr>
      </w:pPr>
      <w:r w:rsidRPr="003C4AC6">
        <w:t>(44)</w:t>
      </w:r>
      <w:r w:rsidRPr="003C4AC6">
        <w:tab/>
      </w:r>
      <w:r w:rsidRPr="003C4AC6">
        <w:rPr>
          <w:noProof/>
        </w:rPr>
        <w:t>The Commission should review the implementation of this Regulation in 2026 and make amending proposals as appropriate to ensure the proper implementation of the Regulation and the achievement of its objectives. The review should take into account evolving circumstances and be informed by the results of the global stocktake of the Paris Agreement, where necessary.</w:t>
      </w:r>
    </w:p>
    <w:p w:rsidR="00D01DCA" w:rsidRPr="003C4AC6" w:rsidRDefault="006023A9">
      <w:pPr>
        <w:pStyle w:val="ManualConsidrant"/>
      </w:pPr>
      <w:r w:rsidRPr="003C4AC6">
        <w:t>(45)</w:t>
      </w:r>
      <w:r w:rsidRPr="003C4AC6">
        <w:tab/>
      </w:r>
      <w:r w:rsidRPr="003C4AC6">
        <w:rPr>
          <w:noProof/>
        </w:rPr>
        <w:t xml:space="preserve">This Regulation </w:t>
      </w:r>
      <w:r w:rsidR="00AA4922" w:rsidRPr="003C4AC6">
        <w:rPr>
          <w:noProof/>
        </w:rPr>
        <w:t xml:space="preserve">should </w:t>
      </w:r>
      <w:r w:rsidRPr="003C4AC6">
        <w:rPr>
          <w:noProof/>
        </w:rPr>
        <w:t xml:space="preserve">integrate, amend, replace and </w:t>
      </w:r>
      <w:r w:rsidR="00AA4922" w:rsidRPr="003C4AC6">
        <w:rPr>
          <w:noProof/>
        </w:rPr>
        <w:t xml:space="preserve">withdraw </w:t>
      </w:r>
      <w:r w:rsidRPr="003C4AC6">
        <w:rPr>
          <w:noProof/>
        </w:rPr>
        <w:t xml:space="preserve">certain planning, reporting and monitoring obligations currently contained in sectorial energy and climate Union legislation to ensure a streamlined and integrated approach to the main planning, reporting and monitoring strands. </w:t>
      </w:r>
      <w:r w:rsidR="00D01DCA" w:rsidRPr="003C4AC6">
        <w:rPr>
          <w:noProof/>
        </w:rPr>
        <w:t xml:space="preserve">The following acts </w:t>
      </w:r>
      <w:r w:rsidR="00D01DCA" w:rsidRPr="003C4AC6">
        <w:t>should therefore be amended accordingly:</w:t>
      </w:r>
    </w:p>
    <w:p w:rsidR="00D01DCA" w:rsidRPr="003C4AC6" w:rsidRDefault="00403369" w:rsidP="006E2D2D">
      <w:pPr>
        <w:pStyle w:val="Tiret1"/>
        <w:numPr>
          <w:ilvl w:val="0"/>
          <w:numId w:val="59"/>
        </w:numPr>
      </w:pPr>
      <w:r w:rsidRPr="003C4AC6">
        <w:lastRenderedPageBreak/>
        <w:t>Directive 94/22/EC</w:t>
      </w:r>
      <w:r w:rsidR="00D01DCA" w:rsidRPr="003C4AC6">
        <w:t xml:space="preserve"> of the European Parliame</w:t>
      </w:r>
      <w:r w:rsidR="00E66DE7" w:rsidRPr="003C4AC6">
        <w:t>nt and of the Council of 30 May </w:t>
      </w:r>
      <w:r w:rsidR="00D01DCA" w:rsidRPr="003C4AC6">
        <w:t>1994 on the conditions for granting and using authorizations for the prospection, exploration and production of hydrocarbons</w:t>
      </w:r>
      <w:r w:rsidRPr="003C4AC6">
        <w:rPr>
          <w:rStyle w:val="FootnoteReference"/>
          <w:noProof/>
        </w:rPr>
        <w:footnoteReference w:id="31"/>
      </w:r>
      <w:r w:rsidR="00D01DCA" w:rsidRPr="003C4AC6">
        <w:t>;</w:t>
      </w:r>
    </w:p>
    <w:p w:rsidR="00566A82" w:rsidRPr="003C4AC6" w:rsidRDefault="00D01DCA" w:rsidP="003C4AC6">
      <w:pPr>
        <w:pStyle w:val="Tiret1"/>
      </w:pPr>
      <w:r w:rsidRPr="003C4AC6">
        <w:t xml:space="preserve">Directive </w:t>
      </w:r>
      <w:r w:rsidR="00403369" w:rsidRPr="003C4AC6">
        <w:t>98/70/EC</w:t>
      </w:r>
      <w:r w:rsidR="00566A82" w:rsidRPr="003C4AC6">
        <w:t xml:space="preserve"> of the European Parl</w:t>
      </w:r>
      <w:r w:rsidR="00E66DE7" w:rsidRPr="003C4AC6">
        <w:t>iament and of the Council of 13 </w:t>
      </w:r>
      <w:r w:rsidR="00566A82" w:rsidRPr="003C4AC6">
        <w:t>October 1998 relating to the quality of petrol and diesel fuels and amending Council Directive 93/12/EEC</w:t>
      </w:r>
      <w:r w:rsidR="00403369" w:rsidRPr="003C4AC6">
        <w:rPr>
          <w:rStyle w:val="FootnoteReference"/>
          <w:noProof/>
        </w:rPr>
        <w:footnoteReference w:id="32"/>
      </w:r>
      <w:r w:rsidR="00566A82" w:rsidRPr="003C4AC6">
        <w:t>;</w:t>
      </w:r>
    </w:p>
    <w:p w:rsidR="00566A82" w:rsidRPr="003C4AC6" w:rsidRDefault="00566A82" w:rsidP="003C4AC6">
      <w:pPr>
        <w:pStyle w:val="Tiret1"/>
      </w:pPr>
      <w:r w:rsidRPr="003C4AC6">
        <w:t>Directive</w:t>
      </w:r>
      <w:r w:rsidR="00403369" w:rsidRPr="003C4AC6">
        <w:t xml:space="preserve"> 2009/31/EC</w:t>
      </w:r>
      <w:r w:rsidRPr="003C4AC6">
        <w:t xml:space="preserve"> of the European Parl</w:t>
      </w:r>
      <w:r w:rsidR="00E66DE7" w:rsidRPr="003C4AC6">
        <w:t>iament and of the Council of 23 </w:t>
      </w:r>
      <w:r w:rsidRPr="003C4AC6">
        <w:t>April 2009 on the geological storage of carbon dioxide and amending Council Directive 85/337/EEC, European Parliament and Council Directives 2000/60/EC, 2001/80/EC, 2004/35/EC, 2006/12/EC, 2008/1/EC and Regulation (EC) No 1013/2006</w:t>
      </w:r>
      <w:r w:rsidR="009E6CF1" w:rsidRPr="003C4AC6">
        <w:rPr>
          <w:rStyle w:val="FootnoteReference"/>
        </w:rPr>
        <w:footnoteReference w:id="33"/>
      </w:r>
      <w:r w:rsidRPr="003C4AC6">
        <w:t>;</w:t>
      </w:r>
    </w:p>
    <w:p w:rsidR="00566A82" w:rsidRPr="003C4AC6" w:rsidRDefault="00403369" w:rsidP="003C4AC6">
      <w:pPr>
        <w:pStyle w:val="Tiret1"/>
      </w:pPr>
      <w:r w:rsidRPr="003C4AC6">
        <w:t>Regulation (EC) No 663/2009</w:t>
      </w:r>
      <w:r w:rsidR="00566A82" w:rsidRPr="003C4AC6">
        <w:t xml:space="preserve"> of the European Parliament and of the Council of 13 July 2009 establishing a programme to aid economic recovery by granting Community financial assistance to projects in the field of energy</w:t>
      </w:r>
      <w:r w:rsidRPr="003C4AC6">
        <w:rPr>
          <w:rStyle w:val="FootnoteReference"/>
          <w:noProof/>
        </w:rPr>
        <w:footnoteReference w:id="34"/>
      </w:r>
      <w:r w:rsidR="00566A82" w:rsidRPr="003C4AC6">
        <w:t>;</w:t>
      </w:r>
    </w:p>
    <w:p w:rsidR="00566A82" w:rsidRPr="003C4AC6" w:rsidRDefault="00566A82" w:rsidP="003C4AC6">
      <w:pPr>
        <w:pStyle w:val="Tiret1"/>
      </w:pPr>
      <w:r w:rsidRPr="003C4AC6">
        <w:t xml:space="preserve">Regulation </w:t>
      </w:r>
      <w:r w:rsidR="00403369" w:rsidRPr="003C4AC6">
        <w:t>(EC) No 715/2009</w:t>
      </w:r>
      <w:r w:rsidRPr="003C4AC6">
        <w:t xml:space="preserve"> of the European Parliament and of the Council of 13 July 2009 on conditions for access to the natural gas transmission networks and repealing Regulation (EC) No 1775/2005</w:t>
      </w:r>
      <w:r w:rsidR="00403369" w:rsidRPr="003C4AC6">
        <w:rPr>
          <w:rStyle w:val="FootnoteReference"/>
          <w:noProof/>
        </w:rPr>
        <w:footnoteReference w:id="35"/>
      </w:r>
      <w:r w:rsidRPr="003C4AC6">
        <w:t>;</w:t>
      </w:r>
    </w:p>
    <w:p w:rsidR="00566A82" w:rsidRPr="003C4AC6" w:rsidRDefault="00403369" w:rsidP="003C4AC6">
      <w:pPr>
        <w:pStyle w:val="Tiret1"/>
      </w:pPr>
      <w:r w:rsidRPr="003C4AC6">
        <w:t>Directive 2009/73/EC of the European Parliament and of the Council</w:t>
      </w:r>
      <w:r w:rsidR="00566A82" w:rsidRPr="003C4AC6">
        <w:t xml:space="preserve"> </w:t>
      </w:r>
      <w:r w:rsidR="00E66DE7" w:rsidRPr="003C4AC6">
        <w:t>of 13 </w:t>
      </w:r>
      <w:r w:rsidR="00566A82" w:rsidRPr="003C4AC6">
        <w:t>July 2009 concerning common rules for the internal market in natural gas and repealing Directive 2003/55/EC</w:t>
      </w:r>
      <w:r w:rsidRPr="003C4AC6">
        <w:rPr>
          <w:rStyle w:val="FootnoteReference"/>
          <w:noProof/>
        </w:rPr>
        <w:footnoteReference w:id="36"/>
      </w:r>
      <w:r w:rsidR="00566A82" w:rsidRPr="003C4AC6">
        <w:t>;</w:t>
      </w:r>
    </w:p>
    <w:p w:rsidR="00566A82" w:rsidRPr="003C4AC6" w:rsidRDefault="00403369" w:rsidP="003C4AC6">
      <w:pPr>
        <w:pStyle w:val="Tiret1"/>
      </w:pPr>
      <w:r w:rsidRPr="003C4AC6">
        <w:t>Council Directive 2009/119/EC</w:t>
      </w:r>
      <w:r w:rsidR="00566A82" w:rsidRPr="003C4AC6">
        <w:t xml:space="preserve"> of 14 September 2009 imposing an obligation on Member States to maintain minimum stocks of crude oil and/or petroleum products</w:t>
      </w:r>
      <w:r w:rsidRPr="003C4AC6">
        <w:rPr>
          <w:rStyle w:val="FootnoteReference"/>
          <w:noProof/>
        </w:rPr>
        <w:footnoteReference w:id="37"/>
      </w:r>
      <w:r w:rsidR="00566A82" w:rsidRPr="003C4AC6">
        <w:t>;</w:t>
      </w:r>
    </w:p>
    <w:p w:rsidR="00566A82" w:rsidRPr="003C4AC6" w:rsidRDefault="00403369" w:rsidP="003C4AC6">
      <w:pPr>
        <w:pStyle w:val="Tiret1"/>
      </w:pPr>
      <w:r w:rsidRPr="003C4AC6">
        <w:t>Directive 2010/31/EU</w:t>
      </w:r>
      <w:r w:rsidR="00566A82" w:rsidRPr="003C4AC6">
        <w:t xml:space="preserve"> of the European Parl</w:t>
      </w:r>
      <w:r w:rsidR="00E66DE7" w:rsidRPr="003C4AC6">
        <w:t>iament and of the Council of 19 </w:t>
      </w:r>
      <w:r w:rsidR="00566A82" w:rsidRPr="003C4AC6">
        <w:t>May 2010 on the energy performance of buildings</w:t>
      </w:r>
      <w:r w:rsidRPr="003C4AC6">
        <w:rPr>
          <w:rStyle w:val="FootnoteReference"/>
          <w:noProof/>
          <w:szCs w:val="24"/>
        </w:rPr>
        <w:footnoteReference w:id="38"/>
      </w:r>
      <w:r w:rsidR="00566A82" w:rsidRPr="003C4AC6">
        <w:t>;</w:t>
      </w:r>
    </w:p>
    <w:p w:rsidR="00566A82" w:rsidRPr="003C4AC6" w:rsidRDefault="00566A82" w:rsidP="003C4AC6">
      <w:pPr>
        <w:pStyle w:val="Tiret1"/>
      </w:pPr>
      <w:r w:rsidRPr="003C4AC6">
        <w:t xml:space="preserve">Directive </w:t>
      </w:r>
      <w:r w:rsidR="00403369" w:rsidRPr="003C4AC6">
        <w:t>2012/27/EU</w:t>
      </w:r>
      <w:r w:rsidRPr="003C4AC6">
        <w:t xml:space="preserve"> of the European Parl</w:t>
      </w:r>
      <w:r w:rsidR="00E66DE7" w:rsidRPr="003C4AC6">
        <w:t>iament and of the Council of 25 </w:t>
      </w:r>
      <w:r w:rsidRPr="003C4AC6">
        <w:t>October 2012 on energy efficiency, amending Directives 2009/125/EC and 2010/30/EU and repealing Directives 2004/8/EC and 2006/32/EC</w:t>
      </w:r>
      <w:r w:rsidR="00403369" w:rsidRPr="003C4AC6">
        <w:rPr>
          <w:rStyle w:val="FootnoteReference"/>
          <w:noProof/>
          <w:szCs w:val="24"/>
        </w:rPr>
        <w:footnoteReference w:id="39"/>
      </w:r>
      <w:r w:rsidRPr="003C4AC6">
        <w:t>;</w:t>
      </w:r>
    </w:p>
    <w:p w:rsidR="00566A82" w:rsidRPr="003C4AC6" w:rsidRDefault="00566A82" w:rsidP="003C4AC6">
      <w:pPr>
        <w:pStyle w:val="Tiret1"/>
      </w:pPr>
      <w:r w:rsidRPr="003C4AC6">
        <w:t xml:space="preserve">Directive </w:t>
      </w:r>
      <w:r w:rsidR="00403369" w:rsidRPr="003C4AC6">
        <w:t xml:space="preserve">2013/30/EU of the European Parliament and of the Council </w:t>
      </w:r>
      <w:r w:rsidR="00E66DE7" w:rsidRPr="003C4AC6">
        <w:t>of 12 June 2013 on safety of offshore oil and gas operations and amending Directive 2004/35/EC</w:t>
      </w:r>
      <w:r w:rsidR="00403369" w:rsidRPr="003C4AC6">
        <w:rPr>
          <w:rStyle w:val="FootnoteReference"/>
          <w:noProof/>
        </w:rPr>
        <w:footnoteReference w:id="40"/>
      </w:r>
      <w:r w:rsidRPr="003C4AC6">
        <w:t>;</w:t>
      </w:r>
    </w:p>
    <w:p w:rsidR="00403369" w:rsidRPr="003C4AC6" w:rsidRDefault="00403369" w:rsidP="003C4AC6">
      <w:pPr>
        <w:pStyle w:val="Tiret1"/>
      </w:pPr>
      <w:r w:rsidRPr="003C4AC6">
        <w:t>Council Directive (EU) 2015/652</w:t>
      </w:r>
      <w:r w:rsidR="00566A82" w:rsidRPr="003C4AC6">
        <w:t xml:space="preserve"> of 20 April 2015 laying down calculation methods and reporting requirements pursuant to Directive 98/70/EC of the European Parliament and of the Council relating to the quality of petrol and diesel fuels</w:t>
      </w:r>
      <w:r w:rsidRPr="003C4AC6">
        <w:rPr>
          <w:rStyle w:val="FootnoteReference"/>
          <w:noProof/>
        </w:rPr>
        <w:footnoteReference w:id="41"/>
      </w:r>
      <w:r w:rsidRPr="003C4AC6">
        <w:t>.</w:t>
      </w:r>
    </w:p>
    <w:p w:rsidR="00926A0D" w:rsidRDefault="00403369" w:rsidP="00403369">
      <w:pPr>
        <w:pStyle w:val="ManualConsidrant"/>
        <w:rPr>
          <w:noProof/>
        </w:rPr>
      </w:pPr>
      <w:r w:rsidRPr="003C4AC6">
        <w:lastRenderedPageBreak/>
        <w:t>(46)</w:t>
      </w:r>
      <w:r w:rsidRPr="003C4AC6">
        <w:tab/>
      </w:r>
      <w:r w:rsidRPr="003C4AC6">
        <w:rPr>
          <w:noProof/>
        </w:rPr>
        <w:t xml:space="preserve">This Regulation </w:t>
      </w:r>
      <w:r w:rsidR="00566A82" w:rsidRPr="003C4AC6">
        <w:rPr>
          <w:noProof/>
        </w:rPr>
        <w:t xml:space="preserve">should </w:t>
      </w:r>
      <w:r w:rsidR="006023A9" w:rsidRPr="003C4AC6">
        <w:rPr>
          <w:noProof/>
        </w:rPr>
        <w:t>also</w:t>
      </w:r>
      <w:r w:rsidR="006023A9">
        <w:rPr>
          <w:noProof/>
        </w:rPr>
        <w:t xml:space="preserve"> integrate in full</w:t>
      </w:r>
      <w:r>
        <w:rPr>
          <w:noProof/>
        </w:rPr>
        <w:t xml:space="preserve"> the provisions of</w:t>
      </w:r>
      <w:r w:rsidR="006023A9">
        <w:rPr>
          <w:noProof/>
        </w:rPr>
        <w:t xml:space="preserve"> Regulation (EU) No 525/2013. </w:t>
      </w:r>
      <w:r>
        <w:rPr>
          <w:noProof/>
        </w:rPr>
        <w:t>As a consequence, Regulation (EU) No 525/2013 should be repealed</w:t>
      </w:r>
      <w:r w:rsidR="00A42AFE">
        <w:rPr>
          <w:noProof/>
        </w:rPr>
        <w:t xml:space="preserve"> as of 1 January 2021</w:t>
      </w:r>
      <w:r>
        <w:rPr>
          <w:noProof/>
        </w:rPr>
        <w:t xml:space="preserve">. However, in order to </w:t>
      </w:r>
      <w:r w:rsidR="00A42AFE">
        <w:rPr>
          <w:noProof/>
        </w:rPr>
        <w:t>ensure that the implementation of Decision No 406/2009/EC continues under Regulation (EU) No 525/2013 and that certain aspects linked to the implementation of the Kyoto Protocol remain covered by legislation,</w:t>
      </w:r>
      <w:r>
        <w:rPr>
          <w:noProof/>
        </w:rPr>
        <w:t xml:space="preserve"> it is necessary that certain provisions remain applicable </w:t>
      </w:r>
      <w:r w:rsidR="00A42AFE">
        <w:rPr>
          <w:noProof/>
        </w:rPr>
        <w:t>after this date.</w:t>
      </w:r>
    </w:p>
    <w:p w:rsidR="00926A0D" w:rsidRDefault="006023A9">
      <w:pPr>
        <w:pStyle w:val="ManualConsidrant"/>
        <w:rPr>
          <w:noProof/>
        </w:rPr>
      </w:pPr>
      <w:r>
        <w:t>(</w:t>
      </w:r>
      <w:r w:rsidR="00403369">
        <w:t>47</w:t>
      </w:r>
      <w:r>
        <w:t>)</w:t>
      </w:r>
      <w:r>
        <w:tab/>
      </w:r>
      <w:r>
        <w:rPr>
          <w:noProof/>
        </w:rPr>
        <w:t xml:space="preserve">Since the objectives of this Regulation cannot be sufficiently achieved by the Member States alone and can therefore, by reason of the scale and effects of the proposed action, be better achieved at Union level, the Union </w:t>
      </w:r>
      <w:r w:rsidR="00F51C5F">
        <w:rPr>
          <w:noProof/>
        </w:rPr>
        <w:t xml:space="preserve">may </w:t>
      </w:r>
      <w:r>
        <w:rPr>
          <w:noProof/>
        </w:rPr>
        <w:t>adopt measures in accordance with the principle of subsidiarity as set out in Article 5 of the Treaty on European Union. In accordance with the principle of proportionality, as set out in that Article, this Regulation does not go beyond what is necessary to achieve those objectives.</w:t>
      </w:r>
    </w:p>
    <w:p w:rsidR="00926A0D" w:rsidRDefault="006023A9">
      <w:pPr>
        <w:pStyle w:val="Formuledadoption"/>
        <w:rPr>
          <w:noProof/>
        </w:rPr>
      </w:pPr>
      <w:r>
        <w:rPr>
          <w:noProof/>
        </w:rPr>
        <w:t>HAVE ADOPTED THIS REGULATION:</w:t>
      </w:r>
    </w:p>
    <w:p w:rsidR="00926A0D" w:rsidRDefault="006023A9">
      <w:pPr>
        <w:spacing w:before="0" w:after="200" w:line="276" w:lineRule="auto"/>
        <w:jc w:val="left"/>
        <w:rPr>
          <w:b/>
          <w:noProof/>
          <w:sz w:val="32"/>
        </w:rPr>
      </w:pPr>
      <w:r>
        <w:rPr>
          <w:noProof/>
        </w:rPr>
        <w:br w:type="page"/>
      </w:r>
    </w:p>
    <w:p w:rsidR="00926A0D" w:rsidRDefault="006023A9">
      <w:pPr>
        <w:pStyle w:val="PartTitle"/>
        <w:rPr>
          <w:noProof/>
        </w:rPr>
      </w:pPr>
      <w:r>
        <w:rPr>
          <w:noProof/>
        </w:rPr>
        <w:lastRenderedPageBreak/>
        <w:t>CHAPTER 1</w:t>
      </w:r>
      <w:r>
        <w:rPr>
          <w:noProof/>
        </w:rPr>
        <w:br/>
        <w:t>GENERAL PROVISIONS</w:t>
      </w:r>
    </w:p>
    <w:p w:rsidR="00926A0D" w:rsidRDefault="006023A9">
      <w:pPr>
        <w:pStyle w:val="Titrearticle"/>
        <w:rPr>
          <w:i w:val="0"/>
          <w:noProof/>
        </w:rPr>
      </w:pPr>
      <w:r w:rsidRPr="0076006B">
        <w:rPr>
          <w:noProof/>
        </w:rPr>
        <w:t>Article 1</w:t>
      </w:r>
      <w:r>
        <w:rPr>
          <w:b/>
          <w:i w:val="0"/>
          <w:noProof/>
          <w:highlight w:val="yellow"/>
        </w:rPr>
        <w:t xml:space="preserve"> </w:t>
      </w:r>
      <w:r>
        <w:rPr>
          <w:b/>
          <w:i w:val="0"/>
          <w:noProof/>
        </w:rPr>
        <w:br/>
        <w:t>Subject matter and scope</w:t>
      </w:r>
    </w:p>
    <w:p w:rsidR="00926A0D" w:rsidRDefault="006023A9">
      <w:pPr>
        <w:rPr>
          <w:noProof/>
          <w:szCs w:val="24"/>
        </w:rPr>
      </w:pPr>
      <w:r>
        <w:rPr>
          <w:noProof/>
          <w:szCs w:val="24"/>
        </w:rPr>
        <w:t>1.</w:t>
      </w:r>
      <w:r>
        <w:rPr>
          <w:noProof/>
          <w:szCs w:val="24"/>
        </w:rPr>
        <w:tab/>
        <w:t>This Regulation establishes a Governance mechanism to</w:t>
      </w:r>
      <w:r w:rsidR="00E66DE7">
        <w:rPr>
          <w:noProof/>
          <w:szCs w:val="24"/>
        </w:rPr>
        <w:t>:</w:t>
      </w:r>
      <w:r>
        <w:rPr>
          <w:noProof/>
          <w:szCs w:val="24"/>
        </w:rPr>
        <w:t xml:space="preserve"> </w:t>
      </w:r>
    </w:p>
    <w:p w:rsidR="00926A0D" w:rsidRDefault="006023A9" w:rsidP="00AF12E0">
      <w:pPr>
        <w:pStyle w:val="Point1letter"/>
        <w:numPr>
          <w:ilvl w:val="3"/>
          <w:numId w:val="35"/>
        </w:numPr>
        <w:rPr>
          <w:noProof/>
        </w:rPr>
      </w:pPr>
      <w:r>
        <w:rPr>
          <w:noProof/>
        </w:rPr>
        <w:t xml:space="preserve">implement strategies and measures designed to meet the objectives and targets of the Energy Union, and for the first ten-year period </w:t>
      </w:r>
      <w:r w:rsidR="00B727C9">
        <w:rPr>
          <w:noProof/>
          <w:color w:val="000000" w:themeColor="text1"/>
          <w:szCs w:val="24"/>
        </w:rPr>
        <w:t xml:space="preserve">from 2021 to 2030 </w:t>
      </w:r>
      <w:r>
        <w:rPr>
          <w:noProof/>
        </w:rPr>
        <w:t xml:space="preserve">in particular the EU's 2030 targets for energy and climate; </w:t>
      </w:r>
    </w:p>
    <w:p w:rsidR="00926A0D" w:rsidRDefault="006023A9">
      <w:pPr>
        <w:pStyle w:val="Point1letter"/>
        <w:rPr>
          <w:noProof/>
        </w:rPr>
      </w:pPr>
      <w:r>
        <w:rPr>
          <w:noProof/>
        </w:rPr>
        <w:t>ensure the timeliness, transparency, accuracy, consistency, comparability and completeness of reporting by the Union and its Member States to the UNFCCC and Paris Agreement secretariat.</w:t>
      </w:r>
    </w:p>
    <w:p w:rsidR="00926A0D" w:rsidRDefault="006023A9">
      <w:pPr>
        <w:rPr>
          <w:noProof/>
        </w:rPr>
      </w:pPr>
      <w:r>
        <w:rPr>
          <w:noProof/>
        </w:rPr>
        <w:t xml:space="preserve">The governance mechanism shall be based on integrated national energy and climate plans covering ten-year periods starting from 2021 to 2030, corresponding integrated national energy and climate progress reports by the Member States and integrated monitoring arrangements by the European Commission. It </w:t>
      </w:r>
      <w:r w:rsidR="00F51C5F">
        <w:rPr>
          <w:noProof/>
        </w:rPr>
        <w:t xml:space="preserve">shall </w:t>
      </w:r>
      <w:r>
        <w:rPr>
          <w:noProof/>
        </w:rPr>
        <w:t>define a structured, iterative process between the Commission and Member States in view of the finalisation of the national plans and their subsequent implementation, including with regard to regional cooperation, and corresponding Commission action.</w:t>
      </w:r>
    </w:p>
    <w:p w:rsidR="00926A0D" w:rsidRDefault="006023A9">
      <w:pPr>
        <w:ind w:left="720" w:hanging="720"/>
        <w:rPr>
          <w:noProof/>
        </w:rPr>
      </w:pPr>
      <w:r>
        <w:rPr>
          <w:noProof/>
          <w:szCs w:val="24"/>
        </w:rPr>
        <w:t>2.</w:t>
      </w:r>
      <w:r>
        <w:rPr>
          <w:noProof/>
          <w:szCs w:val="24"/>
        </w:rPr>
        <w:tab/>
        <w:t>This Regulation shall apply to the following five dimensions of the Energy Union:</w:t>
      </w:r>
      <w:r>
        <w:rPr>
          <w:noProof/>
        </w:rPr>
        <w:t xml:space="preserve"> </w:t>
      </w:r>
    </w:p>
    <w:p w:rsidR="00926A0D" w:rsidRDefault="006023A9" w:rsidP="004B047A">
      <w:pPr>
        <w:pStyle w:val="Point1letter"/>
        <w:numPr>
          <w:ilvl w:val="3"/>
          <w:numId w:val="58"/>
        </w:numPr>
        <w:rPr>
          <w:noProof/>
        </w:rPr>
      </w:pPr>
      <w:r>
        <w:rPr>
          <w:noProof/>
        </w:rPr>
        <w:t xml:space="preserve">energy security, </w:t>
      </w:r>
    </w:p>
    <w:p w:rsidR="00926A0D" w:rsidRDefault="006023A9" w:rsidP="003C4AC6">
      <w:pPr>
        <w:pStyle w:val="Point1letter"/>
        <w:rPr>
          <w:noProof/>
        </w:rPr>
      </w:pPr>
      <w:r>
        <w:rPr>
          <w:noProof/>
        </w:rPr>
        <w:t xml:space="preserve">energy market, </w:t>
      </w:r>
    </w:p>
    <w:p w:rsidR="00926A0D" w:rsidRDefault="006023A9" w:rsidP="003C4AC6">
      <w:pPr>
        <w:pStyle w:val="Point1letter"/>
        <w:rPr>
          <w:noProof/>
        </w:rPr>
      </w:pPr>
      <w:r>
        <w:rPr>
          <w:noProof/>
        </w:rPr>
        <w:t xml:space="preserve">energy efficiency, </w:t>
      </w:r>
    </w:p>
    <w:p w:rsidR="00926A0D" w:rsidRDefault="006023A9" w:rsidP="003C4AC6">
      <w:pPr>
        <w:pStyle w:val="Point1letter"/>
        <w:rPr>
          <w:noProof/>
        </w:rPr>
      </w:pPr>
      <w:r>
        <w:rPr>
          <w:noProof/>
        </w:rPr>
        <w:t>decarbonisation and</w:t>
      </w:r>
    </w:p>
    <w:p w:rsidR="00926A0D" w:rsidRDefault="006023A9" w:rsidP="003C4AC6">
      <w:pPr>
        <w:pStyle w:val="Point1letter"/>
        <w:rPr>
          <w:noProof/>
        </w:rPr>
      </w:pPr>
      <w:r>
        <w:rPr>
          <w:noProof/>
        </w:rPr>
        <w:t>research, innovation and competitiveness.</w:t>
      </w:r>
    </w:p>
    <w:p w:rsidR="00926A0D" w:rsidRDefault="006023A9">
      <w:pPr>
        <w:pStyle w:val="Titrearticle"/>
        <w:rPr>
          <w:noProof/>
        </w:rPr>
      </w:pPr>
      <w:r>
        <w:rPr>
          <w:noProof/>
        </w:rPr>
        <w:t>Article 2</w:t>
      </w:r>
      <w:r>
        <w:rPr>
          <w:noProof/>
        </w:rPr>
        <w:br/>
      </w:r>
      <w:r>
        <w:rPr>
          <w:b/>
          <w:i w:val="0"/>
          <w:noProof/>
        </w:rPr>
        <w:t>Definitions</w:t>
      </w:r>
    </w:p>
    <w:p w:rsidR="00926A0D" w:rsidRDefault="006023A9">
      <w:pPr>
        <w:rPr>
          <w:noProof/>
          <w:szCs w:val="24"/>
        </w:rPr>
      </w:pPr>
      <w:r>
        <w:rPr>
          <w:noProof/>
          <w:szCs w:val="24"/>
        </w:rPr>
        <w:t>For the purposes of this Regulation, the definitions in [</w:t>
      </w:r>
      <w:r w:rsidR="00582B8B">
        <w:rPr>
          <w:noProof/>
        </w:rPr>
        <w:t xml:space="preserve">recast of </w:t>
      </w:r>
      <w:r>
        <w:rPr>
          <w:noProof/>
        </w:rPr>
        <w:t>D</w:t>
      </w:r>
      <w:r w:rsidR="00582B8B">
        <w:rPr>
          <w:noProof/>
        </w:rPr>
        <w:t>irective</w:t>
      </w:r>
      <w:r>
        <w:rPr>
          <w:noProof/>
        </w:rPr>
        <w:t xml:space="preserve"> 2009/28/EC</w:t>
      </w:r>
      <w:r w:rsidR="0002032C">
        <w:rPr>
          <w:noProof/>
        </w:rPr>
        <w:t xml:space="preserve"> </w:t>
      </w:r>
      <w:r w:rsidR="009124B0">
        <w:rPr>
          <w:noProof/>
        </w:rPr>
        <w:t>as</w:t>
      </w:r>
      <w:r w:rsidR="0002032C">
        <w:rPr>
          <w:noProof/>
        </w:rPr>
        <w:t xml:space="preserve"> </w:t>
      </w:r>
      <w:r w:rsidR="009124B0">
        <w:rPr>
          <w:noProof/>
        </w:rPr>
        <w:t>proposed</w:t>
      </w:r>
      <w:r w:rsidR="0002032C">
        <w:rPr>
          <w:noProof/>
        </w:rPr>
        <w:t xml:space="preserve"> </w:t>
      </w:r>
      <w:r w:rsidR="009124B0">
        <w:rPr>
          <w:noProof/>
        </w:rPr>
        <w:t xml:space="preserve">by </w:t>
      </w:r>
      <w:r w:rsidR="0002032C" w:rsidRPr="00AD57B2">
        <w:rPr>
          <w:noProof/>
        </w:rPr>
        <w:t>COM(2016) 767</w:t>
      </w:r>
      <w:r>
        <w:rPr>
          <w:noProof/>
          <w:szCs w:val="24"/>
        </w:rPr>
        <w:t xml:space="preserve">], Directive 2010/31/EU and Directive 2012/27/EU </w:t>
      </w:r>
      <w:r w:rsidR="00A53968">
        <w:rPr>
          <w:noProof/>
          <w:szCs w:val="24"/>
        </w:rPr>
        <w:t xml:space="preserve">shall </w:t>
      </w:r>
      <w:r>
        <w:rPr>
          <w:noProof/>
          <w:szCs w:val="24"/>
        </w:rPr>
        <w:t>apply.</w:t>
      </w:r>
    </w:p>
    <w:p w:rsidR="00926A0D" w:rsidRDefault="006023A9">
      <w:pPr>
        <w:rPr>
          <w:noProof/>
          <w:szCs w:val="24"/>
        </w:rPr>
      </w:pPr>
      <w:r>
        <w:rPr>
          <w:noProof/>
          <w:szCs w:val="24"/>
        </w:rPr>
        <w:t xml:space="preserve">The following definitions </w:t>
      </w:r>
      <w:r w:rsidR="00A53968">
        <w:rPr>
          <w:noProof/>
          <w:szCs w:val="24"/>
        </w:rPr>
        <w:t xml:space="preserve">shall </w:t>
      </w:r>
      <w:r>
        <w:rPr>
          <w:noProof/>
          <w:szCs w:val="24"/>
        </w:rPr>
        <w:t>also apply:</w:t>
      </w:r>
    </w:p>
    <w:p w:rsidR="00926A0D" w:rsidRDefault="006023A9" w:rsidP="00AF12E0">
      <w:pPr>
        <w:pStyle w:val="Point0number"/>
        <w:numPr>
          <w:ilvl w:val="0"/>
          <w:numId w:val="36"/>
        </w:numPr>
        <w:rPr>
          <w:noProof/>
        </w:rPr>
      </w:pPr>
      <w:r>
        <w:rPr>
          <w:noProof/>
        </w:rPr>
        <w:t>'</w:t>
      </w:r>
      <w:r w:rsidR="00CD0ED4">
        <w:rPr>
          <w:noProof/>
        </w:rPr>
        <w:t>e</w:t>
      </w:r>
      <w:r>
        <w:rPr>
          <w:noProof/>
        </w:rPr>
        <w:t>xisting policies and measures' mean implemented and adopted policies and measures;</w:t>
      </w:r>
    </w:p>
    <w:p w:rsidR="00926A0D" w:rsidRDefault="006023A9">
      <w:pPr>
        <w:pStyle w:val="Point0number"/>
        <w:ind w:left="840" w:hanging="840"/>
        <w:rPr>
          <w:noProof/>
        </w:rPr>
      </w:pPr>
      <w:r>
        <w:rPr>
          <w:noProof/>
        </w:rPr>
        <w:t>'implemented policies and measures' mean policies and measures for which one or more of the following applies at the date of submission of the national plan</w:t>
      </w:r>
      <w:r w:rsidR="00C52B8D">
        <w:rPr>
          <w:noProof/>
        </w:rPr>
        <w:t xml:space="preserve"> or progress report</w:t>
      </w:r>
      <w:r>
        <w:rPr>
          <w:noProof/>
        </w:rPr>
        <w:t xml:space="preserve">: </w:t>
      </w:r>
      <w:r w:rsidR="000F2A54">
        <w:rPr>
          <w:noProof/>
        </w:rPr>
        <w:t xml:space="preserve">directly applicable European legislation or </w:t>
      </w:r>
      <w:r>
        <w:rPr>
          <w:noProof/>
        </w:rPr>
        <w:t xml:space="preserve">national legislation is in force, one or more voluntary agreements have been established, financial resources have been allocated, human resources have been mobilized; </w:t>
      </w:r>
    </w:p>
    <w:p w:rsidR="00926A0D" w:rsidRDefault="006023A9">
      <w:pPr>
        <w:pStyle w:val="Point0number"/>
        <w:ind w:left="840" w:hanging="840"/>
        <w:rPr>
          <w:noProof/>
        </w:rPr>
      </w:pPr>
      <w:r>
        <w:rPr>
          <w:noProof/>
        </w:rPr>
        <w:t>'adopted policies and measures' mean policies and measures for which an official government decision has been made by the date of submission of the national plan or progress report and there is a clear commitment to proceed with implementation;</w:t>
      </w:r>
    </w:p>
    <w:p w:rsidR="00926A0D" w:rsidRDefault="006023A9">
      <w:pPr>
        <w:pStyle w:val="Point0number"/>
        <w:ind w:left="840" w:hanging="840"/>
        <w:rPr>
          <w:noProof/>
        </w:rPr>
      </w:pPr>
      <w:r>
        <w:rPr>
          <w:noProof/>
        </w:rPr>
        <w:lastRenderedPageBreak/>
        <w:t>'planned policies and measures' are options under discussion and having a realistic chance of being adopted and implemented after the date of submission of the national plan or progress report;</w:t>
      </w:r>
    </w:p>
    <w:p w:rsidR="00926A0D" w:rsidRDefault="006023A9">
      <w:pPr>
        <w:pStyle w:val="Point0number"/>
        <w:ind w:left="840" w:hanging="840"/>
        <w:rPr>
          <w:noProof/>
        </w:rPr>
      </w:pPr>
      <w:r>
        <w:rPr>
          <w:noProof/>
        </w:rPr>
        <w:t xml:space="preserve">'projections' means </w:t>
      </w:r>
      <w:r w:rsidR="0025314E">
        <w:rPr>
          <w:noProof/>
        </w:rPr>
        <w:t xml:space="preserve">forecasts </w:t>
      </w:r>
      <w:r>
        <w:rPr>
          <w:noProof/>
        </w:rPr>
        <w:t>of anthropogenic greenhouse gas emissions by sources and removals by sinks or developments of the energy system including at least quantitative estimates for a sequence of four future years ending with 0 or 5 immediately following the reporting year;</w:t>
      </w:r>
    </w:p>
    <w:p w:rsidR="00926A0D" w:rsidRDefault="006023A9">
      <w:pPr>
        <w:pStyle w:val="Point0number"/>
        <w:ind w:left="840" w:hanging="840"/>
        <w:rPr>
          <w:noProof/>
        </w:rPr>
      </w:pPr>
      <w:r>
        <w:rPr>
          <w:noProof/>
        </w:rPr>
        <w:t>‘projections without measures’ means projections of anthropogenic greenhouse gas emissions by sources and removals by sinks that exclude the effects of all policies and measures which are planned, adopted or implemented after the year chosen as the starting point for the relevant projection;</w:t>
      </w:r>
    </w:p>
    <w:p w:rsidR="00926A0D" w:rsidRDefault="006023A9">
      <w:pPr>
        <w:pStyle w:val="Point0number"/>
        <w:ind w:left="840" w:hanging="840"/>
        <w:rPr>
          <w:noProof/>
        </w:rPr>
      </w:pPr>
      <w:r>
        <w:rPr>
          <w:noProof/>
        </w:rPr>
        <w:t>‘projections with measures’ means projections of anthropogenic greenhouse gas emissions by sources and removals by sinks that encompass the effects, in terms of greenhouse gas emission reductions or developments of the energy system, of policies and measures that have been adopted and implemented;</w:t>
      </w:r>
    </w:p>
    <w:p w:rsidR="00926A0D" w:rsidRDefault="006023A9">
      <w:pPr>
        <w:pStyle w:val="Point0number"/>
        <w:ind w:left="840" w:hanging="840"/>
        <w:rPr>
          <w:noProof/>
        </w:rPr>
      </w:pPr>
      <w:r>
        <w:rPr>
          <w:noProof/>
        </w:rPr>
        <w:t>‘projections with additional measures’ means projections of anthropogenic greenhouse gas emissions by sources and removals by sinks or developments of the energy system that encompass the effects, in terms of greenhouse gas emission reductions, of policies and measures which have been adopted and implemented to mitigate climate change or meet energy objectives, as well as policies and measures which are planned for that purpose;</w:t>
      </w:r>
    </w:p>
    <w:p w:rsidR="00926A0D" w:rsidRDefault="006023A9">
      <w:pPr>
        <w:pStyle w:val="Point0number"/>
        <w:ind w:left="840" w:hanging="840"/>
        <w:rPr>
          <w:noProof/>
        </w:rPr>
      </w:pPr>
      <w:r>
        <w:rPr>
          <w:noProof/>
        </w:rPr>
        <w:t xml:space="preserve">'the </w:t>
      </w:r>
      <w:r w:rsidR="00F51C5F">
        <w:rPr>
          <w:noProof/>
        </w:rPr>
        <w:t xml:space="preserve">Union’s </w:t>
      </w:r>
      <w:r>
        <w:rPr>
          <w:noProof/>
        </w:rPr>
        <w:t xml:space="preserve">2030 targets for energy and climate' means the </w:t>
      </w:r>
      <w:r w:rsidR="00F51C5F">
        <w:rPr>
          <w:noProof/>
        </w:rPr>
        <w:t>Union</w:t>
      </w:r>
      <w:r>
        <w:rPr>
          <w:noProof/>
        </w:rPr>
        <w:t xml:space="preserve">-wide binding target of at least 40% domestic reduction in economy-wide greenhouse gas emissions as compared to 1990 to be achieved by 2030, the </w:t>
      </w:r>
      <w:r w:rsidR="00F51C5F">
        <w:rPr>
          <w:noProof/>
        </w:rPr>
        <w:t>Union</w:t>
      </w:r>
      <w:r>
        <w:rPr>
          <w:noProof/>
        </w:rPr>
        <w:t xml:space="preserve">-level binding target of at least 27% for the share of renewable energy consumed in the </w:t>
      </w:r>
      <w:r w:rsidR="00F51C5F">
        <w:rPr>
          <w:noProof/>
        </w:rPr>
        <w:t xml:space="preserve">Union </w:t>
      </w:r>
      <w:r>
        <w:rPr>
          <w:noProof/>
        </w:rPr>
        <w:t xml:space="preserve">in 2030, the </w:t>
      </w:r>
      <w:r w:rsidR="00F51C5F">
        <w:rPr>
          <w:noProof/>
        </w:rPr>
        <w:t>Union</w:t>
      </w:r>
      <w:r>
        <w:rPr>
          <w:noProof/>
        </w:rPr>
        <w:t xml:space="preserve">-level target of at </w:t>
      </w:r>
      <w:r w:rsidRPr="00B757B7">
        <w:rPr>
          <w:noProof/>
        </w:rPr>
        <w:t xml:space="preserve">least </w:t>
      </w:r>
      <w:r w:rsidR="006051C9" w:rsidRPr="00B757B7">
        <w:rPr>
          <w:noProof/>
        </w:rPr>
        <w:t>27%</w:t>
      </w:r>
      <w:r w:rsidRPr="00B757B7">
        <w:rPr>
          <w:noProof/>
        </w:rPr>
        <w:t xml:space="preserve"> for</w:t>
      </w:r>
      <w:r>
        <w:rPr>
          <w:noProof/>
        </w:rPr>
        <w:t xml:space="preserve"> improving energy efficiency in 2030, </w:t>
      </w:r>
      <w:r w:rsidR="00E3508D" w:rsidRPr="00596CAE">
        <w:rPr>
          <w:noProof/>
        </w:rPr>
        <w:t>to be reviewed by 2020 having in mind an EU level of 30%</w:t>
      </w:r>
      <w:r w:rsidR="00E3508D">
        <w:rPr>
          <w:noProof/>
        </w:rPr>
        <w:t xml:space="preserve">, </w:t>
      </w:r>
      <w:r>
        <w:rPr>
          <w:noProof/>
        </w:rPr>
        <w:t>and the 15% electricity interconnection target for 2030 or any subsequent targets in this regard agreed by the European Council or Council and Parliament for the year 2030.</w:t>
      </w:r>
    </w:p>
    <w:p w:rsidR="00926A0D" w:rsidRDefault="006023A9">
      <w:pPr>
        <w:pStyle w:val="Point0number"/>
        <w:ind w:left="840" w:hanging="840"/>
        <w:rPr>
          <w:noProof/>
        </w:rPr>
      </w:pPr>
      <w:r>
        <w:rPr>
          <w:noProof/>
        </w:rPr>
        <w:t xml:space="preserve">'national inventory system’ means a system of institutional, legal and procedural arrangements established within a Member State for estimating anthropogenic emissions by sources and removals by sinks of greenhouse gases, and for reporting and archiving inventory information; </w:t>
      </w:r>
    </w:p>
    <w:p w:rsidR="00926A0D" w:rsidRDefault="006023A9">
      <w:pPr>
        <w:pStyle w:val="Point0number"/>
        <w:ind w:left="840" w:hanging="840"/>
        <w:rPr>
          <w:noProof/>
        </w:rPr>
      </w:pPr>
      <w:r>
        <w:rPr>
          <w:noProof/>
        </w:rPr>
        <w:t>'indicator' means a quantitative or qualitative factor or variable that contributes to better understanding progress in implementing</w:t>
      </w:r>
      <w:r w:rsidR="00CD0ED4">
        <w:rPr>
          <w:noProof/>
        </w:rPr>
        <w:t>;</w:t>
      </w:r>
    </w:p>
    <w:p w:rsidR="00926A0D" w:rsidRDefault="006023A9">
      <w:pPr>
        <w:pStyle w:val="Point0number"/>
        <w:ind w:left="840" w:hanging="840"/>
        <w:rPr>
          <w:noProof/>
        </w:rPr>
      </w:pPr>
      <w:r>
        <w:rPr>
          <w:noProof/>
        </w:rPr>
        <w:t>'policies and measures' means all instruments which contribute to meeting the objectives of the integrated national energy and climate plans and/or to implement  commitments under Article 4(2)(a) and (b) of the UNFCCC, which may include those that do not have the limitation and reduction of greenhouse gas emissions or change in the energy system as a primary objective;</w:t>
      </w:r>
    </w:p>
    <w:p w:rsidR="00926A0D" w:rsidRDefault="006023A9">
      <w:pPr>
        <w:pStyle w:val="Point0number"/>
        <w:ind w:left="840" w:hanging="840"/>
        <w:rPr>
          <w:noProof/>
        </w:rPr>
      </w:pPr>
      <w:r>
        <w:rPr>
          <w:noProof/>
        </w:rPr>
        <w:t>'system for policies and measures and projections' means a system of institutional, legal and procedural arrangements established for reporting policies and measures and projections relating to anthropogenic emissions by sources and removals by sinks of greenhouse gases and to the energy system, inter alia as required by Article 32;</w:t>
      </w:r>
    </w:p>
    <w:p w:rsidR="00926A0D" w:rsidRDefault="006023A9">
      <w:pPr>
        <w:pStyle w:val="Point0number"/>
        <w:ind w:left="840" w:hanging="840"/>
        <w:rPr>
          <w:noProof/>
        </w:rPr>
      </w:pPr>
      <w:r>
        <w:rPr>
          <w:noProof/>
        </w:rPr>
        <w:t xml:space="preserve">'technical corrections' means adjustments to the national greenhouse gas inventory estimates made in the context of the review carried out pursuant to Article 31 when </w:t>
      </w:r>
      <w:r>
        <w:rPr>
          <w:noProof/>
        </w:rPr>
        <w:lastRenderedPageBreak/>
        <w:t xml:space="preserve">the submitted inventory data are incomplete or are prepared in a way that is not consistent with relevant international or Union rules or guidelines and that are intended to replace originally submitted estimates; </w:t>
      </w:r>
    </w:p>
    <w:p w:rsidR="00926A0D" w:rsidRDefault="006023A9">
      <w:pPr>
        <w:pStyle w:val="Point0number"/>
        <w:ind w:left="840" w:hanging="840"/>
        <w:rPr>
          <w:noProof/>
        </w:rPr>
      </w:pPr>
      <w:r>
        <w:rPr>
          <w:noProof/>
        </w:rPr>
        <w:t>‘quality assurance’ means a planned system of review procedures to ensure that data quality objectives are met and that the best possible estimates and information are reported to support the effectiveness of the quality control programme and to assist Member States;</w:t>
      </w:r>
    </w:p>
    <w:p w:rsidR="00926A0D" w:rsidRDefault="006023A9">
      <w:pPr>
        <w:pStyle w:val="Point0number"/>
        <w:ind w:left="840" w:hanging="840"/>
        <w:rPr>
          <w:noProof/>
        </w:rPr>
      </w:pPr>
      <w:r>
        <w:rPr>
          <w:noProof/>
        </w:rPr>
        <w:t>‘quality control’ means a system of routine technical activities to measure and control the quality of the information and estimates compiled with the purpose of ensuring data integrity, correctness and completeness, identifying and addressing errors and omissions, documenting and archiving data and other material used, and recording all quality assurance activities</w:t>
      </w:r>
      <w:r w:rsidR="00CD0ED4">
        <w:rPr>
          <w:noProof/>
        </w:rPr>
        <w:t>;</w:t>
      </w:r>
    </w:p>
    <w:p w:rsidR="00926A0D" w:rsidRDefault="006023A9">
      <w:pPr>
        <w:pStyle w:val="Point0number"/>
        <w:ind w:left="840" w:hanging="840"/>
        <w:rPr>
          <w:noProof/>
        </w:rPr>
      </w:pPr>
      <w:r>
        <w:rPr>
          <w:noProof/>
        </w:rPr>
        <w:t>'key indicators' mean the indicators for the progress made with regard to the five dimensions of the Energy Union as proposed by the Commission</w:t>
      </w:r>
      <w:r w:rsidR="00CD0ED4">
        <w:rPr>
          <w:noProof/>
        </w:rPr>
        <w:t>;</w:t>
      </w:r>
    </w:p>
    <w:p w:rsidR="00926A0D" w:rsidRDefault="006023A9">
      <w:pPr>
        <w:pStyle w:val="Point0number"/>
        <w:ind w:left="840" w:hanging="840"/>
        <w:rPr>
          <w:noProof/>
        </w:rPr>
      </w:pPr>
      <w:r>
        <w:rPr>
          <w:noProof/>
        </w:rPr>
        <w:t>'SET-Plan' means the Strategic Energy Technolog</w:t>
      </w:r>
      <w:r w:rsidR="000C5384">
        <w:rPr>
          <w:noProof/>
        </w:rPr>
        <w:t>y</w:t>
      </w:r>
      <w:r>
        <w:rPr>
          <w:noProof/>
        </w:rPr>
        <w:t xml:space="preserve"> Plan as set out in Commission</w:t>
      </w:r>
      <w:r w:rsidR="00F51C5F">
        <w:rPr>
          <w:noProof/>
        </w:rPr>
        <w:t xml:space="preserve"> </w:t>
      </w:r>
      <w:r>
        <w:rPr>
          <w:noProof/>
        </w:rPr>
        <w:t>Communication (2015) 6317</w:t>
      </w:r>
      <w:r w:rsidR="006149C7">
        <w:rPr>
          <w:noProof/>
        </w:rPr>
        <w:t>.</w:t>
      </w:r>
    </w:p>
    <w:p w:rsidR="00926A0D" w:rsidRDefault="006023A9">
      <w:pPr>
        <w:pStyle w:val="PartTitle"/>
        <w:rPr>
          <w:noProof/>
        </w:rPr>
      </w:pPr>
      <w:r>
        <w:rPr>
          <w:noProof/>
        </w:rPr>
        <w:lastRenderedPageBreak/>
        <w:t>CHAPTER 2</w:t>
      </w:r>
      <w:r>
        <w:rPr>
          <w:noProof/>
        </w:rPr>
        <w:br/>
        <w:t>INTEGRATED NATIONAL ENERGY AND CLIMATE PLANS</w:t>
      </w:r>
    </w:p>
    <w:p w:rsidR="00926A0D" w:rsidRDefault="006023A9">
      <w:pPr>
        <w:pStyle w:val="Titrearticle"/>
        <w:rPr>
          <w:b/>
          <w:noProof/>
        </w:rPr>
      </w:pPr>
      <w:r>
        <w:rPr>
          <w:noProof/>
        </w:rPr>
        <w:t xml:space="preserve">Article </w:t>
      </w:r>
      <w:r>
        <w:rPr>
          <w:noProof/>
          <w:szCs w:val="24"/>
        </w:rPr>
        <w:t>3</w:t>
      </w:r>
      <w:r>
        <w:rPr>
          <w:noProof/>
          <w:szCs w:val="24"/>
        </w:rPr>
        <w:br/>
      </w:r>
      <w:r>
        <w:rPr>
          <w:b/>
          <w:i w:val="0"/>
          <w:noProof/>
        </w:rPr>
        <w:t xml:space="preserve">Integrated national energy and climate </w:t>
      </w:r>
      <w:r>
        <w:rPr>
          <w:b/>
          <w:i w:val="0"/>
          <w:noProof/>
          <w:szCs w:val="24"/>
        </w:rPr>
        <w:t>plans</w:t>
      </w:r>
    </w:p>
    <w:p w:rsidR="00926A0D" w:rsidRDefault="006023A9">
      <w:pPr>
        <w:rPr>
          <w:noProof/>
        </w:rPr>
      </w:pPr>
      <w:r>
        <w:rPr>
          <w:noProof/>
        </w:rPr>
        <w:t>1.</w:t>
      </w:r>
      <w:r>
        <w:rPr>
          <w:noProof/>
        </w:rPr>
        <w:tab/>
        <w:t xml:space="preserve">By 1 January 2019 and every ten years thereafter, each Member State shall notify to the Commission an integrated national energy and climate plan. The plans shall contain the elements set out in paragraph 2 and Annex I. The first plan shall cover the period from 2021 to 2030. The following plans shall cover the ten-year period immediately following the end of the period covered by the previous plan. </w:t>
      </w:r>
    </w:p>
    <w:p w:rsidR="00926A0D" w:rsidRDefault="006023A9">
      <w:pPr>
        <w:rPr>
          <w:noProof/>
        </w:rPr>
      </w:pPr>
      <w:r>
        <w:rPr>
          <w:noProof/>
        </w:rPr>
        <w:t>2.</w:t>
      </w:r>
      <w:r>
        <w:rPr>
          <w:noProof/>
        </w:rPr>
        <w:tab/>
        <w:t xml:space="preserve">The integrated national energy and climate plans shall consist of the following main sections: </w:t>
      </w:r>
    </w:p>
    <w:p w:rsidR="00926A0D" w:rsidRDefault="006023A9">
      <w:pPr>
        <w:pStyle w:val="Point0letter"/>
        <w:rPr>
          <w:noProof/>
        </w:rPr>
      </w:pPr>
      <w:r>
        <w:rPr>
          <w:noProof/>
        </w:rPr>
        <w:t>an overview of the process followed for establishing the integrated national energy and climate plan consisting of an executive summary, a description of the consultation and involvement of stakeholders and their results, and of regional cooperation with other Member States in preparing the plan;</w:t>
      </w:r>
    </w:p>
    <w:p w:rsidR="00926A0D" w:rsidRDefault="006023A9">
      <w:pPr>
        <w:pStyle w:val="Point0letter"/>
        <w:rPr>
          <w:noProof/>
        </w:rPr>
      </w:pPr>
      <w:r>
        <w:rPr>
          <w:noProof/>
        </w:rPr>
        <w:t>a description of the national objectives, targets and contributions for each of the five dimensions of the Energy Union;</w:t>
      </w:r>
    </w:p>
    <w:p w:rsidR="00926A0D" w:rsidRDefault="006023A9">
      <w:pPr>
        <w:pStyle w:val="Point0letter"/>
        <w:rPr>
          <w:noProof/>
        </w:rPr>
      </w:pPr>
      <w:r>
        <w:rPr>
          <w:noProof/>
        </w:rPr>
        <w:t>a description of the policies and measures foreseen to meet the corresponding objectives, targets and contributions set out under point (b);</w:t>
      </w:r>
    </w:p>
    <w:p w:rsidR="00926A0D" w:rsidRDefault="006023A9">
      <w:pPr>
        <w:pStyle w:val="Point0letter"/>
        <w:rPr>
          <w:noProof/>
        </w:rPr>
      </w:pPr>
      <w:r>
        <w:rPr>
          <w:noProof/>
        </w:rPr>
        <w:t>a description of the current situation of the five dimensions of the Energy Union including with regard to the energy system and greenhouse gas emissions and removals as well as projections with regard to the objectives referred to in point (b) with already existing (implemented and adopted) policies and measures;</w:t>
      </w:r>
    </w:p>
    <w:p w:rsidR="00926A0D" w:rsidRDefault="006023A9">
      <w:pPr>
        <w:pStyle w:val="Point0letter"/>
        <w:rPr>
          <w:noProof/>
        </w:rPr>
      </w:pPr>
      <w:r>
        <w:rPr>
          <w:noProof/>
        </w:rPr>
        <w:t>an assessment of the impacts of the planned policies and measures to meet the objectives referred to in point (b)</w:t>
      </w:r>
      <w:r w:rsidR="00CD0ED4">
        <w:rPr>
          <w:noProof/>
        </w:rPr>
        <w:t>;</w:t>
      </w:r>
    </w:p>
    <w:p w:rsidR="00926A0D" w:rsidRDefault="006023A9">
      <w:pPr>
        <w:pStyle w:val="Point0letter"/>
        <w:rPr>
          <w:noProof/>
        </w:rPr>
      </w:pPr>
      <w:r>
        <w:rPr>
          <w:noProof/>
        </w:rPr>
        <w:t xml:space="preserve">an annex, drawn up in accordance with the requirements and structure laid down in Annex II to this Regulation, setting out the Member State's methodologies and policy measures for achieving the energy savings requirement in accordance with Article 7 </w:t>
      </w:r>
      <w:r w:rsidR="005A412C" w:rsidRPr="003C4AC6">
        <w:rPr>
          <w:noProof/>
        </w:rPr>
        <w:t>to D</w:t>
      </w:r>
      <w:r w:rsidR="005A412C">
        <w:rPr>
          <w:noProof/>
        </w:rPr>
        <w:t xml:space="preserve">irective 2012/27/EU [version </w:t>
      </w:r>
      <w:r w:rsidR="006271A8">
        <w:rPr>
          <w:noProof/>
        </w:rPr>
        <w:t xml:space="preserve">as </w:t>
      </w:r>
      <w:r w:rsidR="005A412C">
        <w:rPr>
          <w:noProof/>
        </w:rPr>
        <w:t xml:space="preserve">amended in accordance with proposal </w:t>
      </w:r>
      <w:r w:rsidR="005A412C" w:rsidRPr="00107AA2">
        <w:rPr>
          <w:noProof/>
        </w:rPr>
        <w:t>COM(2016)761</w:t>
      </w:r>
      <w:r w:rsidR="005A412C">
        <w:rPr>
          <w:noProof/>
        </w:rPr>
        <w:t xml:space="preserve">] </w:t>
      </w:r>
      <w:r>
        <w:rPr>
          <w:noProof/>
        </w:rPr>
        <w:t>and Annex V</w:t>
      </w:r>
      <w:r w:rsidR="005A412C">
        <w:rPr>
          <w:noProof/>
        </w:rPr>
        <w:t xml:space="preserve"> thereto</w:t>
      </w:r>
      <w:r>
        <w:rPr>
          <w:noProof/>
        </w:rPr>
        <w:t>.</w:t>
      </w:r>
    </w:p>
    <w:p w:rsidR="00926A0D" w:rsidRDefault="006023A9">
      <w:pPr>
        <w:rPr>
          <w:noProof/>
        </w:rPr>
      </w:pPr>
      <w:r>
        <w:rPr>
          <w:noProof/>
        </w:rPr>
        <w:t>3.</w:t>
      </w:r>
      <w:r>
        <w:rPr>
          <w:noProof/>
        </w:rPr>
        <w:tab/>
        <w:t xml:space="preserve">When preparing the national plans referred </w:t>
      </w:r>
      <w:r w:rsidR="00C52B8D">
        <w:rPr>
          <w:noProof/>
        </w:rPr>
        <w:t xml:space="preserve">to </w:t>
      </w:r>
      <w:r>
        <w:rPr>
          <w:noProof/>
        </w:rPr>
        <w:t>in paragraph 1, Member States shall take into account the interlinkages between the five dimensions of the Energy Union and they shall use consistent data and assumptions across the five dimensions where relevant.</w:t>
      </w:r>
      <w:r>
        <w:rPr>
          <w:noProof/>
        </w:rPr>
        <w:tab/>
      </w:r>
    </w:p>
    <w:p w:rsidR="00926A0D" w:rsidRDefault="006023A9">
      <w:pPr>
        <w:rPr>
          <w:noProof/>
        </w:rPr>
      </w:pPr>
      <w:r>
        <w:rPr>
          <w:noProof/>
        </w:rPr>
        <w:t>4.</w:t>
      </w:r>
      <w:r>
        <w:rPr>
          <w:noProof/>
        </w:rPr>
        <w:tab/>
        <w:t>The Commission is empowered to adopt delegated acts in accordance with Article 36 to amend Annex I in order to adapt it to amendments to the Union Energy and Climate policy framework, energy market developments and new UNFCCC and Paris Agreement requirements.</w:t>
      </w:r>
    </w:p>
    <w:p w:rsidR="00926A0D" w:rsidRDefault="006023A9">
      <w:pPr>
        <w:pStyle w:val="Titrearticle"/>
        <w:rPr>
          <w:b/>
          <w:i w:val="0"/>
          <w:noProof/>
        </w:rPr>
      </w:pPr>
      <w:r>
        <w:rPr>
          <w:noProof/>
        </w:rPr>
        <w:lastRenderedPageBreak/>
        <w:t>Article 4</w:t>
      </w:r>
      <w:r>
        <w:rPr>
          <w:noProof/>
        </w:rPr>
        <w:br/>
      </w:r>
      <w:r>
        <w:rPr>
          <w:b/>
          <w:i w:val="0"/>
          <w:noProof/>
          <w:szCs w:val="24"/>
        </w:rPr>
        <w:t>National objectives, targets and contributions for each of the five dimensions of the Energy Union</w:t>
      </w:r>
    </w:p>
    <w:p w:rsidR="00926A0D" w:rsidRDefault="006023A9">
      <w:pPr>
        <w:rPr>
          <w:noProof/>
        </w:rPr>
      </w:pPr>
      <w:r>
        <w:rPr>
          <w:noProof/>
        </w:rPr>
        <w:t>Member States shall set out in their integrated national energy and climate plan the following main objectives, targets and contributions, as specified in Section A.2. of Annex I:</w:t>
      </w:r>
    </w:p>
    <w:p w:rsidR="00926A0D" w:rsidRDefault="006023A9" w:rsidP="00AF12E0">
      <w:pPr>
        <w:pStyle w:val="Point0letter"/>
        <w:numPr>
          <w:ilvl w:val="1"/>
          <w:numId w:val="37"/>
        </w:numPr>
        <w:rPr>
          <w:noProof/>
        </w:rPr>
      </w:pPr>
      <w:r>
        <w:rPr>
          <w:noProof/>
        </w:rPr>
        <w:t>as regards the dimension "Decarbonisation":</w:t>
      </w:r>
    </w:p>
    <w:p w:rsidR="00926A0D" w:rsidRDefault="006023A9">
      <w:pPr>
        <w:pStyle w:val="Point1number"/>
        <w:rPr>
          <w:noProof/>
        </w:rPr>
      </w:pPr>
      <w:r>
        <w:rPr>
          <w:noProof/>
        </w:rPr>
        <w:t>with respect to greenhouse gas emissions and removals and with a view to contributing to the achievement of the economy wide EU greenhouse gas emissions reduction target:</w:t>
      </w:r>
    </w:p>
    <w:p w:rsidR="00926A0D" w:rsidRDefault="006023A9">
      <w:pPr>
        <w:pStyle w:val="Point2"/>
        <w:rPr>
          <w:noProof/>
        </w:rPr>
      </w:pPr>
      <w:r>
        <w:rPr>
          <w:noProof/>
        </w:rPr>
        <w:t>i.</w:t>
      </w:r>
      <w:r>
        <w:rPr>
          <w:noProof/>
        </w:rPr>
        <w:tab/>
        <w:t>the Member State's binding national target for greenhouse gas emissions and the annual binding national limits pursuant to Regulation [ ] [ESR];</w:t>
      </w:r>
    </w:p>
    <w:p w:rsidR="00926A0D" w:rsidRDefault="006023A9">
      <w:pPr>
        <w:pStyle w:val="Point2"/>
        <w:rPr>
          <w:noProof/>
        </w:rPr>
      </w:pPr>
      <w:r>
        <w:rPr>
          <w:noProof/>
        </w:rPr>
        <w:t>ii.</w:t>
      </w:r>
      <w:r>
        <w:rPr>
          <w:noProof/>
        </w:rPr>
        <w:tab/>
        <w:t>the Member State's commitments pursuant to Regulation [ ] [LULUCF];</w:t>
      </w:r>
    </w:p>
    <w:p w:rsidR="00926A0D" w:rsidRDefault="006023A9">
      <w:pPr>
        <w:pStyle w:val="Point2"/>
        <w:rPr>
          <w:noProof/>
        </w:rPr>
      </w:pPr>
      <w:r>
        <w:rPr>
          <w:noProof/>
        </w:rPr>
        <w:t>iii.</w:t>
      </w:r>
      <w:r>
        <w:rPr>
          <w:noProof/>
        </w:rPr>
        <w:tab/>
        <w:t>where applicable, other national objectives and targets consistent with existing long-term low emission strategies;</w:t>
      </w:r>
    </w:p>
    <w:p w:rsidR="00926A0D" w:rsidRDefault="006023A9">
      <w:pPr>
        <w:pStyle w:val="Point2"/>
        <w:rPr>
          <w:noProof/>
        </w:rPr>
      </w:pPr>
      <w:r>
        <w:rPr>
          <w:noProof/>
        </w:rPr>
        <w:t>iv.</w:t>
      </w:r>
      <w:r>
        <w:rPr>
          <w:noProof/>
        </w:rPr>
        <w:tab/>
        <w:t>where applicable, other objectives and targets, including sector targets and adaptation goals</w:t>
      </w:r>
      <w:r w:rsidR="00CD0ED4">
        <w:rPr>
          <w:noProof/>
        </w:rPr>
        <w:t>;</w:t>
      </w:r>
    </w:p>
    <w:p w:rsidR="00926A0D" w:rsidRDefault="006023A9">
      <w:pPr>
        <w:pStyle w:val="Point1number"/>
        <w:rPr>
          <w:noProof/>
        </w:rPr>
      </w:pPr>
      <w:r>
        <w:rPr>
          <w:noProof/>
        </w:rPr>
        <w:t>with respect to renewable energy:</w:t>
      </w:r>
    </w:p>
    <w:p w:rsidR="00926A0D" w:rsidRDefault="006023A9">
      <w:pPr>
        <w:pStyle w:val="Point2"/>
        <w:rPr>
          <w:noProof/>
        </w:rPr>
      </w:pPr>
      <w:r>
        <w:rPr>
          <w:noProof/>
        </w:rPr>
        <w:t>i.</w:t>
      </w:r>
      <w:r>
        <w:rPr>
          <w:noProof/>
        </w:rPr>
        <w:tab/>
        <w:t>with a view to achieving the Union's binding target of at least 27% renewable energy in 2030 as referred to in Article 3 of [</w:t>
      </w:r>
      <w:r w:rsidR="004B1F00">
        <w:rPr>
          <w:noProof/>
        </w:rPr>
        <w:t>r</w:t>
      </w:r>
      <w:r>
        <w:rPr>
          <w:noProof/>
        </w:rPr>
        <w:t xml:space="preserve">ecast </w:t>
      </w:r>
      <w:r w:rsidR="004B1F00">
        <w:rPr>
          <w:noProof/>
        </w:rPr>
        <w:t xml:space="preserve">of </w:t>
      </w:r>
      <w:r>
        <w:rPr>
          <w:noProof/>
        </w:rPr>
        <w:t>Directive</w:t>
      </w:r>
      <w:r w:rsidR="004B1F00">
        <w:rPr>
          <w:noProof/>
        </w:rPr>
        <w:t xml:space="preserve"> 2009/28/EC</w:t>
      </w:r>
      <w:r w:rsidR="009124B0">
        <w:rPr>
          <w:noProof/>
        </w:rPr>
        <w:t xml:space="preserve"> as proposed by </w:t>
      </w:r>
      <w:r w:rsidR="009124B0" w:rsidRPr="00AD57B2">
        <w:rPr>
          <w:noProof/>
        </w:rPr>
        <w:t>COM(2016) 767</w:t>
      </w:r>
      <w:r>
        <w:rPr>
          <w:noProof/>
        </w:rPr>
        <w:t>], a contribution to this target in terms of the Member State's share of energy from renewable sources in gross final consumption of energy in 2030, with a linear trajectory for that contribution from 2021 onwards;</w:t>
      </w:r>
    </w:p>
    <w:p w:rsidR="00926A0D" w:rsidRDefault="006023A9">
      <w:pPr>
        <w:pStyle w:val="Point2"/>
        <w:rPr>
          <w:noProof/>
        </w:rPr>
      </w:pPr>
      <w:r>
        <w:rPr>
          <w:noProof/>
        </w:rPr>
        <w:t>ii.</w:t>
      </w:r>
      <w:r>
        <w:rPr>
          <w:noProof/>
        </w:rPr>
        <w:tab/>
        <w:t>trajectories for the sectorial share of renewable energy in final energy consumption from 2021 to 2030 in the heating and cooling, electricity, and transport sector</w:t>
      </w:r>
      <w:r w:rsidR="00131F39">
        <w:rPr>
          <w:noProof/>
        </w:rPr>
        <w:t>s</w:t>
      </w:r>
      <w:r>
        <w:rPr>
          <w:noProof/>
        </w:rPr>
        <w:t>;</w:t>
      </w:r>
    </w:p>
    <w:p w:rsidR="00926A0D" w:rsidRDefault="006023A9">
      <w:pPr>
        <w:pStyle w:val="Point2"/>
        <w:rPr>
          <w:noProof/>
        </w:rPr>
      </w:pPr>
      <w:r>
        <w:rPr>
          <w:noProof/>
        </w:rPr>
        <w:t>iii.</w:t>
      </w:r>
      <w:r>
        <w:rPr>
          <w:noProof/>
        </w:rPr>
        <w:tab/>
        <w:t>trajectories by renewable energy technology that the Member State plans to use to achieve the overall and sectorial trajectories for renewable energy from 2021 to 2030 including total expected gross final energy consumption per technology and sector in Mtoe</w:t>
      </w:r>
      <w:r w:rsidR="00C52B8D">
        <w:rPr>
          <w:noProof/>
        </w:rPr>
        <w:t xml:space="preserve"> and</w:t>
      </w:r>
      <w:r>
        <w:rPr>
          <w:noProof/>
        </w:rPr>
        <w:t xml:space="preserve"> total planned installed capacity per technology and sector in MW</w:t>
      </w:r>
      <w:r w:rsidR="00CD0ED4">
        <w:rPr>
          <w:noProof/>
        </w:rPr>
        <w:t>;</w:t>
      </w:r>
    </w:p>
    <w:p w:rsidR="00926A0D" w:rsidRDefault="006023A9" w:rsidP="00AF12E0">
      <w:pPr>
        <w:pStyle w:val="Point0letter"/>
        <w:numPr>
          <w:ilvl w:val="1"/>
          <w:numId w:val="38"/>
        </w:numPr>
        <w:rPr>
          <w:noProof/>
        </w:rPr>
      </w:pPr>
      <w:r>
        <w:rPr>
          <w:noProof/>
        </w:rPr>
        <w:t>as regards the dimension "Energy Efficiency":</w:t>
      </w:r>
    </w:p>
    <w:p w:rsidR="00926A0D" w:rsidRDefault="006023A9">
      <w:pPr>
        <w:pStyle w:val="Point1number"/>
        <w:rPr>
          <w:noProof/>
        </w:rPr>
      </w:pPr>
      <w:r>
        <w:rPr>
          <w:noProof/>
        </w:rPr>
        <w:t xml:space="preserve">the indicative national energy efficiency contribution to achieving the Union's </w:t>
      </w:r>
      <w:r w:rsidRPr="004B28E2">
        <w:rPr>
          <w:noProof/>
        </w:rPr>
        <w:t>binding</w:t>
      </w:r>
      <w:r w:rsidRPr="007B0D16">
        <w:rPr>
          <w:noProof/>
        </w:rPr>
        <w:t xml:space="preserve"> energy efficiency target of 30% in 2030 as</w:t>
      </w:r>
      <w:r>
        <w:rPr>
          <w:noProof/>
        </w:rPr>
        <w:t xml:space="preserve"> referred to in Article 1(1) and Article 3(4) of Directive 2012/27/EU [</w:t>
      </w:r>
      <w:r w:rsidR="002404F7">
        <w:rPr>
          <w:noProof/>
        </w:rPr>
        <w:t xml:space="preserve">version </w:t>
      </w:r>
      <w:r w:rsidR="005E7873">
        <w:rPr>
          <w:noProof/>
        </w:rPr>
        <w:t xml:space="preserve">as </w:t>
      </w:r>
      <w:r w:rsidR="002404F7">
        <w:rPr>
          <w:noProof/>
        </w:rPr>
        <w:t xml:space="preserve">amended in accordance with </w:t>
      </w:r>
      <w:r>
        <w:rPr>
          <w:noProof/>
        </w:rPr>
        <w:t>proposal</w:t>
      </w:r>
      <w:r w:rsidR="00107AA2">
        <w:rPr>
          <w:noProof/>
        </w:rPr>
        <w:t xml:space="preserve"> </w:t>
      </w:r>
      <w:r w:rsidR="00107AA2" w:rsidRPr="00107AA2">
        <w:rPr>
          <w:noProof/>
        </w:rPr>
        <w:t>COM(2016)761</w:t>
      </w:r>
      <w:r>
        <w:rPr>
          <w:noProof/>
        </w:rPr>
        <w:t>], based on either primary or final energy consumption, primary or final energy savings, or energy intensity</w:t>
      </w:r>
      <w:r w:rsidR="009E0615">
        <w:rPr>
          <w:noProof/>
        </w:rPr>
        <w:t>.</w:t>
      </w:r>
      <w:r>
        <w:rPr>
          <w:noProof/>
        </w:rPr>
        <w:t xml:space="preserve"> </w:t>
      </w:r>
    </w:p>
    <w:p w:rsidR="00926A0D" w:rsidRDefault="006023A9">
      <w:pPr>
        <w:pStyle w:val="Text2"/>
        <w:rPr>
          <w:strike/>
          <w:noProof/>
        </w:rPr>
      </w:pPr>
      <w:r>
        <w:rPr>
          <w:noProof/>
        </w:rPr>
        <w:t>Member States shall express their contribution in terms of absolute level of primary energy consumption and final energy consumption in 2020 and 2030, with a linear trajectory for that contribution from 2021 onwards. They shall explain their underlying methodology and the conversion factors used;</w:t>
      </w:r>
    </w:p>
    <w:p w:rsidR="00926A0D" w:rsidRDefault="006023A9">
      <w:pPr>
        <w:pStyle w:val="Point1number"/>
        <w:rPr>
          <w:noProof/>
        </w:rPr>
      </w:pPr>
      <w:r>
        <w:rPr>
          <w:noProof/>
        </w:rPr>
        <w:t xml:space="preserve">the cumulative amount of energy savings to be achieved over the period 2021-2030 under Article 7 </w:t>
      </w:r>
      <w:r w:rsidR="0013316D">
        <w:rPr>
          <w:noProof/>
        </w:rPr>
        <w:t xml:space="preserve">on energy saving obligations </w:t>
      </w:r>
      <w:r>
        <w:rPr>
          <w:noProof/>
        </w:rPr>
        <w:t xml:space="preserve">of Directive 2012/27/EU </w:t>
      </w:r>
      <w:r w:rsidR="0013316D">
        <w:rPr>
          <w:noProof/>
        </w:rPr>
        <w:t>[</w:t>
      </w:r>
      <w:r w:rsidR="002404F7">
        <w:rPr>
          <w:noProof/>
        </w:rPr>
        <w:t xml:space="preserve">version </w:t>
      </w:r>
      <w:r w:rsidR="005E7873">
        <w:rPr>
          <w:noProof/>
        </w:rPr>
        <w:t xml:space="preserve">as </w:t>
      </w:r>
      <w:r w:rsidR="0013316D">
        <w:rPr>
          <w:noProof/>
        </w:rPr>
        <w:t xml:space="preserve">amended </w:t>
      </w:r>
      <w:r w:rsidR="002404F7">
        <w:rPr>
          <w:noProof/>
        </w:rPr>
        <w:t xml:space="preserve">in accordance with </w:t>
      </w:r>
      <w:r w:rsidR="0013316D">
        <w:rPr>
          <w:noProof/>
        </w:rPr>
        <w:t xml:space="preserve">proposal </w:t>
      </w:r>
      <w:r w:rsidR="0013316D" w:rsidRPr="00107AA2">
        <w:rPr>
          <w:noProof/>
        </w:rPr>
        <w:t>COM(2016)761</w:t>
      </w:r>
      <w:r w:rsidR="0013316D">
        <w:rPr>
          <w:noProof/>
        </w:rPr>
        <w:t>]</w:t>
      </w:r>
      <w:r>
        <w:rPr>
          <w:noProof/>
        </w:rPr>
        <w:t>;</w:t>
      </w:r>
    </w:p>
    <w:p w:rsidR="00926A0D" w:rsidRDefault="006023A9">
      <w:pPr>
        <w:pStyle w:val="Point1number"/>
        <w:rPr>
          <w:noProof/>
        </w:rPr>
      </w:pPr>
      <w:r>
        <w:rPr>
          <w:noProof/>
        </w:rPr>
        <w:lastRenderedPageBreak/>
        <w:t>the objectives for the long-term renovation of the national stock of residential and commercial buildings (both public and private);</w:t>
      </w:r>
    </w:p>
    <w:p w:rsidR="00926A0D" w:rsidRDefault="006023A9">
      <w:pPr>
        <w:pStyle w:val="Point1number"/>
        <w:rPr>
          <w:noProof/>
        </w:rPr>
      </w:pPr>
      <w:r>
        <w:rPr>
          <w:noProof/>
        </w:rPr>
        <w:t xml:space="preserve">the total floor area to be renovated or equivalent annual energy savings to be achieved from 2020 to 2030 under Article 5 </w:t>
      </w:r>
      <w:r w:rsidR="00C52B8D">
        <w:rPr>
          <w:noProof/>
        </w:rPr>
        <w:t xml:space="preserve">on the </w:t>
      </w:r>
      <w:r w:rsidR="00B14F71">
        <w:rPr>
          <w:noProof/>
        </w:rPr>
        <w:t>exemplary role of public bodies' building</w:t>
      </w:r>
      <w:r w:rsidR="007202B5">
        <w:rPr>
          <w:noProof/>
        </w:rPr>
        <w:t>s</w:t>
      </w:r>
      <w:r w:rsidR="00C52B8D">
        <w:rPr>
          <w:noProof/>
        </w:rPr>
        <w:t xml:space="preserve"> </w:t>
      </w:r>
      <w:r>
        <w:rPr>
          <w:noProof/>
        </w:rPr>
        <w:t>of Directive 2012/27/EU;</w:t>
      </w:r>
    </w:p>
    <w:p w:rsidR="00926A0D" w:rsidRDefault="006023A9">
      <w:pPr>
        <w:pStyle w:val="Point1number"/>
        <w:rPr>
          <w:noProof/>
        </w:rPr>
      </w:pPr>
      <w:r>
        <w:rPr>
          <w:noProof/>
        </w:rPr>
        <w:t>other national energy efficiency objectives, including long term targets or strategies and sectorial targets in areas such as transport, heating and cooling;</w:t>
      </w:r>
    </w:p>
    <w:p w:rsidR="00926A0D" w:rsidRDefault="006023A9" w:rsidP="00AF12E0">
      <w:pPr>
        <w:pStyle w:val="Point0letter"/>
        <w:numPr>
          <w:ilvl w:val="1"/>
          <w:numId w:val="39"/>
        </w:numPr>
        <w:rPr>
          <w:noProof/>
        </w:rPr>
      </w:pPr>
      <w:r>
        <w:rPr>
          <w:noProof/>
        </w:rPr>
        <w:t>as regards the dimension "Energy Security":</w:t>
      </w:r>
    </w:p>
    <w:p w:rsidR="000D25E7" w:rsidRDefault="006023A9">
      <w:pPr>
        <w:pStyle w:val="Point1number"/>
        <w:rPr>
          <w:noProof/>
        </w:rPr>
      </w:pPr>
      <w:r>
        <w:rPr>
          <w:noProof/>
        </w:rPr>
        <w:t xml:space="preserve">national objectives with regard to </w:t>
      </w:r>
      <w:r w:rsidR="006E6D76">
        <w:rPr>
          <w:noProof/>
        </w:rPr>
        <w:t xml:space="preserve">increasing </w:t>
      </w:r>
      <w:r>
        <w:rPr>
          <w:noProof/>
        </w:rPr>
        <w:t>the diversification of energy sources and supply from third countries;</w:t>
      </w:r>
    </w:p>
    <w:p w:rsidR="00494B99" w:rsidRDefault="00494B99" w:rsidP="00494B99">
      <w:pPr>
        <w:pStyle w:val="Point1number"/>
        <w:rPr>
          <w:noProof/>
        </w:rPr>
      </w:pPr>
      <w:r w:rsidRPr="00494B99">
        <w:rPr>
          <w:noProof/>
        </w:rPr>
        <w:tab/>
        <w:t xml:space="preserve">national objectives with regard to </w:t>
      </w:r>
      <w:r w:rsidR="00B83D08">
        <w:rPr>
          <w:noProof/>
        </w:rPr>
        <w:t xml:space="preserve">reducing </w:t>
      </w:r>
      <w:r w:rsidRPr="00494B99">
        <w:rPr>
          <w:noProof/>
        </w:rPr>
        <w:t xml:space="preserve">energy import dependency from </w:t>
      </w:r>
      <w:r w:rsidR="0078020F">
        <w:rPr>
          <w:noProof/>
        </w:rPr>
        <w:t>third</w:t>
      </w:r>
      <w:r w:rsidRPr="00494B99">
        <w:rPr>
          <w:noProof/>
        </w:rPr>
        <w:t xml:space="preserve"> countries</w:t>
      </w:r>
      <w:r>
        <w:rPr>
          <w:noProof/>
        </w:rPr>
        <w:t>;</w:t>
      </w:r>
    </w:p>
    <w:p w:rsidR="00926A0D" w:rsidRDefault="006023A9">
      <w:pPr>
        <w:pStyle w:val="Point1number"/>
        <w:rPr>
          <w:noProof/>
        </w:rPr>
      </w:pPr>
      <w:r>
        <w:rPr>
          <w:noProof/>
        </w:rPr>
        <w:t xml:space="preserve">national objectives with regard to the readiness to cope with constrained or interrupted supply of an energy source, in coherence with the plans to be established under </w:t>
      </w:r>
      <w:r w:rsidR="00A61669">
        <w:t xml:space="preserve">Regulation [as proposed by COM(2016) </w:t>
      </w:r>
      <w:r w:rsidR="00A61669" w:rsidRPr="00593F88">
        <w:t>52 concerning measures to safeguard the security of gas supply and repealing Regulation</w:t>
      </w:r>
      <w:r w:rsidR="00A61669">
        <w:t xml:space="preserve"> </w:t>
      </w:r>
      <w:r w:rsidR="00A61669" w:rsidRPr="00593F88">
        <w:t>(EU) No 994/2010</w:t>
      </w:r>
      <w:r>
        <w:rPr>
          <w:noProof/>
        </w:rPr>
        <w:t>]</w:t>
      </w:r>
      <w:r w:rsidR="00A61669">
        <w:rPr>
          <w:noProof/>
        </w:rPr>
        <w:t xml:space="preserve"> </w:t>
      </w:r>
      <w:r w:rsidR="00A61669">
        <w:t xml:space="preserve">as well as under Regulation [as proposed by </w:t>
      </w:r>
      <w:r w:rsidR="00A61669" w:rsidRPr="00D6240D">
        <w:t>COM(2016) 862</w:t>
      </w:r>
      <w:r w:rsidR="00A61669">
        <w:t xml:space="preserve"> on</w:t>
      </w:r>
      <w:r w:rsidR="00A61669" w:rsidRPr="00D6240D">
        <w:t xml:space="preserve"> </w:t>
      </w:r>
      <w:r w:rsidR="00A61669">
        <w:t>risk-preparedness in the electricity sector and repealing Directive 2005/89/EC]</w:t>
      </w:r>
      <w:r>
        <w:rPr>
          <w:noProof/>
        </w:rPr>
        <w:t xml:space="preserve"> including a timeframe for when the objectives should be met;</w:t>
      </w:r>
    </w:p>
    <w:p w:rsidR="00926A0D" w:rsidRDefault="006023A9">
      <w:pPr>
        <w:pStyle w:val="Point1number"/>
        <w:rPr>
          <w:noProof/>
        </w:rPr>
      </w:pPr>
      <w:r>
        <w:rPr>
          <w:noProof/>
        </w:rPr>
        <w:t>national objectives with regard to deployment of domestic energy sources</w:t>
      </w:r>
      <w:r w:rsidR="006E1DBE">
        <w:rPr>
          <w:noProof/>
        </w:rPr>
        <w:t xml:space="preserve"> (notably renewable energy)</w:t>
      </w:r>
      <w:r>
        <w:rPr>
          <w:noProof/>
        </w:rPr>
        <w:t>;</w:t>
      </w:r>
    </w:p>
    <w:p w:rsidR="00926A0D" w:rsidRDefault="006023A9" w:rsidP="00AF12E0">
      <w:pPr>
        <w:pStyle w:val="Point0letter"/>
        <w:numPr>
          <w:ilvl w:val="1"/>
          <w:numId w:val="40"/>
        </w:numPr>
        <w:rPr>
          <w:noProof/>
        </w:rPr>
      </w:pPr>
      <w:r>
        <w:rPr>
          <w:noProof/>
        </w:rPr>
        <w:t>as regards the dimension "Internal Energy Market":</w:t>
      </w:r>
    </w:p>
    <w:p w:rsidR="00926A0D" w:rsidRDefault="006023A9">
      <w:pPr>
        <w:pStyle w:val="Point1number"/>
        <w:rPr>
          <w:noProof/>
        </w:rPr>
      </w:pPr>
      <w:r>
        <w:rPr>
          <w:noProof/>
        </w:rPr>
        <w:t>the level of electricity interconnectivity that the Member State aims for in  2030 in consideration of the electricity interconnection target for 2030 of at least 15 %; Member States shall explain the underlying methodology used;</w:t>
      </w:r>
    </w:p>
    <w:p w:rsidR="00926A0D" w:rsidRDefault="006023A9">
      <w:pPr>
        <w:pStyle w:val="Point1number"/>
        <w:rPr>
          <w:noProof/>
        </w:rPr>
      </w:pPr>
      <w:r>
        <w:rPr>
          <w:noProof/>
        </w:rPr>
        <w:t>key national objectives for electricity and gas transmission infrastructure that are necessary for the achievement of objectives and targets under any of the five dimensions of the Energy Union Strategy;</w:t>
      </w:r>
    </w:p>
    <w:p w:rsidR="00926A0D" w:rsidRDefault="006023A9">
      <w:pPr>
        <w:pStyle w:val="Point1number"/>
        <w:rPr>
          <w:noProof/>
        </w:rPr>
      </w:pPr>
      <w:r>
        <w:rPr>
          <w:noProof/>
        </w:rPr>
        <w:t>national objectives related to other aspects of the internal energy market such as market integration and coupling, including a timeframe for when the objectives should be met;</w:t>
      </w:r>
    </w:p>
    <w:p w:rsidR="00926A0D" w:rsidRDefault="006023A9">
      <w:pPr>
        <w:pStyle w:val="Point1number"/>
        <w:rPr>
          <w:noProof/>
        </w:rPr>
      </w:pPr>
      <w:r>
        <w:rPr>
          <w:noProof/>
        </w:rPr>
        <w:t>national objectives with regard to ensuring electricity system adequacy as well as flexibility of the energy system with regard to renewable energy production, including a timeframe for when the objectives should be met;</w:t>
      </w:r>
    </w:p>
    <w:p w:rsidR="00926A0D" w:rsidRDefault="006023A9">
      <w:pPr>
        <w:pStyle w:val="Point0letter"/>
        <w:rPr>
          <w:noProof/>
        </w:rPr>
      </w:pPr>
      <w:r>
        <w:rPr>
          <w:noProof/>
        </w:rPr>
        <w:t>as regards the dimension "Research, Innovation and Competitiveness":</w:t>
      </w:r>
    </w:p>
    <w:p w:rsidR="00926A0D" w:rsidRDefault="006023A9">
      <w:pPr>
        <w:pStyle w:val="Point1number"/>
        <w:rPr>
          <w:noProof/>
        </w:rPr>
      </w:pPr>
      <w:r>
        <w:rPr>
          <w:noProof/>
        </w:rPr>
        <w:t>national objectives and funding targets for public and private research and innovation relating  to the Energy Union; if applicable, including a timeframe for when the objectives should be met. Such targets and objectives should be coherent with those set out in the Energy Union Strategy and the SET-Plan</w:t>
      </w:r>
      <w:r w:rsidR="00CD0ED4">
        <w:rPr>
          <w:noProof/>
        </w:rPr>
        <w:t>;</w:t>
      </w:r>
      <w:r>
        <w:rPr>
          <w:noProof/>
        </w:rPr>
        <w:t xml:space="preserve"> </w:t>
      </w:r>
    </w:p>
    <w:p w:rsidR="00926A0D" w:rsidRDefault="006023A9">
      <w:pPr>
        <w:pStyle w:val="Point1number"/>
        <w:rPr>
          <w:noProof/>
        </w:rPr>
      </w:pPr>
      <w:r>
        <w:rPr>
          <w:noProof/>
        </w:rPr>
        <w:t>national 2050 objectives for the deployment of low carbon technologies;</w:t>
      </w:r>
    </w:p>
    <w:p w:rsidR="00926A0D" w:rsidRDefault="006023A9">
      <w:pPr>
        <w:pStyle w:val="Point1number"/>
        <w:rPr>
          <w:noProof/>
        </w:rPr>
      </w:pPr>
      <w:r>
        <w:rPr>
          <w:noProof/>
        </w:rPr>
        <w:t>national objectives with regard to competitiveness.</w:t>
      </w:r>
    </w:p>
    <w:p w:rsidR="00926A0D" w:rsidRDefault="006023A9">
      <w:pPr>
        <w:pStyle w:val="Titrearticle"/>
        <w:rPr>
          <w:i w:val="0"/>
          <w:noProof/>
        </w:rPr>
      </w:pPr>
      <w:r>
        <w:rPr>
          <w:noProof/>
        </w:rPr>
        <w:lastRenderedPageBreak/>
        <w:t>Article 5</w:t>
      </w:r>
      <w:r>
        <w:rPr>
          <w:noProof/>
        </w:rPr>
        <w:br/>
      </w:r>
      <w:r>
        <w:rPr>
          <w:b/>
          <w:i w:val="0"/>
          <w:noProof/>
        </w:rPr>
        <w:t>Member States' contribution setting process in the area of renewable energy</w:t>
      </w:r>
    </w:p>
    <w:p w:rsidR="00926A0D" w:rsidRDefault="006023A9">
      <w:pPr>
        <w:rPr>
          <w:noProof/>
        </w:rPr>
      </w:pPr>
      <w:r>
        <w:rPr>
          <w:noProof/>
        </w:rPr>
        <w:t>1.</w:t>
      </w:r>
      <w:r>
        <w:rPr>
          <w:noProof/>
        </w:rPr>
        <w:tab/>
        <w:t>When setting their contribution for their share of energy from renewable sources in gross final consumption of energy in 2030 and the last year of the period covered for the subsequent national plans, pursuant to Article 4(a)(2)(i), Member States shall take into account the following:</w:t>
      </w:r>
    </w:p>
    <w:p w:rsidR="00926A0D" w:rsidRDefault="006023A9" w:rsidP="0076006B">
      <w:pPr>
        <w:pStyle w:val="Point0letter"/>
        <w:numPr>
          <w:ilvl w:val="1"/>
          <w:numId w:val="14"/>
        </w:numPr>
        <w:rPr>
          <w:noProof/>
        </w:rPr>
      </w:pPr>
      <w:r>
        <w:rPr>
          <w:noProof/>
        </w:rPr>
        <w:t>the measures provided for in [recast of Directive 2009/28/EC</w:t>
      </w:r>
      <w:r w:rsidR="009124B0">
        <w:rPr>
          <w:noProof/>
        </w:rPr>
        <w:t xml:space="preserve"> as proposed by </w:t>
      </w:r>
      <w:r w:rsidR="009124B0" w:rsidRPr="00AD57B2">
        <w:rPr>
          <w:noProof/>
        </w:rPr>
        <w:t>COM(2016) 767</w:t>
      </w:r>
      <w:r>
        <w:rPr>
          <w:noProof/>
        </w:rPr>
        <w:t>];</w:t>
      </w:r>
    </w:p>
    <w:p w:rsidR="00926A0D" w:rsidRDefault="006023A9">
      <w:pPr>
        <w:pStyle w:val="Point0letter"/>
        <w:rPr>
          <w:noProof/>
        </w:rPr>
      </w:pPr>
      <w:r>
        <w:rPr>
          <w:noProof/>
        </w:rPr>
        <w:t>the measures adopted to reach the energy efficiency target adopted pursuant to Directive 2012/27/EU</w:t>
      </w:r>
      <w:r w:rsidR="00D0269E">
        <w:rPr>
          <w:noProof/>
        </w:rPr>
        <w:t xml:space="preserve"> [</w:t>
      </w:r>
      <w:r w:rsidR="00DD0399">
        <w:rPr>
          <w:noProof/>
        </w:rPr>
        <w:t xml:space="preserve">version </w:t>
      </w:r>
      <w:r w:rsidR="005E7873">
        <w:rPr>
          <w:noProof/>
        </w:rPr>
        <w:t xml:space="preserve">as </w:t>
      </w:r>
      <w:r w:rsidR="00DD0399">
        <w:rPr>
          <w:noProof/>
        </w:rPr>
        <w:t>amended in accordance</w:t>
      </w:r>
      <w:r w:rsidR="00D0269E" w:rsidRPr="004B28E2">
        <w:rPr>
          <w:noProof/>
        </w:rPr>
        <w:t xml:space="preserve"> </w:t>
      </w:r>
      <w:r w:rsidR="00DD0399">
        <w:rPr>
          <w:noProof/>
        </w:rPr>
        <w:t xml:space="preserve">with </w:t>
      </w:r>
      <w:r w:rsidR="00D0269E" w:rsidRPr="004B28E2">
        <w:rPr>
          <w:noProof/>
        </w:rPr>
        <w:t>proposal COM(2016)761]</w:t>
      </w:r>
      <w:r>
        <w:rPr>
          <w:noProof/>
        </w:rPr>
        <w:t xml:space="preserve">; </w:t>
      </w:r>
    </w:p>
    <w:p w:rsidR="00926A0D" w:rsidRDefault="006023A9">
      <w:pPr>
        <w:pStyle w:val="Point0letter"/>
        <w:rPr>
          <w:noProof/>
        </w:rPr>
      </w:pPr>
      <w:r>
        <w:rPr>
          <w:noProof/>
        </w:rPr>
        <w:t>other measures to promote renewable energy within Member States and at Union level; and</w:t>
      </w:r>
    </w:p>
    <w:p w:rsidR="00926A0D" w:rsidRDefault="006023A9">
      <w:pPr>
        <w:pStyle w:val="Point0letter"/>
        <w:rPr>
          <w:noProof/>
        </w:rPr>
      </w:pPr>
      <w:r>
        <w:rPr>
          <w:noProof/>
        </w:rPr>
        <w:t>circumstances affecting renewable energy deployment, such as:</w:t>
      </w:r>
    </w:p>
    <w:p w:rsidR="00926A0D" w:rsidRDefault="00EE744B" w:rsidP="00596CAE">
      <w:pPr>
        <w:pStyle w:val="Point1"/>
        <w:rPr>
          <w:noProof/>
        </w:rPr>
      </w:pPr>
      <w:r>
        <w:rPr>
          <w:noProof/>
        </w:rPr>
        <w:t xml:space="preserve">(i) </w:t>
      </w:r>
      <w:r>
        <w:rPr>
          <w:noProof/>
        </w:rPr>
        <w:tab/>
      </w:r>
      <w:r w:rsidR="006023A9">
        <w:rPr>
          <w:noProof/>
        </w:rPr>
        <w:t>equitable distribution of deployment across the European Union;</w:t>
      </w:r>
    </w:p>
    <w:p w:rsidR="00926A0D" w:rsidRDefault="00EE744B">
      <w:pPr>
        <w:pStyle w:val="Point1"/>
        <w:rPr>
          <w:noProof/>
        </w:rPr>
      </w:pPr>
      <w:r>
        <w:rPr>
          <w:noProof/>
        </w:rPr>
        <w:t>(ii)</w:t>
      </w:r>
      <w:r>
        <w:rPr>
          <w:noProof/>
        </w:rPr>
        <w:tab/>
      </w:r>
      <w:r w:rsidR="006023A9">
        <w:rPr>
          <w:noProof/>
        </w:rPr>
        <w:t>economic potential;</w:t>
      </w:r>
    </w:p>
    <w:p w:rsidR="00926A0D" w:rsidRDefault="00EE744B" w:rsidP="00596CAE">
      <w:pPr>
        <w:pStyle w:val="Point1"/>
        <w:rPr>
          <w:noProof/>
        </w:rPr>
      </w:pPr>
      <w:r>
        <w:rPr>
          <w:noProof/>
        </w:rPr>
        <w:t>(iii)</w:t>
      </w:r>
      <w:r>
        <w:rPr>
          <w:noProof/>
        </w:rPr>
        <w:tab/>
      </w:r>
      <w:r w:rsidR="006023A9">
        <w:rPr>
          <w:noProof/>
        </w:rPr>
        <w:t>geographical and natural constraints, including those of non-interconnected areas and regions; and</w:t>
      </w:r>
    </w:p>
    <w:p w:rsidR="00926A0D" w:rsidRDefault="00EE744B">
      <w:pPr>
        <w:pStyle w:val="Point1"/>
        <w:rPr>
          <w:noProof/>
        </w:rPr>
      </w:pPr>
      <w:r>
        <w:rPr>
          <w:noProof/>
        </w:rPr>
        <w:t>(iv)</w:t>
      </w:r>
      <w:r>
        <w:rPr>
          <w:noProof/>
        </w:rPr>
        <w:tab/>
      </w:r>
      <w:r w:rsidR="006023A9">
        <w:rPr>
          <w:noProof/>
        </w:rPr>
        <w:t>the level of power interconnection between Member States.</w:t>
      </w:r>
    </w:p>
    <w:p w:rsidR="00926A0D" w:rsidRDefault="006023A9">
      <w:pPr>
        <w:rPr>
          <w:noProof/>
        </w:rPr>
      </w:pPr>
      <w:r>
        <w:rPr>
          <w:noProof/>
        </w:rPr>
        <w:t>2.</w:t>
      </w:r>
      <w:r>
        <w:rPr>
          <w:noProof/>
        </w:rPr>
        <w:tab/>
        <w:t>Member States shall collectively ensure that the sum of their contributions add</w:t>
      </w:r>
      <w:r w:rsidR="00C52B8D">
        <w:rPr>
          <w:noProof/>
        </w:rPr>
        <w:t>s</w:t>
      </w:r>
      <w:r>
        <w:rPr>
          <w:noProof/>
        </w:rPr>
        <w:t xml:space="preserve"> up to at least 27% </w:t>
      </w:r>
      <w:r w:rsidR="00C52B8D">
        <w:rPr>
          <w:noProof/>
        </w:rPr>
        <w:t xml:space="preserve">of </w:t>
      </w:r>
      <w:r>
        <w:rPr>
          <w:noProof/>
        </w:rPr>
        <w:t xml:space="preserve">energy </w:t>
      </w:r>
      <w:r w:rsidR="00C52B8D">
        <w:rPr>
          <w:noProof/>
        </w:rPr>
        <w:t xml:space="preserve">produced from renewable </w:t>
      </w:r>
      <w:r>
        <w:rPr>
          <w:noProof/>
        </w:rPr>
        <w:t>sources in gross final energy consumption at Union level by 2030.</w:t>
      </w:r>
    </w:p>
    <w:p w:rsidR="00926A0D" w:rsidRDefault="006023A9">
      <w:pPr>
        <w:pStyle w:val="Titrearticle"/>
        <w:rPr>
          <w:i w:val="0"/>
          <w:noProof/>
        </w:rPr>
      </w:pPr>
      <w:r>
        <w:rPr>
          <w:noProof/>
        </w:rPr>
        <w:t>Article 6</w:t>
      </w:r>
      <w:r>
        <w:rPr>
          <w:noProof/>
        </w:rPr>
        <w:br/>
      </w:r>
      <w:r>
        <w:rPr>
          <w:b/>
          <w:i w:val="0"/>
          <w:noProof/>
        </w:rPr>
        <w:t>Member States' contribution setting process in the area of energy efficiency</w:t>
      </w:r>
    </w:p>
    <w:p w:rsidR="00926A0D" w:rsidRDefault="006023A9">
      <w:pPr>
        <w:rPr>
          <w:noProof/>
        </w:rPr>
      </w:pPr>
      <w:r>
        <w:rPr>
          <w:noProof/>
        </w:rPr>
        <w:t>1.</w:t>
      </w:r>
      <w:r>
        <w:rPr>
          <w:noProof/>
        </w:rPr>
        <w:tab/>
        <w:t>When setting their indicative national energy efficiency contribution for 2030 and the last year of the period covered for the subsequent national plan</w:t>
      </w:r>
      <w:r w:rsidR="007B0D16">
        <w:rPr>
          <w:noProof/>
        </w:rPr>
        <w:t>s</w:t>
      </w:r>
      <w:r>
        <w:rPr>
          <w:noProof/>
        </w:rPr>
        <w:t xml:space="preserve"> pursuant to Article 4(b)(</w:t>
      </w:r>
      <w:r w:rsidR="00C52B8D">
        <w:rPr>
          <w:noProof/>
        </w:rPr>
        <w:t>1</w:t>
      </w:r>
      <w:r>
        <w:rPr>
          <w:noProof/>
        </w:rPr>
        <w:t>), Member States shall ensure that:</w:t>
      </w:r>
    </w:p>
    <w:p w:rsidR="00926A0D" w:rsidRDefault="006023A9" w:rsidP="0076006B">
      <w:pPr>
        <w:pStyle w:val="Point0letter"/>
        <w:numPr>
          <w:ilvl w:val="1"/>
          <w:numId w:val="13"/>
        </w:numPr>
        <w:rPr>
          <w:noProof/>
        </w:rPr>
      </w:pPr>
      <w:r>
        <w:rPr>
          <w:noProof/>
        </w:rPr>
        <w:t xml:space="preserve">the Union’s 2020 energy consumption </w:t>
      </w:r>
      <w:r w:rsidR="00C52B8D">
        <w:rPr>
          <w:noProof/>
        </w:rPr>
        <w:t>is</w:t>
      </w:r>
      <w:r>
        <w:rPr>
          <w:noProof/>
        </w:rPr>
        <w:t xml:space="preserve"> no more than 1 483 Mtoe of primary energy and no more than 1 086 Mtoe of final energy, the Union’s 2030 energy consumption </w:t>
      </w:r>
      <w:r w:rsidR="00C52B8D">
        <w:rPr>
          <w:noProof/>
        </w:rPr>
        <w:t xml:space="preserve">is </w:t>
      </w:r>
      <w:r>
        <w:rPr>
          <w:noProof/>
        </w:rPr>
        <w:t>no more than 1 321 Mtoe of primary energy and no more than 987 Mtoe of final energy</w:t>
      </w:r>
      <w:r w:rsidR="001921F7">
        <w:rPr>
          <w:noProof/>
        </w:rPr>
        <w:t xml:space="preserve"> for the first ten-year period</w:t>
      </w:r>
      <w:r>
        <w:rPr>
          <w:noProof/>
        </w:rPr>
        <w:t xml:space="preserve">; </w:t>
      </w:r>
    </w:p>
    <w:p w:rsidR="00EE744B" w:rsidRPr="004B28E2" w:rsidRDefault="006023A9">
      <w:pPr>
        <w:pStyle w:val="Point0letter"/>
        <w:rPr>
          <w:noProof/>
        </w:rPr>
      </w:pPr>
      <w:r w:rsidRPr="004B28E2">
        <w:rPr>
          <w:noProof/>
        </w:rPr>
        <w:t xml:space="preserve">the Union’s binding target for 2030 referred </w:t>
      </w:r>
      <w:r w:rsidR="00C52B8D">
        <w:rPr>
          <w:noProof/>
        </w:rPr>
        <w:t xml:space="preserve">to </w:t>
      </w:r>
      <w:r w:rsidRPr="004B28E2">
        <w:rPr>
          <w:noProof/>
        </w:rPr>
        <w:t>in Article</w:t>
      </w:r>
      <w:r w:rsidR="009E0615">
        <w:rPr>
          <w:noProof/>
        </w:rPr>
        <w:t>s</w:t>
      </w:r>
      <w:r w:rsidRPr="004B28E2">
        <w:rPr>
          <w:noProof/>
        </w:rPr>
        <w:t xml:space="preserve"> 1 and 3 of Directive 2012/27/EU</w:t>
      </w:r>
      <w:r w:rsidR="00AD57B2" w:rsidRPr="00596CAE">
        <w:t xml:space="preserve"> </w:t>
      </w:r>
      <w:r w:rsidR="00AD57B2" w:rsidRPr="004B28E2">
        <w:rPr>
          <w:noProof/>
        </w:rPr>
        <w:t>[</w:t>
      </w:r>
      <w:r w:rsidR="00DF79A6">
        <w:rPr>
          <w:noProof/>
        </w:rPr>
        <w:t xml:space="preserve">version </w:t>
      </w:r>
      <w:r w:rsidR="005E7873">
        <w:rPr>
          <w:noProof/>
        </w:rPr>
        <w:t xml:space="preserve">as </w:t>
      </w:r>
      <w:r w:rsidR="00AD57B2" w:rsidRPr="004B28E2">
        <w:rPr>
          <w:noProof/>
        </w:rPr>
        <w:t xml:space="preserve">amended </w:t>
      </w:r>
      <w:r w:rsidR="00DF79A6">
        <w:rPr>
          <w:noProof/>
        </w:rPr>
        <w:t xml:space="preserve">in accordance with </w:t>
      </w:r>
      <w:r w:rsidR="00AD57B2" w:rsidRPr="004B28E2">
        <w:rPr>
          <w:noProof/>
        </w:rPr>
        <w:t>proposal COM(2016)761]</w:t>
      </w:r>
      <w:r w:rsidRPr="004B28E2">
        <w:rPr>
          <w:noProof/>
        </w:rPr>
        <w:t xml:space="preserve"> is met</w:t>
      </w:r>
      <w:r w:rsidR="00EE744B" w:rsidRPr="004B28E2">
        <w:rPr>
          <w:noProof/>
        </w:rPr>
        <w:t>.</w:t>
      </w:r>
    </w:p>
    <w:p w:rsidR="00926A0D" w:rsidRDefault="00EE744B" w:rsidP="00596CAE">
      <w:pPr>
        <w:rPr>
          <w:noProof/>
        </w:rPr>
      </w:pPr>
      <w:r>
        <w:rPr>
          <w:noProof/>
        </w:rPr>
        <w:t>In addition, Member States shall take into account:</w:t>
      </w:r>
    </w:p>
    <w:p w:rsidR="00926A0D" w:rsidRDefault="006023A9" w:rsidP="00AF12E0">
      <w:pPr>
        <w:pStyle w:val="Point0letter"/>
        <w:numPr>
          <w:ilvl w:val="1"/>
          <w:numId w:val="57"/>
        </w:numPr>
        <w:rPr>
          <w:noProof/>
        </w:rPr>
      </w:pPr>
      <w:r>
        <w:rPr>
          <w:noProof/>
        </w:rPr>
        <w:t>the measures provided for in Directive 2012/27/EU</w:t>
      </w:r>
      <w:r w:rsidR="006A6DB6">
        <w:rPr>
          <w:noProof/>
        </w:rPr>
        <w:t xml:space="preserve"> </w:t>
      </w:r>
      <w:r w:rsidR="00D0269E">
        <w:rPr>
          <w:noProof/>
        </w:rPr>
        <w:t>[</w:t>
      </w:r>
      <w:r w:rsidR="00DF79A6">
        <w:rPr>
          <w:noProof/>
        </w:rPr>
        <w:t xml:space="preserve">version </w:t>
      </w:r>
      <w:r w:rsidR="005E7873">
        <w:rPr>
          <w:noProof/>
        </w:rPr>
        <w:t xml:space="preserve">as </w:t>
      </w:r>
      <w:r w:rsidR="00DF79A6" w:rsidRPr="004B28E2">
        <w:rPr>
          <w:noProof/>
        </w:rPr>
        <w:t xml:space="preserve">amended </w:t>
      </w:r>
      <w:r w:rsidR="00DF79A6">
        <w:rPr>
          <w:noProof/>
        </w:rPr>
        <w:t>in accordance with</w:t>
      </w:r>
      <w:r w:rsidR="006A6DB6" w:rsidRPr="004B28E2">
        <w:rPr>
          <w:noProof/>
        </w:rPr>
        <w:t xml:space="preserve"> proposal COM(2016)761]</w:t>
      </w:r>
      <w:r>
        <w:rPr>
          <w:noProof/>
        </w:rPr>
        <w:t>;</w:t>
      </w:r>
    </w:p>
    <w:p w:rsidR="00926A0D" w:rsidRDefault="006023A9">
      <w:pPr>
        <w:pStyle w:val="Point0letter"/>
        <w:rPr>
          <w:noProof/>
        </w:rPr>
      </w:pPr>
      <w:r>
        <w:rPr>
          <w:noProof/>
        </w:rPr>
        <w:t>other measures to promote energy efficiency within Member States and at Union level.</w:t>
      </w:r>
    </w:p>
    <w:p w:rsidR="00926A0D" w:rsidRDefault="006023A9">
      <w:pPr>
        <w:rPr>
          <w:noProof/>
        </w:rPr>
      </w:pPr>
      <w:r>
        <w:rPr>
          <w:noProof/>
        </w:rPr>
        <w:t>2.</w:t>
      </w:r>
      <w:r>
        <w:rPr>
          <w:noProof/>
        </w:rPr>
        <w:tab/>
        <w:t xml:space="preserve">When setting their contribution referred </w:t>
      </w:r>
      <w:r w:rsidR="00C52B8D">
        <w:rPr>
          <w:noProof/>
        </w:rPr>
        <w:t xml:space="preserve">to </w:t>
      </w:r>
      <w:r>
        <w:rPr>
          <w:noProof/>
        </w:rPr>
        <w:t>in paragraph 1 Member States may take into account circumstances affecting primary and final energy consumption, such as:</w:t>
      </w:r>
    </w:p>
    <w:p w:rsidR="00926A0D" w:rsidRDefault="006023A9" w:rsidP="00AF12E0">
      <w:pPr>
        <w:pStyle w:val="Point0letter"/>
        <w:numPr>
          <w:ilvl w:val="1"/>
          <w:numId w:val="54"/>
        </w:numPr>
        <w:rPr>
          <w:noProof/>
        </w:rPr>
      </w:pPr>
      <w:r>
        <w:rPr>
          <w:noProof/>
        </w:rPr>
        <w:lastRenderedPageBreak/>
        <w:t>remaining cost-effective energy-saving potential;</w:t>
      </w:r>
    </w:p>
    <w:p w:rsidR="00926A0D" w:rsidRDefault="006023A9">
      <w:pPr>
        <w:pStyle w:val="Point0letter"/>
        <w:rPr>
          <w:noProof/>
        </w:rPr>
      </w:pPr>
      <w:r>
        <w:rPr>
          <w:noProof/>
        </w:rPr>
        <w:t>evolution and forecast of gross domestic product;</w:t>
      </w:r>
    </w:p>
    <w:p w:rsidR="00926A0D" w:rsidRDefault="006023A9">
      <w:pPr>
        <w:pStyle w:val="Point0letter"/>
        <w:rPr>
          <w:noProof/>
        </w:rPr>
      </w:pPr>
      <w:r>
        <w:rPr>
          <w:noProof/>
        </w:rPr>
        <w:t>changes of energy imports and exports;</w:t>
      </w:r>
    </w:p>
    <w:p w:rsidR="00926A0D" w:rsidRDefault="006023A9">
      <w:pPr>
        <w:pStyle w:val="Point0letter"/>
        <w:rPr>
          <w:noProof/>
        </w:rPr>
      </w:pPr>
      <w:r>
        <w:rPr>
          <w:noProof/>
        </w:rPr>
        <w:t>development of all sources of renewable energies, nuclear energy, carbon capture and storage; and</w:t>
      </w:r>
    </w:p>
    <w:p w:rsidR="00926A0D" w:rsidRDefault="006023A9">
      <w:pPr>
        <w:pStyle w:val="Point0letter"/>
        <w:rPr>
          <w:noProof/>
        </w:rPr>
      </w:pPr>
      <w:r>
        <w:rPr>
          <w:noProof/>
        </w:rPr>
        <w:t>early actions.</w:t>
      </w:r>
    </w:p>
    <w:p w:rsidR="00926A0D" w:rsidRDefault="006023A9">
      <w:pPr>
        <w:pStyle w:val="Titrearticle"/>
        <w:rPr>
          <w:i w:val="0"/>
          <w:noProof/>
        </w:rPr>
      </w:pPr>
      <w:r>
        <w:rPr>
          <w:noProof/>
        </w:rPr>
        <w:t>Article 7</w:t>
      </w:r>
      <w:r>
        <w:rPr>
          <w:noProof/>
        </w:rPr>
        <w:br/>
      </w:r>
      <w:r>
        <w:rPr>
          <w:b/>
          <w:i w:val="0"/>
          <w:noProof/>
          <w:szCs w:val="24"/>
        </w:rPr>
        <w:t>National policies and measures for each of the five dimensions of the Energy Union</w:t>
      </w:r>
    </w:p>
    <w:p w:rsidR="00926A0D" w:rsidRDefault="006023A9">
      <w:pPr>
        <w:rPr>
          <w:noProof/>
          <w:szCs w:val="24"/>
        </w:rPr>
      </w:pPr>
      <w:r>
        <w:rPr>
          <w:noProof/>
          <w:szCs w:val="24"/>
        </w:rPr>
        <w:t xml:space="preserve">Member States shall describe, in accordance with Annex I, in their integrated national energy and climate plan, the main existing (implemented and adopted) and planned policies and measures to achieve in particular the objectives set out in the national plan, including measures to ensure regional cooperation and appropriate financing at national and regional  level. </w:t>
      </w:r>
    </w:p>
    <w:p w:rsidR="00926A0D" w:rsidRDefault="006023A9">
      <w:pPr>
        <w:pStyle w:val="Titrearticle"/>
        <w:rPr>
          <w:b/>
          <w:noProof/>
          <w:szCs w:val="24"/>
        </w:rPr>
      </w:pPr>
      <w:r>
        <w:rPr>
          <w:noProof/>
        </w:rPr>
        <w:t>Article 8</w:t>
      </w:r>
      <w:r>
        <w:rPr>
          <w:noProof/>
        </w:rPr>
        <w:br/>
      </w:r>
      <w:r>
        <w:rPr>
          <w:b/>
          <w:i w:val="0"/>
          <w:noProof/>
          <w:szCs w:val="24"/>
        </w:rPr>
        <w:t>Analytical basis of the integrated national energy and climate plans</w:t>
      </w:r>
    </w:p>
    <w:p w:rsidR="00926A0D" w:rsidRDefault="006023A9">
      <w:pPr>
        <w:rPr>
          <w:noProof/>
          <w:szCs w:val="24"/>
        </w:rPr>
      </w:pPr>
      <w:r>
        <w:rPr>
          <w:noProof/>
          <w:szCs w:val="24"/>
        </w:rPr>
        <w:t>1.</w:t>
      </w:r>
      <w:r>
        <w:rPr>
          <w:noProof/>
          <w:szCs w:val="24"/>
        </w:rPr>
        <w:tab/>
        <w:t xml:space="preserve">Member States shall describe, in accordance with the structure and format specified in Annex I, the current situation for each of the five dimensions of the Energy Union including of the energy system and greenhouse gas emissions and removals at the time of submission of the national plan or on the basis of the latest available information. Member States shall also set out and describe projections for each of the five dimensions of the Energy Union for the first ten-year period at least until </w:t>
      </w:r>
      <w:r>
        <w:rPr>
          <w:noProof/>
        </w:rPr>
        <w:t>2040 (including for the year 2030)</w:t>
      </w:r>
      <w:r>
        <w:rPr>
          <w:noProof/>
          <w:szCs w:val="24"/>
        </w:rPr>
        <w:t xml:space="preserve"> expected to result from </w:t>
      </w:r>
      <w:r>
        <w:rPr>
          <w:noProof/>
        </w:rPr>
        <w:t>existing (implemented and adopted)</w:t>
      </w:r>
      <w:r>
        <w:rPr>
          <w:noProof/>
          <w:szCs w:val="24"/>
        </w:rPr>
        <w:t xml:space="preserve"> policies and measures.</w:t>
      </w:r>
    </w:p>
    <w:p w:rsidR="00926A0D" w:rsidRDefault="006023A9">
      <w:pPr>
        <w:rPr>
          <w:noProof/>
          <w:szCs w:val="24"/>
        </w:rPr>
      </w:pPr>
      <w:r>
        <w:rPr>
          <w:noProof/>
        </w:rPr>
        <w:t>2.</w:t>
      </w:r>
      <w:r>
        <w:rPr>
          <w:noProof/>
        </w:rPr>
        <w:tab/>
      </w:r>
      <w:r>
        <w:rPr>
          <w:noProof/>
          <w:szCs w:val="24"/>
        </w:rPr>
        <w:t>Member States shall describe in their integrated national energy and climate plan their assessment, at national and where applicable regional level, of:</w:t>
      </w:r>
    </w:p>
    <w:p w:rsidR="00926A0D" w:rsidRDefault="006023A9" w:rsidP="00AF12E0">
      <w:pPr>
        <w:pStyle w:val="Point0letter"/>
        <w:numPr>
          <w:ilvl w:val="1"/>
          <w:numId w:val="41"/>
        </w:numPr>
        <w:rPr>
          <w:noProof/>
        </w:rPr>
      </w:pPr>
      <w:r>
        <w:rPr>
          <w:noProof/>
        </w:rPr>
        <w:t xml:space="preserve">the impacts on the development of the energy system and greenhouse gas emissions and removals for the first ten-year period at least until 2040 (including for the year 2030) under the planned policies and measures including a comparison with the projections based on existing </w:t>
      </w:r>
      <w:r>
        <w:rPr>
          <w:noProof/>
          <w:szCs w:val="24"/>
        </w:rPr>
        <w:t xml:space="preserve">(implemented and adopted) </w:t>
      </w:r>
      <w:r>
        <w:rPr>
          <w:noProof/>
        </w:rPr>
        <w:t>policies and measures referred to in paragraph 1;</w:t>
      </w:r>
    </w:p>
    <w:p w:rsidR="00926A0D" w:rsidRDefault="006023A9">
      <w:pPr>
        <w:pStyle w:val="Point0letter"/>
        <w:rPr>
          <w:noProof/>
        </w:rPr>
      </w:pPr>
      <w:r>
        <w:rPr>
          <w:noProof/>
        </w:rPr>
        <w:t xml:space="preserve">the macroeconomic, environmental, skills and social impact of the planned policies and measures referred to in Article 7 and further specified in Annex I, for the first ten-year period at least until the year 2030 including a comparison with the projections </w:t>
      </w:r>
      <w:r w:rsidR="0030257C">
        <w:rPr>
          <w:noProof/>
        </w:rPr>
        <w:t xml:space="preserve">based on </w:t>
      </w:r>
      <w:r>
        <w:rPr>
          <w:noProof/>
        </w:rPr>
        <w:t xml:space="preserve">existing </w:t>
      </w:r>
      <w:r>
        <w:rPr>
          <w:noProof/>
          <w:szCs w:val="24"/>
        </w:rPr>
        <w:t xml:space="preserve">(implemented and adopted) </w:t>
      </w:r>
      <w:r>
        <w:rPr>
          <w:noProof/>
        </w:rPr>
        <w:t>policies and measures referred to in paragraph 1;</w:t>
      </w:r>
    </w:p>
    <w:p w:rsidR="00926A0D" w:rsidRDefault="006023A9">
      <w:pPr>
        <w:pStyle w:val="Point0letter"/>
        <w:rPr>
          <w:noProof/>
        </w:rPr>
      </w:pPr>
      <w:r>
        <w:rPr>
          <w:noProof/>
        </w:rPr>
        <w:t xml:space="preserve">interactions between existing </w:t>
      </w:r>
      <w:r>
        <w:rPr>
          <w:noProof/>
          <w:szCs w:val="24"/>
        </w:rPr>
        <w:t xml:space="preserve">(implemented and adopted) </w:t>
      </w:r>
      <w:r>
        <w:rPr>
          <w:noProof/>
        </w:rPr>
        <w:t xml:space="preserve">and planned policies and measures within a policy dimension and between existing </w:t>
      </w:r>
      <w:r>
        <w:rPr>
          <w:noProof/>
          <w:szCs w:val="24"/>
        </w:rPr>
        <w:t>(implemented and adopted)</w:t>
      </w:r>
      <w:r>
        <w:rPr>
          <w:noProof/>
        </w:rPr>
        <w:t xml:space="preserve"> and planned policies and measures of different dimensions for the first ten</w:t>
      </w:r>
      <w:r w:rsidR="00EF1A2E">
        <w:rPr>
          <w:noProof/>
        </w:rPr>
        <w:t>-</w:t>
      </w:r>
      <w:r>
        <w:rPr>
          <w:noProof/>
        </w:rPr>
        <w:t xml:space="preserve"> year period at least until the year 2030. </w:t>
      </w:r>
      <w:r>
        <w:rPr>
          <w:noProof/>
          <w:szCs w:val="24"/>
        </w:rPr>
        <w:t xml:space="preserve">Projections concerning </w:t>
      </w:r>
      <w:r>
        <w:rPr>
          <w:noProof/>
        </w:rPr>
        <w:t>security of supply, infrastructure and market integration shall be linked to robust energy efficiency scenarios.</w:t>
      </w:r>
    </w:p>
    <w:p w:rsidR="00926A0D" w:rsidRDefault="006023A9">
      <w:pPr>
        <w:pStyle w:val="Titrearticle"/>
        <w:rPr>
          <w:noProof/>
        </w:rPr>
      </w:pPr>
      <w:r>
        <w:rPr>
          <w:noProof/>
        </w:rPr>
        <w:lastRenderedPageBreak/>
        <w:t>Article 9</w:t>
      </w:r>
      <w:r>
        <w:rPr>
          <w:noProof/>
        </w:rPr>
        <w:br/>
      </w:r>
      <w:r>
        <w:rPr>
          <w:b/>
          <w:i w:val="0"/>
          <w:noProof/>
        </w:rPr>
        <w:t>Draft integrated national energy and climate plans</w:t>
      </w:r>
    </w:p>
    <w:p w:rsidR="00926A0D" w:rsidRDefault="006023A9">
      <w:pPr>
        <w:rPr>
          <w:noProof/>
        </w:rPr>
      </w:pPr>
      <w:r>
        <w:rPr>
          <w:noProof/>
        </w:rPr>
        <w:t>1.</w:t>
      </w:r>
      <w:r>
        <w:rPr>
          <w:noProof/>
        </w:rPr>
        <w:tab/>
        <w:t xml:space="preserve">By 1 January 2018 and every ten years thereafter Member States shall prepare and submit to the Commission a draft of the integrated national energy and climate plan referred </w:t>
      </w:r>
      <w:r w:rsidR="0030257C">
        <w:rPr>
          <w:noProof/>
        </w:rPr>
        <w:t xml:space="preserve">to </w:t>
      </w:r>
      <w:r>
        <w:rPr>
          <w:noProof/>
        </w:rPr>
        <w:t>in Article 3(1).</w:t>
      </w:r>
    </w:p>
    <w:p w:rsidR="00926A0D" w:rsidRDefault="006023A9">
      <w:pPr>
        <w:rPr>
          <w:noProof/>
        </w:rPr>
      </w:pPr>
      <w:r>
        <w:rPr>
          <w:noProof/>
        </w:rPr>
        <w:t>2.</w:t>
      </w:r>
      <w:r>
        <w:rPr>
          <w:noProof/>
        </w:rPr>
        <w:tab/>
        <w:t>The Commission may issue recommendations on the draft plans to Member States in accordance with Article 28. Those recommendations shall in particular set out:</w:t>
      </w:r>
    </w:p>
    <w:p w:rsidR="00926A0D" w:rsidRDefault="006023A9" w:rsidP="00AF12E0">
      <w:pPr>
        <w:pStyle w:val="Point0letter"/>
        <w:numPr>
          <w:ilvl w:val="1"/>
          <w:numId w:val="42"/>
        </w:numPr>
        <w:rPr>
          <w:noProof/>
        </w:rPr>
      </w:pPr>
      <w:r>
        <w:rPr>
          <w:noProof/>
        </w:rPr>
        <w:t>the level of ambition of objectives, targets and contributions in view of collectively achieving the Energy Union objectives and notably the Union's 2030 targets for renewable energy and energy efficiency;</w:t>
      </w:r>
    </w:p>
    <w:p w:rsidR="00926A0D" w:rsidRDefault="006023A9">
      <w:pPr>
        <w:pStyle w:val="Point0letter"/>
        <w:rPr>
          <w:noProof/>
        </w:rPr>
      </w:pPr>
      <w:r>
        <w:rPr>
          <w:noProof/>
        </w:rPr>
        <w:t>policies and measures relating to Member States' and Union level objectives and other policies and measures of potential cross-border relevance;</w:t>
      </w:r>
    </w:p>
    <w:p w:rsidR="00926A0D" w:rsidRDefault="006023A9">
      <w:pPr>
        <w:pStyle w:val="Point0letter"/>
        <w:rPr>
          <w:noProof/>
        </w:rPr>
      </w:pPr>
      <w:r>
        <w:rPr>
          <w:noProof/>
        </w:rPr>
        <w:t xml:space="preserve">interactions between and consistency of existing </w:t>
      </w:r>
      <w:r>
        <w:rPr>
          <w:noProof/>
          <w:szCs w:val="24"/>
        </w:rPr>
        <w:t xml:space="preserve">(implemented and adopted) </w:t>
      </w:r>
      <w:r>
        <w:rPr>
          <w:noProof/>
        </w:rPr>
        <w:t>and planned policies and measures included in the integrated national energy and climate plan within one dimension and among different dimensions of the Energy Union.</w:t>
      </w:r>
    </w:p>
    <w:p w:rsidR="00926A0D" w:rsidRDefault="006023A9">
      <w:pPr>
        <w:rPr>
          <w:noProof/>
        </w:rPr>
      </w:pPr>
      <w:r>
        <w:rPr>
          <w:noProof/>
        </w:rPr>
        <w:t>3.</w:t>
      </w:r>
      <w:r>
        <w:rPr>
          <w:noProof/>
        </w:rPr>
        <w:tab/>
        <w:t>Member States shall take utmost account of any recommendations from the Commission when finalising their integrated national energy and climate plan.</w:t>
      </w:r>
    </w:p>
    <w:p w:rsidR="00926A0D" w:rsidRDefault="006023A9">
      <w:pPr>
        <w:pStyle w:val="Titrearticle"/>
        <w:rPr>
          <w:noProof/>
        </w:rPr>
      </w:pPr>
      <w:r>
        <w:rPr>
          <w:noProof/>
        </w:rPr>
        <w:t>Article 10</w:t>
      </w:r>
      <w:r>
        <w:rPr>
          <w:noProof/>
        </w:rPr>
        <w:br/>
      </w:r>
      <w:r>
        <w:rPr>
          <w:b/>
          <w:i w:val="0"/>
          <w:noProof/>
        </w:rPr>
        <w:t>Public consultation</w:t>
      </w:r>
      <w:r>
        <w:rPr>
          <w:b/>
          <w:noProof/>
        </w:rPr>
        <w:t xml:space="preserve"> </w:t>
      </w:r>
    </w:p>
    <w:p w:rsidR="00926A0D" w:rsidRDefault="006023A9">
      <w:pPr>
        <w:rPr>
          <w:noProof/>
          <w:szCs w:val="24"/>
        </w:rPr>
      </w:pPr>
      <w:r>
        <w:rPr>
          <w:noProof/>
          <w:szCs w:val="24"/>
        </w:rPr>
        <w:t>Without prejudice to any other Union law requirements, Member States shall</w:t>
      </w:r>
      <w:r>
        <w:rPr>
          <w:noProof/>
        </w:rPr>
        <w:t xml:space="preserve"> </w:t>
      </w:r>
      <w:r>
        <w:rPr>
          <w:noProof/>
          <w:szCs w:val="24"/>
        </w:rPr>
        <w:t>ensure that the public is given early and effective opportunities to participate in the preparation of draft plans referred to in Article 9 and attach to the submission of their draft integrated national energy and climate plan to the Commission a summary of the public’s views. In so far as the provisions of Directive 2001/42/EC are applicable, consultations undertaken in accordance with that Directive shall be deemed to satisfy also the obligations to consult the public under this Regulation.</w:t>
      </w:r>
    </w:p>
    <w:p w:rsidR="00926A0D" w:rsidRDefault="006023A9">
      <w:pPr>
        <w:pStyle w:val="Titrearticle"/>
        <w:rPr>
          <w:noProof/>
        </w:rPr>
      </w:pPr>
      <w:r>
        <w:rPr>
          <w:noProof/>
        </w:rPr>
        <w:t>Article 11</w:t>
      </w:r>
      <w:r>
        <w:rPr>
          <w:noProof/>
        </w:rPr>
        <w:br/>
      </w:r>
      <w:r>
        <w:rPr>
          <w:b/>
          <w:i w:val="0"/>
          <w:noProof/>
        </w:rPr>
        <w:t>Regional cooperation</w:t>
      </w:r>
    </w:p>
    <w:p w:rsidR="00926A0D" w:rsidRDefault="006023A9">
      <w:pPr>
        <w:rPr>
          <w:noProof/>
        </w:rPr>
      </w:pPr>
      <w:r>
        <w:rPr>
          <w:noProof/>
        </w:rPr>
        <w:t>1.</w:t>
      </w:r>
      <w:r>
        <w:rPr>
          <w:noProof/>
        </w:rPr>
        <w:tab/>
        <w:t>Member States shall cooperate with each other at regional level to effectively meet the targets</w:t>
      </w:r>
      <w:r w:rsidR="00B727C9">
        <w:rPr>
          <w:noProof/>
        </w:rPr>
        <w:t>,</w:t>
      </w:r>
      <w:r>
        <w:rPr>
          <w:noProof/>
        </w:rPr>
        <w:t xml:space="preserve"> objectives </w:t>
      </w:r>
      <w:r w:rsidR="00B727C9">
        <w:rPr>
          <w:noProof/>
        </w:rPr>
        <w:t>and contributions</w:t>
      </w:r>
      <w:r>
        <w:rPr>
          <w:noProof/>
        </w:rPr>
        <w:t xml:space="preserve"> set out in their integrated national energy and climate plan.</w:t>
      </w:r>
    </w:p>
    <w:p w:rsidR="00926A0D" w:rsidRDefault="006023A9">
      <w:pPr>
        <w:rPr>
          <w:noProof/>
        </w:rPr>
      </w:pPr>
      <w:r>
        <w:rPr>
          <w:noProof/>
        </w:rPr>
        <w:t>2.</w:t>
      </w:r>
      <w:r>
        <w:rPr>
          <w:noProof/>
        </w:rPr>
        <w:tab/>
        <w:t>Member States shall, well before submitting their draft integrated national energy and climate plan to the Commission pursuant to Article 9(1), identify opportunities for regional cooperation and consult neighbouring Member States and the other Member States expressing an interest. Member States shall set out in their draft integrated national energy and climate plans the results of such regional consultation, including where applicable how comments have been taken into account.</w:t>
      </w:r>
    </w:p>
    <w:p w:rsidR="00926A0D" w:rsidRDefault="006023A9">
      <w:pPr>
        <w:rPr>
          <w:noProof/>
        </w:rPr>
      </w:pPr>
      <w:r>
        <w:rPr>
          <w:noProof/>
        </w:rPr>
        <w:t>3.</w:t>
      </w:r>
      <w:r>
        <w:rPr>
          <w:noProof/>
        </w:rPr>
        <w:tab/>
        <w:t>The Commission shall facilitate cooperation and consultation among the Member States on the draft plans submitted to it under Article 9 in view of their finalisation.</w:t>
      </w:r>
    </w:p>
    <w:p w:rsidR="00926A0D" w:rsidRDefault="006023A9">
      <w:pPr>
        <w:rPr>
          <w:noProof/>
        </w:rPr>
      </w:pPr>
      <w:r>
        <w:rPr>
          <w:noProof/>
        </w:rPr>
        <w:t>4.</w:t>
      </w:r>
      <w:r>
        <w:rPr>
          <w:noProof/>
        </w:rPr>
        <w:tab/>
        <w:t>Member States shall take into consideration the comments received from other Member States pursuant to paragraphs 2 and 3 in their final integrated national energy and climate plan and explain how such comments have been taken into account.</w:t>
      </w:r>
    </w:p>
    <w:p w:rsidR="00926A0D" w:rsidRDefault="006023A9">
      <w:pPr>
        <w:rPr>
          <w:noProof/>
        </w:rPr>
      </w:pPr>
      <w:r>
        <w:rPr>
          <w:noProof/>
        </w:rPr>
        <w:lastRenderedPageBreak/>
        <w:t>5.</w:t>
      </w:r>
      <w:r>
        <w:rPr>
          <w:noProof/>
        </w:rPr>
        <w:tab/>
        <w:t>For the purposes specified in paragraph 1, Member States shall continue to cooperate at regional level when implementing the policies and measures of their plans.</w:t>
      </w:r>
    </w:p>
    <w:p w:rsidR="00926A0D" w:rsidRDefault="006023A9">
      <w:pPr>
        <w:pStyle w:val="Titrearticle"/>
        <w:rPr>
          <w:noProof/>
        </w:rPr>
      </w:pPr>
      <w:r>
        <w:rPr>
          <w:noProof/>
        </w:rPr>
        <w:t>Article 12</w:t>
      </w:r>
      <w:r>
        <w:rPr>
          <w:noProof/>
        </w:rPr>
        <w:br/>
      </w:r>
      <w:r>
        <w:rPr>
          <w:b/>
          <w:i w:val="0"/>
          <w:noProof/>
          <w:szCs w:val="24"/>
        </w:rPr>
        <w:t>Assessment of the integrated national energy and climate plans</w:t>
      </w:r>
    </w:p>
    <w:p w:rsidR="00926A0D" w:rsidRDefault="006023A9">
      <w:pPr>
        <w:rPr>
          <w:noProof/>
        </w:rPr>
      </w:pPr>
      <w:r>
        <w:rPr>
          <w:noProof/>
        </w:rPr>
        <w:t>The Commission shall assess the integrated national energy and climate plans and their updates as notified pursuant to Articles 3 and 13. It shall assess in particular whether:</w:t>
      </w:r>
    </w:p>
    <w:p w:rsidR="00926A0D" w:rsidRDefault="006023A9" w:rsidP="00AF12E0">
      <w:pPr>
        <w:pStyle w:val="Point0letter"/>
        <w:numPr>
          <w:ilvl w:val="1"/>
          <w:numId w:val="43"/>
        </w:numPr>
        <w:rPr>
          <w:noProof/>
        </w:rPr>
      </w:pPr>
      <w:r>
        <w:rPr>
          <w:noProof/>
        </w:rPr>
        <w:t>the targets, objectives and contributions are sufficient for the collective achievement of the Energy Union objectives and for the first ten-years period in particular the targets of the Union's 2030 Climate and Energy Framework;</w:t>
      </w:r>
    </w:p>
    <w:p w:rsidR="00926A0D" w:rsidRDefault="006023A9">
      <w:pPr>
        <w:pStyle w:val="Point0letter"/>
        <w:rPr>
          <w:noProof/>
        </w:rPr>
      </w:pPr>
      <w:r>
        <w:rPr>
          <w:noProof/>
        </w:rPr>
        <w:t>the plans comply with requirements of Articles 3 to 11 and the Commission recommendations issued pursuant to Article 28.</w:t>
      </w:r>
    </w:p>
    <w:p w:rsidR="00926A0D" w:rsidRDefault="006023A9">
      <w:pPr>
        <w:pStyle w:val="Titrearticle"/>
        <w:rPr>
          <w:noProof/>
        </w:rPr>
      </w:pPr>
      <w:r>
        <w:rPr>
          <w:noProof/>
        </w:rPr>
        <w:t>Article 13</w:t>
      </w:r>
      <w:r>
        <w:rPr>
          <w:noProof/>
        </w:rPr>
        <w:br/>
      </w:r>
      <w:r>
        <w:rPr>
          <w:b/>
          <w:i w:val="0"/>
          <w:noProof/>
          <w:szCs w:val="24"/>
        </w:rPr>
        <w:t>Update of the integrated national energy and climate plan</w:t>
      </w:r>
    </w:p>
    <w:p w:rsidR="00926A0D" w:rsidRDefault="006023A9">
      <w:pPr>
        <w:rPr>
          <w:noProof/>
        </w:rPr>
      </w:pPr>
      <w:r>
        <w:rPr>
          <w:noProof/>
        </w:rPr>
        <w:t>1.</w:t>
      </w:r>
      <w:r>
        <w:rPr>
          <w:noProof/>
        </w:rPr>
        <w:tab/>
        <w:t xml:space="preserve">By 1 January 2023, and every 10 years thereafter, Member States shall submit to the Commission a draft update of the latest notified integrated national energy and climate plan referred </w:t>
      </w:r>
      <w:r w:rsidR="0030257C">
        <w:rPr>
          <w:noProof/>
        </w:rPr>
        <w:t xml:space="preserve">to </w:t>
      </w:r>
      <w:r>
        <w:rPr>
          <w:noProof/>
        </w:rPr>
        <w:t>in Article 3 or confirm to the Commission that the plan remains valid.</w:t>
      </w:r>
    </w:p>
    <w:p w:rsidR="00926A0D" w:rsidRPr="003C4AC6" w:rsidRDefault="006023A9">
      <w:pPr>
        <w:rPr>
          <w:noProof/>
        </w:rPr>
      </w:pPr>
      <w:r>
        <w:rPr>
          <w:noProof/>
        </w:rPr>
        <w:t>2.</w:t>
      </w:r>
      <w:r>
        <w:rPr>
          <w:noProof/>
        </w:rPr>
        <w:tab/>
        <w:t>By 1 January 2024</w:t>
      </w:r>
      <w:r w:rsidR="006149C7">
        <w:rPr>
          <w:noProof/>
        </w:rPr>
        <w:t>,</w:t>
      </w:r>
      <w:r>
        <w:rPr>
          <w:noProof/>
        </w:rPr>
        <w:t xml:space="preserve"> and every 10 years thereafter</w:t>
      </w:r>
      <w:r w:rsidR="00CD0ED4">
        <w:rPr>
          <w:noProof/>
        </w:rPr>
        <w:t>,</w:t>
      </w:r>
      <w:r>
        <w:rPr>
          <w:noProof/>
        </w:rPr>
        <w:t xml:space="preserve"> Member States shall notify to the Commission an update of the latest notified integrated national energy and climate plan </w:t>
      </w:r>
      <w:r w:rsidRPr="003C4AC6">
        <w:rPr>
          <w:noProof/>
        </w:rPr>
        <w:t xml:space="preserve">referred </w:t>
      </w:r>
      <w:r w:rsidR="0030257C" w:rsidRPr="003C4AC6">
        <w:rPr>
          <w:noProof/>
        </w:rPr>
        <w:t xml:space="preserve">to </w:t>
      </w:r>
      <w:r w:rsidRPr="003C4AC6">
        <w:rPr>
          <w:noProof/>
        </w:rPr>
        <w:t>in Article 3, unless they have confirmed that the plan remains valid pursuant to paragraph 1</w:t>
      </w:r>
      <w:r w:rsidR="00392663" w:rsidRPr="003C4AC6">
        <w:rPr>
          <w:noProof/>
        </w:rPr>
        <w:t xml:space="preserve"> </w:t>
      </w:r>
      <w:r w:rsidR="006F7A6D" w:rsidRPr="003C4AC6">
        <w:rPr>
          <w:noProof/>
        </w:rPr>
        <w:t>of</w:t>
      </w:r>
      <w:r w:rsidR="00392663" w:rsidRPr="003C4AC6">
        <w:rPr>
          <w:noProof/>
        </w:rPr>
        <w:t xml:space="preserve"> this Article</w:t>
      </w:r>
      <w:r w:rsidRPr="003C4AC6">
        <w:rPr>
          <w:noProof/>
        </w:rPr>
        <w:t>.</w:t>
      </w:r>
    </w:p>
    <w:p w:rsidR="00926A0D" w:rsidRPr="003C4AC6" w:rsidRDefault="006023A9">
      <w:pPr>
        <w:rPr>
          <w:noProof/>
        </w:rPr>
      </w:pPr>
      <w:r w:rsidRPr="003C4AC6">
        <w:rPr>
          <w:noProof/>
        </w:rPr>
        <w:t>3.</w:t>
      </w:r>
      <w:r w:rsidRPr="003C4AC6">
        <w:rPr>
          <w:noProof/>
        </w:rPr>
        <w:tab/>
        <w:t xml:space="preserve">Member States shall </w:t>
      </w:r>
      <w:r w:rsidR="0062499D" w:rsidRPr="003C4AC6">
        <w:rPr>
          <w:noProof/>
        </w:rPr>
        <w:t>only modify</w:t>
      </w:r>
      <w:r w:rsidRPr="003C4AC6">
        <w:rPr>
          <w:noProof/>
        </w:rPr>
        <w:t xml:space="preserve"> the targets</w:t>
      </w:r>
      <w:r w:rsidR="0062499D" w:rsidRPr="003C4AC6">
        <w:rPr>
          <w:noProof/>
        </w:rPr>
        <w:t>,</w:t>
      </w:r>
      <w:r w:rsidRPr="003C4AC6">
        <w:rPr>
          <w:noProof/>
        </w:rPr>
        <w:t xml:space="preserve"> objectives </w:t>
      </w:r>
      <w:r w:rsidR="0062499D" w:rsidRPr="003C4AC6">
        <w:rPr>
          <w:noProof/>
        </w:rPr>
        <w:t>and contributions</w:t>
      </w:r>
      <w:r w:rsidRPr="003C4AC6">
        <w:rPr>
          <w:noProof/>
        </w:rPr>
        <w:t xml:space="preserve"> set out in the update referred </w:t>
      </w:r>
      <w:r w:rsidR="0030257C" w:rsidRPr="003C4AC6">
        <w:rPr>
          <w:noProof/>
        </w:rPr>
        <w:t xml:space="preserve">to </w:t>
      </w:r>
      <w:r w:rsidRPr="003C4AC6">
        <w:rPr>
          <w:noProof/>
        </w:rPr>
        <w:t xml:space="preserve">in paragraph 2 </w:t>
      </w:r>
      <w:r w:rsidR="0062499D" w:rsidRPr="003C4AC6">
        <w:rPr>
          <w:noProof/>
        </w:rPr>
        <w:t>to reflect an increased ambition</w:t>
      </w:r>
      <w:r w:rsidRPr="003C4AC6">
        <w:rPr>
          <w:noProof/>
        </w:rPr>
        <w:t xml:space="preserve"> as compared to the ones set in the latest notified integrated national energy and climate plan.</w:t>
      </w:r>
    </w:p>
    <w:p w:rsidR="00926A0D" w:rsidRPr="003C4AC6" w:rsidRDefault="006023A9">
      <w:pPr>
        <w:rPr>
          <w:noProof/>
        </w:rPr>
      </w:pPr>
      <w:r w:rsidRPr="003C4AC6">
        <w:rPr>
          <w:noProof/>
        </w:rPr>
        <w:t>4.</w:t>
      </w:r>
      <w:r w:rsidRPr="003C4AC6">
        <w:rPr>
          <w:noProof/>
        </w:rPr>
        <w:tab/>
        <w:t>Member States shall make efforts to mitigate in the updated plan any adverse environmental impacts that become apparent as part of the integrated reporting pursuant to Articles 15 to 22.</w:t>
      </w:r>
    </w:p>
    <w:p w:rsidR="00926A0D" w:rsidRPr="003C4AC6" w:rsidRDefault="006023A9">
      <w:pPr>
        <w:rPr>
          <w:noProof/>
        </w:rPr>
      </w:pPr>
      <w:r w:rsidRPr="003C4AC6">
        <w:rPr>
          <w:noProof/>
        </w:rPr>
        <w:t>5.</w:t>
      </w:r>
      <w:r w:rsidRPr="003C4AC6">
        <w:rPr>
          <w:noProof/>
        </w:rPr>
        <w:tab/>
        <w:t xml:space="preserve">Member States shall take into consideration the latest country-specific recommendations issued in the context of the European Semester when preparing the update referred </w:t>
      </w:r>
      <w:r w:rsidR="0030257C" w:rsidRPr="003C4AC6">
        <w:rPr>
          <w:noProof/>
        </w:rPr>
        <w:t xml:space="preserve">to </w:t>
      </w:r>
      <w:r w:rsidRPr="003C4AC6">
        <w:rPr>
          <w:noProof/>
        </w:rPr>
        <w:t xml:space="preserve">in paragraph 2. </w:t>
      </w:r>
    </w:p>
    <w:p w:rsidR="00926A0D" w:rsidRDefault="006023A9">
      <w:pPr>
        <w:rPr>
          <w:noProof/>
        </w:rPr>
      </w:pPr>
      <w:r w:rsidRPr="003C4AC6">
        <w:rPr>
          <w:noProof/>
        </w:rPr>
        <w:t>6.</w:t>
      </w:r>
      <w:r w:rsidRPr="003C4AC6">
        <w:rPr>
          <w:noProof/>
        </w:rPr>
        <w:tab/>
        <w:t xml:space="preserve">The procedures laid down in Article 9(2) and </w:t>
      </w:r>
      <w:r w:rsidR="00392663" w:rsidRPr="003C4AC6">
        <w:rPr>
          <w:noProof/>
        </w:rPr>
        <w:t>Article</w:t>
      </w:r>
      <w:r w:rsidR="00392663">
        <w:rPr>
          <w:noProof/>
        </w:rPr>
        <w:t xml:space="preserve"> </w:t>
      </w:r>
      <w:r>
        <w:rPr>
          <w:noProof/>
        </w:rPr>
        <w:t xml:space="preserve">11 shall apply to the preparation and assessment of the updated integrated national energy and climate plans. </w:t>
      </w:r>
    </w:p>
    <w:p w:rsidR="00926A0D" w:rsidRDefault="006023A9">
      <w:pPr>
        <w:pStyle w:val="PartTitle"/>
        <w:rPr>
          <w:noProof/>
        </w:rPr>
      </w:pPr>
      <w:r>
        <w:rPr>
          <w:noProof/>
        </w:rPr>
        <w:lastRenderedPageBreak/>
        <w:t>CHAPTER 3</w:t>
      </w:r>
      <w:r>
        <w:rPr>
          <w:noProof/>
        </w:rPr>
        <w:br/>
        <w:t>LONG-TERM LOW EMISSION STRATEGIES</w:t>
      </w:r>
    </w:p>
    <w:p w:rsidR="00926A0D" w:rsidRDefault="006023A9">
      <w:pPr>
        <w:pStyle w:val="Titrearticle"/>
        <w:rPr>
          <w:noProof/>
        </w:rPr>
      </w:pPr>
      <w:r>
        <w:rPr>
          <w:noProof/>
        </w:rPr>
        <w:t>Article 14</w:t>
      </w:r>
      <w:r>
        <w:rPr>
          <w:noProof/>
        </w:rPr>
        <w:br/>
      </w:r>
      <w:r>
        <w:rPr>
          <w:b/>
          <w:i w:val="0"/>
          <w:noProof/>
          <w:szCs w:val="24"/>
        </w:rPr>
        <w:t xml:space="preserve">Long-term low emission strategies </w:t>
      </w:r>
    </w:p>
    <w:p w:rsidR="00926A0D" w:rsidRDefault="006023A9">
      <w:pPr>
        <w:rPr>
          <w:noProof/>
          <w:szCs w:val="24"/>
        </w:rPr>
      </w:pPr>
      <w:r>
        <w:rPr>
          <w:noProof/>
          <w:szCs w:val="24"/>
        </w:rPr>
        <w:t>1.</w:t>
      </w:r>
      <w:r>
        <w:rPr>
          <w:noProof/>
          <w:szCs w:val="24"/>
        </w:rPr>
        <w:tab/>
        <w:t>Member States shall prepare and report to the Commission by 1 January 2020 and every 10 years thereafter their long-term low emission strategies with a 50 years perspective, to contribute to:</w:t>
      </w:r>
    </w:p>
    <w:p w:rsidR="00926A0D" w:rsidRDefault="006023A9" w:rsidP="00AF12E0">
      <w:pPr>
        <w:pStyle w:val="Point0letter"/>
        <w:numPr>
          <w:ilvl w:val="1"/>
          <w:numId w:val="44"/>
        </w:numPr>
        <w:rPr>
          <w:noProof/>
        </w:rPr>
      </w:pPr>
      <w:r>
        <w:rPr>
          <w:noProof/>
        </w:rPr>
        <w:t>fulfilling the Union’s and the Member States’ commitments under the UNFCCC and the Paris Agreement to reduce anthropogenic greenhouse gas emissions and enhance removals by sinks;</w:t>
      </w:r>
    </w:p>
    <w:p w:rsidR="00926A0D" w:rsidRDefault="006023A9" w:rsidP="00AF12E0">
      <w:pPr>
        <w:pStyle w:val="Point0letter"/>
        <w:numPr>
          <w:ilvl w:val="1"/>
          <w:numId w:val="44"/>
        </w:numPr>
        <w:rPr>
          <w:noProof/>
        </w:rPr>
      </w:pPr>
      <w:r>
        <w:rPr>
          <w:noProof/>
        </w:rPr>
        <w:t xml:space="preserve">fulfilling the objective of holding the increase in the global average temperature to well below 2°C above pre-industrial levels and to pursue efforts to limit the temperature increase to 1.5°C above pre-industrial levels; </w:t>
      </w:r>
    </w:p>
    <w:p w:rsidR="00926A0D" w:rsidRDefault="006023A9">
      <w:pPr>
        <w:pStyle w:val="Point0letter"/>
        <w:rPr>
          <w:noProof/>
        </w:rPr>
      </w:pPr>
      <w:r>
        <w:rPr>
          <w:noProof/>
        </w:rPr>
        <w:t xml:space="preserve">achieving long-term greenhouse gas emission reductions and enhancements of removals by sinks in all sectors in line with the Union’s objective, in the context of necessary reductions according to the IPCC by developed countries as a group, to reduce emissions by 80 to 95 % by 2050 compared to 1990 levels in a cost-effective manner. </w:t>
      </w:r>
    </w:p>
    <w:p w:rsidR="00926A0D" w:rsidRDefault="006023A9">
      <w:pPr>
        <w:rPr>
          <w:noProof/>
          <w:szCs w:val="24"/>
        </w:rPr>
      </w:pPr>
      <w:r>
        <w:rPr>
          <w:noProof/>
          <w:szCs w:val="24"/>
        </w:rPr>
        <w:t>2.</w:t>
      </w:r>
      <w:r>
        <w:rPr>
          <w:noProof/>
          <w:szCs w:val="24"/>
        </w:rPr>
        <w:tab/>
        <w:t>The long-term low emission strategies shall cover:</w:t>
      </w:r>
    </w:p>
    <w:p w:rsidR="00926A0D" w:rsidRDefault="006023A9" w:rsidP="00AF12E0">
      <w:pPr>
        <w:pStyle w:val="Point0letter"/>
        <w:numPr>
          <w:ilvl w:val="1"/>
          <w:numId w:val="45"/>
        </w:numPr>
        <w:rPr>
          <w:noProof/>
        </w:rPr>
      </w:pPr>
      <w:r>
        <w:rPr>
          <w:noProof/>
        </w:rPr>
        <w:t>total greenhouse gas emissions reductions and enhancements of removals by sinks;</w:t>
      </w:r>
    </w:p>
    <w:p w:rsidR="00926A0D" w:rsidRDefault="006023A9">
      <w:pPr>
        <w:pStyle w:val="Point0letter"/>
        <w:rPr>
          <w:noProof/>
          <w:szCs w:val="24"/>
        </w:rPr>
      </w:pPr>
      <w:r>
        <w:rPr>
          <w:noProof/>
          <w:szCs w:val="24"/>
        </w:rPr>
        <w:t xml:space="preserve">emissions reductions and enhancement of removals in individual sectors including electricity, industry, transport, the buildings sector (residential and </w:t>
      </w:r>
      <w:r w:rsidRPr="009E66C2">
        <w:rPr>
          <w:noProof/>
          <w:szCs w:val="24"/>
        </w:rPr>
        <w:t>tertiary</w:t>
      </w:r>
      <w:r>
        <w:rPr>
          <w:noProof/>
          <w:szCs w:val="24"/>
        </w:rPr>
        <w:t xml:space="preserve">), agriculture and land use, land-use change and forestry (LULUCF); </w:t>
      </w:r>
    </w:p>
    <w:p w:rsidR="00926A0D" w:rsidRDefault="006023A9">
      <w:pPr>
        <w:pStyle w:val="Point0letter"/>
        <w:rPr>
          <w:noProof/>
          <w:szCs w:val="24"/>
        </w:rPr>
      </w:pPr>
      <w:r>
        <w:rPr>
          <w:noProof/>
          <w:szCs w:val="24"/>
        </w:rPr>
        <w:t>expected progress on transition to a low greenhouse gas emission economy including greenhouse gas intensity, CO</w:t>
      </w:r>
      <w:r w:rsidRPr="0076006B">
        <w:rPr>
          <w:noProof/>
          <w:szCs w:val="24"/>
          <w:vertAlign w:val="subscript"/>
        </w:rPr>
        <w:t>2</w:t>
      </w:r>
      <w:r>
        <w:rPr>
          <w:noProof/>
          <w:szCs w:val="24"/>
        </w:rPr>
        <w:t xml:space="preserve"> intensity of gross domestic product and strategies for related research, development and innovation;</w:t>
      </w:r>
    </w:p>
    <w:p w:rsidR="00926A0D" w:rsidRDefault="006023A9">
      <w:pPr>
        <w:pStyle w:val="Point0letter"/>
        <w:rPr>
          <w:noProof/>
          <w:szCs w:val="24"/>
        </w:rPr>
      </w:pPr>
      <w:r>
        <w:rPr>
          <w:noProof/>
          <w:szCs w:val="24"/>
        </w:rPr>
        <w:t xml:space="preserve">links to other national long-term planning. </w:t>
      </w:r>
    </w:p>
    <w:p w:rsidR="00926A0D" w:rsidRDefault="006023A9">
      <w:pPr>
        <w:rPr>
          <w:noProof/>
          <w:szCs w:val="24"/>
        </w:rPr>
      </w:pPr>
      <w:r>
        <w:rPr>
          <w:noProof/>
          <w:szCs w:val="24"/>
        </w:rPr>
        <w:t>3.</w:t>
      </w:r>
      <w:r>
        <w:rPr>
          <w:noProof/>
          <w:szCs w:val="24"/>
        </w:rPr>
        <w:tab/>
      </w:r>
      <w:r>
        <w:rPr>
          <w:noProof/>
        </w:rPr>
        <w:t>The long-term low emission strategies and the integrated national energy and climate plans referred to in Article 3 should be consistent with each other</w:t>
      </w:r>
      <w:r>
        <w:rPr>
          <w:noProof/>
          <w:szCs w:val="24"/>
        </w:rPr>
        <w:t>.</w:t>
      </w:r>
    </w:p>
    <w:p w:rsidR="00926A0D" w:rsidRDefault="006023A9">
      <w:pPr>
        <w:rPr>
          <w:noProof/>
          <w:szCs w:val="24"/>
        </w:rPr>
      </w:pPr>
      <w:r>
        <w:rPr>
          <w:noProof/>
          <w:szCs w:val="24"/>
        </w:rPr>
        <w:t>4.</w:t>
      </w:r>
      <w:r>
        <w:rPr>
          <w:noProof/>
          <w:szCs w:val="24"/>
        </w:rPr>
        <w:tab/>
        <w:t>The Member States shall make available to the public forthwith their respective long-term low emission strategies and any updates thereof.</w:t>
      </w:r>
    </w:p>
    <w:p w:rsidR="00926A0D" w:rsidRDefault="006023A9">
      <w:pPr>
        <w:pStyle w:val="PartTitle"/>
        <w:rPr>
          <w:noProof/>
        </w:rPr>
      </w:pPr>
      <w:r>
        <w:rPr>
          <w:noProof/>
        </w:rPr>
        <w:lastRenderedPageBreak/>
        <w:t>CHAPTER 4</w:t>
      </w:r>
      <w:r>
        <w:rPr>
          <w:noProof/>
        </w:rPr>
        <w:br/>
        <w:t>REPORTING</w:t>
      </w:r>
    </w:p>
    <w:p w:rsidR="00926A0D" w:rsidRDefault="006023A9">
      <w:pPr>
        <w:pStyle w:val="SectionTitle"/>
        <w:spacing w:after="0"/>
        <w:rPr>
          <w:noProof/>
        </w:rPr>
      </w:pPr>
      <w:r>
        <w:rPr>
          <w:noProof/>
        </w:rPr>
        <w:t>Section 1</w:t>
      </w:r>
      <w:r>
        <w:rPr>
          <w:noProof/>
        </w:rPr>
        <w:br/>
        <w:t>Biennial progress reports and their follow up</w:t>
      </w:r>
    </w:p>
    <w:p w:rsidR="00926A0D" w:rsidRDefault="006023A9">
      <w:pPr>
        <w:pStyle w:val="Titrearticle"/>
        <w:rPr>
          <w:b/>
          <w:i w:val="0"/>
          <w:noProof/>
        </w:rPr>
      </w:pPr>
      <w:r>
        <w:rPr>
          <w:noProof/>
        </w:rPr>
        <w:t>Article 15</w:t>
      </w:r>
      <w:r>
        <w:rPr>
          <w:noProof/>
        </w:rPr>
        <w:br/>
      </w:r>
      <w:r>
        <w:rPr>
          <w:b/>
          <w:i w:val="0"/>
          <w:noProof/>
        </w:rPr>
        <w:t>Integrated National Energy and Climate Progress Reports</w:t>
      </w:r>
    </w:p>
    <w:p w:rsidR="00926A0D" w:rsidRDefault="006023A9">
      <w:pPr>
        <w:rPr>
          <w:noProof/>
        </w:rPr>
      </w:pPr>
      <w:r>
        <w:rPr>
          <w:noProof/>
        </w:rPr>
        <w:t>1.</w:t>
      </w:r>
      <w:r>
        <w:rPr>
          <w:noProof/>
        </w:rPr>
        <w:tab/>
        <w:t>Without prejudice to Article 23, by 15 March 2021, and every two years thereafter, each Member State shall report to the Commission on the status of implementation of the integrated national energy and climate plan by means of integrated national energy and climate progress reports covering all five key dimensions of the Energy Union.</w:t>
      </w:r>
    </w:p>
    <w:p w:rsidR="00926A0D" w:rsidRDefault="006023A9">
      <w:pPr>
        <w:rPr>
          <w:noProof/>
        </w:rPr>
      </w:pPr>
      <w:r>
        <w:rPr>
          <w:noProof/>
        </w:rPr>
        <w:t>2.</w:t>
      </w:r>
      <w:r>
        <w:rPr>
          <w:noProof/>
        </w:rPr>
        <w:tab/>
        <w:t>The report referred to in paragraph 1 shall cover the following elements:</w:t>
      </w:r>
    </w:p>
    <w:p w:rsidR="00926A0D" w:rsidRDefault="006023A9" w:rsidP="0076006B">
      <w:pPr>
        <w:pStyle w:val="Point0letter"/>
        <w:numPr>
          <w:ilvl w:val="1"/>
          <w:numId w:val="12"/>
        </w:numPr>
        <w:rPr>
          <w:noProof/>
        </w:rPr>
      </w:pPr>
      <w:r>
        <w:rPr>
          <w:noProof/>
        </w:rPr>
        <w:t xml:space="preserve">information on the progress accomplished towards reaching the targets, objectives and contributions set out in the integrated national energy and climate plan, and towards implementing the policies and measures necessary to meet them; </w:t>
      </w:r>
    </w:p>
    <w:p w:rsidR="00926A0D" w:rsidRDefault="006023A9">
      <w:pPr>
        <w:pStyle w:val="Point0letter"/>
        <w:rPr>
          <w:noProof/>
        </w:rPr>
      </w:pPr>
      <w:r>
        <w:rPr>
          <w:noProof/>
        </w:rPr>
        <w:t>the information referred to in Articles 18 to 22 and, where appropriate, updates on policies and measures, in accordance with those articles;</w:t>
      </w:r>
    </w:p>
    <w:p w:rsidR="00926A0D" w:rsidRDefault="006023A9">
      <w:pPr>
        <w:pStyle w:val="Point0letter"/>
        <w:rPr>
          <w:noProof/>
        </w:rPr>
      </w:pPr>
      <w:r>
        <w:rPr>
          <w:noProof/>
        </w:rPr>
        <w:t>policies and measures and projections of anthropogenic greenhouse gas emissions by sources and removals by sinks in accordance with Article 16;</w:t>
      </w:r>
    </w:p>
    <w:p w:rsidR="00926A0D" w:rsidRDefault="006023A9">
      <w:pPr>
        <w:pStyle w:val="Point0letter"/>
        <w:rPr>
          <w:noProof/>
        </w:rPr>
      </w:pPr>
      <w:r>
        <w:rPr>
          <w:noProof/>
        </w:rPr>
        <w:t>information on national climate change adaptation planning and strategies in accordance with Article 17(1);</w:t>
      </w:r>
    </w:p>
    <w:p w:rsidR="00926A0D" w:rsidRDefault="006023A9">
      <w:pPr>
        <w:pStyle w:val="Point0letter"/>
        <w:rPr>
          <w:noProof/>
        </w:rPr>
      </w:pPr>
      <w:r>
        <w:rPr>
          <w:noProof/>
        </w:rPr>
        <w:t>copies of biennial reports and, in the applicable years, national communications submitted to the UNFCCC Secretariat;</w:t>
      </w:r>
    </w:p>
    <w:p w:rsidR="00926A0D" w:rsidRPr="003C4AC6" w:rsidRDefault="006023A9">
      <w:pPr>
        <w:pStyle w:val="Point0letter"/>
        <w:rPr>
          <w:noProof/>
        </w:rPr>
      </w:pPr>
      <w:r>
        <w:rPr>
          <w:noProof/>
        </w:rPr>
        <w:t xml:space="preserve">estimates as appropriate of improved air quality and emission reductions of air pollutants, and other </w:t>
      </w:r>
      <w:r w:rsidRPr="003C4AC6">
        <w:rPr>
          <w:noProof/>
        </w:rPr>
        <w:t>benefits of specific energy efficiency</w:t>
      </w:r>
      <w:r w:rsidR="009E15B8" w:rsidRPr="003C4AC6">
        <w:rPr>
          <w:noProof/>
        </w:rPr>
        <w:t xml:space="preserve"> measures</w:t>
      </w:r>
      <w:r w:rsidRPr="003C4AC6">
        <w:rPr>
          <w:noProof/>
        </w:rPr>
        <w:t>;</w:t>
      </w:r>
    </w:p>
    <w:p w:rsidR="00926A0D" w:rsidRPr="003C4AC6" w:rsidRDefault="006023A9">
      <w:pPr>
        <w:pStyle w:val="Point0letter"/>
        <w:rPr>
          <w:noProof/>
        </w:rPr>
      </w:pPr>
      <w:r w:rsidRPr="003C4AC6">
        <w:rPr>
          <w:noProof/>
        </w:rPr>
        <w:t xml:space="preserve">the annual reports referred to in Article 17(2) and </w:t>
      </w:r>
      <w:r w:rsidR="00392663" w:rsidRPr="003C4AC6">
        <w:rPr>
          <w:noProof/>
        </w:rPr>
        <w:t xml:space="preserve">Article </w:t>
      </w:r>
      <w:r w:rsidRPr="003C4AC6">
        <w:rPr>
          <w:noProof/>
        </w:rPr>
        <w:t xml:space="preserve">23. </w:t>
      </w:r>
    </w:p>
    <w:p w:rsidR="00926A0D" w:rsidRPr="003C4AC6" w:rsidRDefault="006023A9">
      <w:pPr>
        <w:rPr>
          <w:noProof/>
        </w:rPr>
      </w:pPr>
      <w:r w:rsidRPr="003C4AC6">
        <w:rPr>
          <w:noProof/>
        </w:rPr>
        <w:t>The Union and the Member States shall submit biennial reports in accordance with Decision 2/CP.17 of the Conference of the Parties to the UNFCCC, and national communications in accordance with Article 12 of the UNFCCC to the UNFCCC Secretariat.</w:t>
      </w:r>
    </w:p>
    <w:p w:rsidR="00926A0D" w:rsidRPr="003C4AC6" w:rsidRDefault="006023A9">
      <w:pPr>
        <w:rPr>
          <w:noProof/>
        </w:rPr>
      </w:pPr>
      <w:r w:rsidRPr="003C4AC6">
        <w:rPr>
          <w:noProof/>
        </w:rPr>
        <w:t>3.</w:t>
      </w:r>
      <w:r w:rsidRPr="003C4AC6">
        <w:rPr>
          <w:noProof/>
        </w:rPr>
        <w:tab/>
        <w:t>The Commission shall adopt implementing acts to set out the structure, format, technical details and process for the information referred to in paragraphs 1 and 2. Those implementing acts shall be adopted in accordance with the examination procedure referred to in Article 37(</w:t>
      </w:r>
      <w:r w:rsidR="006777D8" w:rsidRPr="003C4AC6">
        <w:rPr>
          <w:noProof/>
        </w:rPr>
        <w:t>3</w:t>
      </w:r>
      <w:r w:rsidRPr="003C4AC6">
        <w:rPr>
          <w:noProof/>
        </w:rPr>
        <w:t>).</w:t>
      </w:r>
    </w:p>
    <w:p w:rsidR="00926A0D" w:rsidRPr="003C4AC6" w:rsidRDefault="006023A9">
      <w:pPr>
        <w:rPr>
          <w:noProof/>
        </w:rPr>
      </w:pPr>
      <w:r w:rsidRPr="003C4AC6">
        <w:rPr>
          <w:noProof/>
        </w:rPr>
        <w:t>4.</w:t>
      </w:r>
      <w:r w:rsidRPr="003C4AC6">
        <w:rPr>
          <w:noProof/>
        </w:rPr>
        <w:tab/>
        <w:t>The frequency and scale of the information and updates referred to in paragraph 2(b) shall be balanced against the need to ensure sufficient certainty for investors.</w:t>
      </w:r>
    </w:p>
    <w:p w:rsidR="00926A0D" w:rsidRPr="003C4AC6" w:rsidRDefault="006023A9">
      <w:pPr>
        <w:rPr>
          <w:noProof/>
        </w:rPr>
      </w:pPr>
      <w:r w:rsidRPr="003C4AC6">
        <w:rPr>
          <w:noProof/>
        </w:rPr>
        <w:t>5.</w:t>
      </w:r>
      <w:r w:rsidRPr="003C4AC6">
        <w:rPr>
          <w:noProof/>
        </w:rPr>
        <w:tab/>
        <w:t xml:space="preserve">Where the Commission has issued recommendations pursuant to Article 27(2) or (3), the Member State concerned shall include in its report referred to in paragraph 1 </w:t>
      </w:r>
      <w:r w:rsidR="00392663" w:rsidRPr="003C4AC6">
        <w:rPr>
          <w:noProof/>
        </w:rPr>
        <w:t xml:space="preserve">of this Article </w:t>
      </w:r>
      <w:r w:rsidRPr="003C4AC6">
        <w:rPr>
          <w:noProof/>
        </w:rPr>
        <w:t>information on the policies and measures a</w:t>
      </w:r>
      <w:r w:rsidRPr="003C4AC6">
        <w:rPr>
          <w:noProof/>
          <w:lang w:val="mt-MT"/>
        </w:rPr>
        <w:t xml:space="preserve">dopted, or intended to be adopted and implemented, </w:t>
      </w:r>
      <w:r w:rsidRPr="003C4AC6">
        <w:rPr>
          <w:noProof/>
        </w:rPr>
        <w:t>to address those recommendations. Such information shall include a detailed timetable for implementation.</w:t>
      </w:r>
    </w:p>
    <w:p w:rsidR="00926A0D" w:rsidRPr="003C4AC6" w:rsidRDefault="006023A9">
      <w:pPr>
        <w:pStyle w:val="Titrearticle"/>
        <w:rPr>
          <w:noProof/>
        </w:rPr>
      </w:pPr>
      <w:r w:rsidRPr="003C4AC6">
        <w:rPr>
          <w:noProof/>
        </w:rPr>
        <w:lastRenderedPageBreak/>
        <w:t>Article 16</w:t>
      </w:r>
      <w:r w:rsidRPr="003C4AC6">
        <w:rPr>
          <w:noProof/>
        </w:rPr>
        <w:br/>
      </w:r>
      <w:r w:rsidRPr="003C4AC6">
        <w:rPr>
          <w:b/>
          <w:i w:val="0"/>
          <w:noProof/>
        </w:rPr>
        <w:t xml:space="preserve">Integrated reporting on GHG policies and measures and on projections </w:t>
      </w:r>
    </w:p>
    <w:p w:rsidR="00926A0D" w:rsidRDefault="006023A9">
      <w:pPr>
        <w:rPr>
          <w:noProof/>
          <w:szCs w:val="24"/>
        </w:rPr>
      </w:pPr>
      <w:r w:rsidRPr="003C4AC6">
        <w:rPr>
          <w:noProof/>
          <w:szCs w:val="24"/>
        </w:rPr>
        <w:t>1.</w:t>
      </w:r>
      <w:r w:rsidRPr="003C4AC6">
        <w:rPr>
          <w:noProof/>
          <w:szCs w:val="24"/>
        </w:rPr>
        <w:tab/>
        <w:t>By 15 March 2021, and every two years thereafter, Member States shall report to the Commission information on:</w:t>
      </w:r>
    </w:p>
    <w:p w:rsidR="00926A0D" w:rsidRDefault="006023A9" w:rsidP="00AF12E0">
      <w:pPr>
        <w:pStyle w:val="Point0letter"/>
        <w:numPr>
          <w:ilvl w:val="1"/>
          <w:numId w:val="34"/>
        </w:numPr>
        <w:rPr>
          <w:noProof/>
        </w:rPr>
      </w:pPr>
      <w:r>
        <w:rPr>
          <w:noProof/>
        </w:rPr>
        <w:t>their national policies and measures as set out in Annex IV, and</w:t>
      </w:r>
    </w:p>
    <w:p w:rsidR="00926A0D" w:rsidRDefault="006023A9">
      <w:pPr>
        <w:pStyle w:val="Point0letter"/>
        <w:rPr>
          <w:noProof/>
          <w:szCs w:val="24"/>
        </w:rPr>
      </w:pPr>
      <w:r>
        <w:rPr>
          <w:noProof/>
          <w:szCs w:val="24"/>
        </w:rPr>
        <w:t>their national projections of anthropogenic greenhouse gas emissions by sources and removals by sinks, organised by gas or group of gases (Hydrofluorocarbons and Perfluorocarbons) listed in Part 2 of Annex III.</w:t>
      </w:r>
      <w:r>
        <w:rPr>
          <w:noProof/>
        </w:rPr>
        <w:t xml:space="preserve"> </w:t>
      </w:r>
      <w:r>
        <w:rPr>
          <w:noProof/>
          <w:szCs w:val="24"/>
        </w:rPr>
        <w:t>National projections shall take into consideration any policies and measures adopted at Union level and shall include the information set out in Annex V.</w:t>
      </w:r>
    </w:p>
    <w:p w:rsidR="00926A0D" w:rsidRDefault="006023A9">
      <w:pPr>
        <w:rPr>
          <w:noProof/>
          <w:szCs w:val="24"/>
        </w:rPr>
      </w:pPr>
      <w:r>
        <w:rPr>
          <w:noProof/>
          <w:szCs w:val="24"/>
        </w:rPr>
        <w:t>2.</w:t>
      </w:r>
      <w:r>
        <w:rPr>
          <w:noProof/>
          <w:szCs w:val="24"/>
        </w:rPr>
        <w:tab/>
        <w:t xml:space="preserve">Member States shall report the most up-to-date projections available. Where a Member State does not submit complete projection estimates by 15 March every second year, and the Commission has established that gaps in the estimates cannot be filled by that Member State once identified through the Commission’s quality assurance or quality control procedures, the Commission may prepare estimates as required to compile Union projections, in consultation with the Member State concerned. </w:t>
      </w:r>
    </w:p>
    <w:p w:rsidR="00926A0D" w:rsidRDefault="006023A9">
      <w:pPr>
        <w:rPr>
          <w:noProof/>
          <w:szCs w:val="24"/>
        </w:rPr>
      </w:pPr>
      <w:r>
        <w:rPr>
          <w:noProof/>
          <w:szCs w:val="24"/>
        </w:rPr>
        <w:t>3.</w:t>
      </w:r>
      <w:r>
        <w:rPr>
          <w:noProof/>
          <w:szCs w:val="24"/>
        </w:rPr>
        <w:tab/>
        <w:t>A Member State shall communicate to the Commission any substantial changes to the information reported pursuant to paragraph 1 during the first year of the reporting period, by 15 March of the year following the previous report.</w:t>
      </w:r>
    </w:p>
    <w:p w:rsidR="00926A0D" w:rsidRDefault="006023A9">
      <w:pPr>
        <w:rPr>
          <w:noProof/>
          <w:szCs w:val="24"/>
        </w:rPr>
      </w:pPr>
      <w:r>
        <w:rPr>
          <w:noProof/>
          <w:szCs w:val="24"/>
        </w:rPr>
        <w:t>4.</w:t>
      </w:r>
      <w:r>
        <w:rPr>
          <w:noProof/>
          <w:szCs w:val="24"/>
        </w:rPr>
        <w:tab/>
        <w:t>Member States shall make available to the public, in electronic form, their national projections pursuant to paragraph 1 and</w:t>
      </w:r>
      <w:r>
        <w:rPr>
          <w:noProof/>
        </w:rPr>
        <w:t xml:space="preserve"> </w:t>
      </w:r>
      <w:r>
        <w:rPr>
          <w:noProof/>
          <w:szCs w:val="24"/>
        </w:rPr>
        <w:t>any relevant assessment of the costs and effects of national policies and measures on the implementation of Union policies relevant for limiting GHG emissions along with any relevant underpinning technical reports. Those projections and assessments should include descriptions of the models and methodological approaches used, definitions and underlying assumptions.</w:t>
      </w:r>
    </w:p>
    <w:p w:rsidR="00926A0D" w:rsidRDefault="006023A9">
      <w:pPr>
        <w:pStyle w:val="Titrearticle"/>
        <w:rPr>
          <w:noProof/>
        </w:rPr>
      </w:pPr>
      <w:r>
        <w:rPr>
          <w:noProof/>
        </w:rPr>
        <w:t>Article 17</w:t>
      </w:r>
      <w:r>
        <w:rPr>
          <w:noProof/>
        </w:rPr>
        <w:br/>
      </w:r>
      <w:r>
        <w:rPr>
          <w:b/>
          <w:i w:val="0"/>
          <w:noProof/>
        </w:rPr>
        <w:t>Integrated reporting on national adaptation actions, financial and technology support provided to developing countries, auctioning revenue</w:t>
      </w:r>
    </w:p>
    <w:p w:rsidR="00926A0D" w:rsidRDefault="006023A9">
      <w:pPr>
        <w:rPr>
          <w:noProof/>
          <w:szCs w:val="24"/>
        </w:rPr>
      </w:pPr>
      <w:r>
        <w:rPr>
          <w:noProof/>
          <w:szCs w:val="24"/>
        </w:rPr>
        <w:t>1.</w:t>
      </w:r>
      <w:r>
        <w:rPr>
          <w:noProof/>
          <w:szCs w:val="24"/>
        </w:rPr>
        <w:tab/>
        <w:t xml:space="preserve">By 15 March 2021, and every two years thereafter, Member States shall report to the Commission information on their national climate change adaptation planning and strategies,  outlining their implemented or planned actions to facilitate adaptation to climate change, including the information specified in Part 1 of Annex VI. </w:t>
      </w:r>
    </w:p>
    <w:p w:rsidR="00926A0D" w:rsidRDefault="006023A9">
      <w:pPr>
        <w:rPr>
          <w:noProof/>
          <w:szCs w:val="24"/>
        </w:rPr>
      </w:pPr>
      <w:r>
        <w:rPr>
          <w:noProof/>
          <w:szCs w:val="24"/>
        </w:rPr>
        <w:t>2.</w:t>
      </w:r>
      <w:r>
        <w:rPr>
          <w:noProof/>
          <w:szCs w:val="24"/>
        </w:rPr>
        <w:tab/>
      </w:r>
      <w:r>
        <w:rPr>
          <w:noProof/>
        </w:rPr>
        <w:t>By 15 March 2021</w:t>
      </w:r>
      <w:r>
        <w:rPr>
          <w:noProof/>
          <w:szCs w:val="24"/>
        </w:rPr>
        <w:t xml:space="preserve"> and every year thereafter (year X), Member States shall report to the Commission information on:</w:t>
      </w:r>
    </w:p>
    <w:p w:rsidR="00926A0D" w:rsidRDefault="006023A9" w:rsidP="00AF12E0">
      <w:pPr>
        <w:pStyle w:val="Point0letter"/>
        <w:numPr>
          <w:ilvl w:val="1"/>
          <w:numId w:val="46"/>
        </w:numPr>
        <w:rPr>
          <w:noProof/>
        </w:rPr>
      </w:pPr>
      <w:r>
        <w:rPr>
          <w:noProof/>
        </w:rPr>
        <w:t xml:space="preserve">support to developing countries, including the information specified in Part 2 of Annex VI; </w:t>
      </w:r>
    </w:p>
    <w:p w:rsidR="00926A0D" w:rsidRDefault="006023A9">
      <w:pPr>
        <w:pStyle w:val="Point0letter"/>
        <w:rPr>
          <w:noProof/>
        </w:rPr>
      </w:pPr>
      <w:r>
        <w:rPr>
          <w:noProof/>
        </w:rPr>
        <w:t xml:space="preserve">the use of revenues generated by the Member State by auctioning allowances pursuant to Article 10(1) and Article 3d(1) or (2) of Directive 2003/87/EC including the information specified in Part 3 of Annex VI. </w:t>
      </w:r>
    </w:p>
    <w:p w:rsidR="00926A0D" w:rsidRDefault="006023A9">
      <w:pPr>
        <w:rPr>
          <w:noProof/>
          <w:szCs w:val="24"/>
        </w:rPr>
      </w:pPr>
      <w:r>
        <w:rPr>
          <w:noProof/>
          <w:szCs w:val="24"/>
        </w:rPr>
        <w:t>3.</w:t>
      </w:r>
      <w:r>
        <w:rPr>
          <w:noProof/>
          <w:szCs w:val="24"/>
        </w:rPr>
        <w:tab/>
      </w:r>
      <w:r>
        <w:rPr>
          <w:noProof/>
        </w:rPr>
        <w:t>Member States shall make available to the public the reports submitted to the Commission pursuant to this Article.</w:t>
      </w:r>
    </w:p>
    <w:p w:rsidR="00926A0D" w:rsidRDefault="006023A9">
      <w:pPr>
        <w:rPr>
          <w:noProof/>
          <w:szCs w:val="24"/>
        </w:rPr>
      </w:pPr>
      <w:r>
        <w:rPr>
          <w:noProof/>
          <w:szCs w:val="24"/>
        </w:rPr>
        <w:t>4.</w:t>
      </w:r>
      <w:r>
        <w:rPr>
          <w:noProof/>
          <w:szCs w:val="24"/>
        </w:rPr>
        <w:tab/>
      </w:r>
      <w:r>
        <w:rPr>
          <w:noProof/>
        </w:rPr>
        <w:t xml:space="preserve">The Commission shall adopt implementing acts to set out the structure, format and submission processes for Member States’ reporting of information pursuant to this Article. </w:t>
      </w:r>
      <w:r>
        <w:rPr>
          <w:noProof/>
        </w:rPr>
        <w:lastRenderedPageBreak/>
        <w:t>Those implementing acts shall be adopted in accordance with the procedure referred to in Article 37(</w:t>
      </w:r>
      <w:r w:rsidR="006777D8">
        <w:rPr>
          <w:noProof/>
        </w:rPr>
        <w:t>3</w:t>
      </w:r>
      <w:r>
        <w:rPr>
          <w:noProof/>
        </w:rPr>
        <w:t>).</w:t>
      </w:r>
      <w:r>
        <w:rPr>
          <w:noProof/>
          <w:szCs w:val="24"/>
        </w:rPr>
        <w:t xml:space="preserve"> </w:t>
      </w:r>
    </w:p>
    <w:p w:rsidR="00926A0D" w:rsidRDefault="006023A9">
      <w:pPr>
        <w:pStyle w:val="Titrearticle"/>
        <w:rPr>
          <w:noProof/>
        </w:rPr>
      </w:pPr>
      <w:r>
        <w:rPr>
          <w:noProof/>
        </w:rPr>
        <w:t>Article 18</w:t>
      </w:r>
      <w:r>
        <w:rPr>
          <w:noProof/>
        </w:rPr>
        <w:br/>
      </w:r>
      <w:r>
        <w:rPr>
          <w:b/>
          <w:i w:val="0"/>
          <w:noProof/>
          <w:szCs w:val="24"/>
        </w:rPr>
        <w:t>Integrated reporting on renewable energy</w:t>
      </w:r>
    </w:p>
    <w:p w:rsidR="00926A0D" w:rsidRDefault="006023A9">
      <w:pPr>
        <w:rPr>
          <w:noProof/>
          <w:szCs w:val="24"/>
        </w:rPr>
      </w:pPr>
      <w:r>
        <w:rPr>
          <w:noProof/>
          <w:szCs w:val="24"/>
        </w:rPr>
        <w:t xml:space="preserve">Member States shall include in the integrated national energy and climate progress reports </w:t>
      </w:r>
      <w:r w:rsidR="003B5525">
        <w:rPr>
          <w:noProof/>
          <w:szCs w:val="24"/>
        </w:rPr>
        <w:t xml:space="preserve">the </w:t>
      </w:r>
      <w:r>
        <w:rPr>
          <w:noProof/>
          <w:szCs w:val="24"/>
        </w:rPr>
        <w:t>information:</w:t>
      </w:r>
    </w:p>
    <w:p w:rsidR="00926A0D" w:rsidRDefault="009C5904" w:rsidP="0076006B">
      <w:pPr>
        <w:pStyle w:val="Point0letter"/>
        <w:numPr>
          <w:ilvl w:val="1"/>
          <w:numId w:val="15"/>
        </w:numPr>
        <w:rPr>
          <w:noProof/>
        </w:rPr>
      </w:pPr>
      <w:r>
        <w:rPr>
          <w:noProof/>
          <w:szCs w:val="24"/>
        </w:rPr>
        <w:t xml:space="preserve">on </w:t>
      </w:r>
      <w:r w:rsidR="006023A9">
        <w:rPr>
          <w:noProof/>
          <w:szCs w:val="24"/>
        </w:rPr>
        <w:t>the implementation of</w:t>
      </w:r>
      <w:r w:rsidR="006023A9">
        <w:rPr>
          <w:noProof/>
        </w:rPr>
        <w:t xml:space="preserve"> the following trajectories and objectives:</w:t>
      </w:r>
    </w:p>
    <w:p w:rsidR="00926A0D" w:rsidRDefault="006023A9">
      <w:pPr>
        <w:pStyle w:val="Point1number"/>
        <w:rPr>
          <w:noProof/>
        </w:rPr>
      </w:pPr>
      <w:r>
        <w:rPr>
          <w:noProof/>
        </w:rPr>
        <w:t>national trajectory for the overall share of renewable energy in gross final energy consumption from 2021 to 2030;</w:t>
      </w:r>
    </w:p>
    <w:p w:rsidR="00926A0D" w:rsidRDefault="006023A9">
      <w:pPr>
        <w:pStyle w:val="Point1number"/>
        <w:rPr>
          <w:noProof/>
        </w:rPr>
      </w:pPr>
      <w:r>
        <w:rPr>
          <w:noProof/>
        </w:rPr>
        <w:t>national trajectories for the sectorial share of renewable energy in final energy consumption from 2021 to 2030 in the electricity, heating and cooling and transport sector;</w:t>
      </w:r>
    </w:p>
    <w:p w:rsidR="00926A0D" w:rsidRDefault="006023A9">
      <w:pPr>
        <w:pStyle w:val="Point1number"/>
        <w:rPr>
          <w:noProof/>
        </w:rPr>
      </w:pPr>
      <w:r>
        <w:rPr>
          <w:noProof/>
        </w:rPr>
        <w:t>trajectories by renewable energy technology to use to achieve the overall and sectorial trajectories for renewable energy from 2021 to 2030 including total expected gross final energy consumption per technology and sector in Mtoe and total planned installed capacity per technology and sector in MW;</w:t>
      </w:r>
    </w:p>
    <w:p w:rsidR="00926A0D" w:rsidRDefault="006023A9">
      <w:pPr>
        <w:pStyle w:val="Point1number"/>
        <w:rPr>
          <w:noProof/>
        </w:rPr>
      </w:pPr>
      <w:r>
        <w:rPr>
          <w:noProof/>
        </w:rPr>
        <w:t>trajectories on bioenergy demand, disaggregated between heat, electricity and transport, and on biomass supply</w:t>
      </w:r>
      <w:r w:rsidR="009E15B8">
        <w:rPr>
          <w:noProof/>
        </w:rPr>
        <w:t>,</w:t>
      </w:r>
      <w:r>
        <w:rPr>
          <w:noProof/>
        </w:rPr>
        <w:t xml:space="preserve"> by feedstock </w:t>
      </w:r>
      <w:r w:rsidR="009E15B8">
        <w:rPr>
          <w:noProof/>
        </w:rPr>
        <w:t>and origin (distinguis</w:t>
      </w:r>
      <w:r w:rsidR="006D5B0E">
        <w:rPr>
          <w:noProof/>
        </w:rPr>
        <w:t>h</w:t>
      </w:r>
      <w:r w:rsidR="009E15B8">
        <w:rPr>
          <w:noProof/>
        </w:rPr>
        <w:t xml:space="preserve">ing between </w:t>
      </w:r>
      <w:r>
        <w:rPr>
          <w:noProof/>
        </w:rPr>
        <w:t xml:space="preserve">domestic production </w:t>
      </w:r>
      <w:r w:rsidR="009E15B8">
        <w:rPr>
          <w:noProof/>
        </w:rPr>
        <w:t xml:space="preserve">and </w:t>
      </w:r>
      <w:r>
        <w:rPr>
          <w:noProof/>
        </w:rPr>
        <w:t>imports</w:t>
      </w:r>
      <w:r w:rsidR="009E15B8">
        <w:rPr>
          <w:noProof/>
        </w:rPr>
        <w:t>)</w:t>
      </w:r>
      <w:r>
        <w:rPr>
          <w:noProof/>
        </w:rPr>
        <w:t>. For forest biomass, an assessment of its source and impact on the LULUCF sink;</w:t>
      </w:r>
    </w:p>
    <w:p w:rsidR="00926A0D" w:rsidRDefault="006023A9">
      <w:pPr>
        <w:pStyle w:val="Point1number"/>
        <w:rPr>
          <w:noProof/>
        </w:rPr>
      </w:pPr>
      <w:r>
        <w:rPr>
          <w:noProof/>
        </w:rPr>
        <w:t>if applicable, other national trajectories and objectives including long</w:t>
      </w:r>
      <w:r w:rsidR="009E15B8">
        <w:rPr>
          <w:noProof/>
        </w:rPr>
        <w:t>-</w:t>
      </w:r>
      <w:r>
        <w:rPr>
          <w:noProof/>
        </w:rPr>
        <w:t xml:space="preserve">term and sectorial ones (such as share of biofuels, share of advanced biofuels, share of biofuel produced from main crops produced on agricultural land, share of electricity produced </w:t>
      </w:r>
      <w:r w:rsidR="009E15B8">
        <w:rPr>
          <w:noProof/>
        </w:rPr>
        <w:t xml:space="preserve">from </w:t>
      </w:r>
      <w:r>
        <w:rPr>
          <w:noProof/>
        </w:rPr>
        <w:t>biomass without the utilisation of heat, share of renewable energy in district heating, renewable energy use in buildings, renewable energy produced by cities, energy communities and self-consumers);</w:t>
      </w:r>
    </w:p>
    <w:p w:rsidR="00926A0D" w:rsidRDefault="009C5904">
      <w:pPr>
        <w:pStyle w:val="Point0letter"/>
        <w:rPr>
          <w:noProof/>
        </w:rPr>
      </w:pPr>
      <w:r>
        <w:rPr>
          <w:noProof/>
        </w:rPr>
        <w:t xml:space="preserve">on </w:t>
      </w:r>
      <w:r w:rsidR="006023A9">
        <w:rPr>
          <w:noProof/>
        </w:rPr>
        <w:t>the implementation of the following policies and measures:</w:t>
      </w:r>
    </w:p>
    <w:p w:rsidR="00926A0D" w:rsidRDefault="006023A9">
      <w:pPr>
        <w:pStyle w:val="Point1number"/>
        <w:rPr>
          <w:noProof/>
        </w:rPr>
      </w:pPr>
      <w:r>
        <w:rPr>
          <w:noProof/>
        </w:rPr>
        <w:t xml:space="preserve">implemented, adopted and planned policies and measures to achieve the national contribution to the binding </w:t>
      </w:r>
      <w:r w:rsidR="006051C9">
        <w:rPr>
          <w:noProof/>
        </w:rPr>
        <w:t>Union</w:t>
      </w:r>
      <w:r>
        <w:rPr>
          <w:noProof/>
        </w:rPr>
        <w:t>-level 2030 target for renewable energy as indicated in Article 4(a)(2)(i), including sector- and technology-specific measures, with a specific review of the implementation of measures laid down in Articles 23, 24 and 25 of [recast of Directive 2009/28/EC</w:t>
      </w:r>
      <w:r w:rsidR="009124B0">
        <w:rPr>
          <w:noProof/>
        </w:rPr>
        <w:t xml:space="preserve"> as proposed by </w:t>
      </w:r>
      <w:r w:rsidR="009124B0" w:rsidRPr="00AD57B2">
        <w:rPr>
          <w:noProof/>
        </w:rPr>
        <w:t>COM(2016) 767</w:t>
      </w:r>
      <w:r>
        <w:rPr>
          <w:noProof/>
        </w:rPr>
        <w:t>];</w:t>
      </w:r>
    </w:p>
    <w:p w:rsidR="00926A0D" w:rsidRDefault="006023A9">
      <w:pPr>
        <w:pStyle w:val="Point1number"/>
        <w:rPr>
          <w:noProof/>
        </w:rPr>
      </w:pPr>
      <w:r>
        <w:rPr>
          <w:noProof/>
        </w:rPr>
        <w:t>specific measures for regional cooperation;</w:t>
      </w:r>
    </w:p>
    <w:p w:rsidR="00926A0D" w:rsidRDefault="006023A9">
      <w:pPr>
        <w:pStyle w:val="Point1number"/>
        <w:rPr>
          <w:noProof/>
        </w:rPr>
      </w:pPr>
      <w:r>
        <w:rPr>
          <w:noProof/>
        </w:rPr>
        <w:t xml:space="preserve">without prejudice to Articles 107 and 108 TFEU, specific measures on financial support, including </w:t>
      </w:r>
      <w:r w:rsidR="006051C9">
        <w:rPr>
          <w:noProof/>
        </w:rPr>
        <w:t xml:space="preserve">Union </w:t>
      </w:r>
      <w:r>
        <w:rPr>
          <w:noProof/>
        </w:rPr>
        <w:t xml:space="preserve">support and the use of </w:t>
      </w:r>
      <w:r w:rsidR="006051C9">
        <w:rPr>
          <w:noProof/>
        </w:rPr>
        <w:t xml:space="preserve">Union </w:t>
      </w:r>
      <w:r>
        <w:rPr>
          <w:noProof/>
        </w:rPr>
        <w:t xml:space="preserve">funds, for the promotion of the use of energy from renewable sources in electricity, heating and cooling, and transport; </w:t>
      </w:r>
    </w:p>
    <w:p w:rsidR="00926A0D" w:rsidRDefault="006023A9">
      <w:pPr>
        <w:pStyle w:val="Point1number"/>
        <w:rPr>
          <w:noProof/>
        </w:rPr>
      </w:pPr>
      <w:r>
        <w:rPr>
          <w:noProof/>
        </w:rPr>
        <w:t>specific measures to fulfil the requirements of Articles 15, 16, 17, 18, 21 and 22 of [recast of Directive 2009/28/EC</w:t>
      </w:r>
      <w:r w:rsidR="009124B0">
        <w:rPr>
          <w:noProof/>
        </w:rPr>
        <w:t xml:space="preserve"> as proposed by </w:t>
      </w:r>
      <w:r w:rsidR="009124B0" w:rsidRPr="00AD57B2">
        <w:rPr>
          <w:noProof/>
        </w:rPr>
        <w:t>COM(2016) 767</w:t>
      </w:r>
      <w:r>
        <w:rPr>
          <w:noProof/>
        </w:rPr>
        <w:t xml:space="preserve">]; </w:t>
      </w:r>
    </w:p>
    <w:p w:rsidR="00926A0D" w:rsidRDefault="006023A9">
      <w:pPr>
        <w:pStyle w:val="Point1number"/>
        <w:rPr>
          <w:noProof/>
        </w:rPr>
      </w:pPr>
      <w:r>
        <w:rPr>
          <w:noProof/>
        </w:rPr>
        <w:t xml:space="preserve">measures promoting the use of energy from biomass, especially for new biomass mobilisation taking into account biomass availability (both the domestic potential and the imports from third countries) and other biomass </w:t>
      </w:r>
      <w:r>
        <w:rPr>
          <w:noProof/>
        </w:rPr>
        <w:lastRenderedPageBreak/>
        <w:t>uses (agriculture and forest-based sectors), as well as measures for the sustainability of biomass produced and used;</w:t>
      </w:r>
    </w:p>
    <w:p w:rsidR="00926A0D" w:rsidRDefault="006023A9" w:rsidP="003C4AC6">
      <w:pPr>
        <w:pStyle w:val="Point0letter"/>
        <w:rPr>
          <w:noProof/>
        </w:rPr>
      </w:pPr>
      <w:r>
        <w:rPr>
          <w:noProof/>
        </w:rPr>
        <w:t xml:space="preserve">as set out in Part 1 of Annex VII. </w:t>
      </w:r>
    </w:p>
    <w:p w:rsidR="00926A0D" w:rsidRDefault="006023A9">
      <w:pPr>
        <w:pStyle w:val="Titrearticle"/>
        <w:rPr>
          <w:noProof/>
        </w:rPr>
      </w:pPr>
      <w:r>
        <w:rPr>
          <w:noProof/>
        </w:rPr>
        <w:t>Article 19</w:t>
      </w:r>
      <w:r>
        <w:rPr>
          <w:noProof/>
        </w:rPr>
        <w:br/>
      </w:r>
      <w:r>
        <w:rPr>
          <w:b/>
          <w:i w:val="0"/>
          <w:noProof/>
          <w:szCs w:val="24"/>
        </w:rPr>
        <w:t>Integrated reporting on energy efficiency</w:t>
      </w:r>
    </w:p>
    <w:p w:rsidR="00926A0D" w:rsidRDefault="006023A9">
      <w:pPr>
        <w:rPr>
          <w:noProof/>
          <w:szCs w:val="24"/>
        </w:rPr>
      </w:pPr>
      <w:r>
        <w:rPr>
          <w:noProof/>
          <w:szCs w:val="24"/>
        </w:rPr>
        <w:t>Member States shall include in the integrated national energy and climate progress reports the information</w:t>
      </w:r>
      <w:r>
        <w:rPr>
          <w:noProof/>
        </w:rPr>
        <w:t>:</w:t>
      </w:r>
    </w:p>
    <w:p w:rsidR="00926A0D" w:rsidRDefault="009C5904" w:rsidP="00AF12E0">
      <w:pPr>
        <w:pStyle w:val="Point0letter"/>
        <w:numPr>
          <w:ilvl w:val="1"/>
          <w:numId w:val="47"/>
        </w:numPr>
        <w:rPr>
          <w:noProof/>
        </w:rPr>
      </w:pPr>
      <w:r>
        <w:rPr>
          <w:noProof/>
          <w:szCs w:val="24"/>
        </w:rPr>
        <w:t xml:space="preserve">on </w:t>
      </w:r>
      <w:r w:rsidR="006023A9">
        <w:rPr>
          <w:noProof/>
          <w:szCs w:val="24"/>
        </w:rPr>
        <w:t>the implementation of</w:t>
      </w:r>
      <w:r w:rsidR="006023A9">
        <w:rPr>
          <w:noProof/>
        </w:rPr>
        <w:t xml:space="preserve"> the following national trajectories, objectives and targets: </w:t>
      </w:r>
    </w:p>
    <w:p w:rsidR="00926A0D" w:rsidRDefault="006023A9">
      <w:pPr>
        <w:pStyle w:val="Point1number"/>
        <w:rPr>
          <w:noProof/>
        </w:rPr>
      </w:pPr>
      <w:r>
        <w:rPr>
          <w:noProof/>
        </w:rPr>
        <w:t xml:space="preserve">the trajectory for primary and final energy consumption from 2020 to 2030 as the national energy savings contribution to achieving the </w:t>
      </w:r>
      <w:r w:rsidR="006051C9">
        <w:rPr>
          <w:noProof/>
        </w:rPr>
        <w:t>Union</w:t>
      </w:r>
      <w:r>
        <w:rPr>
          <w:noProof/>
        </w:rPr>
        <w:t>-level 2030 target including underlying methodology;</w:t>
      </w:r>
    </w:p>
    <w:p w:rsidR="00926A0D" w:rsidRDefault="006023A9">
      <w:pPr>
        <w:pStyle w:val="Point1number"/>
        <w:rPr>
          <w:noProof/>
        </w:rPr>
      </w:pPr>
      <w:r>
        <w:rPr>
          <w:noProof/>
        </w:rPr>
        <w:t>objectives for the long-term renovation of the national stock of both public and private residential and commercial buildings;</w:t>
      </w:r>
    </w:p>
    <w:p w:rsidR="00926A0D" w:rsidRDefault="006023A9">
      <w:pPr>
        <w:pStyle w:val="Point1number"/>
        <w:rPr>
          <w:noProof/>
        </w:rPr>
      </w:pPr>
      <w:r>
        <w:rPr>
          <w:noProof/>
        </w:rPr>
        <w:t>if applicable, an update of other national objectives set out in the national plan;</w:t>
      </w:r>
    </w:p>
    <w:p w:rsidR="00926A0D" w:rsidRDefault="009C5904">
      <w:pPr>
        <w:pStyle w:val="Point0letter"/>
        <w:rPr>
          <w:noProof/>
        </w:rPr>
      </w:pPr>
      <w:r>
        <w:rPr>
          <w:noProof/>
        </w:rPr>
        <w:t xml:space="preserve">on </w:t>
      </w:r>
      <w:r w:rsidR="006023A9">
        <w:rPr>
          <w:noProof/>
        </w:rPr>
        <w:t>the implementation of the following policies and measures:</w:t>
      </w:r>
    </w:p>
    <w:p w:rsidR="00926A0D" w:rsidRDefault="006023A9">
      <w:pPr>
        <w:pStyle w:val="Point1number"/>
        <w:rPr>
          <w:noProof/>
        </w:rPr>
      </w:pPr>
      <w:r>
        <w:rPr>
          <w:noProof/>
        </w:rPr>
        <w:t>implemented, adopted and planned policies, measures and programmes to achieve the indicative national energy efficiency contribution for 2030 as well as other objectives presented in Article 6, including planned measures and instruments (also of financial nature) to promote the energy performance of buildings, measures to utilise energy efficiency potentials of gas and electricity infrastructure and other measures to promote energy efficiency;</w:t>
      </w:r>
    </w:p>
    <w:p w:rsidR="00926A0D" w:rsidRDefault="006023A9">
      <w:pPr>
        <w:pStyle w:val="Point1number"/>
        <w:rPr>
          <w:noProof/>
        </w:rPr>
      </w:pPr>
      <w:r>
        <w:rPr>
          <w:noProof/>
        </w:rPr>
        <w:t>if applicable, market-based instruments that incentivise energy efficiency improvements, including but not limited to energy taxes, levies and allowances;</w:t>
      </w:r>
    </w:p>
    <w:p w:rsidR="00926A0D" w:rsidRDefault="006023A9">
      <w:pPr>
        <w:pStyle w:val="Point1number"/>
        <w:rPr>
          <w:noProof/>
        </w:rPr>
      </w:pPr>
      <w:r>
        <w:rPr>
          <w:noProof/>
        </w:rPr>
        <w:t>national energy efficiency obligation scheme and alternative measures pursuant to Art</w:t>
      </w:r>
      <w:r w:rsidR="00C637AF">
        <w:rPr>
          <w:noProof/>
        </w:rPr>
        <w:t>icle</w:t>
      </w:r>
      <w:r>
        <w:rPr>
          <w:noProof/>
        </w:rPr>
        <w:t xml:space="preserve"> 7</w:t>
      </w:r>
      <w:r w:rsidR="00363179">
        <w:rPr>
          <w:noProof/>
        </w:rPr>
        <w:t>a and 7b</w:t>
      </w:r>
      <w:r>
        <w:rPr>
          <w:noProof/>
        </w:rPr>
        <w:t xml:space="preserve"> of Directive 2012/27/EU </w:t>
      </w:r>
      <w:r w:rsidR="0002032C">
        <w:rPr>
          <w:noProof/>
        </w:rPr>
        <w:t>[</w:t>
      </w:r>
      <w:r w:rsidR="00DF79A6">
        <w:rPr>
          <w:noProof/>
        </w:rPr>
        <w:t xml:space="preserve">version </w:t>
      </w:r>
      <w:r w:rsidR="005E7873">
        <w:rPr>
          <w:noProof/>
        </w:rPr>
        <w:t xml:space="preserve">as </w:t>
      </w:r>
      <w:r w:rsidR="00DF79A6" w:rsidRPr="004B28E2">
        <w:rPr>
          <w:noProof/>
        </w:rPr>
        <w:t xml:space="preserve">amended </w:t>
      </w:r>
      <w:r w:rsidR="00DF79A6">
        <w:rPr>
          <w:noProof/>
        </w:rPr>
        <w:t xml:space="preserve">in accordance with </w:t>
      </w:r>
      <w:r w:rsidR="0002032C">
        <w:rPr>
          <w:noProof/>
        </w:rPr>
        <w:t xml:space="preserve">proposal COM(2016) 761] </w:t>
      </w:r>
      <w:r>
        <w:rPr>
          <w:noProof/>
        </w:rPr>
        <w:t xml:space="preserve">in accordance with Annex II </w:t>
      </w:r>
      <w:r w:rsidR="00392663">
        <w:rPr>
          <w:noProof/>
        </w:rPr>
        <w:t xml:space="preserve">to </w:t>
      </w:r>
      <w:r>
        <w:rPr>
          <w:noProof/>
        </w:rPr>
        <w:t>this Regulation;</w:t>
      </w:r>
    </w:p>
    <w:p w:rsidR="00926A0D" w:rsidRDefault="006023A9">
      <w:pPr>
        <w:pStyle w:val="Point1number"/>
        <w:rPr>
          <w:noProof/>
        </w:rPr>
      </w:pPr>
      <w:r>
        <w:rPr>
          <w:noProof/>
        </w:rPr>
        <w:t>long-term strategy for the renovation of the national stock of both public and private residential and commercial buildings, including policies and measures to stimulate cost-effective deep and staged deep renovation;</w:t>
      </w:r>
    </w:p>
    <w:p w:rsidR="00926A0D" w:rsidRDefault="006023A9">
      <w:pPr>
        <w:pStyle w:val="Point1number"/>
        <w:rPr>
          <w:noProof/>
        </w:rPr>
      </w:pPr>
      <w:r>
        <w:rPr>
          <w:noProof/>
        </w:rPr>
        <w:t>policy and measures to promote energy services in the public sector and measures to remove regulatory and non-regulatory barriers that impede the uptake of energy performance contracting and other energy efficiency service models;</w:t>
      </w:r>
    </w:p>
    <w:p w:rsidR="00926A0D" w:rsidRDefault="006023A9">
      <w:pPr>
        <w:pStyle w:val="Point1number"/>
        <w:rPr>
          <w:noProof/>
        </w:rPr>
      </w:pPr>
      <w:r>
        <w:rPr>
          <w:noProof/>
        </w:rPr>
        <w:t>regional cooperation in the area of energy efficiency, if applicable;</w:t>
      </w:r>
    </w:p>
    <w:p w:rsidR="00926A0D" w:rsidRDefault="006023A9">
      <w:pPr>
        <w:pStyle w:val="Point1number"/>
        <w:rPr>
          <w:noProof/>
        </w:rPr>
      </w:pPr>
      <w:r>
        <w:rPr>
          <w:noProof/>
        </w:rPr>
        <w:t xml:space="preserve">without prejudice to Articles 107 and 108 TFEU, financing measures, including </w:t>
      </w:r>
      <w:r w:rsidR="006051C9">
        <w:rPr>
          <w:noProof/>
        </w:rPr>
        <w:t xml:space="preserve">Union </w:t>
      </w:r>
      <w:r>
        <w:rPr>
          <w:noProof/>
        </w:rPr>
        <w:t xml:space="preserve">support and the use of </w:t>
      </w:r>
      <w:r w:rsidR="006051C9">
        <w:rPr>
          <w:noProof/>
        </w:rPr>
        <w:t xml:space="preserve">Union </w:t>
      </w:r>
      <w:r>
        <w:rPr>
          <w:noProof/>
        </w:rPr>
        <w:t>funds, in the area of energy efficiency at national level, if applicable;</w:t>
      </w:r>
    </w:p>
    <w:p w:rsidR="00926A0D" w:rsidRDefault="006023A9">
      <w:pPr>
        <w:pStyle w:val="Point0letter"/>
        <w:rPr>
          <w:noProof/>
        </w:rPr>
      </w:pPr>
      <w:r>
        <w:rPr>
          <w:noProof/>
        </w:rPr>
        <w:t>as set out in Part 2 of Annex VII.</w:t>
      </w:r>
    </w:p>
    <w:p w:rsidR="00926A0D" w:rsidRDefault="006023A9">
      <w:pPr>
        <w:pStyle w:val="Titrearticle"/>
        <w:rPr>
          <w:noProof/>
        </w:rPr>
      </w:pPr>
      <w:r>
        <w:rPr>
          <w:noProof/>
        </w:rPr>
        <w:lastRenderedPageBreak/>
        <w:t>Article 20</w:t>
      </w:r>
      <w:r>
        <w:rPr>
          <w:noProof/>
        </w:rPr>
        <w:br/>
      </w:r>
      <w:r>
        <w:rPr>
          <w:b/>
          <w:i w:val="0"/>
          <w:noProof/>
          <w:szCs w:val="24"/>
        </w:rPr>
        <w:t>Integrated reporting on energy security</w:t>
      </w:r>
    </w:p>
    <w:p w:rsidR="00926A0D" w:rsidRDefault="006023A9">
      <w:pPr>
        <w:rPr>
          <w:noProof/>
          <w:szCs w:val="24"/>
        </w:rPr>
      </w:pPr>
      <w:r>
        <w:rPr>
          <w:noProof/>
          <w:szCs w:val="24"/>
        </w:rPr>
        <w:t xml:space="preserve">Member States shall include in the integrated national energy and climate progress reports </w:t>
      </w:r>
      <w:r w:rsidR="003B5525">
        <w:rPr>
          <w:noProof/>
          <w:szCs w:val="24"/>
        </w:rPr>
        <w:t xml:space="preserve">the </w:t>
      </w:r>
      <w:r>
        <w:rPr>
          <w:noProof/>
          <w:szCs w:val="24"/>
        </w:rPr>
        <w:t>information on the implementation of:</w:t>
      </w:r>
    </w:p>
    <w:p w:rsidR="000D25E7" w:rsidRDefault="006023A9" w:rsidP="0076006B">
      <w:pPr>
        <w:pStyle w:val="Point0letter"/>
        <w:numPr>
          <w:ilvl w:val="1"/>
          <w:numId w:val="16"/>
        </w:numPr>
        <w:rPr>
          <w:noProof/>
        </w:rPr>
      </w:pPr>
      <w:r>
        <w:rPr>
          <w:noProof/>
        </w:rPr>
        <w:t>national objectives for the diversification of energy sources and supply countries, storage, demand response;</w:t>
      </w:r>
    </w:p>
    <w:p w:rsidR="00494B99" w:rsidRDefault="00494B99" w:rsidP="0076006B">
      <w:pPr>
        <w:pStyle w:val="Point0letter"/>
        <w:numPr>
          <w:ilvl w:val="1"/>
          <w:numId w:val="16"/>
        </w:numPr>
        <w:rPr>
          <w:noProof/>
        </w:rPr>
      </w:pPr>
      <w:r w:rsidRPr="00494B99">
        <w:rPr>
          <w:noProof/>
        </w:rPr>
        <w:t xml:space="preserve">national objectives with regard to </w:t>
      </w:r>
      <w:r w:rsidR="00B83D08">
        <w:rPr>
          <w:noProof/>
        </w:rPr>
        <w:t xml:space="preserve">reducing </w:t>
      </w:r>
      <w:r w:rsidRPr="00494B99">
        <w:rPr>
          <w:noProof/>
        </w:rPr>
        <w:t xml:space="preserve">energy import dependency from </w:t>
      </w:r>
      <w:r w:rsidR="0078020F">
        <w:rPr>
          <w:noProof/>
        </w:rPr>
        <w:t>third</w:t>
      </w:r>
      <w:r w:rsidRPr="00494B99">
        <w:rPr>
          <w:noProof/>
        </w:rPr>
        <w:t xml:space="preserve"> countries;</w:t>
      </w:r>
    </w:p>
    <w:p w:rsidR="00926A0D" w:rsidRDefault="006023A9">
      <w:pPr>
        <w:pStyle w:val="Point0letter"/>
        <w:rPr>
          <w:noProof/>
        </w:rPr>
      </w:pPr>
      <w:r>
        <w:rPr>
          <w:noProof/>
        </w:rPr>
        <w:t>national objectives for the development of the ability to cope with constrained or interrupted supply of an energy source, including gas and electricity;</w:t>
      </w:r>
    </w:p>
    <w:p w:rsidR="00926A0D" w:rsidRDefault="006023A9">
      <w:pPr>
        <w:pStyle w:val="Point0letter"/>
        <w:rPr>
          <w:noProof/>
        </w:rPr>
      </w:pPr>
      <w:r>
        <w:rPr>
          <w:noProof/>
        </w:rPr>
        <w:t xml:space="preserve">national objectives for the deployment of domestic energy sources, </w:t>
      </w:r>
      <w:r w:rsidR="0078020F">
        <w:rPr>
          <w:noProof/>
        </w:rPr>
        <w:t xml:space="preserve">notably </w:t>
      </w:r>
      <w:r>
        <w:rPr>
          <w:noProof/>
        </w:rPr>
        <w:t>renewable energy</w:t>
      </w:r>
      <w:r w:rsidR="00A663FE">
        <w:rPr>
          <w:noProof/>
        </w:rPr>
        <w:t>;</w:t>
      </w:r>
    </w:p>
    <w:p w:rsidR="00926A0D" w:rsidRDefault="006023A9">
      <w:pPr>
        <w:pStyle w:val="Point0letter"/>
        <w:rPr>
          <w:noProof/>
        </w:rPr>
      </w:pPr>
      <w:r>
        <w:rPr>
          <w:noProof/>
        </w:rPr>
        <w:t>implemented, adopted and planned policies and measures to achieve the objectives referred to in points (a) to (</w:t>
      </w:r>
      <w:r w:rsidR="009C5904">
        <w:rPr>
          <w:noProof/>
        </w:rPr>
        <w:t>d</w:t>
      </w:r>
      <w:r>
        <w:rPr>
          <w:noProof/>
        </w:rPr>
        <w:t>);</w:t>
      </w:r>
    </w:p>
    <w:p w:rsidR="00926A0D" w:rsidRDefault="006023A9">
      <w:pPr>
        <w:pStyle w:val="Point0letter"/>
        <w:rPr>
          <w:noProof/>
        </w:rPr>
      </w:pPr>
      <w:r>
        <w:rPr>
          <w:noProof/>
        </w:rPr>
        <w:t>regional cooperation in implementing the objectives and policies referred to in points (a) to (d);</w:t>
      </w:r>
    </w:p>
    <w:p w:rsidR="00926A0D" w:rsidRDefault="006023A9">
      <w:pPr>
        <w:pStyle w:val="Point0letter"/>
        <w:rPr>
          <w:noProof/>
        </w:rPr>
      </w:pPr>
      <w:r>
        <w:rPr>
          <w:noProof/>
        </w:rPr>
        <w:t xml:space="preserve">without prejudice to Articles 107 and 108 TFEU, financing measures, including </w:t>
      </w:r>
      <w:r w:rsidR="006051C9">
        <w:rPr>
          <w:noProof/>
        </w:rPr>
        <w:t xml:space="preserve">Union </w:t>
      </w:r>
      <w:r>
        <w:rPr>
          <w:noProof/>
        </w:rPr>
        <w:t xml:space="preserve">support and the use of </w:t>
      </w:r>
      <w:r w:rsidR="006051C9">
        <w:rPr>
          <w:noProof/>
        </w:rPr>
        <w:t xml:space="preserve">Union </w:t>
      </w:r>
      <w:r>
        <w:rPr>
          <w:noProof/>
        </w:rPr>
        <w:t>funds, in this area at national level, if applicable;</w:t>
      </w:r>
    </w:p>
    <w:p w:rsidR="00926A0D" w:rsidRDefault="006023A9">
      <w:pPr>
        <w:pStyle w:val="Titrearticle"/>
        <w:rPr>
          <w:noProof/>
        </w:rPr>
      </w:pPr>
      <w:r>
        <w:rPr>
          <w:noProof/>
        </w:rPr>
        <w:t>Article 21</w:t>
      </w:r>
      <w:r>
        <w:rPr>
          <w:noProof/>
        </w:rPr>
        <w:br/>
      </w:r>
      <w:r>
        <w:rPr>
          <w:b/>
          <w:i w:val="0"/>
          <w:noProof/>
          <w:szCs w:val="24"/>
        </w:rPr>
        <w:t>Integrated reporting on the internal energy market</w:t>
      </w:r>
    </w:p>
    <w:p w:rsidR="00926A0D" w:rsidRDefault="006023A9" w:rsidP="003C4AC6">
      <w:pPr>
        <w:ind w:left="720" w:hanging="720"/>
        <w:rPr>
          <w:noProof/>
          <w:szCs w:val="24"/>
        </w:rPr>
      </w:pPr>
      <w:r>
        <w:rPr>
          <w:noProof/>
          <w:szCs w:val="24"/>
        </w:rPr>
        <w:t>1.</w:t>
      </w:r>
      <w:r>
        <w:rPr>
          <w:noProof/>
          <w:szCs w:val="24"/>
        </w:rPr>
        <w:tab/>
        <w:t>Member States shall include in the integrated national energy and climate progress reports information on the implementation of the following objectives and measures:</w:t>
      </w:r>
    </w:p>
    <w:p w:rsidR="00926A0D" w:rsidRPr="006B6A6F" w:rsidRDefault="006023A9" w:rsidP="0076006B">
      <w:pPr>
        <w:pStyle w:val="Point0letter"/>
        <w:numPr>
          <w:ilvl w:val="1"/>
          <w:numId w:val="17"/>
        </w:numPr>
        <w:rPr>
          <w:noProof/>
        </w:rPr>
      </w:pPr>
      <w:r w:rsidRPr="00BB6AE5">
        <w:rPr>
          <w:noProof/>
        </w:rPr>
        <w:t xml:space="preserve">the level of electricity interconnectivity that the Member State aims for in 2030 in relation </w:t>
      </w:r>
      <w:r w:rsidRPr="00C66F9A">
        <w:rPr>
          <w:noProof/>
        </w:rPr>
        <w:t>to the 15% target on electricity interconnection;</w:t>
      </w:r>
    </w:p>
    <w:p w:rsidR="00926A0D" w:rsidRPr="00BB6AE5" w:rsidRDefault="006023A9" w:rsidP="003C4AC6">
      <w:pPr>
        <w:pStyle w:val="Point0letter"/>
        <w:numPr>
          <w:ilvl w:val="1"/>
          <w:numId w:val="17"/>
        </w:numPr>
        <w:rPr>
          <w:noProof/>
        </w:rPr>
      </w:pPr>
      <w:r w:rsidRPr="006B6A6F">
        <w:rPr>
          <w:noProof/>
        </w:rPr>
        <w:t>key national objectives for electricity and gas transmission infrastructure that are necessary for the achievement of objectives and targets under any of the five key dimensions of the Energy Union;</w:t>
      </w:r>
    </w:p>
    <w:p w:rsidR="00926A0D" w:rsidRPr="00BB6AE5" w:rsidRDefault="006023A9" w:rsidP="003C4AC6">
      <w:pPr>
        <w:pStyle w:val="Point0letter"/>
        <w:numPr>
          <w:ilvl w:val="1"/>
          <w:numId w:val="17"/>
        </w:numPr>
        <w:rPr>
          <w:noProof/>
        </w:rPr>
      </w:pPr>
      <w:r w:rsidRPr="00BB6AE5">
        <w:rPr>
          <w:noProof/>
        </w:rPr>
        <w:t>if applicable, main infrastructure projects envisaged other than Projects of Common Interest;</w:t>
      </w:r>
    </w:p>
    <w:p w:rsidR="00926A0D" w:rsidRPr="00BB6AE5" w:rsidRDefault="006023A9" w:rsidP="003C4AC6">
      <w:pPr>
        <w:pStyle w:val="Point0letter"/>
        <w:numPr>
          <w:ilvl w:val="1"/>
          <w:numId w:val="17"/>
        </w:numPr>
        <w:rPr>
          <w:noProof/>
        </w:rPr>
      </w:pPr>
      <w:r w:rsidRPr="00BB6AE5">
        <w:rPr>
          <w:noProof/>
        </w:rPr>
        <w:t>national objectives related to other aspects of the internal energy market such as market integration and coupling, if applicable;</w:t>
      </w:r>
    </w:p>
    <w:p w:rsidR="00926A0D" w:rsidRPr="003C4AC6" w:rsidRDefault="006023A9" w:rsidP="003C4AC6">
      <w:pPr>
        <w:pStyle w:val="Point0letter"/>
        <w:numPr>
          <w:ilvl w:val="1"/>
          <w:numId w:val="17"/>
        </w:numPr>
        <w:rPr>
          <w:noProof/>
        </w:rPr>
      </w:pPr>
      <w:r w:rsidRPr="003C4AC6">
        <w:rPr>
          <w:noProof/>
        </w:rPr>
        <w:t>national objectives with regards to energy poverty, including the number of households in energy poverty;</w:t>
      </w:r>
    </w:p>
    <w:p w:rsidR="00926A0D" w:rsidRPr="00BB6AE5" w:rsidRDefault="006023A9" w:rsidP="003C4AC6">
      <w:pPr>
        <w:pStyle w:val="Point0letter"/>
        <w:numPr>
          <w:ilvl w:val="1"/>
          <w:numId w:val="17"/>
        </w:numPr>
        <w:rPr>
          <w:noProof/>
        </w:rPr>
      </w:pPr>
      <w:r w:rsidRPr="00BB6AE5">
        <w:rPr>
          <w:noProof/>
        </w:rPr>
        <w:t>national objectives with regard to ensuring electricity system adequacy, if applicable;</w:t>
      </w:r>
    </w:p>
    <w:p w:rsidR="00926A0D" w:rsidRPr="00BB6AE5" w:rsidRDefault="006023A9" w:rsidP="003C4AC6">
      <w:pPr>
        <w:pStyle w:val="Point0letter"/>
        <w:numPr>
          <w:ilvl w:val="1"/>
          <w:numId w:val="17"/>
        </w:numPr>
        <w:rPr>
          <w:noProof/>
        </w:rPr>
      </w:pPr>
      <w:r w:rsidRPr="00C66F9A">
        <w:rPr>
          <w:noProof/>
        </w:rPr>
        <w:t>implemented,</w:t>
      </w:r>
      <w:r w:rsidRPr="006B6A6F">
        <w:rPr>
          <w:noProof/>
        </w:rPr>
        <w:t xml:space="preserve"> adopted and planned policies and measures to achieve the objectives referred to in points (</w:t>
      </w:r>
      <w:r w:rsidR="00BB6AE5">
        <w:rPr>
          <w:noProof/>
        </w:rPr>
        <w:t>a</w:t>
      </w:r>
      <w:r w:rsidRPr="00BB6AE5">
        <w:rPr>
          <w:noProof/>
        </w:rPr>
        <w:t>) to (</w:t>
      </w:r>
      <w:r w:rsidR="00BB6AE5">
        <w:rPr>
          <w:noProof/>
        </w:rPr>
        <w:t>f</w:t>
      </w:r>
      <w:r w:rsidRPr="00BB6AE5">
        <w:rPr>
          <w:noProof/>
        </w:rPr>
        <w:t>);</w:t>
      </w:r>
    </w:p>
    <w:p w:rsidR="00926A0D" w:rsidRPr="00BB6AE5" w:rsidRDefault="006023A9" w:rsidP="003C4AC6">
      <w:pPr>
        <w:pStyle w:val="Point0letter"/>
        <w:numPr>
          <w:ilvl w:val="1"/>
          <w:numId w:val="17"/>
        </w:numPr>
        <w:rPr>
          <w:noProof/>
        </w:rPr>
      </w:pPr>
      <w:r w:rsidRPr="00BB6AE5">
        <w:rPr>
          <w:noProof/>
        </w:rPr>
        <w:t>regional cooperation in implementing the objectives and policies referred to in points (</w:t>
      </w:r>
      <w:r w:rsidR="00BB6AE5">
        <w:rPr>
          <w:noProof/>
        </w:rPr>
        <w:t>a</w:t>
      </w:r>
      <w:r w:rsidRPr="00BB6AE5">
        <w:rPr>
          <w:noProof/>
        </w:rPr>
        <w:t>) to (</w:t>
      </w:r>
      <w:r w:rsidR="00BB6AE5">
        <w:rPr>
          <w:noProof/>
        </w:rPr>
        <w:t>g</w:t>
      </w:r>
      <w:r w:rsidRPr="00BB6AE5">
        <w:rPr>
          <w:noProof/>
        </w:rPr>
        <w:t>);</w:t>
      </w:r>
    </w:p>
    <w:p w:rsidR="00926A0D" w:rsidRPr="00BB6AE5" w:rsidRDefault="006023A9" w:rsidP="003C4AC6">
      <w:pPr>
        <w:pStyle w:val="Point0letter"/>
        <w:numPr>
          <w:ilvl w:val="1"/>
          <w:numId w:val="17"/>
        </w:numPr>
        <w:rPr>
          <w:noProof/>
        </w:rPr>
      </w:pPr>
      <w:r w:rsidRPr="00C66F9A">
        <w:rPr>
          <w:noProof/>
        </w:rPr>
        <w:t>without prejudice to Articles 107 and 108 TFEU, fi</w:t>
      </w:r>
      <w:r w:rsidRPr="006B6A6F">
        <w:rPr>
          <w:noProof/>
        </w:rPr>
        <w:t xml:space="preserve">nancing measures, including </w:t>
      </w:r>
      <w:r w:rsidR="00EE744B" w:rsidRPr="006B6A6F">
        <w:rPr>
          <w:noProof/>
        </w:rPr>
        <w:t xml:space="preserve">Union </w:t>
      </w:r>
      <w:r w:rsidRPr="006B6A6F">
        <w:rPr>
          <w:noProof/>
        </w:rPr>
        <w:t xml:space="preserve">support and the use of </w:t>
      </w:r>
      <w:r w:rsidR="00EE744B" w:rsidRPr="00BB6AE5">
        <w:rPr>
          <w:noProof/>
        </w:rPr>
        <w:t xml:space="preserve">Union </w:t>
      </w:r>
      <w:r w:rsidRPr="00BB6AE5">
        <w:rPr>
          <w:noProof/>
        </w:rPr>
        <w:t>funds, in the area of the internal energy market at national level, if applicable;</w:t>
      </w:r>
    </w:p>
    <w:p w:rsidR="00926A0D" w:rsidRPr="00BB6AE5" w:rsidRDefault="006023A9" w:rsidP="003C4AC6">
      <w:pPr>
        <w:pStyle w:val="Point0letter"/>
        <w:numPr>
          <w:ilvl w:val="1"/>
          <w:numId w:val="17"/>
        </w:numPr>
        <w:rPr>
          <w:noProof/>
        </w:rPr>
      </w:pPr>
      <w:r w:rsidRPr="00BB6AE5">
        <w:rPr>
          <w:noProof/>
        </w:rPr>
        <w:lastRenderedPageBreak/>
        <w:t>measures to increase the flexibility of the energy system with regard to renewable energy production, including the roll-out of intraday market coupling and cross-border balancing markets.</w:t>
      </w:r>
    </w:p>
    <w:p w:rsidR="00926A0D" w:rsidRDefault="006023A9">
      <w:pPr>
        <w:rPr>
          <w:noProof/>
        </w:rPr>
      </w:pPr>
      <w:r>
        <w:rPr>
          <w:noProof/>
        </w:rPr>
        <w:t>2.</w:t>
      </w:r>
      <w:r>
        <w:rPr>
          <w:noProof/>
        </w:rPr>
        <w:tab/>
        <w:t>The information provided by Member States under paragraph 1 shall be coherent with and as appropriate be based on the report by the national regulators referred to in Article 5</w:t>
      </w:r>
      <w:r w:rsidR="009E15B8">
        <w:rPr>
          <w:noProof/>
        </w:rPr>
        <w:t>9</w:t>
      </w:r>
      <w:r>
        <w:rPr>
          <w:noProof/>
        </w:rPr>
        <w:t>(1)(</w:t>
      </w:r>
      <w:r w:rsidR="009E15B8">
        <w:rPr>
          <w:noProof/>
        </w:rPr>
        <w:t>h</w:t>
      </w:r>
      <w:r>
        <w:rPr>
          <w:noProof/>
        </w:rPr>
        <w:t>) of the [recast of Directive 2009/72/EC</w:t>
      </w:r>
      <w:r w:rsidR="001D5DEF">
        <w:rPr>
          <w:noProof/>
        </w:rPr>
        <w:t xml:space="preserve"> as proposed by </w:t>
      </w:r>
      <w:r w:rsidR="001D5DEF" w:rsidRPr="001D5DEF">
        <w:rPr>
          <w:noProof/>
        </w:rPr>
        <w:t>COM(2016) 864</w:t>
      </w:r>
      <w:r>
        <w:rPr>
          <w:noProof/>
        </w:rPr>
        <w:t xml:space="preserve">] and </w:t>
      </w:r>
      <w:r w:rsidR="00421A2C">
        <w:rPr>
          <w:noProof/>
        </w:rPr>
        <w:t xml:space="preserve">Article </w:t>
      </w:r>
      <w:r>
        <w:rPr>
          <w:noProof/>
        </w:rPr>
        <w:t>41(1)(e) of Directive 2009/73/EC.</w:t>
      </w:r>
    </w:p>
    <w:p w:rsidR="00926A0D" w:rsidRDefault="006023A9">
      <w:pPr>
        <w:pStyle w:val="Titrearticle"/>
        <w:rPr>
          <w:noProof/>
        </w:rPr>
      </w:pPr>
      <w:r>
        <w:rPr>
          <w:noProof/>
        </w:rPr>
        <w:t>Article 22</w:t>
      </w:r>
      <w:r>
        <w:rPr>
          <w:noProof/>
        </w:rPr>
        <w:br/>
      </w:r>
      <w:r>
        <w:rPr>
          <w:b/>
          <w:i w:val="0"/>
          <w:noProof/>
          <w:szCs w:val="24"/>
        </w:rPr>
        <w:t>Integrated reporting on research, innovation and competitiveness</w:t>
      </w:r>
    </w:p>
    <w:p w:rsidR="00926A0D" w:rsidRDefault="006023A9">
      <w:pPr>
        <w:rPr>
          <w:noProof/>
          <w:szCs w:val="24"/>
        </w:rPr>
      </w:pPr>
      <w:r>
        <w:rPr>
          <w:noProof/>
          <w:szCs w:val="24"/>
        </w:rPr>
        <w:t xml:space="preserve">Member States shall include in the integrated national energy and climate progress reports referred </w:t>
      </w:r>
      <w:r w:rsidR="009E15B8">
        <w:rPr>
          <w:noProof/>
          <w:szCs w:val="24"/>
        </w:rPr>
        <w:t xml:space="preserve">to </w:t>
      </w:r>
      <w:r>
        <w:rPr>
          <w:noProof/>
          <w:szCs w:val="24"/>
        </w:rPr>
        <w:t>in Article 15 the information on the implementation of the following objectives and measures:</w:t>
      </w:r>
    </w:p>
    <w:p w:rsidR="00926A0D" w:rsidRDefault="006023A9" w:rsidP="00AF12E0">
      <w:pPr>
        <w:pStyle w:val="Point0letter"/>
        <w:numPr>
          <w:ilvl w:val="1"/>
          <w:numId w:val="33"/>
        </w:numPr>
        <w:rPr>
          <w:noProof/>
        </w:rPr>
      </w:pPr>
      <w:r>
        <w:rPr>
          <w:noProof/>
        </w:rPr>
        <w:t>national objectives and policies translating to a national context the SET Plan objectives and policies</w:t>
      </w:r>
      <w:r w:rsidR="00F52199">
        <w:rPr>
          <w:noProof/>
        </w:rPr>
        <w:t>;</w:t>
      </w:r>
    </w:p>
    <w:p w:rsidR="00926A0D" w:rsidRDefault="006023A9" w:rsidP="00AF12E0">
      <w:pPr>
        <w:pStyle w:val="Point0letter"/>
        <w:numPr>
          <w:ilvl w:val="1"/>
          <w:numId w:val="33"/>
        </w:numPr>
        <w:rPr>
          <w:noProof/>
        </w:rPr>
      </w:pPr>
      <w:r>
        <w:rPr>
          <w:noProof/>
        </w:rPr>
        <w:t>national objectives for total (public and private) spending in research and innovation relating to clean energy technologies as well as for technology cost and performance development;</w:t>
      </w:r>
    </w:p>
    <w:p w:rsidR="00926A0D" w:rsidRDefault="006023A9">
      <w:pPr>
        <w:pStyle w:val="Point0letter"/>
        <w:rPr>
          <w:noProof/>
        </w:rPr>
      </w:pPr>
      <w:r>
        <w:rPr>
          <w:noProof/>
        </w:rPr>
        <w:t xml:space="preserve">if appropriate, national objectives including long term targets for 2050 for </w:t>
      </w:r>
      <w:r w:rsidR="009E15B8">
        <w:rPr>
          <w:noProof/>
        </w:rPr>
        <w:t xml:space="preserve">the </w:t>
      </w:r>
      <w:r>
        <w:rPr>
          <w:noProof/>
        </w:rPr>
        <w:t>deployment of technologies for decarbonising energy- and carbon-intensive industrial sectors and, if applicable, for related carbon transport, use, and storage infrastructure;</w:t>
      </w:r>
    </w:p>
    <w:p w:rsidR="00926A0D" w:rsidRDefault="006023A9">
      <w:pPr>
        <w:pStyle w:val="Point0letter"/>
        <w:rPr>
          <w:noProof/>
        </w:rPr>
      </w:pPr>
      <w:r>
        <w:rPr>
          <w:noProof/>
        </w:rPr>
        <w:t>national objectives to phase out energy subsidies;</w:t>
      </w:r>
    </w:p>
    <w:p w:rsidR="00926A0D" w:rsidRDefault="006023A9">
      <w:pPr>
        <w:pStyle w:val="Point0letter"/>
        <w:rPr>
          <w:noProof/>
        </w:rPr>
      </w:pPr>
      <w:r>
        <w:rPr>
          <w:noProof/>
        </w:rPr>
        <w:t>implemented, adopted and planned policies and measures to achieve the objectives referred to in points (b) and (c);</w:t>
      </w:r>
    </w:p>
    <w:p w:rsidR="00926A0D" w:rsidRDefault="006023A9">
      <w:pPr>
        <w:pStyle w:val="Point0letter"/>
        <w:rPr>
          <w:noProof/>
        </w:rPr>
      </w:pPr>
      <w:r>
        <w:rPr>
          <w:noProof/>
        </w:rPr>
        <w:t>cooperation with other Member States in implementing the objectives and policies referred to in points (b) to (d), including coordination of policies and measures through the SET Plan, such as alignment of research programmes and common programmes;</w:t>
      </w:r>
    </w:p>
    <w:p w:rsidR="00926A0D" w:rsidRDefault="006023A9">
      <w:pPr>
        <w:pStyle w:val="Point0letter"/>
        <w:rPr>
          <w:noProof/>
        </w:rPr>
      </w:pPr>
      <w:r>
        <w:rPr>
          <w:noProof/>
        </w:rPr>
        <w:t xml:space="preserve">financing measures, including </w:t>
      </w:r>
      <w:r w:rsidR="00EE744B">
        <w:rPr>
          <w:noProof/>
        </w:rPr>
        <w:t xml:space="preserve">Union </w:t>
      </w:r>
      <w:r>
        <w:rPr>
          <w:noProof/>
        </w:rPr>
        <w:t xml:space="preserve">support and the use of </w:t>
      </w:r>
      <w:r w:rsidR="00EE744B">
        <w:rPr>
          <w:noProof/>
        </w:rPr>
        <w:t xml:space="preserve">Union </w:t>
      </w:r>
      <w:r>
        <w:rPr>
          <w:noProof/>
        </w:rPr>
        <w:t>funds, in this area at national  level, if applicable.</w:t>
      </w:r>
    </w:p>
    <w:p w:rsidR="00926A0D" w:rsidRDefault="006023A9">
      <w:pPr>
        <w:pStyle w:val="SectionTitle"/>
        <w:spacing w:before="100" w:beforeAutospacing="1" w:after="100" w:afterAutospacing="1"/>
        <w:rPr>
          <w:i/>
          <w:noProof/>
        </w:rPr>
      </w:pPr>
      <w:r>
        <w:rPr>
          <w:noProof/>
        </w:rPr>
        <w:t>Section 2</w:t>
      </w:r>
      <w:r>
        <w:rPr>
          <w:noProof/>
        </w:rPr>
        <w:br/>
        <w:t>Annual Reporting</w:t>
      </w:r>
    </w:p>
    <w:p w:rsidR="00926A0D" w:rsidRDefault="006023A9">
      <w:pPr>
        <w:pStyle w:val="Titrearticle"/>
        <w:spacing w:before="100" w:beforeAutospacing="1" w:after="100" w:afterAutospacing="1"/>
        <w:rPr>
          <w:b/>
          <w:i w:val="0"/>
          <w:noProof/>
        </w:rPr>
      </w:pPr>
      <w:r>
        <w:rPr>
          <w:noProof/>
        </w:rPr>
        <w:t>Article 23</w:t>
      </w:r>
      <w:r>
        <w:rPr>
          <w:noProof/>
        </w:rPr>
        <w:br/>
      </w:r>
      <w:r>
        <w:rPr>
          <w:b/>
          <w:i w:val="0"/>
          <w:noProof/>
          <w:szCs w:val="24"/>
        </w:rPr>
        <w:t>Annual Reporting</w:t>
      </w:r>
    </w:p>
    <w:p w:rsidR="00926A0D" w:rsidRDefault="006023A9">
      <w:pPr>
        <w:rPr>
          <w:noProof/>
        </w:rPr>
      </w:pPr>
      <w:r>
        <w:rPr>
          <w:noProof/>
        </w:rPr>
        <w:t>1.</w:t>
      </w:r>
      <w:r>
        <w:rPr>
          <w:noProof/>
        </w:rPr>
        <w:tab/>
        <w:t>By 15 March 2021, and every year thereafter (year X), Member States shall report to the Commission:</w:t>
      </w:r>
    </w:p>
    <w:p w:rsidR="00926A0D" w:rsidRDefault="00794FD2" w:rsidP="0076006B">
      <w:pPr>
        <w:pStyle w:val="Point0letter"/>
        <w:numPr>
          <w:ilvl w:val="1"/>
          <w:numId w:val="18"/>
        </w:numPr>
        <w:rPr>
          <w:noProof/>
        </w:rPr>
      </w:pPr>
      <w:r>
        <w:rPr>
          <w:noProof/>
        </w:rPr>
        <w:t xml:space="preserve">their </w:t>
      </w:r>
      <w:r w:rsidR="006023A9">
        <w:rPr>
          <w:noProof/>
        </w:rPr>
        <w:t>approximated greenhouse gas inventories for the year X-1;</w:t>
      </w:r>
    </w:p>
    <w:p w:rsidR="00926A0D" w:rsidRDefault="006023A9">
      <w:pPr>
        <w:pStyle w:val="Point0letter"/>
        <w:rPr>
          <w:noProof/>
        </w:rPr>
      </w:pPr>
      <w:r>
        <w:rPr>
          <w:noProof/>
        </w:rPr>
        <w:t>the information referred to in Article 6(2) of Directive 2009/119/EC;</w:t>
      </w:r>
    </w:p>
    <w:p w:rsidR="00926A0D" w:rsidRDefault="00794FD2">
      <w:pPr>
        <w:pStyle w:val="Point0letter"/>
        <w:rPr>
          <w:noProof/>
        </w:rPr>
      </w:pPr>
      <w:r>
        <w:rPr>
          <w:noProof/>
        </w:rPr>
        <w:t xml:space="preserve">the </w:t>
      </w:r>
      <w:r w:rsidR="006023A9">
        <w:rPr>
          <w:noProof/>
        </w:rPr>
        <w:t xml:space="preserve">information referred to in Annex IX, point 3, </w:t>
      </w:r>
      <w:r w:rsidR="00DD27F4">
        <w:rPr>
          <w:noProof/>
        </w:rPr>
        <w:t xml:space="preserve">to </w:t>
      </w:r>
      <w:r w:rsidR="006023A9">
        <w:rPr>
          <w:noProof/>
        </w:rPr>
        <w:t>Directive 2013/30/EU, in accordance with Article 25 of th</w:t>
      </w:r>
      <w:r w:rsidR="00D638A7">
        <w:rPr>
          <w:noProof/>
        </w:rPr>
        <w:t>at</w:t>
      </w:r>
      <w:r w:rsidR="006023A9">
        <w:rPr>
          <w:noProof/>
        </w:rPr>
        <w:t xml:space="preserve"> directive.</w:t>
      </w:r>
    </w:p>
    <w:p w:rsidR="00926A0D" w:rsidRDefault="006023A9">
      <w:pPr>
        <w:rPr>
          <w:noProof/>
        </w:rPr>
      </w:pPr>
      <w:r>
        <w:rPr>
          <w:noProof/>
        </w:rPr>
        <w:lastRenderedPageBreak/>
        <w:t>For the purposes of point (a)</w:t>
      </w:r>
      <w:r w:rsidR="00017B6C">
        <w:rPr>
          <w:noProof/>
        </w:rPr>
        <w:t>,</w:t>
      </w:r>
      <w:r>
        <w:rPr>
          <w:noProof/>
        </w:rPr>
        <w:t xml:space="preserve"> the Commission shall, on the basis of the Member States’ approximated greenhouse gas inventories or, if a Member State has not communicated its approximated inventories by that date, on the basis of its own estimates, annually compile a Union approximated greenhouse gas inventory. The Commission shall make that information available to the public by 30 September every year.</w:t>
      </w:r>
    </w:p>
    <w:p w:rsidR="00926A0D" w:rsidRDefault="006023A9">
      <w:pPr>
        <w:rPr>
          <w:noProof/>
        </w:rPr>
      </w:pPr>
      <w:r>
        <w:rPr>
          <w:noProof/>
        </w:rPr>
        <w:t>2.</w:t>
      </w:r>
      <w:r>
        <w:rPr>
          <w:noProof/>
        </w:rPr>
        <w:tab/>
        <w:t xml:space="preserve">As of 2023, Member States shall determine and report to the Commission final greenhouse gas inventory data by 15 March each year (X) and preliminary data by 15 January each year including the greenhouse gases and the inventory information listed in Annex III. The report on the final greenhouse gas inventory data shall also include a complete and up-to-date national inventory report. </w:t>
      </w:r>
    </w:p>
    <w:p w:rsidR="00926A0D" w:rsidRDefault="006023A9">
      <w:pPr>
        <w:rPr>
          <w:noProof/>
        </w:rPr>
      </w:pPr>
      <w:r>
        <w:rPr>
          <w:noProof/>
        </w:rPr>
        <w:t>3.</w:t>
      </w:r>
      <w:r>
        <w:rPr>
          <w:noProof/>
        </w:rPr>
        <w:tab/>
        <w:t>Member States shall submit to the UNFCCC Secretariat national inventories containing the information submitted to the Commission on the final greenhouse gas inventory data in accordance with paragraph 2 of this Article by 15 April each year. The Commission shall, in cooperation with the Member States, annually compile a Union greenhouse gas inventory and prepare a Union greenhouse gas inventory report and shall submit them to the UNFCCC Secretariat by 15 April each year.</w:t>
      </w:r>
    </w:p>
    <w:p w:rsidR="00926A0D" w:rsidRDefault="006023A9">
      <w:pPr>
        <w:rPr>
          <w:noProof/>
        </w:rPr>
      </w:pPr>
      <w:r>
        <w:rPr>
          <w:noProof/>
        </w:rPr>
        <w:t>4.</w:t>
      </w:r>
      <w:r>
        <w:rPr>
          <w:noProof/>
        </w:rPr>
        <w:tab/>
      </w:r>
      <w:r>
        <w:rPr>
          <w:noProof/>
          <w:szCs w:val="24"/>
        </w:rPr>
        <w:t>Member States shall report to the Commission the preliminary and the final national inventory data, by 15 January and 15 March respectively in the years 2027 and 2032, prepared for their LULUCF accounts for the purpose of the compliance reports in accordance with Article 12 of Regulation [ ] [LULUCF].</w:t>
      </w:r>
    </w:p>
    <w:p w:rsidR="00926A0D" w:rsidRDefault="006023A9">
      <w:pPr>
        <w:rPr>
          <w:noProof/>
        </w:rPr>
      </w:pPr>
      <w:r>
        <w:rPr>
          <w:noProof/>
        </w:rPr>
        <w:t>5.</w:t>
      </w:r>
      <w:r>
        <w:rPr>
          <w:noProof/>
        </w:rPr>
        <w:tab/>
        <w:t xml:space="preserve">The Commission is empowered to adopt delegated acts in accordance with Article 36 to: </w:t>
      </w:r>
    </w:p>
    <w:p w:rsidR="00926A0D" w:rsidRDefault="006023A9" w:rsidP="0076006B">
      <w:pPr>
        <w:pStyle w:val="Point0letter"/>
        <w:numPr>
          <w:ilvl w:val="1"/>
          <w:numId w:val="19"/>
        </w:numPr>
        <w:rPr>
          <w:noProof/>
        </w:rPr>
      </w:pPr>
      <w:r>
        <w:rPr>
          <w:noProof/>
        </w:rPr>
        <w:t xml:space="preserve">amend Part 2 of Annex III by adding or deleting substances in the list of greenhouse gases; </w:t>
      </w:r>
    </w:p>
    <w:p w:rsidR="00926A0D" w:rsidRDefault="006023A9">
      <w:pPr>
        <w:pStyle w:val="Point0letter"/>
        <w:rPr>
          <w:noProof/>
        </w:rPr>
      </w:pPr>
      <w:r>
        <w:rPr>
          <w:noProof/>
        </w:rPr>
        <w:t>supplement this Regulation by adopting values for global warming potentials and specifying the inventory guidelines applicable in accordance with relevant decisions adopted by the bodies of the UNFCCC or Paris Agreement.</w:t>
      </w:r>
    </w:p>
    <w:p w:rsidR="00926A0D" w:rsidRDefault="006023A9">
      <w:pPr>
        <w:rPr>
          <w:noProof/>
          <w:szCs w:val="24"/>
        </w:rPr>
      </w:pPr>
      <w:r>
        <w:rPr>
          <w:noProof/>
          <w:szCs w:val="24"/>
        </w:rPr>
        <w:t>6.</w:t>
      </w:r>
      <w:r>
        <w:rPr>
          <w:noProof/>
          <w:szCs w:val="24"/>
        </w:rPr>
        <w:tab/>
        <w:t>The Commission shall adopt implementing acts to set out the structure, technical details, format and processes for the Member States’ submission of approximated greenhouse gas inventories pursuant to paragraph 1, greenhouse gas inventories pursuant to paragraph 2 and accounted greenhouse gas emissions and removals in accordance with Article</w:t>
      </w:r>
      <w:r w:rsidR="00794FD2">
        <w:rPr>
          <w:noProof/>
          <w:szCs w:val="24"/>
        </w:rPr>
        <w:t>s</w:t>
      </w:r>
      <w:r>
        <w:rPr>
          <w:noProof/>
          <w:szCs w:val="24"/>
        </w:rPr>
        <w:t xml:space="preserve"> 5 and 12 of Regulation [ ] [LULUCF]. When proposing such implementing acts the Commission shall take into account the UNFCCC or Paris Agreement timetables for the monitoring and reporting of that information and the relevant decisions adopted by the bodies of the UNFCCC or Paris Agreement in order to ensure compliance by the Union with its reporting obligations as a Party to the UNFCCC and the Paris Agreement. Those implementing acts shall also specify the timescales for cooperation and coordination between the Commission and the Member States in preparing the Union greenhouse gas inventory report. Those implementing acts shall be adopted in accordance with the examination procedure referred to in Article 37(</w:t>
      </w:r>
      <w:r w:rsidR="006777D8">
        <w:rPr>
          <w:noProof/>
          <w:szCs w:val="24"/>
        </w:rPr>
        <w:t>3</w:t>
      </w:r>
      <w:r>
        <w:rPr>
          <w:noProof/>
          <w:szCs w:val="24"/>
        </w:rPr>
        <w:t>).</w:t>
      </w:r>
    </w:p>
    <w:p w:rsidR="00926A0D" w:rsidRDefault="006023A9">
      <w:pPr>
        <w:pStyle w:val="SectionTitle"/>
        <w:rPr>
          <w:noProof/>
        </w:rPr>
      </w:pPr>
      <w:r>
        <w:rPr>
          <w:noProof/>
        </w:rPr>
        <w:lastRenderedPageBreak/>
        <w:t>SECTION 3</w:t>
      </w:r>
      <w:r>
        <w:rPr>
          <w:noProof/>
        </w:rPr>
        <w:br/>
        <w:t>Reporting Platform</w:t>
      </w:r>
    </w:p>
    <w:p w:rsidR="00926A0D" w:rsidRDefault="006023A9">
      <w:pPr>
        <w:pStyle w:val="Titrearticle"/>
        <w:rPr>
          <w:noProof/>
        </w:rPr>
      </w:pPr>
      <w:r>
        <w:rPr>
          <w:noProof/>
        </w:rPr>
        <w:t>Article 24</w:t>
      </w:r>
      <w:r>
        <w:rPr>
          <w:noProof/>
        </w:rPr>
        <w:br/>
      </w:r>
      <w:r>
        <w:rPr>
          <w:b/>
          <w:i w:val="0"/>
          <w:noProof/>
          <w:szCs w:val="24"/>
        </w:rPr>
        <w:t>E-reporting platform</w:t>
      </w:r>
    </w:p>
    <w:p w:rsidR="00926A0D" w:rsidRDefault="006023A9">
      <w:pPr>
        <w:rPr>
          <w:noProof/>
          <w:szCs w:val="24"/>
        </w:rPr>
      </w:pPr>
      <w:r>
        <w:rPr>
          <w:noProof/>
          <w:szCs w:val="24"/>
        </w:rPr>
        <w:t>1.</w:t>
      </w:r>
      <w:r>
        <w:rPr>
          <w:noProof/>
          <w:szCs w:val="24"/>
        </w:rPr>
        <w:tab/>
        <w:t>The Commission shall establish an online reporting platform to facilitate communication between the Commission and Member States and promote cooperation among Member States.</w:t>
      </w:r>
    </w:p>
    <w:p w:rsidR="00926A0D" w:rsidRDefault="006023A9">
      <w:pPr>
        <w:rPr>
          <w:noProof/>
          <w:szCs w:val="24"/>
        </w:rPr>
      </w:pPr>
      <w:r>
        <w:rPr>
          <w:noProof/>
          <w:szCs w:val="24"/>
        </w:rPr>
        <w:t>2.</w:t>
      </w:r>
      <w:r>
        <w:rPr>
          <w:noProof/>
          <w:szCs w:val="24"/>
        </w:rPr>
        <w:tab/>
        <w:t xml:space="preserve">Member States shall use the online platform for the purposes of submitting to the Commission the reports referred to in this Chapter once the platform becomes operational. </w:t>
      </w:r>
    </w:p>
    <w:p w:rsidR="00926A0D" w:rsidRDefault="006023A9">
      <w:pPr>
        <w:jc w:val="center"/>
        <w:rPr>
          <w:i/>
          <w:noProof/>
          <w:szCs w:val="24"/>
        </w:rPr>
      </w:pPr>
      <w:r>
        <w:rPr>
          <w:i/>
          <w:noProof/>
          <w:szCs w:val="24"/>
        </w:rPr>
        <w:t xml:space="preserve"> </w:t>
      </w:r>
    </w:p>
    <w:p w:rsidR="00926A0D" w:rsidRDefault="006023A9">
      <w:pPr>
        <w:pStyle w:val="PartTitle"/>
        <w:rPr>
          <w:noProof/>
        </w:rPr>
      </w:pPr>
      <w:r>
        <w:rPr>
          <w:noProof/>
        </w:rPr>
        <w:lastRenderedPageBreak/>
        <w:t>CHAPTER 5</w:t>
      </w:r>
      <w:r>
        <w:rPr>
          <w:noProof/>
        </w:rPr>
        <w:br/>
        <w:t xml:space="preserve">AGGREGATE ASSESSMENT OF </w:t>
      </w:r>
      <w:r w:rsidR="00794FD2">
        <w:rPr>
          <w:noProof/>
        </w:rPr>
        <w:t>PROGRESS</w:t>
      </w:r>
      <w:r>
        <w:rPr>
          <w:noProof/>
        </w:rPr>
        <w:t xml:space="preserve"> AND </w:t>
      </w:r>
      <w:r w:rsidR="00794FD2">
        <w:rPr>
          <w:noProof/>
        </w:rPr>
        <w:t xml:space="preserve">POLICY RESPONSE TO ENSURE </w:t>
      </w:r>
      <w:r>
        <w:rPr>
          <w:noProof/>
        </w:rPr>
        <w:t>UNION TARGET</w:t>
      </w:r>
      <w:r w:rsidR="00794FD2">
        <w:rPr>
          <w:noProof/>
        </w:rPr>
        <w:t>S</w:t>
      </w:r>
      <w:r>
        <w:rPr>
          <w:noProof/>
        </w:rPr>
        <w:t xml:space="preserve"> ACHIEVEMENT –– COMMISSION MONITORING</w:t>
      </w:r>
    </w:p>
    <w:p w:rsidR="00926A0D" w:rsidRDefault="006023A9">
      <w:pPr>
        <w:pStyle w:val="Titrearticle"/>
        <w:rPr>
          <w:noProof/>
          <w:szCs w:val="24"/>
        </w:rPr>
      </w:pPr>
      <w:r>
        <w:rPr>
          <w:noProof/>
        </w:rPr>
        <w:t xml:space="preserve">Article </w:t>
      </w:r>
      <w:r>
        <w:rPr>
          <w:noProof/>
          <w:szCs w:val="24"/>
        </w:rPr>
        <w:t>25</w:t>
      </w:r>
      <w:r>
        <w:rPr>
          <w:noProof/>
          <w:szCs w:val="24"/>
        </w:rPr>
        <w:br/>
      </w:r>
      <w:r>
        <w:rPr>
          <w:b/>
          <w:i w:val="0"/>
          <w:noProof/>
          <w:szCs w:val="24"/>
        </w:rPr>
        <w:t>Assessment of progress</w:t>
      </w:r>
    </w:p>
    <w:p w:rsidR="00926A0D" w:rsidRDefault="006023A9">
      <w:pPr>
        <w:rPr>
          <w:noProof/>
          <w:szCs w:val="24"/>
        </w:rPr>
      </w:pPr>
      <w:r>
        <w:rPr>
          <w:noProof/>
          <w:szCs w:val="24"/>
        </w:rPr>
        <w:t>1.</w:t>
      </w:r>
      <w:r>
        <w:rPr>
          <w:noProof/>
          <w:szCs w:val="24"/>
        </w:rPr>
        <w:tab/>
        <w:t>By 31 October 2021 and every second year thereafter</w:t>
      </w:r>
      <w:r w:rsidR="0041681C">
        <w:rPr>
          <w:noProof/>
          <w:szCs w:val="24"/>
        </w:rPr>
        <w:t>,</w:t>
      </w:r>
      <w:r>
        <w:rPr>
          <w:noProof/>
          <w:szCs w:val="24"/>
        </w:rPr>
        <w:t xml:space="preserve"> the Commission shall assess, in particular on the basis of the integrated national energy and climate progress reports, of other information reported under this Regulation, of the indicators and of European statistics</w:t>
      </w:r>
      <w:r>
        <w:rPr>
          <w:noProof/>
        </w:rPr>
        <w:t xml:space="preserve"> </w:t>
      </w:r>
      <w:r>
        <w:rPr>
          <w:noProof/>
          <w:szCs w:val="24"/>
        </w:rPr>
        <w:t>where available:</w:t>
      </w:r>
    </w:p>
    <w:p w:rsidR="00926A0D" w:rsidRDefault="006023A9" w:rsidP="0076006B">
      <w:pPr>
        <w:pStyle w:val="Point0letter"/>
        <w:numPr>
          <w:ilvl w:val="1"/>
          <w:numId w:val="20"/>
        </w:numPr>
        <w:rPr>
          <w:noProof/>
          <w:lang w:val="en"/>
        </w:rPr>
      </w:pPr>
      <w:r>
        <w:rPr>
          <w:noProof/>
          <w:szCs w:val="24"/>
          <w:lang w:val="en"/>
        </w:rPr>
        <w:t xml:space="preserve">the progress </w:t>
      </w:r>
      <w:r>
        <w:rPr>
          <w:noProof/>
          <w:lang w:val="en"/>
        </w:rPr>
        <w:t>made</w:t>
      </w:r>
      <w:r>
        <w:rPr>
          <w:noProof/>
          <w:szCs w:val="24"/>
          <w:lang w:val="en"/>
        </w:rPr>
        <w:t xml:space="preserve"> at Union level towards meeting the objectives of the Energy Union, including for the first ten-year period the Union's 2030 targets for energy and climate, notably in view of avoiding any gaps to the Union's 2030 targets for renewable energy and energy efficiency;</w:t>
      </w:r>
    </w:p>
    <w:p w:rsidR="00926A0D" w:rsidRDefault="006023A9">
      <w:pPr>
        <w:pStyle w:val="Point0letter"/>
        <w:rPr>
          <w:noProof/>
          <w:szCs w:val="24"/>
          <w:lang w:val="en"/>
        </w:rPr>
      </w:pPr>
      <w:r>
        <w:rPr>
          <w:noProof/>
        </w:rPr>
        <w:t>the progress made by each Member State towards meeting its targets</w:t>
      </w:r>
      <w:r w:rsidR="00B727C9">
        <w:rPr>
          <w:noProof/>
        </w:rPr>
        <w:t>,</w:t>
      </w:r>
      <w:r>
        <w:rPr>
          <w:noProof/>
        </w:rPr>
        <w:t xml:space="preserve"> objectives and </w:t>
      </w:r>
      <w:r w:rsidR="00B727C9">
        <w:rPr>
          <w:noProof/>
        </w:rPr>
        <w:t>contributions</w:t>
      </w:r>
      <w:r>
        <w:rPr>
          <w:noProof/>
        </w:rPr>
        <w:t xml:space="preserve"> and implementing the policies and measures set out in its integrated national energy and climate plan;</w:t>
      </w:r>
    </w:p>
    <w:p w:rsidR="00926A0D" w:rsidRDefault="006023A9">
      <w:pPr>
        <w:pStyle w:val="Point0letter"/>
        <w:rPr>
          <w:noProof/>
        </w:rPr>
      </w:pPr>
      <w:r>
        <w:rPr>
          <w:noProof/>
        </w:rPr>
        <w:t>the overall impact of aviation on the global climate including through non-CO</w:t>
      </w:r>
      <w:r>
        <w:rPr>
          <w:noProof/>
          <w:vertAlign w:val="subscript"/>
        </w:rPr>
        <w:t>2</w:t>
      </w:r>
      <w:r>
        <w:rPr>
          <w:noProof/>
        </w:rPr>
        <w:t xml:space="preserve"> emissions or effects, based on the emission data provided by Member States pursuant to Article 23, and improve that assessment by reference to scientific advancements and air traffic data, as appropriate.</w:t>
      </w:r>
    </w:p>
    <w:p w:rsidR="00926A0D" w:rsidRDefault="006023A9">
      <w:pPr>
        <w:rPr>
          <w:noProof/>
        </w:rPr>
      </w:pPr>
      <w:r>
        <w:rPr>
          <w:noProof/>
        </w:rPr>
        <w:t>2.</w:t>
      </w:r>
      <w:r>
        <w:rPr>
          <w:noProof/>
        </w:rPr>
        <w:tab/>
        <w:t>In the area of renewable energy, as part of its assessment referred to in paragraph 1, the Commission shall assess the progress made in the share of energy from renewable sources in the Union’s gross final consumption on the basis of a linear trajectory starting from 20% in 2020 and reaching at least 27% in 2030 as referred to in Article 4(a)(2)(i).</w:t>
      </w:r>
    </w:p>
    <w:p w:rsidR="00926A0D" w:rsidRDefault="006023A9">
      <w:pPr>
        <w:rPr>
          <w:noProof/>
        </w:rPr>
      </w:pPr>
      <w:r>
        <w:rPr>
          <w:noProof/>
        </w:rPr>
        <w:t>3.</w:t>
      </w:r>
      <w:r>
        <w:rPr>
          <w:noProof/>
        </w:rPr>
        <w:tab/>
        <w:t>In the area of energy efficiency, as part of its assessment referred to in paragraph 1, the Commission shall assess progress towards collectively achieving a maximum energy consumption at Union level of 1 321 Mtoe of primary energy consumption and 987 Mtoe of final energy consumption in 2030 as referred to in Article</w:t>
      </w:r>
      <w:r w:rsidR="00910DA5">
        <w:rPr>
          <w:noProof/>
        </w:rPr>
        <w:t xml:space="preserve"> 6(1)(a</w:t>
      </w:r>
      <w:r w:rsidR="0041681C">
        <w:rPr>
          <w:noProof/>
        </w:rPr>
        <w:t>)</w:t>
      </w:r>
      <w:r>
        <w:rPr>
          <w:noProof/>
        </w:rPr>
        <w:t>.</w:t>
      </w:r>
    </w:p>
    <w:p w:rsidR="00926A0D" w:rsidRDefault="006023A9">
      <w:pPr>
        <w:rPr>
          <w:noProof/>
        </w:rPr>
      </w:pPr>
      <w:r>
        <w:rPr>
          <w:noProof/>
        </w:rPr>
        <w:t>In carrying out its assessment, the Commission shall take the following steps:</w:t>
      </w:r>
    </w:p>
    <w:p w:rsidR="00926A0D" w:rsidRDefault="006023A9" w:rsidP="0076006B">
      <w:pPr>
        <w:pStyle w:val="Point0letter"/>
        <w:numPr>
          <w:ilvl w:val="1"/>
          <w:numId w:val="21"/>
        </w:numPr>
        <w:rPr>
          <w:noProof/>
          <w:szCs w:val="24"/>
          <w:lang w:val="en"/>
        </w:rPr>
      </w:pPr>
      <w:r>
        <w:rPr>
          <w:noProof/>
          <w:szCs w:val="24"/>
          <w:lang w:val="en"/>
        </w:rPr>
        <w:t>consider whether the Union's milestone of no more than 1483 Mtoe of primary energy and no more than 1086 Mtoe of final energy in 2020 is achieved;</w:t>
      </w:r>
    </w:p>
    <w:p w:rsidR="00926A0D" w:rsidRDefault="006023A9">
      <w:pPr>
        <w:pStyle w:val="Point0letter"/>
        <w:rPr>
          <w:noProof/>
          <w:szCs w:val="24"/>
          <w:lang w:val="en"/>
        </w:rPr>
      </w:pPr>
      <w:r>
        <w:rPr>
          <w:noProof/>
          <w:szCs w:val="24"/>
          <w:lang w:val="en"/>
        </w:rPr>
        <w:t xml:space="preserve">assess whether Member States' progress indicates that the Union as a whole is on track towards the </w:t>
      </w:r>
      <w:r>
        <w:rPr>
          <w:noProof/>
        </w:rPr>
        <w:t xml:space="preserve">level of energy consumption </w:t>
      </w:r>
      <w:r>
        <w:rPr>
          <w:noProof/>
          <w:szCs w:val="24"/>
          <w:lang w:val="en"/>
        </w:rPr>
        <w:t>in 2030 as referred to in the first subparagraph, taking into account the assessment of information provided by Member States in their integrated national energy and climate progress reports;</w:t>
      </w:r>
    </w:p>
    <w:p w:rsidR="00926A0D" w:rsidRDefault="006023A9">
      <w:pPr>
        <w:pStyle w:val="Point0letter"/>
        <w:rPr>
          <w:noProof/>
          <w:szCs w:val="24"/>
          <w:lang w:val="en"/>
        </w:rPr>
      </w:pPr>
      <w:r>
        <w:rPr>
          <w:noProof/>
          <w:szCs w:val="24"/>
          <w:lang w:val="en"/>
        </w:rPr>
        <w:t>use results from modelling exercises in relation to future trends in energy consumption at Union level and national level and use other complementary analysis.</w:t>
      </w:r>
    </w:p>
    <w:p w:rsidR="00926A0D" w:rsidRDefault="006023A9">
      <w:pPr>
        <w:rPr>
          <w:noProof/>
          <w:szCs w:val="24"/>
        </w:rPr>
      </w:pPr>
      <w:r>
        <w:rPr>
          <w:noProof/>
          <w:szCs w:val="24"/>
        </w:rPr>
        <w:t>4.</w:t>
      </w:r>
      <w:r>
        <w:rPr>
          <w:noProof/>
          <w:szCs w:val="24"/>
        </w:rPr>
        <w:tab/>
        <w:t>By 31 October 2021 and every year thereafter, the Commission shall assess</w:t>
      </w:r>
      <w:r w:rsidR="00FD1663">
        <w:rPr>
          <w:noProof/>
          <w:szCs w:val="24"/>
        </w:rPr>
        <w:t>,</w:t>
      </w:r>
      <w:r>
        <w:rPr>
          <w:noProof/>
          <w:szCs w:val="24"/>
        </w:rPr>
        <w:t xml:space="preserve"> in particular on the basis of the information reported pursuant to this Regulation</w:t>
      </w:r>
      <w:r w:rsidR="00FD1663">
        <w:rPr>
          <w:noProof/>
          <w:szCs w:val="24"/>
        </w:rPr>
        <w:t>,</w:t>
      </w:r>
      <w:r>
        <w:rPr>
          <w:noProof/>
          <w:szCs w:val="24"/>
        </w:rPr>
        <w:t xml:space="preserve"> whether the Union and its Member States have made sufficient progress towards meeting the following points: </w:t>
      </w:r>
    </w:p>
    <w:p w:rsidR="00926A0D" w:rsidRDefault="006023A9" w:rsidP="0076006B">
      <w:pPr>
        <w:pStyle w:val="Point0letter"/>
        <w:numPr>
          <w:ilvl w:val="1"/>
          <w:numId w:val="22"/>
        </w:numPr>
        <w:rPr>
          <w:noProof/>
        </w:rPr>
      </w:pPr>
      <w:r>
        <w:rPr>
          <w:noProof/>
        </w:rPr>
        <w:lastRenderedPageBreak/>
        <w:t xml:space="preserve">commitments under Article 4 of the UNFCCC and Article 3 of the Paris Agreement as set out in decisions adopted by the Conference of the Parties to the UNFCCC, or by the Conference of the Parties to the UNFCCC serving as the meeting of the Parties to the Paris Agreement; </w:t>
      </w:r>
    </w:p>
    <w:p w:rsidR="00926A0D" w:rsidRDefault="006023A9">
      <w:pPr>
        <w:pStyle w:val="Point0letter"/>
        <w:rPr>
          <w:noProof/>
        </w:rPr>
      </w:pPr>
      <w:r>
        <w:rPr>
          <w:noProof/>
        </w:rPr>
        <w:t>obligations set out in Article 4 of Regulation [ ] [ESR] and Article 4 of Regulation [  ] [LULUCF];</w:t>
      </w:r>
    </w:p>
    <w:p w:rsidR="00926A0D" w:rsidRDefault="006023A9">
      <w:pPr>
        <w:pStyle w:val="Point0letter"/>
        <w:rPr>
          <w:noProof/>
        </w:rPr>
      </w:pPr>
      <w:r>
        <w:rPr>
          <w:noProof/>
        </w:rPr>
        <w:t>the objectives set in the integrated national energy and climate plan in view of achieving the Energy Union objectives and for the first ten-year period in view of fulfilling the 2030 targets for energy and climate.</w:t>
      </w:r>
    </w:p>
    <w:p w:rsidR="00926A0D" w:rsidRDefault="006023A9">
      <w:pPr>
        <w:rPr>
          <w:noProof/>
          <w:szCs w:val="24"/>
        </w:rPr>
      </w:pPr>
      <w:r>
        <w:rPr>
          <w:noProof/>
          <w:szCs w:val="24"/>
        </w:rPr>
        <w:t>5.</w:t>
      </w:r>
      <w:r>
        <w:rPr>
          <w:noProof/>
          <w:szCs w:val="24"/>
        </w:rPr>
        <w:tab/>
        <w:t>By 31 October 2019 and every four years thereafter, the Commission shall assess the implementation of Directive 2009/31/EC.</w:t>
      </w:r>
    </w:p>
    <w:p w:rsidR="00926A0D" w:rsidRDefault="006023A9">
      <w:pPr>
        <w:rPr>
          <w:noProof/>
        </w:rPr>
      </w:pPr>
      <w:r>
        <w:rPr>
          <w:noProof/>
        </w:rPr>
        <w:t>6.</w:t>
      </w:r>
      <w:r>
        <w:rPr>
          <w:noProof/>
        </w:rPr>
        <w:tab/>
        <w:t>In its assessment the Commission should take into consideration the latest country-specific recommendations issued in the context of the European Semester.</w:t>
      </w:r>
    </w:p>
    <w:p w:rsidR="00926A0D" w:rsidRDefault="006023A9">
      <w:pPr>
        <w:rPr>
          <w:noProof/>
        </w:rPr>
      </w:pPr>
      <w:r>
        <w:rPr>
          <w:noProof/>
        </w:rPr>
        <w:t>7.</w:t>
      </w:r>
      <w:r>
        <w:rPr>
          <w:noProof/>
        </w:rPr>
        <w:tab/>
        <w:t>The Commission shall report on its assessment according to this Article as part of the State of the Energy Union report referred to in Article 29.</w:t>
      </w:r>
    </w:p>
    <w:p w:rsidR="00926A0D" w:rsidRDefault="006023A9">
      <w:pPr>
        <w:pStyle w:val="Titrearticle"/>
        <w:rPr>
          <w:noProof/>
        </w:rPr>
      </w:pPr>
      <w:r>
        <w:rPr>
          <w:noProof/>
        </w:rPr>
        <w:t>Article 26</w:t>
      </w:r>
    </w:p>
    <w:p w:rsidR="00926A0D" w:rsidRDefault="006023A9">
      <w:pPr>
        <w:jc w:val="center"/>
        <w:rPr>
          <w:noProof/>
        </w:rPr>
      </w:pPr>
      <w:r>
        <w:rPr>
          <w:b/>
          <w:noProof/>
        </w:rPr>
        <w:t>Follow-up in case of inconsistencies with overarching Energy Union objectives and targets under the Effort Sharing Regulation</w:t>
      </w:r>
    </w:p>
    <w:p w:rsidR="00926A0D" w:rsidRDefault="006023A9">
      <w:pPr>
        <w:rPr>
          <w:noProof/>
          <w:szCs w:val="24"/>
        </w:rPr>
      </w:pPr>
      <w:r>
        <w:rPr>
          <w:noProof/>
          <w:szCs w:val="24"/>
        </w:rPr>
        <w:t>1.</w:t>
      </w:r>
      <w:r>
        <w:rPr>
          <w:noProof/>
          <w:szCs w:val="24"/>
        </w:rPr>
        <w:tab/>
        <w:t xml:space="preserve">Based on the assessment </w:t>
      </w:r>
      <w:r w:rsidR="00C5693A">
        <w:rPr>
          <w:noProof/>
          <w:szCs w:val="24"/>
        </w:rPr>
        <w:t xml:space="preserve">pursuant to </w:t>
      </w:r>
      <w:r>
        <w:rPr>
          <w:noProof/>
          <w:szCs w:val="24"/>
        </w:rPr>
        <w:t xml:space="preserve">Article </w:t>
      </w:r>
      <w:r>
        <w:rPr>
          <w:noProof/>
        </w:rPr>
        <w:t>25</w:t>
      </w:r>
      <w:r>
        <w:rPr>
          <w:noProof/>
          <w:szCs w:val="24"/>
        </w:rPr>
        <w:t>, the Commission shall issue recommendations to a Member State pursuant to Article 28 if policy developments in that Member State show inconsistencies with the overarching objectives of the Energy Union.</w:t>
      </w:r>
    </w:p>
    <w:p w:rsidR="00926A0D" w:rsidRDefault="006023A9">
      <w:pPr>
        <w:rPr>
          <w:noProof/>
          <w:szCs w:val="24"/>
        </w:rPr>
      </w:pPr>
      <w:r>
        <w:rPr>
          <w:noProof/>
          <w:szCs w:val="24"/>
        </w:rPr>
        <w:t>2.</w:t>
      </w:r>
      <w:r>
        <w:rPr>
          <w:noProof/>
          <w:szCs w:val="24"/>
        </w:rPr>
        <w:tab/>
        <w:t xml:space="preserve">The Commission may issue opinions on the action plans submitted by Member States according to Article 8(1) of Regulation [ ] [ESR]. </w:t>
      </w:r>
    </w:p>
    <w:p w:rsidR="00926A0D" w:rsidRDefault="006023A9">
      <w:pPr>
        <w:pStyle w:val="Titrearticle"/>
        <w:rPr>
          <w:noProof/>
        </w:rPr>
      </w:pPr>
      <w:r>
        <w:rPr>
          <w:noProof/>
        </w:rPr>
        <w:t>Article 27</w:t>
      </w:r>
      <w:r>
        <w:rPr>
          <w:noProof/>
        </w:rPr>
        <w:br/>
      </w:r>
      <w:r>
        <w:rPr>
          <w:b/>
          <w:i w:val="0"/>
          <w:noProof/>
        </w:rPr>
        <w:t xml:space="preserve">Response to insufficient ambition of </w:t>
      </w:r>
      <w:r w:rsidR="00B727C9">
        <w:rPr>
          <w:b/>
          <w:i w:val="0"/>
          <w:noProof/>
        </w:rPr>
        <w:t xml:space="preserve">integrated </w:t>
      </w:r>
      <w:r>
        <w:rPr>
          <w:b/>
          <w:i w:val="0"/>
          <w:noProof/>
        </w:rPr>
        <w:t xml:space="preserve">national </w:t>
      </w:r>
      <w:r w:rsidR="00B727C9">
        <w:rPr>
          <w:b/>
          <w:i w:val="0"/>
          <w:noProof/>
        </w:rPr>
        <w:t xml:space="preserve">energy and climate </w:t>
      </w:r>
      <w:r>
        <w:rPr>
          <w:b/>
          <w:i w:val="0"/>
          <w:noProof/>
        </w:rPr>
        <w:t>plans and insufficient progress towards the Union's energy and climate targets and objectives</w:t>
      </w:r>
      <w:r>
        <w:rPr>
          <w:b/>
          <w:noProof/>
        </w:rPr>
        <w:t xml:space="preserve"> </w:t>
      </w:r>
    </w:p>
    <w:p w:rsidR="00926A0D" w:rsidRDefault="006023A9">
      <w:pPr>
        <w:rPr>
          <w:noProof/>
          <w:color w:val="000000" w:themeColor="text1"/>
          <w:szCs w:val="24"/>
        </w:rPr>
      </w:pPr>
      <w:r>
        <w:rPr>
          <w:noProof/>
          <w:szCs w:val="24"/>
        </w:rPr>
        <w:t>1.</w:t>
      </w:r>
      <w:r>
        <w:rPr>
          <w:noProof/>
          <w:szCs w:val="24"/>
        </w:rPr>
        <w:tab/>
        <w:t xml:space="preserve">If, </w:t>
      </w:r>
      <w:r>
        <w:rPr>
          <w:noProof/>
          <w:color w:val="000000" w:themeColor="text1"/>
        </w:rPr>
        <w:t>on the basis of its</w:t>
      </w:r>
      <w:r>
        <w:rPr>
          <w:noProof/>
          <w:color w:val="000000" w:themeColor="text1"/>
          <w:szCs w:val="24"/>
        </w:rPr>
        <w:t xml:space="preserve"> assessment of the integrated national energy and climate plans and their updates pursuant to Article 12, </w:t>
      </w:r>
      <w:r>
        <w:rPr>
          <w:noProof/>
          <w:color w:val="000000" w:themeColor="text1"/>
        </w:rPr>
        <w:t>the Commission concludes</w:t>
      </w:r>
      <w:r>
        <w:rPr>
          <w:noProof/>
          <w:color w:val="000000" w:themeColor="text1"/>
          <w:szCs w:val="24"/>
        </w:rPr>
        <w:t xml:space="preserve"> that the targets, objectives and contributions of the national plans or their updates are insufficient for the collective </w:t>
      </w:r>
      <w:r>
        <w:rPr>
          <w:noProof/>
          <w:color w:val="000000" w:themeColor="text1"/>
        </w:rPr>
        <w:t xml:space="preserve">achievement of the </w:t>
      </w:r>
      <w:r>
        <w:rPr>
          <w:noProof/>
          <w:color w:val="000000" w:themeColor="text1"/>
          <w:szCs w:val="24"/>
        </w:rPr>
        <w:t>Energy Union</w:t>
      </w:r>
      <w:r>
        <w:rPr>
          <w:noProof/>
          <w:color w:val="000000" w:themeColor="text1"/>
        </w:rPr>
        <w:t xml:space="preserve"> objectives</w:t>
      </w:r>
      <w:r>
        <w:rPr>
          <w:noProof/>
          <w:color w:val="000000" w:themeColor="text1"/>
          <w:szCs w:val="24"/>
        </w:rPr>
        <w:t xml:space="preserve"> and, in particular, for the first ten-years period, for the </w:t>
      </w:r>
      <w:r>
        <w:rPr>
          <w:noProof/>
          <w:color w:val="000000" w:themeColor="text1"/>
          <w:szCs w:val="24"/>
          <w:lang w:val="en"/>
        </w:rPr>
        <w:t>Union's 2030 targets for renewable energy and energy efficiency</w:t>
      </w:r>
      <w:r>
        <w:rPr>
          <w:noProof/>
          <w:color w:val="000000" w:themeColor="text1"/>
        </w:rPr>
        <w:t xml:space="preserve">, </w:t>
      </w:r>
      <w:r>
        <w:rPr>
          <w:noProof/>
          <w:color w:val="000000" w:themeColor="text1"/>
          <w:szCs w:val="24"/>
        </w:rPr>
        <w:t xml:space="preserve">it </w:t>
      </w:r>
      <w:r>
        <w:rPr>
          <w:noProof/>
          <w:color w:val="000000" w:themeColor="text1"/>
        </w:rPr>
        <w:t xml:space="preserve">shall take measures at Union level in order to ensure the </w:t>
      </w:r>
      <w:r>
        <w:rPr>
          <w:noProof/>
          <w:color w:val="000000" w:themeColor="text1"/>
          <w:szCs w:val="24"/>
        </w:rPr>
        <w:t xml:space="preserve">collective </w:t>
      </w:r>
      <w:r>
        <w:rPr>
          <w:noProof/>
        </w:rPr>
        <w:t xml:space="preserve">achievement of </w:t>
      </w:r>
      <w:r w:rsidR="00D52DF6">
        <w:rPr>
          <w:noProof/>
        </w:rPr>
        <w:t xml:space="preserve">those </w:t>
      </w:r>
      <w:r>
        <w:rPr>
          <w:noProof/>
        </w:rPr>
        <w:t>objectives and targets</w:t>
      </w:r>
      <w:r>
        <w:rPr>
          <w:noProof/>
          <w:color w:val="000000" w:themeColor="text1"/>
        </w:rPr>
        <w:t>.</w:t>
      </w:r>
      <w:r>
        <w:rPr>
          <w:noProof/>
          <w:color w:val="000000" w:themeColor="text1"/>
          <w:szCs w:val="24"/>
        </w:rPr>
        <w:t xml:space="preserve"> </w:t>
      </w:r>
      <w:r w:rsidR="00052756" w:rsidRPr="00052756">
        <w:rPr>
          <w:noProof/>
          <w:color w:val="000000" w:themeColor="text1"/>
          <w:szCs w:val="24"/>
        </w:rPr>
        <w:t xml:space="preserve">With regard to renewable energy, such measures shall take into consideration </w:t>
      </w:r>
      <w:r w:rsidR="00052756">
        <w:rPr>
          <w:noProof/>
          <w:color w:val="000000" w:themeColor="text1"/>
          <w:szCs w:val="24"/>
        </w:rPr>
        <w:t xml:space="preserve">the level of ambition of contributions </w:t>
      </w:r>
      <w:r w:rsidR="00052756" w:rsidRPr="00052756">
        <w:rPr>
          <w:noProof/>
          <w:color w:val="000000" w:themeColor="text1"/>
          <w:szCs w:val="24"/>
        </w:rPr>
        <w:t xml:space="preserve">to the </w:t>
      </w:r>
      <w:r w:rsidR="00052756">
        <w:rPr>
          <w:noProof/>
          <w:color w:val="000000" w:themeColor="text1"/>
          <w:szCs w:val="24"/>
        </w:rPr>
        <w:t>Union's</w:t>
      </w:r>
      <w:r w:rsidR="00052756" w:rsidRPr="00052756">
        <w:rPr>
          <w:noProof/>
          <w:color w:val="000000" w:themeColor="text1"/>
          <w:szCs w:val="24"/>
        </w:rPr>
        <w:t xml:space="preserve"> 2030 target</w:t>
      </w:r>
      <w:r w:rsidR="00052756">
        <w:rPr>
          <w:noProof/>
          <w:color w:val="000000" w:themeColor="text1"/>
          <w:szCs w:val="24"/>
        </w:rPr>
        <w:t xml:space="preserve"> </w:t>
      </w:r>
      <w:r w:rsidR="00052756" w:rsidRPr="00052756">
        <w:rPr>
          <w:noProof/>
          <w:color w:val="000000" w:themeColor="text1"/>
          <w:szCs w:val="24"/>
        </w:rPr>
        <w:t>by Member States</w:t>
      </w:r>
      <w:r w:rsidR="00052756">
        <w:rPr>
          <w:noProof/>
          <w:color w:val="000000" w:themeColor="text1"/>
          <w:szCs w:val="24"/>
        </w:rPr>
        <w:t xml:space="preserve"> </w:t>
      </w:r>
      <w:r w:rsidR="00F102A5">
        <w:rPr>
          <w:noProof/>
          <w:color w:val="000000" w:themeColor="text1"/>
          <w:szCs w:val="24"/>
        </w:rPr>
        <w:t xml:space="preserve">set out </w:t>
      </w:r>
      <w:r w:rsidR="00052756">
        <w:rPr>
          <w:noProof/>
          <w:color w:val="000000" w:themeColor="text1"/>
          <w:szCs w:val="24"/>
        </w:rPr>
        <w:t>in</w:t>
      </w:r>
      <w:r w:rsidR="00052756" w:rsidRPr="00052756">
        <w:rPr>
          <w:noProof/>
          <w:color w:val="000000" w:themeColor="text1"/>
          <w:szCs w:val="24"/>
        </w:rPr>
        <w:t xml:space="preserve"> </w:t>
      </w:r>
      <w:r w:rsidR="00052756">
        <w:rPr>
          <w:noProof/>
          <w:color w:val="000000" w:themeColor="text1"/>
          <w:szCs w:val="24"/>
        </w:rPr>
        <w:t xml:space="preserve">the national plans </w:t>
      </w:r>
      <w:r w:rsidR="00494B99">
        <w:rPr>
          <w:noProof/>
          <w:color w:val="000000" w:themeColor="text1"/>
          <w:szCs w:val="24"/>
        </w:rPr>
        <w:t>and</w:t>
      </w:r>
      <w:r w:rsidR="00052756">
        <w:rPr>
          <w:noProof/>
          <w:color w:val="000000" w:themeColor="text1"/>
          <w:szCs w:val="24"/>
        </w:rPr>
        <w:t xml:space="preserve"> their updates</w:t>
      </w:r>
      <w:r w:rsidR="00052756" w:rsidRPr="00052756">
        <w:rPr>
          <w:noProof/>
          <w:color w:val="000000" w:themeColor="text1"/>
          <w:szCs w:val="24"/>
        </w:rPr>
        <w:t>.</w:t>
      </w:r>
    </w:p>
    <w:p w:rsidR="00926A0D" w:rsidRDefault="006023A9">
      <w:pPr>
        <w:rPr>
          <w:noProof/>
          <w:color w:val="000000" w:themeColor="text1"/>
          <w:szCs w:val="24"/>
        </w:rPr>
      </w:pPr>
      <w:r>
        <w:rPr>
          <w:noProof/>
          <w:color w:val="000000" w:themeColor="text1"/>
          <w:szCs w:val="24"/>
        </w:rPr>
        <w:t>2.</w:t>
      </w:r>
      <w:r>
        <w:rPr>
          <w:noProof/>
          <w:color w:val="000000" w:themeColor="text1"/>
          <w:szCs w:val="24"/>
        </w:rPr>
        <w:tab/>
        <w:t>If</w:t>
      </w:r>
      <w:r w:rsidR="00794FD2">
        <w:rPr>
          <w:noProof/>
          <w:color w:val="000000" w:themeColor="text1"/>
          <w:szCs w:val="24"/>
        </w:rPr>
        <w:t>,</w:t>
      </w:r>
      <w:r>
        <w:rPr>
          <w:noProof/>
          <w:color w:val="000000" w:themeColor="text1"/>
          <w:szCs w:val="24"/>
        </w:rPr>
        <w:t xml:space="preserve"> </w:t>
      </w:r>
      <w:r>
        <w:rPr>
          <w:noProof/>
          <w:color w:val="000000" w:themeColor="text1"/>
        </w:rPr>
        <w:t>on the basis of its</w:t>
      </w:r>
      <w:r>
        <w:rPr>
          <w:noProof/>
          <w:color w:val="000000" w:themeColor="text1"/>
          <w:szCs w:val="24"/>
        </w:rPr>
        <w:t xml:space="preserve"> assessment pursuant to Article 25(1)(b), the Commission concludes that insufficient progress is made by a Member State towards meeting the targets</w:t>
      </w:r>
      <w:r w:rsidR="00B727C9">
        <w:rPr>
          <w:noProof/>
          <w:color w:val="000000" w:themeColor="text1"/>
          <w:szCs w:val="24"/>
        </w:rPr>
        <w:t>,</w:t>
      </w:r>
      <w:r>
        <w:rPr>
          <w:noProof/>
          <w:color w:val="000000" w:themeColor="text1"/>
          <w:szCs w:val="24"/>
        </w:rPr>
        <w:t xml:space="preserve"> objectives</w:t>
      </w:r>
      <w:r w:rsidR="00B727C9">
        <w:rPr>
          <w:noProof/>
          <w:color w:val="000000" w:themeColor="text1"/>
          <w:szCs w:val="24"/>
        </w:rPr>
        <w:t xml:space="preserve"> and contributions</w:t>
      </w:r>
      <w:r>
        <w:rPr>
          <w:noProof/>
          <w:color w:val="000000" w:themeColor="text1"/>
          <w:szCs w:val="24"/>
        </w:rPr>
        <w:t xml:space="preserve"> or implementing the policies and measures set out </w:t>
      </w:r>
      <w:r w:rsidR="00794FD2">
        <w:rPr>
          <w:noProof/>
          <w:color w:val="000000" w:themeColor="text1"/>
          <w:szCs w:val="24"/>
        </w:rPr>
        <w:t xml:space="preserve">in </w:t>
      </w:r>
      <w:r>
        <w:rPr>
          <w:noProof/>
          <w:color w:val="000000" w:themeColor="text1"/>
          <w:szCs w:val="24"/>
        </w:rPr>
        <w:t>its integrated national climate and energy plan, it shall issue recommendations to the Member State concerned pursuant to Article 28.</w:t>
      </w:r>
      <w:r w:rsidR="00052756" w:rsidRPr="00052756">
        <w:t xml:space="preserve"> </w:t>
      </w:r>
      <w:r w:rsidR="00052756" w:rsidRPr="00052756">
        <w:rPr>
          <w:noProof/>
          <w:color w:val="000000" w:themeColor="text1"/>
          <w:szCs w:val="24"/>
        </w:rPr>
        <w:t xml:space="preserve">In issuing such recommendations, the Commission shall take into consideration </w:t>
      </w:r>
      <w:r w:rsidR="00076F72">
        <w:rPr>
          <w:noProof/>
          <w:color w:val="000000" w:themeColor="text1"/>
          <w:szCs w:val="24"/>
        </w:rPr>
        <w:t xml:space="preserve">ambitious </w:t>
      </w:r>
      <w:r w:rsidR="00052756" w:rsidRPr="00052756">
        <w:rPr>
          <w:noProof/>
          <w:color w:val="000000" w:themeColor="text1"/>
          <w:szCs w:val="24"/>
        </w:rPr>
        <w:t>early efforts</w:t>
      </w:r>
      <w:r w:rsidR="006F47AD">
        <w:rPr>
          <w:noProof/>
          <w:color w:val="000000" w:themeColor="text1"/>
          <w:szCs w:val="24"/>
        </w:rPr>
        <w:t xml:space="preserve"> </w:t>
      </w:r>
      <w:r w:rsidR="00052756" w:rsidRPr="00052756">
        <w:rPr>
          <w:noProof/>
          <w:color w:val="000000" w:themeColor="text1"/>
          <w:szCs w:val="24"/>
        </w:rPr>
        <w:t>by Member States to</w:t>
      </w:r>
      <w:r w:rsidR="00F102A5">
        <w:rPr>
          <w:noProof/>
          <w:color w:val="000000" w:themeColor="text1"/>
          <w:szCs w:val="24"/>
        </w:rPr>
        <w:t xml:space="preserve"> </w:t>
      </w:r>
      <w:r w:rsidR="00B53818">
        <w:rPr>
          <w:noProof/>
          <w:color w:val="000000" w:themeColor="text1"/>
          <w:szCs w:val="24"/>
        </w:rPr>
        <w:t>contribute</w:t>
      </w:r>
      <w:r w:rsidR="00052756" w:rsidRPr="00052756">
        <w:rPr>
          <w:noProof/>
          <w:color w:val="000000" w:themeColor="text1"/>
          <w:szCs w:val="24"/>
        </w:rPr>
        <w:t xml:space="preserve"> to the Union's 2030 </w:t>
      </w:r>
      <w:r w:rsidR="006D31E8" w:rsidRPr="006D31E8">
        <w:rPr>
          <w:noProof/>
          <w:color w:val="000000" w:themeColor="text1"/>
          <w:szCs w:val="24"/>
        </w:rPr>
        <w:t>target for renewable energy</w:t>
      </w:r>
      <w:r w:rsidR="00052756" w:rsidRPr="00052756">
        <w:rPr>
          <w:noProof/>
          <w:color w:val="000000" w:themeColor="text1"/>
          <w:szCs w:val="24"/>
        </w:rPr>
        <w:t>.</w:t>
      </w:r>
    </w:p>
    <w:p w:rsidR="00926A0D" w:rsidRDefault="006023A9">
      <w:pPr>
        <w:rPr>
          <w:noProof/>
          <w:szCs w:val="24"/>
        </w:rPr>
      </w:pPr>
      <w:r>
        <w:rPr>
          <w:noProof/>
          <w:color w:val="000000" w:themeColor="text1"/>
          <w:szCs w:val="24"/>
        </w:rPr>
        <w:lastRenderedPageBreak/>
        <w:t>3.</w:t>
      </w:r>
      <w:r>
        <w:rPr>
          <w:noProof/>
          <w:color w:val="000000" w:themeColor="text1"/>
          <w:szCs w:val="24"/>
        </w:rPr>
        <w:tab/>
        <w:t xml:space="preserve">If, </w:t>
      </w:r>
      <w:r>
        <w:rPr>
          <w:noProof/>
          <w:color w:val="000000" w:themeColor="text1"/>
        </w:rPr>
        <w:t>on the basis of its</w:t>
      </w:r>
      <w:r>
        <w:rPr>
          <w:noProof/>
          <w:color w:val="000000" w:themeColor="text1"/>
          <w:szCs w:val="24"/>
        </w:rPr>
        <w:t xml:space="preserve"> aggregate assessment of Member States' integrated national energy and climate progress reports pursuant to Article 25(1)(a)</w:t>
      </w:r>
      <w:r w:rsidR="00522D04">
        <w:rPr>
          <w:noProof/>
          <w:color w:val="000000" w:themeColor="text1"/>
          <w:szCs w:val="24"/>
        </w:rPr>
        <w:t>,</w:t>
      </w:r>
      <w:r>
        <w:rPr>
          <w:noProof/>
          <w:color w:val="000000" w:themeColor="text1"/>
          <w:szCs w:val="24"/>
        </w:rPr>
        <w:t xml:space="preserve"> and supported by other information sources, as appropriate, the Commission concludes that the Union is at risk of not meeting the objectives of the Energy Union and, in particular, for the first ten-years period, the targets of the Union's 2030 Framework for Climate and Energy, it may issue recommendations to all Member States pursuant to Article 28 </w:t>
      </w:r>
      <w:r>
        <w:rPr>
          <w:noProof/>
          <w:color w:val="000000" w:themeColor="text1"/>
        </w:rPr>
        <w:t xml:space="preserve">to </w:t>
      </w:r>
      <w:r w:rsidR="00D52DF6">
        <w:rPr>
          <w:noProof/>
          <w:color w:val="000000" w:themeColor="text1"/>
        </w:rPr>
        <w:t xml:space="preserve">mitigate </w:t>
      </w:r>
      <w:r>
        <w:rPr>
          <w:noProof/>
          <w:color w:val="000000" w:themeColor="text1"/>
        </w:rPr>
        <w:t>such risk</w:t>
      </w:r>
      <w:r>
        <w:rPr>
          <w:noProof/>
          <w:color w:val="000000" w:themeColor="text1"/>
          <w:szCs w:val="24"/>
        </w:rPr>
        <w:t>. T</w:t>
      </w:r>
      <w:r>
        <w:rPr>
          <w:noProof/>
        </w:rPr>
        <w:t>he Commission shall, as appropriate, take measures at Union level in addition to the recommendations in order to</w:t>
      </w:r>
      <w:r>
        <w:rPr>
          <w:noProof/>
          <w:color w:val="000000" w:themeColor="text1"/>
          <w:szCs w:val="24"/>
        </w:rPr>
        <w:t xml:space="preserve"> ensure</w:t>
      </w:r>
      <w:r w:rsidR="00D0387F">
        <w:rPr>
          <w:noProof/>
          <w:color w:val="000000" w:themeColor="text1"/>
          <w:szCs w:val="24"/>
        </w:rPr>
        <w:t>,</w:t>
      </w:r>
      <w:r>
        <w:rPr>
          <w:noProof/>
          <w:color w:val="000000" w:themeColor="text1"/>
          <w:szCs w:val="24"/>
        </w:rPr>
        <w:t xml:space="preserve"> in particular</w:t>
      </w:r>
      <w:r w:rsidR="00D0387F">
        <w:rPr>
          <w:noProof/>
          <w:color w:val="000000" w:themeColor="text1"/>
          <w:szCs w:val="24"/>
        </w:rPr>
        <w:t>,</w:t>
      </w:r>
      <w:r>
        <w:rPr>
          <w:noProof/>
          <w:color w:val="000000" w:themeColor="text1"/>
          <w:szCs w:val="24"/>
        </w:rPr>
        <w:t xml:space="preserve"> </w:t>
      </w:r>
      <w:r>
        <w:rPr>
          <w:noProof/>
        </w:rPr>
        <w:t xml:space="preserve">the achievement of the </w:t>
      </w:r>
      <w:r>
        <w:rPr>
          <w:noProof/>
          <w:szCs w:val="24"/>
          <w:lang w:val="en"/>
        </w:rPr>
        <w:t>Union's 2030 targets for renewable energy and energy efficiency.</w:t>
      </w:r>
      <w:r w:rsidR="006F47AD">
        <w:rPr>
          <w:noProof/>
          <w:szCs w:val="24"/>
          <w:lang w:val="en"/>
        </w:rPr>
        <w:t xml:space="preserve"> </w:t>
      </w:r>
      <w:r w:rsidR="006F47AD" w:rsidRPr="006F47AD">
        <w:rPr>
          <w:noProof/>
          <w:szCs w:val="24"/>
          <w:lang w:val="en"/>
        </w:rPr>
        <w:t xml:space="preserve">With regard to renewable energy, such measures shall take into consideration </w:t>
      </w:r>
      <w:r w:rsidR="00076F72">
        <w:rPr>
          <w:noProof/>
          <w:color w:val="000000" w:themeColor="text1"/>
          <w:szCs w:val="24"/>
        </w:rPr>
        <w:t xml:space="preserve">ambitious </w:t>
      </w:r>
      <w:r w:rsidR="006F47AD" w:rsidRPr="006F47AD">
        <w:rPr>
          <w:noProof/>
          <w:szCs w:val="24"/>
          <w:lang w:val="en"/>
        </w:rPr>
        <w:t xml:space="preserve">early efforts by Member States </w:t>
      </w:r>
      <w:r w:rsidR="00F102A5" w:rsidRPr="00052756">
        <w:rPr>
          <w:noProof/>
          <w:color w:val="000000" w:themeColor="text1"/>
          <w:szCs w:val="24"/>
        </w:rPr>
        <w:t>to</w:t>
      </w:r>
      <w:r w:rsidR="00F102A5">
        <w:rPr>
          <w:noProof/>
          <w:color w:val="000000" w:themeColor="text1"/>
          <w:szCs w:val="24"/>
        </w:rPr>
        <w:t xml:space="preserve"> </w:t>
      </w:r>
      <w:r w:rsidR="00B53818">
        <w:rPr>
          <w:noProof/>
          <w:color w:val="000000" w:themeColor="text1"/>
          <w:szCs w:val="24"/>
        </w:rPr>
        <w:t>contribute</w:t>
      </w:r>
      <w:r w:rsidR="00B53818" w:rsidRPr="00052756">
        <w:rPr>
          <w:noProof/>
          <w:color w:val="000000" w:themeColor="text1"/>
          <w:szCs w:val="24"/>
        </w:rPr>
        <w:t xml:space="preserve"> to the Union's 2030 target</w:t>
      </w:r>
      <w:r w:rsidR="006F47AD" w:rsidRPr="006F47AD">
        <w:rPr>
          <w:noProof/>
          <w:szCs w:val="24"/>
          <w:lang w:val="en"/>
        </w:rPr>
        <w:t>.</w:t>
      </w:r>
    </w:p>
    <w:p w:rsidR="00926A0D" w:rsidRDefault="006023A9">
      <w:pPr>
        <w:pStyle w:val="Text1"/>
        <w:ind w:left="0"/>
        <w:rPr>
          <w:noProof/>
        </w:rPr>
      </w:pPr>
      <w:r>
        <w:rPr>
          <w:noProof/>
        </w:rPr>
        <w:t>4.</w:t>
      </w:r>
      <w:r>
        <w:rPr>
          <w:noProof/>
        </w:rPr>
        <w:tab/>
        <w:t xml:space="preserve">If, in the area of renewable energy, without prejudice to the measures at Union level set out in paragraph 3, the Commission concludes, based on its assessment pursuant to Article 25(1) and (2) in the year 2023, that the linear Union trajectory </w:t>
      </w:r>
      <w:r w:rsidR="00D52DF6">
        <w:rPr>
          <w:noProof/>
        </w:rPr>
        <w:t>referred to in Article 25(2)</w:t>
      </w:r>
      <w:r>
        <w:rPr>
          <w:noProof/>
        </w:rPr>
        <w:t xml:space="preserve"> is not collectively met, Member States shall ensure by the year 2024 that any emerging gap is covered by additional measures, such as:</w:t>
      </w:r>
    </w:p>
    <w:p w:rsidR="00CA490E" w:rsidRPr="00076F72" w:rsidRDefault="00CA490E" w:rsidP="00AF12E0">
      <w:pPr>
        <w:pStyle w:val="Point0letter"/>
        <w:numPr>
          <w:ilvl w:val="1"/>
          <w:numId w:val="56"/>
        </w:numPr>
        <w:rPr>
          <w:noProof/>
          <w:lang w:val="en"/>
        </w:rPr>
      </w:pPr>
      <w:r w:rsidRPr="00076F72">
        <w:rPr>
          <w:noProof/>
          <w:szCs w:val="24"/>
          <w:lang w:val="en"/>
        </w:rPr>
        <w:t>adjusting the share of renewable energy in the heating and cooling sector set out in Article 23</w:t>
      </w:r>
      <w:r w:rsidR="00D52DF6">
        <w:rPr>
          <w:noProof/>
          <w:szCs w:val="24"/>
          <w:lang w:val="en"/>
        </w:rPr>
        <w:t>(1)</w:t>
      </w:r>
      <w:r w:rsidRPr="00076F72">
        <w:rPr>
          <w:noProof/>
          <w:lang w:val="en"/>
        </w:rPr>
        <w:t xml:space="preserve"> </w:t>
      </w:r>
      <w:r w:rsidR="00794FD2">
        <w:rPr>
          <w:noProof/>
          <w:lang w:val="en"/>
        </w:rPr>
        <w:t xml:space="preserve">of </w:t>
      </w:r>
      <w:r>
        <w:rPr>
          <w:noProof/>
        </w:rPr>
        <w:t>[recast of Directive 2009/28/EC</w:t>
      </w:r>
      <w:r w:rsidR="009124B0">
        <w:rPr>
          <w:noProof/>
        </w:rPr>
        <w:t xml:space="preserve"> as proposed by </w:t>
      </w:r>
      <w:r w:rsidR="009124B0" w:rsidRPr="00AD57B2">
        <w:rPr>
          <w:noProof/>
        </w:rPr>
        <w:t>COM(2016) 767</w:t>
      </w:r>
      <w:r>
        <w:rPr>
          <w:noProof/>
        </w:rPr>
        <w:t>]</w:t>
      </w:r>
      <w:r w:rsidRPr="00076F72">
        <w:rPr>
          <w:noProof/>
          <w:lang w:val="en"/>
        </w:rPr>
        <w:t>;</w:t>
      </w:r>
    </w:p>
    <w:p w:rsidR="00CA490E" w:rsidRDefault="00CA490E" w:rsidP="006B4353">
      <w:pPr>
        <w:pStyle w:val="Point0letter"/>
        <w:rPr>
          <w:noProof/>
          <w:lang w:val="en"/>
        </w:rPr>
      </w:pPr>
      <w:r>
        <w:rPr>
          <w:noProof/>
          <w:lang w:val="en"/>
        </w:rPr>
        <w:t xml:space="preserve">adjusting the share </w:t>
      </w:r>
      <w:r>
        <w:rPr>
          <w:noProof/>
          <w:szCs w:val="24"/>
          <w:lang w:val="en"/>
        </w:rPr>
        <w:t xml:space="preserve">of renewable energy in the transport sector </w:t>
      </w:r>
      <w:r>
        <w:rPr>
          <w:noProof/>
          <w:lang w:val="en"/>
        </w:rPr>
        <w:t>set out in Article 25</w:t>
      </w:r>
      <w:r w:rsidR="00D52DF6">
        <w:rPr>
          <w:noProof/>
          <w:lang w:val="en"/>
        </w:rPr>
        <w:t>(1)</w:t>
      </w:r>
      <w:r>
        <w:rPr>
          <w:noProof/>
          <w:lang w:val="en"/>
        </w:rPr>
        <w:t xml:space="preserve"> </w:t>
      </w:r>
      <w:r w:rsidR="00794FD2">
        <w:rPr>
          <w:noProof/>
          <w:lang w:val="en"/>
        </w:rPr>
        <w:t xml:space="preserve">of </w:t>
      </w:r>
      <w:r>
        <w:rPr>
          <w:noProof/>
        </w:rPr>
        <w:t>[recast of Directive 2009/28/EC</w:t>
      </w:r>
      <w:r w:rsidR="009124B0">
        <w:rPr>
          <w:noProof/>
        </w:rPr>
        <w:t xml:space="preserve"> as proposed by </w:t>
      </w:r>
      <w:r w:rsidR="009124B0" w:rsidRPr="00AD57B2">
        <w:rPr>
          <w:noProof/>
        </w:rPr>
        <w:t>COM(2016) 767</w:t>
      </w:r>
      <w:r>
        <w:rPr>
          <w:noProof/>
        </w:rPr>
        <w:t>]</w:t>
      </w:r>
      <w:r>
        <w:rPr>
          <w:noProof/>
          <w:lang w:val="en"/>
        </w:rPr>
        <w:t>;</w:t>
      </w:r>
    </w:p>
    <w:p w:rsidR="00926A0D" w:rsidRDefault="006023A9" w:rsidP="00CA490E">
      <w:pPr>
        <w:pStyle w:val="Point0letter"/>
        <w:rPr>
          <w:noProof/>
          <w:lang w:val="en"/>
        </w:rPr>
      </w:pPr>
      <w:r>
        <w:rPr>
          <w:noProof/>
          <w:lang w:val="en"/>
        </w:rPr>
        <w:t xml:space="preserve">making a financial contribution to a </w:t>
      </w:r>
      <w:r w:rsidR="004D775E">
        <w:rPr>
          <w:noProof/>
          <w:szCs w:val="24"/>
        </w:rPr>
        <w:t xml:space="preserve">financing platform </w:t>
      </w:r>
      <w:r w:rsidRPr="00CA490E">
        <w:rPr>
          <w:noProof/>
          <w:lang w:val="en"/>
        </w:rPr>
        <w:t>set up at Union level</w:t>
      </w:r>
      <w:r w:rsidR="004D775E">
        <w:rPr>
          <w:noProof/>
          <w:lang w:val="en"/>
        </w:rPr>
        <w:t>,</w:t>
      </w:r>
      <w:r w:rsidR="004D775E" w:rsidRPr="004D775E">
        <w:rPr>
          <w:noProof/>
          <w:lang w:val="en"/>
        </w:rPr>
        <w:t xml:space="preserve"> </w:t>
      </w:r>
      <w:r w:rsidR="004D775E">
        <w:rPr>
          <w:noProof/>
          <w:lang w:val="en"/>
        </w:rPr>
        <w:t>contributing to renewable energy projects</w:t>
      </w:r>
      <w:r w:rsidRPr="00CA490E">
        <w:rPr>
          <w:noProof/>
          <w:lang w:val="en"/>
        </w:rPr>
        <w:t xml:space="preserve"> and</w:t>
      </w:r>
      <w:r>
        <w:rPr>
          <w:noProof/>
          <w:lang w:val="en"/>
        </w:rPr>
        <w:t xml:space="preserve"> managed </w:t>
      </w:r>
      <w:r w:rsidRPr="00CA490E">
        <w:rPr>
          <w:noProof/>
          <w:lang w:val="en"/>
        </w:rPr>
        <w:t xml:space="preserve">directly or indirectly </w:t>
      </w:r>
      <w:r>
        <w:rPr>
          <w:noProof/>
          <w:lang w:val="en"/>
        </w:rPr>
        <w:t>by the Commission;</w:t>
      </w:r>
    </w:p>
    <w:p w:rsidR="00926A0D" w:rsidRDefault="006023A9">
      <w:pPr>
        <w:pStyle w:val="Point0letter"/>
        <w:rPr>
          <w:noProof/>
          <w:szCs w:val="24"/>
          <w:lang w:val="en"/>
        </w:rPr>
      </w:pPr>
      <w:r>
        <w:rPr>
          <w:noProof/>
          <w:szCs w:val="24"/>
          <w:lang w:val="en"/>
        </w:rPr>
        <w:t>other measures to increase deployment of renewable energy.</w:t>
      </w:r>
    </w:p>
    <w:p w:rsidR="00522ADF" w:rsidRDefault="00522ADF" w:rsidP="00522ADF">
      <w:pPr>
        <w:rPr>
          <w:noProof/>
        </w:rPr>
      </w:pPr>
      <w:r>
        <w:rPr>
          <w:noProof/>
          <w:lang w:val="en"/>
        </w:rPr>
        <w:t>S</w:t>
      </w:r>
      <w:r w:rsidRPr="00522ADF">
        <w:rPr>
          <w:noProof/>
        </w:rPr>
        <w:t xml:space="preserve">uch measures shall </w:t>
      </w:r>
      <w:r w:rsidR="00736C4C">
        <w:rPr>
          <w:noProof/>
        </w:rPr>
        <w:t>take into account</w:t>
      </w:r>
      <w:r w:rsidRPr="00522ADF">
        <w:rPr>
          <w:noProof/>
        </w:rPr>
        <w:t xml:space="preserve"> </w:t>
      </w:r>
      <w:r>
        <w:rPr>
          <w:noProof/>
        </w:rPr>
        <w:t>t</w:t>
      </w:r>
      <w:r w:rsidR="00E73798" w:rsidRPr="00E73798">
        <w:rPr>
          <w:noProof/>
        </w:rPr>
        <w:t xml:space="preserve">he </w:t>
      </w:r>
      <w:r>
        <w:rPr>
          <w:noProof/>
        </w:rPr>
        <w:t>level of ambition</w:t>
      </w:r>
      <w:r w:rsidR="00E73798" w:rsidRPr="00E73798">
        <w:rPr>
          <w:noProof/>
        </w:rPr>
        <w:t xml:space="preserve"> of </w:t>
      </w:r>
      <w:r>
        <w:rPr>
          <w:noProof/>
        </w:rPr>
        <w:t xml:space="preserve">early </w:t>
      </w:r>
      <w:r w:rsidRPr="00522ADF">
        <w:rPr>
          <w:noProof/>
        </w:rPr>
        <w:t>contribution</w:t>
      </w:r>
      <w:r>
        <w:rPr>
          <w:noProof/>
        </w:rPr>
        <w:t>s</w:t>
      </w:r>
      <w:r w:rsidRPr="00522ADF">
        <w:rPr>
          <w:noProof/>
        </w:rPr>
        <w:t xml:space="preserve"> </w:t>
      </w:r>
      <w:r>
        <w:rPr>
          <w:noProof/>
        </w:rPr>
        <w:t>to</w:t>
      </w:r>
      <w:r w:rsidRPr="00522ADF">
        <w:rPr>
          <w:noProof/>
        </w:rPr>
        <w:t xml:space="preserve"> the Union's 2030 target</w:t>
      </w:r>
      <w:r>
        <w:rPr>
          <w:noProof/>
        </w:rPr>
        <w:t xml:space="preserve"> </w:t>
      </w:r>
      <w:r w:rsidR="00571C81">
        <w:rPr>
          <w:noProof/>
          <w:color w:val="000000" w:themeColor="text1"/>
          <w:szCs w:val="24"/>
          <w:lang w:val="en"/>
        </w:rPr>
        <w:t xml:space="preserve">for renewable energy </w:t>
      </w:r>
      <w:r>
        <w:rPr>
          <w:noProof/>
        </w:rPr>
        <w:t>by the</w:t>
      </w:r>
      <w:r w:rsidRPr="00522ADF">
        <w:rPr>
          <w:noProof/>
        </w:rPr>
        <w:t xml:space="preserve"> </w:t>
      </w:r>
      <w:r>
        <w:rPr>
          <w:noProof/>
        </w:rPr>
        <w:t>Member State concerned</w:t>
      </w:r>
      <w:r w:rsidRPr="00522ADF">
        <w:rPr>
          <w:noProof/>
        </w:rPr>
        <w:t>.</w:t>
      </w:r>
    </w:p>
    <w:p w:rsidR="00926A0D" w:rsidRDefault="006023A9" w:rsidP="00522ADF">
      <w:pPr>
        <w:rPr>
          <w:noProof/>
        </w:rPr>
      </w:pPr>
      <w:r>
        <w:rPr>
          <w:noProof/>
        </w:rPr>
        <w:t xml:space="preserve">If a Member State does not maintain the baseline share of energy from renewable sources in its gross final consumption of energy set out in Article 3(3) of </w:t>
      </w:r>
      <w:r w:rsidR="0002032C">
        <w:rPr>
          <w:noProof/>
        </w:rPr>
        <w:t xml:space="preserve">[recast of </w:t>
      </w:r>
      <w:r>
        <w:rPr>
          <w:noProof/>
        </w:rPr>
        <w:t>Directive 2009/28/EC</w:t>
      </w:r>
      <w:r w:rsidR="009124B0">
        <w:rPr>
          <w:noProof/>
        </w:rPr>
        <w:t xml:space="preserve"> as proposed by </w:t>
      </w:r>
      <w:r w:rsidR="009124B0" w:rsidRPr="00AD57B2">
        <w:rPr>
          <w:noProof/>
        </w:rPr>
        <w:t>COM(2016) 767</w:t>
      </w:r>
      <w:r>
        <w:rPr>
          <w:noProof/>
        </w:rPr>
        <w:t xml:space="preserve">] from 2021 onwards, the Member State concerned shall ensure that any gap to the baseline share is covered by making a financial contribution to the </w:t>
      </w:r>
      <w:r w:rsidR="004D775E">
        <w:rPr>
          <w:noProof/>
          <w:szCs w:val="24"/>
        </w:rPr>
        <w:t xml:space="preserve">financing platform </w:t>
      </w:r>
      <w:r>
        <w:rPr>
          <w:noProof/>
        </w:rPr>
        <w:t>referred to in point (c)</w:t>
      </w:r>
      <w:r w:rsidR="006855F2">
        <w:rPr>
          <w:noProof/>
        </w:rPr>
        <w:t xml:space="preserve"> of the first subparagraph</w:t>
      </w:r>
      <w:r>
        <w:rPr>
          <w:noProof/>
        </w:rPr>
        <w:t>.</w:t>
      </w:r>
      <w:r w:rsidR="00D52DF6" w:rsidRPr="00D52DF6">
        <w:rPr>
          <w:noProof/>
        </w:rPr>
        <w:t xml:space="preserve"> </w:t>
      </w:r>
      <w:r w:rsidR="00D52DF6">
        <w:rPr>
          <w:noProof/>
        </w:rPr>
        <w:t xml:space="preserve">For the purposes of this subparagraph and point (c) </w:t>
      </w:r>
      <w:r w:rsidR="009215A0">
        <w:rPr>
          <w:noProof/>
        </w:rPr>
        <w:t>of the first</w:t>
      </w:r>
      <w:r w:rsidR="00D52DF6">
        <w:rPr>
          <w:noProof/>
        </w:rPr>
        <w:t xml:space="preserve"> subparagraph, Member States may use their revenues from annual emission allowances under Directive 2003/87/EC.</w:t>
      </w:r>
    </w:p>
    <w:p w:rsidR="00926A0D" w:rsidRDefault="006023A9">
      <w:pPr>
        <w:pStyle w:val="Text1"/>
        <w:ind w:left="0"/>
        <w:rPr>
          <w:noProof/>
          <w:szCs w:val="24"/>
        </w:rPr>
      </w:pPr>
      <w:r>
        <w:rPr>
          <w:noProof/>
        </w:rPr>
        <w:t xml:space="preserve">The Commission is empowered to adopt delegated acts in accordance with Article 36 to set out any necessary provisions for the establishment and functioning of the </w:t>
      </w:r>
      <w:r w:rsidR="004D775E">
        <w:rPr>
          <w:noProof/>
          <w:szCs w:val="24"/>
        </w:rPr>
        <w:t xml:space="preserve">financing platform </w:t>
      </w:r>
      <w:r>
        <w:rPr>
          <w:noProof/>
        </w:rPr>
        <w:t xml:space="preserve">referred to in point (c). </w:t>
      </w:r>
    </w:p>
    <w:p w:rsidR="00926A0D" w:rsidRDefault="006023A9">
      <w:pPr>
        <w:rPr>
          <w:noProof/>
        </w:rPr>
      </w:pPr>
      <w:r>
        <w:rPr>
          <w:noProof/>
          <w:lang w:val="en"/>
        </w:rPr>
        <w:t>5.</w:t>
      </w:r>
      <w:r>
        <w:rPr>
          <w:noProof/>
          <w:lang w:val="en"/>
        </w:rPr>
        <w:tab/>
        <w:t xml:space="preserve">If, in the area of energy efficiency, </w:t>
      </w:r>
      <w:r>
        <w:rPr>
          <w:noProof/>
        </w:rPr>
        <w:t xml:space="preserve">without prejudice to other measures at Union level pursuant to paragraph 3, </w:t>
      </w:r>
      <w:r>
        <w:rPr>
          <w:noProof/>
          <w:lang w:val="en"/>
        </w:rPr>
        <w:t>the Commission concludes, based on its assessment</w:t>
      </w:r>
      <w:r>
        <w:rPr>
          <w:noProof/>
        </w:rPr>
        <w:t xml:space="preserve"> pursuant to Article 25(1) and (3), in the year 2023 that progress towards collectively achieving the Union’s energy efficiency target mentioned in the first </w:t>
      </w:r>
      <w:r w:rsidR="00F51629">
        <w:rPr>
          <w:noProof/>
        </w:rPr>
        <w:t xml:space="preserve">subparagraph </w:t>
      </w:r>
      <w:r>
        <w:rPr>
          <w:noProof/>
        </w:rPr>
        <w:t xml:space="preserve">of Article 25(3) is insufficient, it shall take measures by the year 2024 in addition to those set out in </w:t>
      </w:r>
      <w:r>
        <w:rPr>
          <w:noProof/>
          <w:szCs w:val="24"/>
          <w:lang w:val="en"/>
        </w:rPr>
        <w:t xml:space="preserve">Directive 2010/31/EU </w:t>
      </w:r>
      <w:r w:rsidR="00284AC9">
        <w:rPr>
          <w:noProof/>
        </w:rPr>
        <w:t>[</w:t>
      </w:r>
      <w:r w:rsidR="00DF79A6">
        <w:rPr>
          <w:noProof/>
        </w:rPr>
        <w:t xml:space="preserve">version </w:t>
      </w:r>
      <w:r w:rsidR="005E7873">
        <w:rPr>
          <w:noProof/>
        </w:rPr>
        <w:t xml:space="preserve">as </w:t>
      </w:r>
      <w:r w:rsidR="00DF79A6" w:rsidRPr="004B28E2">
        <w:rPr>
          <w:noProof/>
        </w:rPr>
        <w:t xml:space="preserve">amended </w:t>
      </w:r>
      <w:r w:rsidR="00DF79A6">
        <w:rPr>
          <w:noProof/>
        </w:rPr>
        <w:t>in accordance with</w:t>
      </w:r>
      <w:r w:rsidR="00284AC9">
        <w:rPr>
          <w:noProof/>
        </w:rPr>
        <w:t xml:space="preserve"> proposal </w:t>
      </w:r>
      <w:r w:rsidR="00284AC9" w:rsidRPr="00C92A21">
        <w:rPr>
          <w:noProof/>
        </w:rPr>
        <w:t>COM(2016) 765</w:t>
      </w:r>
      <w:r w:rsidR="00284AC9">
        <w:rPr>
          <w:noProof/>
        </w:rPr>
        <w:t>]</w:t>
      </w:r>
      <w:r w:rsidR="007012DA">
        <w:rPr>
          <w:noProof/>
        </w:rPr>
        <w:t xml:space="preserve"> </w:t>
      </w:r>
      <w:r>
        <w:rPr>
          <w:noProof/>
        </w:rPr>
        <w:t>and Directive 2012/27/EU</w:t>
      </w:r>
      <w:r w:rsidR="00284AC9">
        <w:rPr>
          <w:noProof/>
        </w:rPr>
        <w:t xml:space="preserve"> [</w:t>
      </w:r>
      <w:r w:rsidR="00DF79A6">
        <w:rPr>
          <w:noProof/>
        </w:rPr>
        <w:t xml:space="preserve">version </w:t>
      </w:r>
      <w:r w:rsidR="005E7873">
        <w:rPr>
          <w:noProof/>
        </w:rPr>
        <w:t xml:space="preserve">as </w:t>
      </w:r>
      <w:r w:rsidR="00DF79A6" w:rsidRPr="004B28E2">
        <w:rPr>
          <w:noProof/>
        </w:rPr>
        <w:t xml:space="preserve">amended </w:t>
      </w:r>
      <w:r w:rsidR="00DF79A6">
        <w:rPr>
          <w:noProof/>
        </w:rPr>
        <w:t>in accordance with</w:t>
      </w:r>
      <w:r w:rsidR="00284AC9">
        <w:rPr>
          <w:noProof/>
        </w:rPr>
        <w:t xml:space="preserve"> proposal COM(2016) 761]</w:t>
      </w:r>
      <w:r>
        <w:rPr>
          <w:noProof/>
          <w:szCs w:val="24"/>
          <w:lang w:val="en"/>
        </w:rPr>
        <w:t xml:space="preserve"> </w:t>
      </w:r>
      <w:r>
        <w:rPr>
          <w:noProof/>
        </w:rPr>
        <w:t>to ensure that the Union's binding 2030 energy efficiency targets are met. Such additional measures may in particular</w:t>
      </w:r>
      <w:r>
        <w:rPr>
          <w:noProof/>
          <w:szCs w:val="24"/>
          <w:lang w:val="en"/>
        </w:rPr>
        <w:t xml:space="preserve"> improve the energy efficiency of:</w:t>
      </w:r>
    </w:p>
    <w:p w:rsidR="00926A0D" w:rsidRDefault="006023A9" w:rsidP="00AF12E0">
      <w:pPr>
        <w:pStyle w:val="Point0letter"/>
        <w:numPr>
          <w:ilvl w:val="1"/>
          <w:numId w:val="48"/>
        </w:numPr>
        <w:rPr>
          <w:noProof/>
          <w:lang w:val="en"/>
        </w:rPr>
      </w:pPr>
      <w:r>
        <w:rPr>
          <w:noProof/>
          <w:lang w:val="en"/>
        </w:rPr>
        <w:t>products, pursuant to Directive 2010/30/EU and Directive 2009/125/EC;</w:t>
      </w:r>
    </w:p>
    <w:p w:rsidR="00926A0D" w:rsidRDefault="006023A9">
      <w:pPr>
        <w:pStyle w:val="Point0letter"/>
        <w:rPr>
          <w:noProof/>
          <w:lang w:val="en"/>
        </w:rPr>
      </w:pPr>
      <w:r>
        <w:rPr>
          <w:noProof/>
          <w:szCs w:val="24"/>
          <w:lang w:val="en"/>
        </w:rPr>
        <w:lastRenderedPageBreak/>
        <w:t>b</w:t>
      </w:r>
      <w:r>
        <w:rPr>
          <w:noProof/>
          <w:lang w:val="en"/>
        </w:rPr>
        <w:t>uildings</w:t>
      </w:r>
      <w:r>
        <w:rPr>
          <w:noProof/>
          <w:szCs w:val="24"/>
          <w:lang w:val="en"/>
        </w:rPr>
        <w:t>,</w:t>
      </w:r>
      <w:r>
        <w:rPr>
          <w:noProof/>
          <w:lang w:val="en"/>
        </w:rPr>
        <w:t xml:space="preserve"> pursuant to </w:t>
      </w:r>
      <w:r>
        <w:rPr>
          <w:noProof/>
          <w:szCs w:val="24"/>
          <w:lang w:val="en"/>
        </w:rPr>
        <w:t>D</w:t>
      </w:r>
      <w:r>
        <w:rPr>
          <w:noProof/>
          <w:lang w:val="en"/>
        </w:rPr>
        <w:t xml:space="preserve">irective </w:t>
      </w:r>
      <w:r>
        <w:rPr>
          <w:noProof/>
          <w:szCs w:val="24"/>
          <w:lang w:val="en"/>
        </w:rPr>
        <w:t xml:space="preserve">2010/31/EU </w:t>
      </w:r>
      <w:r w:rsidR="00284AC9">
        <w:rPr>
          <w:noProof/>
        </w:rPr>
        <w:t>[</w:t>
      </w:r>
      <w:r w:rsidR="00DF79A6">
        <w:rPr>
          <w:noProof/>
        </w:rPr>
        <w:t xml:space="preserve">version </w:t>
      </w:r>
      <w:r w:rsidR="005E7873">
        <w:rPr>
          <w:noProof/>
        </w:rPr>
        <w:t xml:space="preserve">as </w:t>
      </w:r>
      <w:r w:rsidR="00DF79A6" w:rsidRPr="004B28E2">
        <w:rPr>
          <w:noProof/>
        </w:rPr>
        <w:t xml:space="preserve">amended </w:t>
      </w:r>
      <w:r w:rsidR="00DF79A6">
        <w:rPr>
          <w:noProof/>
        </w:rPr>
        <w:t xml:space="preserve">in accordance with </w:t>
      </w:r>
      <w:r w:rsidR="00284AC9" w:rsidRPr="00C92A21">
        <w:rPr>
          <w:noProof/>
        </w:rPr>
        <w:t>COM(2016) 765</w:t>
      </w:r>
      <w:r w:rsidR="00284AC9">
        <w:rPr>
          <w:noProof/>
        </w:rPr>
        <w:t xml:space="preserve">] </w:t>
      </w:r>
      <w:r>
        <w:rPr>
          <w:noProof/>
          <w:lang w:val="en"/>
        </w:rPr>
        <w:t xml:space="preserve">and </w:t>
      </w:r>
      <w:r>
        <w:rPr>
          <w:noProof/>
        </w:rPr>
        <w:t>Directive 2012/27/EU</w:t>
      </w:r>
      <w:r w:rsidR="00284AC9">
        <w:rPr>
          <w:noProof/>
        </w:rPr>
        <w:t xml:space="preserve"> [</w:t>
      </w:r>
      <w:r w:rsidR="00DF79A6">
        <w:rPr>
          <w:noProof/>
        </w:rPr>
        <w:t xml:space="preserve">version </w:t>
      </w:r>
      <w:r w:rsidR="005E7873">
        <w:rPr>
          <w:noProof/>
        </w:rPr>
        <w:t xml:space="preserve">as </w:t>
      </w:r>
      <w:r w:rsidR="00DF79A6" w:rsidRPr="004B28E2">
        <w:rPr>
          <w:noProof/>
        </w:rPr>
        <w:t xml:space="preserve">amended </w:t>
      </w:r>
      <w:r w:rsidR="00DF79A6">
        <w:rPr>
          <w:noProof/>
        </w:rPr>
        <w:t>in accordance with</w:t>
      </w:r>
      <w:r w:rsidR="00284AC9">
        <w:rPr>
          <w:noProof/>
        </w:rPr>
        <w:t xml:space="preserve"> COM(2016) 761]</w:t>
      </w:r>
      <w:r>
        <w:rPr>
          <w:noProof/>
          <w:szCs w:val="24"/>
          <w:lang w:val="en"/>
        </w:rPr>
        <w:t>;</w:t>
      </w:r>
    </w:p>
    <w:p w:rsidR="00926A0D" w:rsidRDefault="006023A9">
      <w:pPr>
        <w:pStyle w:val="Point0letter"/>
        <w:rPr>
          <w:noProof/>
          <w:lang w:val="en"/>
        </w:rPr>
      </w:pPr>
      <w:r>
        <w:rPr>
          <w:noProof/>
          <w:lang w:val="en"/>
        </w:rPr>
        <w:t>transport.</w:t>
      </w:r>
    </w:p>
    <w:p w:rsidR="00926A0D" w:rsidRDefault="006023A9">
      <w:pPr>
        <w:pStyle w:val="Titrearticle"/>
        <w:spacing w:before="100" w:beforeAutospacing="1" w:after="100" w:afterAutospacing="1"/>
        <w:rPr>
          <w:b/>
          <w:i w:val="0"/>
          <w:noProof/>
        </w:rPr>
      </w:pPr>
      <w:r>
        <w:rPr>
          <w:noProof/>
        </w:rPr>
        <w:t>Article 28</w:t>
      </w:r>
      <w:r>
        <w:rPr>
          <w:noProof/>
        </w:rPr>
        <w:br/>
      </w:r>
      <w:r>
        <w:rPr>
          <w:b/>
          <w:i w:val="0"/>
          <w:noProof/>
        </w:rPr>
        <w:t xml:space="preserve">Commission </w:t>
      </w:r>
      <w:r w:rsidR="00D638A7">
        <w:rPr>
          <w:b/>
          <w:i w:val="0"/>
          <w:noProof/>
        </w:rPr>
        <w:t>r</w:t>
      </w:r>
      <w:r>
        <w:rPr>
          <w:b/>
          <w:i w:val="0"/>
          <w:noProof/>
        </w:rPr>
        <w:t>ecommendations to Member States</w:t>
      </w:r>
    </w:p>
    <w:p w:rsidR="00926A0D" w:rsidRDefault="006023A9">
      <w:pPr>
        <w:jc w:val="left"/>
        <w:rPr>
          <w:noProof/>
        </w:rPr>
      </w:pPr>
      <w:r>
        <w:rPr>
          <w:noProof/>
        </w:rPr>
        <w:t>1.</w:t>
      </w:r>
      <w:r>
        <w:rPr>
          <w:noProof/>
        </w:rPr>
        <w:tab/>
        <w:t>The Commission shall as appropriate issue recommendations to Member States to ensure the achievement of the objectives of the Energy Union.</w:t>
      </w:r>
    </w:p>
    <w:p w:rsidR="00926A0D" w:rsidRDefault="006023A9">
      <w:pPr>
        <w:jc w:val="left"/>
        <w:rPr>
          <w:noProof/>
        </w:rPr>
      </w:pPr>
      <w:r>
        <w:rPr>
          <w:noProof/>
        </w:rPr>
        <w:t>2.</w:t>
      </w:r>
      <w:r>
        <w:rPr>
          <w:noProof/>
        </w:rPr>
        <w:tab/>
        <w:t>Where reference in this Regulation is made to this Article the following principles shall apply:</w:t>
      </w:r>
    </w:p>
    <w:p w:rsidR="00926A0D" w:rsidRDefault="006023A9" w:rsidP="0076006B">
      <w:pPr>
        <w:pStyle w:val="Point0letter"/>
        <w:numPr>
          <w:ilvl w:val="1"/>
          <w:numId w:val="29"/>
        </w:numPr>
        <w:rPr>
          <w:noProof/>
        </w:rPr>
      </w:pPr>
      <w:r>
        <w:rPr>
          <w:noProof/>
        </w:rPr>
        <w:t>the Member State concerned shall take utmost account of the recommendation in a spirit of solidarity between Member States and the Union and between Member States;</w:t>
      </w:r>
    </w:p>
    <w:p w:rsidR="00926A0D" w:rsidRDefault="006023A9">
      <w:pPr>
        <w:pStyle w:val="Point0letter"/>
        <w:rPr>
          <w:noProof/>
        </w:rPr>
      </w:pPr>
      <w:r>
        <w:rPr>
          <w:noProof/>
        </w:rPr>
        <w:t>the Member State shall set out, in its integrated national energy and climate progress report made in the year following the year the recommendation was issued, how it has taken utmost account of the recommendation and how it has implemented or intends to implement it. It shall provide justifications where it deviates from it</w:t>
      </w:r>
      <w:r w:rsidR="00B83D62">
        <w:rPr>
          <w:noProof/>
        </w:rPr>
        <w:t>;</w:t>
      </w:r>
    </w:p>
    <w:p w:rsidR="00926A0D" w:rsidRDefault="00BC6A26">
      <w:pPr>
        <w:pStyle w:val="Point0letter"/>
        <w:rPr>
          <w:noProof/>
        </w:rPr>
      </w:pPr>
      <w:r>
        <w:rPr>
          <w:noProof/>
        </w:rPr>
        <w:t>t</w:t>
      </w:r>
      <w:r w:rsidR="006023A9">
        <w:rPr>
          <w:noProof/>
        </w:rPr>
        <w:t>he recommendations should be complementary to the latest country-specific recommendations issued in the context of the European Semester.</w:t>
      </w:r>
    </w:p>
    <w:p w:rsidR="00926A0D" w:rsidRDefault="006023A9">
      <w:pPr>
        <w:pStyle w:val="Titrearticle"/>
        <w:rPr>
          <w:noProof/>
        </w:rPr>
      </w:pPr>
      <w:r>
        <w:rPr>
          <w:noProof/>
        </w:rPr>
        <w:t>Article 29</w:t>
      </w:r>
      <w:r>
        <w:rPr>
          <w:noProof/>
        </w:rPr>
        <w:br/>
      </w:r>
      <w:r>
        <w:rPr>
          <w:b/>
          <w:i w:val="0"/>
          <w:noProof/>
        </w:rPr>
        <w:t>State of the Energy Union report</w:t>
      </w:r>
    </w:p>
    <w:p w:rsidR="00926A0D" w:rsidRDefault="006023A9">
      <w:pPr>
        <w:rPr>
          <w:noProof/>
        </w:rPr>
      </w:pPr>
      <w:r>
        <w:rPr>
          <w:noProof/>
        </w:rPr>
        <w:t>1.</w:t>
      </w:r>
      <w:r>
        <w:rPr>
          <w:noProof/>
        </w:rPr>
        <w:tab/>
        <w:t>By 31 October every year, the Commission shall submit to the European Parliament and to the Council a State of the Energy Union report.</w:t>
      </w:r>
    </w:p>
    <w:p w:rsidR="00926A0D" w:rsidRDefault="006023A9">
      <w:pPr>
        <w:rPr>
          <w:noProof/>
          <w:lang w:val="en"/>
        </w:rPr>
      </w:pPr>
      <w:r>
        <w:rPr>
          <w:noProof/>
          <w:lang w:val="en"/>
        </w:rPr>
        <w:t>2.</w:t>
      </w:r>
      <w:r>
        <w:rPr>
          <w:noProof/>
          <w:lang w:val="en"/>
        </w:rPr>
        <w:tab/>
        <w:t>The State of the Energy Union report shall include</w:t>
      </w:r>
      <w:r w:rsidR="00B02A06">
        <w:rPr>
          <w:noProof/>
          <w:lang w:val="en"/>
        </w:rPr>
        <w:t>, inter alia,</w:t>
      </w:r>
      <w:r>
        <w:rPr>
          <w:noProof/>
          <w:lang w:val="en"/>
        </w:rPr>
        <w:t xml:space="preserve"> the following elements:</w:t>
      </w:r>
    </w:p>
    <w:p w:rsidR="00926A0D" w:rsidRDefault="006023A9" w:rsidP="00AF12E0">
      <w:pPr>
        <w:pStyle w:val="Point0letter"/>
        <w:numPr>
          <w:ilvl w:val="1"/>
          <w:numId w:val="49"/>
        </w:numPr>
        <w:rPr>
          <w:noProof/>
        </w:rPr>
      </w:pPr>
      <w:r>
        <w:rPr>
          <w:noProof/>
          <w:lang w:val="en"/>
        </w:rPr>
        <w:t>the assessment carried out pursuant to Article 25;</w:t>
      </w:r>
    </w:p>
    <w:p w:rsidR="00926A0D" w:rsidRDefault="006023A9">
      <w:pPr>
        <w:pStyle w:val="Point0letter"/>
        <w:rPr>
          <w:noProof/>
        </w:rPr>
      </w:pPr>
      <w:r>
        <w:rPr>
          <w:noProof/>
        </w:rPr>
        <w:t>where appropriate, recommendations pursuant to Article 28;</w:t>
      </w:r>
    </w:p>
    <w:p w:rsidR="00926A0D" w:rsidRDefault="006023A9">
      <w:pPr>
        <w:pStyle w:val="Point0letter"/>
        <w:rPr>
          <w:noProof/>
        </w:rPr>
      </w:pPr>
      <w:r>
        <w:rPr>
          <w:noProof/>
        </w:rPr>
        <w:t>functioning of the carbon market referred to in Article 10(5) of Directive 2003/87/EC, including information on the application of Directive 2003/87/EC referred to in Article 21(2) of the same Directive;</w:t>
      </w:r>
    </w:p>
    <w:p w:rsidR="00926A0D" w:rsidRDefault="00794FD2">
      <w:pPr>
        <w:pStyle w:val="Point0letter"/>
        <w:rPr>
          <w:noProof/>
        </w:rPr>
      </w:pPr>
      <w:r>
        <w:rPr>
          <w:noProof/>
        </w:rPr>
        <w:t xml:space="preserve">biennially, a report on </w:t>
      </w:r>
      <w:r w:rsidR="006023A9">
        <w:rPr>
          <w:noProof/>
        </w:rPr>
        <w:t>Union bioenergy sustainability, containing the information specified in Annex VIII;</w:t>
      </w:r>
    </w:p>
    <w:p w:rsidR="000D77DD" w:rsidRDefault="00794FD2">
      <w:pPr>
        <w:pStyle w:val="Point0letter"/>
        <w:rPr>
          <w:noProof/>
        </w:rPr>
      </w:pPr>
      <w:r>
        <w:rPr>
          <w:noProof/>
        </w:rPr>
        <w:t xml:space="preserve">biennially, a report on </w:t>
      </w:r>
      <w:r w:rsidR="006023A9">
        <w:rPr>
          <w:noProof/>
        </w:rPr>
        <w:t xml:space="preserve">voluntary schemes in respect of which the Commission has adopted a decision according to Article </w:t>
      </w:r>
      <w:r w:rsidR="004B1F00">
        <w:rPr>
          <w:noProof/>
        </w:rPr>
        <w:t>27</w:t>
      </w:r>
      <w:r w:rsidR="006023A9">
        <w:rPr>
          <w:noProof/>
        </w:rPr>
        <w:t xml:space="preserve">(4) of </w:t>
      </w:r>
      <w:r w:rsidR="004B1F00">
        <w:rPr>
          <w:noProof/>
        </w:rPr>
        <w:t xml:space="preserve">[recast of </w:t>
      </w:r>
      <w:r w:rsidR="006023A9">
        <w:rPr>
          <w:noProof/>
        </w:rPr>
        <w:t>Directive 2009/28/EC</w:t>
      </w:r>
      <w:r w:rsidR="009124B0">
        <w:rPr>
          <w:noProof/>
        </w:rPr>
        <w:t xml:space="preserve"> as proposed by </w:t>
      </w:r>
      <w:r w:rsidR="009124B0" w:rsidRPr="00AD57B2">
        <w:rPr>
          <w:noProof/>
        </w:rPr>
        <w:t>COM(2016) 767</w:t>
      </w:r>
      <w:r w:rsidR="004B1F00">
        <w:rPr>
          <w:noProof/>
        </w:rPr>
        <w:t>]</w:t>
      </w:r>
      <w:r w:rsidR="006023A9">
        <w:rPr>
          <w:noProof/>
        </w:rPr>
        <w:t>, containing the information specified in Annex IX to this Regulation;</w:t>
      </w:r>
    </w:p>
    <w:p w:rsidR="000D77DD" w:rsidRDefault="000D77DD">
      <w:pPr>
        <w:pStyle w:val="Point0letter"/>
        <w:rPr>
          <w:noProof/>
        </w:rPr>
      </w:pPr>
      <w:r>
        <w:rPr>
          <w:noProof/>
        </w:rPr>
        <w:t>an overall progress report on the application of [recast of Directive 2009/72/EC</w:t>
      </w:r>
      <w:r w:rsidR="00915BDA">
        <w:rPr>
          <w:noProof/>
        </w:rPr>
        <w:t xml:space="preserve"> as proposed by </w:t>
      </w:r>
      <w:r w:rsidR="00915BDA" w:rsidRPr="001D5DEF">
        <w:rPr>
          <w:noProof/>
        </w:rPr>
        <w:t>COM(2016) 864</w:t>
      </w:r>
      <w:r>
        <w:rPr>
          <w:noProof/>
        </w:rPr>
        <w:t xml:space="preserve">] pursuant to Article </w:t>
      </w:r>
      <w:r w:rsidR="00CA1373">
        <w:rPr>
          <w:noProof/>
        </w:rPr>
        <w:t>69</w:t>
      </w:r>
      <w:r>
        <w:rPr>
          <w:noProof/>
        </w:rPr>
        <w:t xml:space="preserve"> of that Directive;</w:t>
      </w:r>
    </w:p>
    <w:p w:rsidR="00926A0D" w:rsidRDefault="000D77DD">
      <w:pPr>
        <w:pStyle w:val="Point0letter"/>
        <w:rPr>
          <w:noProof/>
        </w:rPr>
      </w:pPr>
      <w:r>
        <w:rPr>
          <w:noProof/>
        </w:rPr>
        <w:t>an overall progress report on the application of Directive 2009/73/EC pursuant to Article 52 of that Directive;</w:t>
      </w:r>
      <w:r w:rsidR="006023A9">
        <w:rPr>
          <w:noProof/>
        </w:rPr>
        <w:t xml:space="preserve"> </w:t>
      </w:r>
    </w:p>
    <w:p w:rsidR="00926A0D" w:rsidRDefault="00794FD2">
      <w:pPr>
        <w:pStyle w:val="Point0letter"/>
        <w:rPr>
          <w:noProof/>
        </w:rPr>
      </w:pPr>
      <w:r>
        <w:rPr>
          <w:noProof/>
        </w:rPr>
        <w:lastRenderedPageBreak/>
        <w:t xml:space="preserve">an overall progress report on </w:t>
      </w:r>
      <w:r w:rsidR="006023A9">
        <w:rPr>
          <w:noProof/>
        </w:rPr>
        <w:t>energy efficiency obligation schemes as referred to in  Article 7a of Directive 2012/27/EU</w:t>
      </w:r>
      <w:r w:rsidR="0013316D">
        <w:rPr>
          <w:noProof/>
        </w:rPr>
        <w:t xml:space="preserve"> [</w:t>
      </w:r>
      <w:r w:rsidR="00DF79A6">
        <w:rPr>
          <w:noProof/>
        </w:rPr>
        <w:t xml:space="preserve">version </w:t>
      </w:r>
      <w:r w:rsidR="005E7873">
        <w:rPr>
          <w:noProof/>
        </w:rPr>
        <w:t xml:space="preserve">as </w:t>
      </w:r>
      <w:r w:rsidR="00DF79A6" w:rsidRPr="004B28E2">
        <w:rPr>
          <w:noProof/>
        </w:rPr>
        <w:t xml:space="preserve">amended </w:t>
      </w:r>
      <w:r w:rsidR="00DF79A6">
        <w:rPr>
          <w:noProof/>
        </w:rPr>
        <w:t>in accordance with</w:t>
      </w:r>
      <w:r w:rsidR="0013316D">
        <w:rPr>
          <w:noProof/>
        </w:rPr>
        <w:t xml:space="preserve"> </w:t>
      </w:r>
      <w:r w:rsidR="0013316D" w:rsidRPr="0013316D">
        <w:rPr>
          <w:noProof/>
        </w:rPr>
        <w:t xml:space="preserve">COM(2016) </w:t>
      </w:r>
      <w:r w:rsidR="0002032C">
        <w:rPr>
          <w:noProof/>
        </w:rPr>
        <w:t>761</w:t>
      </w:r>
      <w:r w:rsidR="004F51EE">
        <w:rPr>
          <w:noProof/>
        </w:rPr>
        <w:t>]</w:t>
      </w:r>
      <w:r w:rsidR="006023A9">
        <w:rPr>
          <w:noProof/>
        </w:rPr>
        <w:t>;</w:t>
      </w:r>
    </w:p>
    <w:p w:rsidR="00926A0D" w:rsidRDefault="00794FD2">
      <w:pPr>
        <w:pStyle w:val="Point0letter"/>
        <w:rPr>
          <w:noProof/>
        </w:rPr>
      </w:pPr>
      <w:r>
        <w:rPr>
          <w:noProof/>
        </w:rPr>
        <w:t xml:space="preserve">an overall progress report on </w:t>
      </w:r>
      <w:r w:rsidR="006023A9">
        <w:rPr>
          <w:noProof/>
        </w:rPr>
        <w:t>Member States' progress in creating a complete and operational energy market;</w:t>
      </w:r>
    </w:p>
    <w:p w:rsidR="00926A0D" w:rsidRDefault="006023A9">
      <w:pPr>
        <w:pStyle w:val="Point0letter"/>
        <w:rPr>
          <w:noProof/>
        </w:rPr>
      </w:pPr>
      <w:r>
        <w:rPr>
          <w:noProof/>
        </w:rPr>
        <w:t>actual fuel quality in the different Member States and geographical coverage of fuels with a maximum sulphur content of 10 mg/kg, aiming to provide an overview of the fuels quality data in the different Member States as reported pursuant to Directive 98/70/EC;</w:t>
      </w:r>
    </w:p>
    <w:p w:rsidR="00926A0D" w:rsidRDefault="006023A9">
      <w:pPr>
        <w:pStyle w:val="Point0letter"/>
        <w:rPr>
          <w:noProof/>
        </w:rPr>
      </w:pPr>
      <w:r>
        <w:rPr>
          <w:noProof/>
        </w:rPr>
        <w:t>other issues of relevance to the implementation of the Energy Union, including public and private support.</w:t>
      </w:r>
    </w:p>
    <w:p w:rsidR="00926A0D" w:rsidRDefault="006023A9">
      <w:pPr>
        <w:pStyle w:val="PartTitle"/>
        <w:rPr>
          <w:noProof/>
        </w:rPr>
      </w:pPr>
      <w:r>
        <w:rPr>
          <w:noProof/>
        </w:rPr>
        <w:lastRenderedPageBreak/>
        <w:t>CHAPTER 6</w:t>
      </w:r>
      <w:r>
        <w:rPr>
          <w:noProof/>
        </w:rPr>
        <w:br/>
        <w:t>NATIONAL AND UNION SYSTEMS ON GREENHOUSE GAS EMISSIONS AND REMOVALS BY SINKS</w:t>
      </w:r>
    </w:p>
    <w:p w:rsidR="00926A0D" w:rsidRDefault="006023A9">
      <w:pPr>
        <w:pStyle w:val="Titrearticle"/>
        <w:rPr>
          <w:noProof/>
        </w:rPr>
      </w:pPr>
      <w:r>
        <w:rPr>
          <w:noProof/>
        </w:rPr>
        <w:t>Article 30</w:t>
      </w:r>
      <w:r>
        <w:rPr>
          <w:noProof/>
        </w:rPr>
        <w:br/>
      </w:r>
      <w:r>
        <w:rPr>
          <w:b/>
          <w:i w:val="0"/>
          <w:noProof/>
        </w:rPr>
        <w:t>National and Union inventory systems</w:t>
      </w:r>
    </w:p>
    <w:p w:rsidR="00926A0D" w:rsidRDefault="006023A9">
      <w:pPr>
        <w:rPr>
          <w:noProof/>
        </w:rPr>
      </w:pPr>
      <w:r>
        <w:rPr>
          <w:noProof/>
        </w:rPr>
        <w:t>1.</w:t>
      </w:r>
      <w:r>
        <w:rPr>
          <w:noProof/>
        </w:rPr>
        <w:tab/>
        <w:t xml:space="preserve">By 1 January 2021, Member States shall establish, operate and seek to continuously improve national inventory systems to estimate anthropogenic emissions by sources and removals by sinks of greenhouse gases listed in Part 2 of Annex III to this Regulation and to ensure the timeliness, transparency, accuracy, consistency, comparability and completeness of their greenhouse gas inventories. </w:t>
      </w:r>
    </w:p>
    <w:p w:rsidR="00926A0D" w:rsidRDefault="006023A9">
      <w:pPr>
        <w:rPr>
          <w:noProof/>
        </w:rPr>
      </w:pPr>
      <w:r>
        <w:rPr>
          <w:noProof/>
        </w:rPr>
        <w:t>2.</w:t>
      </w:r>
      <w:r>
        <w:rPr>
          <w:noProof/>
        </w:rPr>
        <w:tab/>
        <w:t xml:space="preserve">Member States shall ensure that their competent inventory authorities have access to the information specified in Annex X to this Regulation, make use of reporting systems established pursuant to Article 20 of Regulation (EU) No 517/2014 to improve the estimate of fluorinated gases in the national greenhouse gas inventories and are able to undertake the annual consistency checks referred to in points (i) and (j) of </w:t>
      </w:r>
      <w:r w:rsidR="001E7A43">
        <w:rPr>
          <w:noProof/>
        </w:rPr>
        <w:t>P</w:t>
      </w:r>
      <w:r>
        <w:rPr>
          <w:noProof/>
        </w:rPr>
        <w:t>art 1 of Annex III to this Regulation.</w:t>
      </w:r>
    </w:p>
    <w:p w:rsidR="00926A0D" w:rsidRDefault="006023A9">
      <w:pPr>
        <w:rPr>
          <w:noProof/>
        </w:rPr>
      </w:pPr>
      <w:r>
        <w:rPr>
          <w:noProof/>
        </w:rPr>
        <w:t>3.</w:t>
      </w:r>
      <w:r>
        <w:rPr>
          <w:noProof/>
        </w:rPr>
        <w:tab/>
        <w:t>A Union inventory system to ensure the timeliness, transparency, accuracy, consistency, comparability and completeness of national inventories with regard to the Union greenhouse gas inventory is hereby established. The Commission shall manage, maintain and seek to continuously improve that system which shall include the setting of a quality assurance and quality control programme, setting quality objectives and drafting an inventory quality assurance and quality control plan, procedures for completing emission estimates to compile the Union inventory pursuant to paragraph 5 of this Article and the reviews referred to in Article 31.</w:t>
      </w:r>
    </w:p>
    <w:p w:rsidR="00926A0D" w:rsidRDefault="006023A9">
      <w:pPr>
        <w:rPr>
          <w:noProof/>
        </w:rPr>
      </w:pPr>
      <w:r>
        <w:rPr>
          <w:noProof/>
        </w:rPr>
        <w:t>4.</w:t>
      </w:r>
      <w:r>
        <w:rPr>
          <w:noProof/>
        </w:rPr>
        <w:tab/>
        <w:t xml:space="preserve">The Commission shall perform an initial check of the accuracy of the preliminary greenhouse gas inventory data to be submitted by Member States pursuant to Article 23(2). It shall send the results of that check to Member States within six weeks of the submission deadline. Member States shall respond to any relevant questions raised by the initial check by 15 March, together with the final inventory submission for the year X-2. </w:t>
      </w:r>
    </w:p>
    <w:p w:rsidR="00926A0D" w:rsidRDefault="006023A9">
      <w:pPr>
        <w:rPr>
          <w:noProof/>
        </w:rPr>
      </w:pPr>
      <w:r>
        <w:rPr>
          <w:noProof/>
        </w:rPr>
        <w:t>5.</w:t>
      </w:r>
      <w:r>
        <w:rPr>
          <w:noProof/>
        </w:rPr>
        <w:tab/>
        <w:t xml:space="preserve">Where a Member State does not submit the inventory data required to compile the Union inventory by 15 March, the Commission may prepare estimates to complete the data submitted by the Member State, in consultation and close cooperation with the Member State concerned. The Commission shall use, for that purpose, the guidelines applicable for preparing the national greenhouse gas inventories. </w:t>
      </w:r>
    </w:p>
    <w:p w:rsidR="00926A0D" w:rsidRDefault="006023A9">
      <w:pPr>
        <w:rPr>
          <w:noProof/>
        </w:rPr>
      </w:pPr>
      <w:r>
        <w:rPr>
          <w:noProof/>
        </w:rPr>
        <w:t>6.</w:t>
      </w:r>
      <w:r>
        <w:rPr>
          <w:noProof/>
        </w:rPr>
        <w:tab/>
        <w:t xml:space="preserve">The Commission is empowered to adopt delegated acts in accordance with Article 36 in order to set out rules on the content, structure, format and submission process of the information relating to national inventory systems and requirements on the establishment, operation and functioning of national and Union inventory systems. In the preparation of such acts, the Commission shall take into account any relevant decisions adopted by the bodies of the UNFCCC or of the Paris Agreement. </w:t>
      </w:r>
    </w:p>
    <w:p w:rsidR="00926A0D" w:rsidRDefault="006023A9">
      <w:pPr>
        <w:pStyle w:val="Titrearticle"/>
        <w:rPr>
          <w:noProof/>
        </w:rPr>
      </w:pPr>
      <w:r>
        <w:rPr>
          <w:noProof/>
        </w:rPr>
        <w:lastRenderedPageBreak/>
        <w:t>Article 31</w:t>
      </w:r>
      <w:r>
        <w:rPr>
          <w:noProof/>
        </w:rPr>
        <w:br/>
      </w:r>
      <w:r>
        <w:rPr>
          <w:b/>
          <w:i w:val="0"/>
          <w:noProof/>
        </w:rPr>
        <w:t>Inventory review</w:t>
      </w:r>
    </w:p>
    <w:p w:rsidR="00926A0D" w:rsidRDefault="006023A9">
      <w:pPr>
        <w:rPr>
          <w:noProof/>
        </w:rPr>
      </w:pPr>
      <w:r>
        <w:rPr>
          <w:noProof/>
        </w:rPr>
        <w:t>1.</w:t>
      </w:r>
      <w:r>
        <w:rPr>
          <w:noProof/>
        </w:rPr>
        <w:tab/>
        <w:t>In 2027 and 2032, the Commission shall carry out a comprehensive review of the national inventory data submitted by Member States pursuant to Article 23(3) of this Regulation with a view to monitoring Member States’ greenhouse gas emission reductions or limitations pursuant to Articles 4, 9 and 10 of Regulation [ ] [ESR] and their reduction of emissions and enhancement of removals by sinks pursuant to Article</w:t>
      </w:r>
      <w:r w:rsidR="00CA1373">
        <w:rPr>
          <w:noProof/>
        </w:rPr>
        <w:t>s</w:t>
      </w:r>
      <w:r>
        <w:rPr>
          <w:noProof/>
        </w:rPr>
        <w:t xml:space="preserve"> 4 and 12 of Regulation [ ] [LULUCF] and any other greenhouse gas emission reduction or limitation targets set out in Union legislation. Member States shall participate fully in that process. </w:t>
      </w:r>
    </w:p>
    <w:p w:rsidR="00926A0D" w:rsidRDefault="006023A9">
      <w:pPr>
        <w:rPr>
          <w:noProof/>
        </w:rPr>
      </w:pPr>
      <w:r>
        <w:rPr>
          <w:noProof/>
        </w:rPr>
        <w:t>2.</w:t>
      </w:r>
      <w:r>
        <w:rPr>
          <w:noProof/>
        </w:rPr>
        <w:tab/>
        <w:t xml:space="preserve">The comprehensive review referred to in paragraph 1 shall </w:t>
      </w:r>
      <w:r w:rsidR="00CA1373">
        <w:rPr>
          <w:noProof/>
        </w:rPr>
        <w:t>include</w:t>
      </w:r>
      <w:r>
        <w:rPr>
          <w:noProof/>
        </w:rPr>
        <w:t xml:space="preserve">: </w:t>
      </w:r>
    </w:p>
    <w:p w:rsidR="00926A0D" w:rsidRDefault="006023A9" w:rsidP="0076006B">
      <w:pPr>
        <w:pStyle w:val="Point0letter"/>
        <w:numPr>
          <w:ilvl w:val="1"/>
          <w:numId w:val="23"/>
        </w:numPr>
        <w:rPr>
          <w:noProof/>
        </w:rPr>
      </w:pPr>
      <w:r>
        <w:rPr>
          <w:noProof/>
        </w:rPr>
        <w:t xml:space="preserve">checks to verify the transparency, accuracy, consistency, comparability and completeness of information submitted; </w:t>
      </w:r>
    </w:p>
    <w:p w:rsidR="00926A0D" w:rsidRDefault="006023A9">
      <w:pPr>
        <w:pStyle w:val="Point0letter"/>
        <w:rPr>
          <w:noProof/>
        </w:rPr>
      </w:pPr>
      <w:r>
        <w:rPr>
          <w:noProof/>
        </w:rPr>
        <w:t>checks to identify cases where inventory data is prepared in a manner which is inconsistent with UNFCCC guidance documentation or Union rules;</w:t>
      </w:r>
    </w:p>
    <w:p w:rsidR="00926A0D" w:rsidRDefault="006023A9">
      <w:pPr>
        <w:pStyle w:val="Point0letter"/>
        <w:rPr>
          <w:noProof/>
        </w:rPr>
      </w:pPr>
      <w:r>
        <w:rPr>
          <w:noProof/>
        </w:rPr>
        <w:t>checks to identify cases where LULUCF accounting is carried out in a manner which is inconsistent with UNFCCC guidance documentation or Union rules, and</w:t>
      </w:r>
    </w:p>
    <w:p w:rsidR="00926A0D" w:rsidRDefault="006023A9">
      <w:pPr>
        <w:pStyle w:val="Point0letter"/>
        <w:rPr>
          <w:noProof/>
        </w:rPr>
      </w:pPr>
      <w:r>
        <w:rPr>
          <w:noProof/>
        </w:rPr>
        <w:t xml:space="preserve">where appropriate, calculating the resulting technical corrections necessary, in consultation with the Member States. </w:t>
      </w:r>
    </w:p>
    <w:p w:rsidR="00926A0D" w:rsidRDefault="006023A9">
      <w:pPr>
        <w:rPr>
          <w:noProof/>
        </w:rPr>
      </w:pPr>
      <w:r>
        <w:rPr>
          <w:noProof/>
        </w:rPr>
        <w:t>3.</w:t>
      </w:r>
      <w:r>
        <w:rPr>
          <w:noProof/>
        </w:rPr>
        <w:tab/>
        <w:t>The Commission shall adopt implementing acts to determine the timing and the procedure for carrying out the comprehensive review including the tasks set out in paragraph 2 of this Article and ensuring due consultation of the Member States with regard to the conclusions of the reviews. Those implementing acts shall be adopted in accordance with the examination procedure referred to in Article 37(</w:t>
      </w:r>
      <w:r w:rsidR="006777D8">
        <w:rPr>
          <w:noProof/>
        </w:rPr>
        <w:t>3</w:t>
      </w:r>
      <w:r>
        <w:rPr>
          <w:noProof/>
        </w:rPr>
        <w:t xml:space="preserve">). </w:t>
      </w:r>
    </w:p>
    <w:p w:rsidR="00926A0D" w:rsidRDefault="006023A9">
      <w:pPr>
        <w:rPr>
          <w:noProof/>
        </w:rPr>
      </w:pPr>
      <w:r>
        <w:rPr>
          <w:noProof/>
        </w:rPr>
        <w:t>4.</w:t>
      </w:r>
      <w:r>
        <w:rPr>
          <w:noProof/>
        </w:rPr>
        <w:tab/>
        <w:t xml:space="preserve">The Commission shall, by means of an implementing act, determine the total sum of emissions for the relevant years arising from the corrected inventory data for each Member State upon completion of the review split between emissions data relevant for Article 9 of Regulation [ ] [ESR] and emission data referred </w:t>
      </w:r>
      <w:r w:rsidR="00CA1373">
        <w:rPr>
          <w:noProof/>
        </w:rPr>
        <w:t xml:space="preserve">to </w:t>
      </w:r>
      <w:r>
        <w:rPr>
          <w:noProof/>
        </w:rPr>
        <w:t xml:space="preserve">in Annex III </w:t>
      </w:r>
      <w:r w:rsidR="00BD3F31">
        <w:rPr>
          <w:noProof/>
        </w:rPr>
        <w:t>p</w:t>
      </w:r>
      <w:r>
        <w:rPr>
          <w:noProof/>
        </w:rPr>
        <w:t>art 1 (c</w:t>
      </w:r>
      <w:r w:rsidRPr="00A64888">
        <w:rPr>
          <w:noProof/>
        </w:rPr>
        <w:t xml:space="preserve">) </w:t>
      </w:r>
      <w:r w:rsidR="00DD27F4" w:rsidRPr="00A64888">
        <w:rPr>
          <w:noProof/>
        </w:rPr>
        <w:t>to</w:t>
      </w:r>
      <w:r w:rsidR="00DD27F4">
        <w:rPr>
          <w:noProof/>
        </w:rPr>
        <w:t xml:space="preserve"> </w:t>
      </w:r>
      <w:r w:rsidRPr="00886854">
        <w:rPr>
          <w:noProof/>
        </w:rPr>
        <w:t>this Regulation</w:t>
      </w:r>
      <w:r>
        <w:rPr>
          <w:noProof/>
        </w:rPr>
        <w:t xml:space="preserve"> and also determine the total sum of emissions and removals relevant for Article 4 of Regulation [ ] [LULUCF]. </w:t>
      </w:r>
    </w:p>
    <w:p w:rsidR="00926A0D" w:rsidRDefault="006023A9">
      <w:pPr>
        <w:rPr>
          <w:noProof/>
        </w:rPr>
      </w:pPr>
      <w:r>
        <w:rPr>
          <w:noProof/>
        </w:rPr>
        <w:t>5.</w:t>
      </w:r>
      <w:r>
        <w:rPr>
          <w:noProof/>
        </w:rPr>
        <w:tab/>
        <w:t xml:space="preserve">The data for each Member State as recorded in the registries set up pursuant to Article 13 of Regulation [ ] [LULUCF] one month following the date of publication of an implementing act adopted pursuant to paragraph 4 of this Article, shall be used for the </w:t>
      </w:r>
      <w:r w:rsidR="009E4FD6">
        <w:rPr>
          <w:noProof/>
        </w:rPr>
        <w:t>compliance check with</w:t>
      </w:r>
      <w:r>
        <w:rPr>
          <w:noProof/>
        </w:rPr>
        <w:t xml:space="preserve"> Article 4 of Regulation [ ] [LULUCF] including changes to such data arising as a result of that Member State making use of the flexibilities pursuant to Article 11 of Regulation [ ] [ LULUCF].</w:t>
      </w:r>
    </w:p>
    <w:p w:rsidR="00926A0D" w:rsidRDefault="006023A9">
      <w:pPr>
        <w:rPr>
          <w:noProof/>
        </w:rPr>
      </w:pPr>
      <w:r>
        <w:rPr>
          <w:noProof/>
        </w:rPr>
        <w:t>6.</w:t>
      </w:r>
      <w:r>
        <w:rPr>
          <w:noProof/>
        </w:rPr>
        <w:tab/>
        <w:t xml:space="preserve">The data for each Member State as recorded in the registries set up pursuant to Article 11 of Regulation [ ] [ESR] one month following the </w:t>
      </w:r>
      <w:r w:rsidR="009E4FD6">
        <w:rPr>
          <w:noProof/>
        </w:rPr>
        <w:t xml:space="preserve">compliance check </w:t>
      </w:r>
      <w:r>
        <w:rPr>
          <w:noProof/>
        </w:rPr>
        <w:t xml:space="preserve">date </w:t>
      </w:r>
      <w:r w:rsidR="007A31E1">
        <w:rPr>
          <w:noProof/>
        </w:rPr>
        <w:t>with</w:t>
      </w:r>
      <w:r w:rsidR="009E4FD6">
        <w:rPr>
          <w:noProof/>
        </w:rPr>
        <w:t xml:space="preserve"> Regulation [ ] [LULUCF]</w:t>
      </w:r>
      <w:r>
        <w:rPr>
          <w:noProof/>
        </w:rPr>
        <w:t xml:space="preserve"> referred </w:t>
      </w:r>
      <w:r w:rsidR="00CA1373">
        <w:rPr>
          <w:noProof/>
        </w:rPr>
        <w:t xml:space="preserve">to </w:t>
      </w:r>
      <w:r>
        <w:rPr>
          <w:noProof/>
        </w:rPr>
        <w:t>in paragraph 5 of this Article, shall be used for the compliance check pursuant to Article 9 of Regulation [ ] [ESR] for the years 2021 and 2026. The compliance check pursuant to Article 9 of Regulation [ ] [ESR] for each of the years 2022 to 2025 and 2027 to 2030 shall be performed at a date falling one month following the date of the compliance check for the previous year. This check shall include changes to such data arising as a result of that Member State making use of the flexibilities pursuant to Articles 5, 6 and 7 of Regulation [ ] [ESR].</w:t>
      </w:r>
    </w:p>
    <w:p w:rsidR="00926A0D" w:rsidRDefault="006023A9">
      <w:pPr>
        <w:pStyle w:val="Titrearticle"/>
        <w:rPr>
          <w:noProof/>
        </w:rPr>
      </w:pPr>
      <w:r>
        <w:rPr>
          <w:noProof/>
        </w:rPr>
        <w:lastRenderedPageBreak/>
        <w:t>Article 32</w:t>
      </w:r>
      <w:r>
        <w:rPr>
          <w:noProof/>
        </w:rPr>
        <w:br/>
      </w:r>
      <w:r>
        <w:rPr>
          <w:b/>
          <w:i w:val="0"/>
          <w:noProof/>
        </w:rPr>
        <w:t>National and Union systems for policies and measures and projections</w:t>
      </w:r>
    </w:p>
    <w:p w:rsidR="00926A0D" w:rsidRDefault="006023A9">
      <w:pPr>
        <w:rPr>
          <w:noProof/>
        </w:rPr>
      </w:pPr>
      <w:r>
        <w:rPr>
          <w:noProof/>
        </w:rPr>
        <w:t>1.</w:t>
      </w:r>
      <w:r>
        <w:rPr>
          <w:noProof/>
        </w:rPr>
        <w:tab/>
        <w:t xml:space="preserve">By 1 January 2021, Member States and the Commission shall operate and seek to continuously improve national and Union systems respectively, for reporting on policies and measures and for reporting on projections of anthropogenic greenhouse gas emissions by sources and removals by sinks. Those systems shall include the relevant institutional, legal and procedural arrangements established within a Member State and the Union for evaluating policy and making projections of anthropogenic greenhouse gas emissions by sources and removals by sinks. </w:t>
      </w:r>
    </w:p>
    <w:p w:rsidR="00926A0D" w:rsidRDefault="006023A9">
      <w:pPr>
        <w:rPr>
          <w:noProof/>
        </w:rPr>
      </w:pPr>
      <w:r>
        <w:rPr>
          <w:noProof/>
        </w:rPr>
        <w:t>2.</w:t>
      </w:r>
      <w:r>
        <w:rPr>
          <w:noProof/>
        </w:rPr>
        <w:tab/>
        <w:t xml:space="preserve">Member States and the Commission respectively shall aim to ensure the timeliness, transparency, accuracy, consistency, comparability and completeness of the information reported on policies and measures and projections of anthropogenic greenhouse gas emissions by sources and removals by sinks, as referred to in Article 16, including the use and application of data, methods and models, and the implementation of quality assurance and quality control activities and sensitivity analysis. </w:t>
      </w:r>
    </w:p>
    <w:p w:rsidR="00926A0D" w:rsidRDefault="006023A9">
      <w:pPr>
        <w:rPr>
          <w:noProof/>
        </w:rPr>
      </w:pPr>
      <w:r>
        <w:rPr>
          <w:noProof/>
        </w:rPr>
        <w:t>3.</w:t>
      </w:r>
      <w:r>
        <w:rPr>
          <w:noProof/>
        </w:rPr>
        <w:tab/>
        <w:t>The Commission shall adopt implementing acts to set out the structure, format and submission process of information on national and Union systems for policies and measures and projections pursuant to paragraphs 1 and 2 of this Article and Article 16. When proposing such acts, the Commission shall take into account the relevant decisions adopted by the bodies of the UNFCCC or the Paris Agreement, including internationally agreed reporting requirements as well as timetables for monitoring and reporting of that information. Those implementing acts shall be adopted in accordance with the examination procedure referred to in Article 37(</w:t>
      </w:r>
      <w:r w:rsidR="006777D8">
        <w:rPr>
          <w:noProof/>
        </w:rPr>
        <w:t>3</w:t>
      </w:r>
      <w:r>
        <w:rPr>
          <w:noProof/>
        </w:rPr>
        <w:t xml:space="preserve">). </w:t>
      </w:r>
    </w:p>
    <w:p w:rsidR="00926A0D" w:rsidRDefault="006023A9">
      <w:pPr>
        <w:pStyle w:val="Titrearticle"/>
        <w:rPr>
          <w:noProof/>
        </w:rPr>
      </w:pPr>
      <w:r>
        <w:rPr>
          <w:noProof/>
        </w:rPr>
        <w:t>Article 33</w:t>
      </w:r>
      <w:r>
        <w:rPr>
          <w:noProof/>
        </w:rPr>
        <w:br/>
      </w:r>
      <w:r>
        <w:rPr>
          <w:b/>
          <w:i w:val="0"/>
          <w:noProof/>
        </w:rPr>
        <w:t>Establishment and operation of registries</w:t>
      </w:r>
    </w:p>
    <w:p w:rsidR="00926A0D" w:rsidRPr="003C4AC6" w:rsidRDefault="006023A9">
      <w:pPr>
        <w:rPr>
          <w:noProof/>
        </w:rPr>
      </w:pPr>
      <w:r>
        <w:rPr>
          <w:noProof/>
        </w:rPr>
        <w:t>1.</w:t>
      </w:r>
      <w:r>
        <w:rPr>
          <w:noProof/>
        </w:rPr>
        <w:tab/>
        <w:t xml:space="preserve">The Union and the Member States shall set up and maintain registries to accurately account for nationally determined contribution pursuant to Article 4(13) </w:t>
      </w:r>
      <w:r w:rsidR="0011501F">
        <w:rPr>
          <w:noProof/>
        </w:rPr>
        <w:t xml:space="preserve">of the Paris </w:t>
      </w:r>
      <w:r w:rsidR="0011501F" w:rsidRPr="003C4AC6">
        <w:rPr>
          <w:noProof/>
        </w:rPr>
        <w:t xml:space="preserve">Agreement </w:t>
      </w:r>
      <w:r w:rsidRPr="003C4AC6">
        <w:rPr>
          <w:noProof/>
        </w:rPr>
        <w:t xml:space="preserve">and for internationally transferred mitigation outcomes pursuant to Article 6 of </w:t>
      </w:r>
      <w:r w:rsidR="00DD27F4" w:rsidRPr="003C4AC6">
        <w:rPr>
          <w:noProof/>
        </w:rPr>
        <w:t xml:space="preserve">that </w:t>
      </w:r>
      <w:r w:rsidR="005D6D99" w:rsidRPr="003C4AC6">
        <w:rPr>
          <w:noProof/>
        </w:rPr>
        <w:t>a</w:t>
      </w:r>
      <w:r w:rsidRPr="003C4AC6">
        <w:rPr>
          <w:noProof/>
        </w:rPr>
        <w:t>greement.</w:t>
      </w:r>
    </w:p>
    <w:p w:rsidR="00926A0D" w:rsidRPr="003C4AC6" w:rsidRDefault="006023A9">
      <w:pPr>
        <w:rPr>
          <w:noProof/>
        </w:rPr>
      </w:pPr>
      <w:r w:rsidRPr="003C4AC6">
        <w:rPr>
          <w:noProof/>
        </w:rPr>
        <w:t>2.</w:t>
      </w:r>
      <w:r w:rsidRPr="003C4AC6">
        <w:rPr>
          <w:noProof/>
        </w:rPr>
        <w:tab/>
        <w:t xml:space="preserve">The Union and the Member States may maintain their registries in a consolidated system, together with one or more other Member States. </w:t>
      </w:r>
    </w:p>
    <w:p w:rsidR="00926A0D" w:rsidRPr="003C4AC6" w:rsidRDefault="006023A9">
      <w:pPr>
        <w:rPr>
          <w:noProof/>
        </w:rPr>
      </w:pPr>
      <w:r w:rsidRPr="003C4AC6">
        <w:rPr>
          <w:noProof/>
        </w:rPr>
        <w:t>3.</w:t>
      </w:r>
      <w:r w:rsidRPr="003C4AC6">
        <w:rPr>
          <w:noProof/>
        </w:rPr>
        <w:tab/>
        <w:t xml:space="preserve">The data in the registries referred to in paragraph 1 of this Article shall be made available to the central administrator designated pursuant to Article 20 of Directive 2003/87/EC. </w:t>
      </w:r>
    </w:p>
    <w:p w:rsidR="00926A0D" w:rsidRDefault="006023A9">
      <w:pPr>
        <w:rPr>
          <w:noProof/>
        </w:rPr>
      </w:pPr>
      <w:r w:rsidRPr="003C4AC6">
        <w:rPr>
          <w:noProof/>
        </w:rPr>
        <w:t>4.</w:t>
      </w:r>
      <w:r w:rsidRPr="003C4AC6">
        <w:rPr>
          <w:noProof/>
        </w:rPr>
        <w:tab/>
        <w:t>The Commission is empowered to adopt delegated acts in accordance with Article 36 in order to set up the registries referred to in paragraph 1 of this Article and in order to give effect, by means of the registries of the Union and of the Member States, to the necessary technical implementation of relevant decisions of the UNFCCC or Paris Agreement bodies, in accordance with paragraph 1</w:t>
      </w:r>
      <w:r w:rsidR="00DD27F4" w:rsidRPr="003C4AC6">
        <w:rPr>
          <w:noProof/>
        </w:rPr>
        <w:t xml:space="preserve"> of this Article</w:t>
      </w:r>
      <w:r w:rsidRPr="003C4AC6">
        <w:rPr>
          <w:noProof/>
        </w:rPr>
        <w:t>.</w:t>
      </w:r>
      <w:r>
        <w:rPr>
          <w:noProof/>
        </w:rPr>
        <w:t xml:space="preserve"> </w:t>
      </w:r>
    </w:p>
    <w:p w:rsidR="00926A0D" w:rsidRDefault="006023A9">
      <w:pPr>
        <w:pStyle w:val="PartTitle"/>
        <w:rPr>
          <w:noProof/>
        </w:rPr>
      </w:pPr>
      <w:r>
        <w:rPr>
          <w:noProof/>
        </w:rPr>
        <w:lastRenderedPageBreak/>
        <w:t>CHAPTER 7</w:t>
      </w:r>
      <w:r>
        <w:rPr>
          <w:noProof/>
        </w:rPr>
        <w:br/>
        <w:t>COOPERATION AND SUPPORT</w:t>
      </w:r>
    </w:p>
    <w:p w:rsidR="00926A0D" w:rsidRDefault="006023A9">
      <w:pPr>
        <w:pStyle w:val="Titrearticle"/>
        <w:rPr>
          <w:noProof/>
        </w:rPr>
      </w:pPr>
      <w:r>
        <w:rPr>
          <w:noProof/>
        </w:rPr>
        <w:t>Article 34</w:t>
      </w:r>
      <w:r>
        <w:rPr>
          <w:noProof/>
        </w:rPr>
        <w:br/>
      </w:r>
      <w:r>
        <w:rPr>
          <w:b/>
          <w:i w:val="0"/>
          <w:noProof/>
        </w:rPr>
        <w:t>Cooperation between the Member States and the Union</w:t>
      </w:r>
    </w:p>
    <w:p w:rsidR="00926A0D" w:rsidRDefault="006023A9">
      <w:pPr>
        <w:rPr>
          <w:noProof/>
          <w:szCs w:val="24"/>
        </w:rPr>
      </w:pPr>
      <w:r>
        <w:rPr>
          <w:noProof/>
          <w:szCs w:val="24"/>
        </w:rPr>
        <w:t>1.</w:t>
      </w:r>
      <w:r>
        <w:rPr>
          <w:noProof/>
          <w:szCs w:val="24"/>
        </w:rPr>
        <w:tab/>
        <w:t>The Member States shall cooperate and coordinate fully with each other and with the Union in relation to obligations under this Regulation, in particular concerning:</w:t>
      </w:r>
    </w:p>
    <w:p w:rsidR="00926A0D" w:rsidRDefault="006023A9" w:rsidP="0076006B">
      <w:pPr>
        <w:pStyle w:val="Point0letter"/>
        <w:numPr>
          <w:ilvl w:val="1"/>
          <w:numId w:val="24"/>
        </w:numPr>
        <w:rPr>
          <w:noProof/>
        </w:rPr>
      </w:pPr>
      <w:r>
        <w:rPr>
          <w:noProof/>
        </w:rPr>
        <w:t>the process for preparing, adopting, notifying and assessing the integrated national energy and climate plans pursuant to Articles 9 to 12;</w:t>
      </w:r>
    </w:p>
    <w:p w:rsidR="00926A0D" w:rsidRDefault="006023A9">
      <w:pPr>
        <w:pStyle w:val="Point0letter"/>
        <w:rPr>
          <w:noProof/>
        </w:rPr>
      </w:pPr>
      <w:r>
        <w:rPr>
          <w:noProof/>
        </w:rPr>
        <w:t>the process for preparing, adopting, notifying and assessing the integrated national energy and climate progress report pursuant to Article 15 and annual reporting pursuant to Article 23;</w:t>
      </w:r>
    </w:p>
    <w:p w:rsidR="00926A0D" w:rsidRDefault="006023A9">
      <w:pPr>
        <w:pStyle w:val="Point0letter"/>
        <w:rPr>
          <w:noProof/>
        </w:rPr>
      </w:pPr>
      <w:r>
        <w:rPr>
          <w:noProof/>
        </w:rPr>
        <w:t>the process related to the Commission recommendations and addressing those recommendations pursuant to Article 9(2) and (3), Article 15(5), Article 26(1) and Article 27(2) and (3);</w:t>
      </w:r>
    </w:p>
    <w:p w:rsidR="00926A0D" w:rsidRDefault="006023A9">
      <w:pPr>
        <w:pStyle w:val="Point0letter"/>
        <w:rPr>
          <w:noProof/>
        </w:rPr>
      </w:pPr>
      <w:r>
        <w:rPr>
          <w:noProof/>
        </w:rPr>
        <w:t>compiling the Union greenhouse gas inventory and preparing the Union greenhouse gas inventory report, pursuant to Article 23(3);</w:t>
      </w:r>
    </w:p>
    <w:p w:rsidR="00926A0D" w:rsidRDefault="006023A9">
      <w:pPr>
        <w:pStyle w:val="Point0letter"/>
        <w:rPr>
          <w:noProof/>
        </w:rPr>
      </w:pPr>
      <w:r>
        <w:rPr>
          <w:noProof/>
        </w:rPr>
        <w:t>preparing the Union national communication pursuant to Article 12 of the UNFCCC and the Union biennial report pursuant to Decision 2/CP.17 or subsequent relevant decisions adopted by the bodies of the UNFCCC;</w:t>
      </w:r>
    </w:p>
    <w:p w:rsidR="00926A0D" w:rsidRDefault="006023A9">
      <w:pPr>
        <w:pStyle w:val="Point0letter"/>
        <w:rPr>
          <w:noProof/>
        </w:rPr>
      </w:pPr>
      <w:r>
        <w:rPr>
          <w:noProof/>
        </w:rPr>
        <w:t>review and compliance procedures under the UNFCCC and the Paris Agreement in accordance with any applicable decision under the UNFCCC as well as the Union’s procedure to review Member States greenhouse gas inventories referred to in Article 31;</w:t>
      </w:r>
    </w:p>
    <w:p w:rsidR="00926A0D" w:rsidRDefault="006023A9">
      <w:pPr>
        <w:pStyle w:val="Point0letter"/>
        <w:rPr>
          <w:noProof/>
        </w:rPr>
      </w:pPr>
      <w:r>
        <w:rPr>
          <w:noProof/>
        </w:rPr>
        <w:t>any adjustments following the review process referred to in Article 31 or other changes to inventories and inventory reports submitted, or to be submitted, to the UNFCCC Secretariat;</w:t>
      </w:r>
    </w:p>
    <w:p w:rsidR="00926A0D" w:rsidRDefault="006023A9">
      <w:pPr>
        <w:pStyle w:val="Point0letter"/>
        <w:rPr>
          <w:noProof/>
        </w:rPr>
      </w:pPr>
      <w:r>
        <w:rPr>
          <w:noProof/>
        </w:rPr>
        <w:t>compiling the Union approximated greenhouse gas inventory, pursuant to Article 23(1)(a)</w:t>
      </w:r>
      <w:r w:rsidR="00D40192">
        <w:rPr>
          <w:noProof/>
        </w:rPr>
        <w:t xml:space="preserve"> and the last subparagraph of Article 23(1</w:t>
      </w:r>
      <w:r>
        <w:rPr>
          <w:noProof/>
        </w:rPr>
        <w:t>).</w:t>
      </w:r>
    </w:p>
    <w:p w:rsidR="00926A0D" w:rsidRDefault="006023A9">
      <w:pPr>
        <w:rPr>
          <w:noProof/>
          <w:szCs w:val="24"/>
        </w:rPr>
      </w:pPr>
      <w:r>
        <w:rPr>
          <w:noProof/>
          <w:szCs w:val="24"/>
        </w:rPr>
        <w:t>2.</w:t>
      </w:r>
      <w:r>
        <w:rPr>
          <w:noProof/>
          <w:szCs w:val="24"/>
        </w:rPr>
        <w:tab/>
        <w:t>The Commission may provide technical support to the Member States in relation to obligations under this Regulation upon request from a Member State.</w:t>
      </w:r>
    </w:p>
    <w:p w:rsidR="00926A0D" w:rsidRDefault="006023A9">
      <w:pPr>
        <w:pStyle w:val="Titrearticle"/>
        <w:rPr>
          <w:i w:val="0"/>
          <w:noProof/>
          <w:szCs w:val="24"/>
        </w:rPr>
      </w:pPr>
      <w:r>
        <w:rPr>
          <w:noProof/>
        </w:rPr>
        <w:t>Article 35</w:t>
      </w:r>
      <w:r>
        <w:rPr>
          <w:noProof/>
        </w:rPr>
        <w:br/>
      </w:r>
      <w:r>
        <w:rPr>
          <w:b/>
          <w:i w:val="0"/>
          <w:noProof/>
        </w:rPr>
        <w:t xml:space="preserve">Role of the European Environment Agency </w:t>
      </w:r>
    </w:p>
    <w:p w:rsidR="00926A0D" w:rsidRDefault="006023A9">
      <w:pPr>
        <w:rPr>
          <w:noProof/>
          <w:szCs w:val="24"/>
        </w:rPr>
      </w:pPr>
      <w:r>
        <w:rPr>
          <w:noProof/>
        </w:rPr>
        <w:t xml:space="preserve">The European Environment Agency shall assist the Commission in its work as regards the decarbonisation and energy efficiency dimensions to comply with </w:t>
      </w:r>
      <w:r>
        <w:rPr>
          <w:noProof/>
          <w:szCs w:val="24"/>
        </w:rPr>
        <w:t>Article</w:t>
      </w:r>
      <w:r w:rsidR="00CA1373">
        <w:rPr>
          <w:noProof/>
          <w:szCs w:val="24"/>
        </w:rPr>
        <w:t>s</w:t>
      </w:r>
      <w:r>
        <w:rPr>
          <w:noProof/>
          <w:szCs w:val="24"/>
        </w:rPr>
        <w:t xml:space="preserve"> 14, 15, 16, 17, 18, 19, 23, 24, 25, 29, 30, 31, 32 and 34 in accordance with its annual work programme. That shall include assistance</w:t>
      </w:r>
      <w:r w:rsidR="00B933EB">
        <w:rPr>
          <w:noProof/>
          <w:szCs w:val="24"/>
        </w:rPr>
        <w:t>,</w:t>
      </w:r>
      <w:r>
        <w:rPr>
          <w:noProof/>
          <w:szCs w:val="24"/>
        </w:rPr>
        <w:t xml:space="preserve"> as required</w:t>
      </w:r>
      <w:r w:rsidR="00B933EB">
        <w:rPr>
          <w:noProof/>
          <w:szCs w:val="24"/>
        </w:rPr>
        <w:t>,</w:t>
      </w:r>
      <w:r>
        <w:rPr>
          <w:noProof/>
          <w:szCs w:val="24"/>
        </w:rPr>
        <w:t xml:space="preserve"> with:</w:t>
      </w:r>
    </w:p>
    <w:p w:rsidR="00926A0D" w:rsidRDefault="006023A9" w:rsidP="0076006B">
      <w:pPr>
        <w:pStyle w:val="Point0letter"/>
        <w:numPr>
          <w:ilvl w:val="1"/>
          <w:numId w:val="25"/>
        </w:numPr>
        <w:rPr>
          <w:noProof/>
        </w:rPr>
      </w:pPr>
      <w:r>
        <w:rPr>
          <w:noProof/>
        </w:rPr>
        <w:t>compiling the information reported by Member States on policies and measures and projections;</w:t>
      </w:r>
    </w:p>
    <w:p w:rsidR="00926A0D" w:rsidRDefault="006023A9">
      <w:pPr>
        <w:pStyle w:val="Point0letter"/>
        <w:rPr>
          <w:noProof/>
        </w:rPr>
      </w:pPr>
      <w:r>
        <w:rPr>
          <w:noProof/>
        </w:rPr>
        <w:t>performing quality assurance and quality control procedures on the information reported by Member States on projections and policies and measures;</w:t>
      </w:r>
    </w:p>
    <w:p w:rsidR="00926A0D" w:rsidRDefault="006023A9">
      <w:pPr>
        <w:pStyle w:val="Point0letter"/>
        <w:rPr>
          <w:noProof/>
        </w:rPr>
      </w:pPr>
      <w:r>
        <w:rPr>
          <w:noProof/>
        </w:rPr>
        <w:lastRenderedPageBreak/>
        <w:t>preparing estimates or complementing the ones available to the European Commission for data on projections not reported by the Member States;</w:t>
      </w:r>
    </w:p>
    <w:p w:rsidR="00926A0D" w:rsidRDefault="006023A9">
      <w:pPr>
        <w:pStyle w:val="Point0letter"/>
        <w:rPr>
          <w:noProof/>
        </w:rPr>
      </w:pPr>
      <w:r>
        <w:rPr>
          <w:noProof/>
        </w:rPr>
        <w:t>compiling data, wherever available taken from European statistics and appropriate in terms of timing, as required for the State of the Energy Union report to the European Parliament and the Council prepared by the Commission;</w:t>
      </w:r>
    </w:p>
    <w:p w:rsidR="00926A0D" w:rsidRDefault="006023A9">
      <w:pPr>
        <w:pStyle w:val="Point0letter"/>
        <w:rPr>
          <w:noProof/>
        </w:rPr>
      </w:pPr>
      <w:r>
        <w:rPr>
          <w:noProof/>
        </w:rPr>
        <w:t>disseminating information collected under this Regulation, including maintaining and updating a database on Member States’ mitigation policies and measures and the European Climate Adaptation Platform relating to impacts, vulnerabilities and adaptation to climate change</w:t>
      </w:r>
      <w:r w:rsidR="00B83D62">
        <w:rPr>
          <w:noProof/>
        </w:rPr>
        <w:t>;</w:t>
      </w:r>
    </w:p>
    <w:p w:rsidR="00926A0D" w:rsidRDefault="006023A9">
      <w:pPr>
        <w:pStyle w:val="Point0letter"/>
        <w:rPr>
          <w:noProof/>
        </w:rPr>
      </w:pPr>
      <w:r>
        <w:rPr>
          <w:noProof/>
        </w:rPr>
        <w:t>performing quality assurance and quality control procedures in the preparation of the Union greenhouse gas inventory;</w:t>
      </w:r>
    </w:p>
    <w:p w:rsidR="00926A0D" w:rsidRDefault="006023A9">
      <w:pPr>
        <w:pStyle w:val="Point0letter"/>
        <w:rPr>
          <w:noProof/>
        </w:rPr>
      </w:pPr>
      <w:r>
        <w:rPr>
          <w:noProof/>
        </w:rPr>
        <w:t>compiling the Union greenhouse gas inventory and preparing the Union greenhouse gas inventory report;</w:t>
      </w:r>
    </w:p>
    <w:p w:rsidR="00926A0D" w:rsidRDefault="006023A9">
      <w:pPr>
        <w:pStyle w:val="Point0letter"/>
        <w:rPr>
          <w:noProof/>
        </w:rPr>
      </w:pPr>
      <w:r>
        <w:rPr>
          <w:noProof/>
        </w:rPr>
        <w:t>preparing estimates for data not reported in the national greenhouse gas inventories;</w:t>
      </w:r>
    </w:p>
    <w:p w:rsidR="00926A0D" w:rsidRDefault="006023A9">
      <w:pPr>
        <w:pStyle w:val="Point0letter"/>
        <w:rPr>
          <w:noProof/>
        </w:rPr>
      </w:pPr>
      <w:r>
        <w:rPr>
          <w:noProof/>
        </w:rPr>
        <w:t>conducting the review referred to in Article 31;</w:t>
      </w:r>
    </w:p>
    <w:p w:rsidR="00926A0D" w:rsidRDefault="006023A9">
      <w:pPr>
        <w:pStyle w:val="Point0letter"/>
        <w:rPr>
          <w:noProof/>
        </w:rPr>
      </w:pPr>
      <w:r>
        <w:rPr>
          <w:noProof/>
        </w:rPr>
        <w:t>compiling the Union approximated greenhouse gas inventory.</w:t>
      </w:r>
    </w:p>
    <w:p w:rsidR="00926A0D" w:rsidRDefault="006023A9">
      <w:pPr>
        <w:pStyle w:val="PartTitle"/>
        <w:rPr>
          <w:noProof/>
        </w:rPr>
      </w:pPr>
      <w:r>
        <w:rPr>
          <w:noProof/>
        </w:rPr>
        <w:lastRenderedPageBreak/>
        <w:t>CHAPTER 8</w:t>
      </w:r>
      <w:r>
        <w:rPr>
          <w:noProof/>
        </w:rPr>
        <w:br/>
        <w:t>DELEGATION</w:t>
      </w:r>
    </w:p>
    <w:p w:rsidR="00926A0D" w:rsidRDefault="006023A9">
      <w:pPr>
        <w:pStyle w:val="Titrearticle"/>
        <w:rPr>
          <w:noProof/>
        </w:rPr>
      </w:pPr>
      <w:r>
        <w:rPr>
          <w:noProof/>
        </w:rPr>
        <w:t>Article 36</w:t>
      </w:r>
      <w:r>
        <w:rPr>
          <w:noProof/>
        </w:rPr>
        <w:br/>
      </w:r>
      <w:r>
        <w:rPr>
          <w:b/>
          <w:i w:val="0"/>
          <w:noProof/>
          <w:szCs w:val="24"/>
        </w:rPr>
        <w:t>Exercise of the delegation</w:t>
      </w:r>
    </w:p>
    <w:p w:rsidR="00926A0D" w:rsidRDefault="006023A9">
      <w:pPr>
        <w:rPr>
          <w:noProof/>
          <w:szCs w:val="24"/>
        </w:rPr>
      </w:pPr>
      <w:r>
        <w:rPr>
          <w:noProof/>
        </w:rPr>
        <w:t>1.</w:t>
      </w:r>
      <w:r>
        <w:rPr>
          <w:noProof/>
        </w:rPr>
        <w:tab/>
      </w:r>
      <w:r>
        <w:rPr>
          <w:noProof/>
          <w:szCs w:val="24"/>
        </w:rPr>
        <w:t>The power to adopt</w:t>
      </w:r>
      <w:r>
        <w:rPr>
          <w:noProof/>
        </w:rPr>
        <w:t xml:space="preserve"> </w:t>
      </w:r>
      <w:r>
        <w:rPr>
          <w:noProof/>
          <w:szCs w:val="24"/>
        </w:rPr>
        <w:t>delegated acts is conferred on the Commission subject to the conditions laid down in this Article.</w:t>
      </w:r>
    </w:p>
    <w:p w:rsidR="00926A0D" w:rsidRDefault="006023A9">
      <w:pPr>
        <w:rPr>
          <w:noProof/>
        </w:rPr>
      </w:pPr>
      <w:r>
        <w:rPr>
          <w:noProof/>
        </w:rPr>
        <w:t>2.</w:t>
      </w:r>
      <w:r>
        <w:rPr>
          <w:noProof/>
        </w:rPr>
        <w:tab/>
      </w:r>
      <w:r>
        <w:rPr>
          <w:noProof/>
          <w:szCs w:val="24"/>
        </w:rPr>
        <w:t xml:space="preserve">The power to adopt delegated acts referred to in </w:t>
      </w:r>
      <w:r>
        <w:rPr>
          <w:noProof/>
        </w:rPr>
        <w:t>Articles</w:t>
      </w:r>
      <w:r>
        <w:rPr>
          <w:noProof/>
          <w:szCs w:val="24"/>
        </w:rPr>
        <w:t xml:space="preserve"> </w:t>
      </w:r>
      <w:r>
        <w:rPr>
          <w:noProof/>
        </w:rPr>
        <w:t>3(</w:t>
      </w:r>
      <w:r>
        <w:rPr>
          <w:noProof/>
          <w:szCs w:val="24"/>
        </w:rPr>
        <w:t>4</w:t>
      </w:r>
      <w:r>
        <w:rPr>
          <w:noProof/>
        </w:rPr>
        <w:t xml:space="preserve">), 23(5), 27(4), 30(6) and 33(4) shall be conferred on the Commission for a period of </w:t>
      </w:r>
      <w:r w:rsidR="000C3B4D">
        <w:rPr>
          <w:noProof/>
        </w:rPr>
        <w:t>five</w:t>
      </w:r>
      <w:r>
        <w:rPr>
          <w:noProof/>
        </w:rPr>
        <w:t xml:space="preserve"> years from </w:t>
      </w:r>
      <w:r w:rsidR="000C3B4D">
        <w:rPr>
          <w:noProof/>
        </w:rPr>
        <w:t>[the date of entry into force of this Regulation]</w:t>
      </w:r>
      <w:r>
        <w:rPr>
          <w:noProof/>
        </w:rPr>
        <w:t xml:space="preserve">. The Commission shall draw up a report in respect of the delegation of power not later than </w:t>
      </w:r>
      <w:r w:rsidR="000C3B4D">
        <w:rPr>
          <w:noProof/>
        </w:rPr>
        <w:t>nine</w:t>
      </w:r>
      <w:r>
        <w:rPr>
          <w:noProof/>
        </w:rPr>
        <w:t xml:space="preserve"> months before the end of the </w:t>
      </w:r>
      <w:r w:rsidR="000C3B4D">
        <w:rPr>
          <w:noProof/>
        </w:rPr>
        <w:t>five</w:t>
      </w:r>
      <w:r>
        <w:rPr>
          <w:noProof/>
        </w:rPr>
        <w:t>-year period. The delegation of power shall be tacitly extended for periods of an identical duration, unless the European Parliament or the Council opposes such extension not later than three months before the end of each period.</w:t>
      </w:r>
    </w:p>
    <w:p w:rsidR="00926A0D" w:rsidRDefault="006023A9">
      <w:pPr>
        <w:rPr>
          <w:noProof/>
        </w:rPr>
      </w:pPr>
      <w:r>
        <w:rPr>
          <w:noProof/>
        </w:rPr>
        <w:t>3.</w:t>
      </w:r>
      <w:r>
        <w:rPr>
          <w:noProof/>
        </w:rPr>
        <w:tab/>
        <w:t>The delegation of power referred to in Articles 3(4), 23(5), 27(4), 30(6) and 33(4)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rsidR="00926A0D" w:rsidRDefault="006023A9">
      <w:pPr>
        <w:rPr>
          <w:noProof/>
        </w:rPr>
      </w:pPr>
      <w:r>
        <w:rPr>
          <w:noProof/>
        </w:rPr>
        <w:t>4.</w:t>
      </w:r>
      <w:r>
        <w:rPr>
          <w:noProof/>
        </w:rPr>
        <w:tab/>
        <w:t>Before adopting a delegated act, the Commission shall consult experts designated by each Member State in accordance with the principles laid down in the Interinstitutional Agreement on Better Law-Making of 13 April 2016.</w:t>
      </w:r>
    </w:p>
    <w:p w:rsidR="00926A0D" w:rsidRDefault="006023A9">
      <w:pPr>
        <w:rPr>
          <w:noProof/>
        </w:rPr>
      </w:pPr>
      <w:r>
        <w:rPr>
          <w:noProof/>
        </w:rPr>
        <w:t>5.</w:t>
      </w:r>
      <w:r>
        <w:rPr>
          <w:noProof/>
        </w:rPr>
        <w:tab/>
        <w:t>As soon as it adopts a delegated act, the Commission shall notify it simultaneously to the European Parliament and to the Council.</w:t>
      </w:r>
    </w:p>
    <w:p w:rsidR="00926A0D" w:rsidRDefault="006023A9">
      <w:pPr>
        <w:rPr>
          <w:noProof/>
          <w:szCs w:val="24"/>
          <w:lang w:val="en"/>
        </w:rPr>
      </w:pPr>
      <w:r>
        <w:rPr>
          <w:noProof/>
        </w:rPr>
        <w:t>6.</w:t>
      </w:r>
      <w:r>
        <w:rPr>
          <w:noProof/>
        </w:rPr>
        <w:tab/>
        <w:t>A delegated act adopted pursuant to Articles 3(4), 23(5), 27(4), 30(6) and 33(4)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926A0D" w:rsidRDefault="006023A9">
      <w:pPr>
        <w:pStyle w:val="PartTitle"/>
        <w:rPr>
          <w:noProof/>
        </w:rPr>
      </w:pPr>
      <w:r>
        <w:rPr>
          <w:noProof/>
        </w:rPr>
        <w:lastRenderedPageBreak/>
        <w:t>CHAPTER 9</w:t>
      </w:r>
      <w:r>
        <w:rPr>
          <w:noProof/>
        </w:rPr>
        <w:br/>
        <w:t>FINAL PROVISIONS</w:t>
      </w:r>
    </w:p>
    <w:p w:rsidR="00926A0D" w:rsidRDefault="006023A9">
      <w:pPr>
        <w:pStyle w:val="Titrearticle"/>
        <w:rPr>
          <w:noProof/>
        </w:rPr>
      </w:pPr>
      <w:r>
        <w:rPr>
          <w:noProof/>
        </w:rPr>
        <w:t>Article 37</w:t>
      </w:r>
      <w:r>
        <w:rPr>
          <w:noProof/>
        </w:rPr>
        <w:br/>
      </w:r>
      <w:r>
        <w:rPr>
          <w:b/>
          <w:i w:val="0"/>
          <w:noProof/>
        </w:rPr>
        <w:t>Energy Union Committee</w:t>
      </w:r>
    </w:p>
    <w:p w:rsidR="00926A0D" w:rsidRPr="0076006B" w:rsidRDefault="006023A9">
      <w:pPr>
        <w:rPr>
          <w:color w:val="000000" w:themeColor="text1"/>
        </w:rPr>
      </w:pPr>
      <w:r w:rsidRPr="0076006B">
        <w:rPr>
          <w:color w:val="000000" w:themeColor="text1"/>
        </w:rPr>
        <w:t>1.</w:t>
      </w:r>
      <w:r w:rsidRPr="0076006B">
        <w:rPr>
          <w:color w:val="000000" w:themeColor="text1"/>
        </w:rPr>
        <w:tab/>
        <w:t>The Commission shall be assisted by an Energy Union Committee. That committee shall be a committee within the meaning of Regulation (EU) No 182/2011 and work in the respective sectorial formations relevant for this Regulation.</w:t>
      </w:r>
    </w:p>
    <w:p w:rsidR="00A36E4C" w:rsidRPr="0076006B" w:rsidRDefault="006023A9">
      <w:pPr>
        <w:rPr>
          <w:color w:val="000000" w:themeColor="text1"/>
        </w:rPr>
      </w:pPr>
      <w:r w:rsidRPr="0076006B">
        <w:rPr>
          <w:color w:val="000000" w:themeColor="text1"/>
        </w:rPr>
        <w:t>2.</w:t>
      </w:r>
      <w:r w:rsidRPr="0076006B">
        <w:rPr>
          <w:color w:val="000000" w:themeColor="text1"/>
        </w:rPr>
        <w:tab/>
      </w:r>
      <w:r w:rsidR="00A36E4C" w:rsidRPr="0076006B">
        <w:rPr>
          <w:color w:val="000000" w:themeColor="text1"/>
        </w:rPr>
        <w:t xml:space="preserve">This </w:t>
      </w:r>
      <w:r w:rsidR="00E12245">
        <w:rPr>
          <w:color w:val="000000" w:themeColor="text1"/>
        </w:rPr>
        <w:t>C</w:t>
      </w:r>
      <w:r w:rsidR="00A36E4C" w:rsidRPr="0076006B">
        <w:rPr>
          <w:color w:val="000000" w:themeColor="text1"/>
        </w:rPr>
        <w:t xml:space="preserve">ommittee replaces the committee </w:t>
      </w:r>
      <w:r w:rsidR="001471A9" w:rsidRPr="0076006B">
        <w:rPr>
          <w:noProof/>
          <w:color w:val="000000" w:themeColor="text1"/>
          <w:szCs w:val="24"/>
        </w:rPr>
        <w:t xml:space="preserve">established by Article 8 of Decision 93/389/EEC, Article 9 of Decision 280/2004/EC and Article 26 of Regulation (EU) </w:t>
      </w:r>
      <w:r w:rsidR="00744AB8">
        <w:rPr>
          <w:noProof/>
          <w:color w:val="000000" w:themeColor="text1"/>
          <w:szCs w:val="24"/>
        </w:rPr>
        <w:t xml:space="preserve">No </w:t>
      </w:r>
      <w:r w:rsidR="001471A9" w:rsidRPr="0076006B">
        <w:rPr>
          <w:noProof/>
          <w:color w:val="000000" w:themeColor="text1"/>
          <w:szCs w:val="24"/>
        </w:rPr>
        <w:t>525/2013</w:t>
      </w:r>
      <w:r w:rsidR="00A36E4C" w:rsidRPr="0076006B">
        <w:rPr>
          <w:noProof/>
          <w:color w:val="000000" w:themeColor="text1"/>
          <w:szCs w:val="24"/>
        </w:rPr>
        <w:t>.</w:t>
      </w:r>
      <w:r w:rsidR="00A36E4C" w:rsidRPr="0076006B">
        <w:rPr>
          <w:color w:val="000000" w:themeColor="text1"/>
        </w:rPr>
        <w:t xml:space="preserve"> References to the committee set up pursuant to those legal acts shall be construed as references to the committee </w:t>
      </w:r>
      <w:r w:rsidR="001471A9" w:rsidRPr="0076006B">
        <w:rPr>
          <w:noProof/>
          <w:color w:val="000000" w:themeColor="text1"/>
          <w:szCs w:val="24"/>
        </w:rPr>
        <w:t>established</w:t>
      </w:r>
      <w:r w:rsidR="00A36E4C" w:rsidRPr="0076006B">
        <w:rPr>
          <w:color w:val="000000" w:themeColor="text1"/>
        </w:rPr>
        <w:t xml:space="preserve"> by this Regulation.</w:t>
      </w:r>
    </w:p>
    <w:p w:rsidR="00926A0D" w:rsidRPr="0076006B" w:rsidRDefault="00A36E4C">
      <w:pPr>
        <w:rPr>
          <w:color w:val="000000" w:themeColor="text1"/>
        </w:rPr>
      </w:pPr>
      <w:r w:rsidRPr="0076006B">
        <w:rPr>
          <w:color w:val="000000" w:themeColor="text1"/>
        </w:rPr>
        <w:t>3</w:t>
      </w:r>
      <w:r w:rsidR="006023A9" w:rsidRPr="0076006B">
        <w:rPr>
          <w:color w:val="000000" w:themeColor="text1"/>
        </w:rPr>
        <w:t>.</w:t>
      </w:r>
      <w:r w:rsidR="006023A9" w:rsidRPr="0076006B">
        <w:rPr>
          <w:color w:val="000000" w:themeColor="text1"/>
        </w:rPr>
        <w:tab/>
        <w:t>Where reference is made to this article, Article 5 of Regulation (EU) No 182/2011 shall apply.</w:t>
      </w:r>
    </w:p>
    <w:p w:rsidR="00926A0D" w:rsidRDefault="006023A9">
      <w:pPr>
        <w:pStyle w:val="Titrearticle"/>
        <w:rPr>
          <w:noProof/>
          <w:szCs w:val="24"/>
        </w:rPr>
      </w:pPr>
      <w:r>
        <w:rPr>
          <w:noProof/>
        </w:rPr>
        <w:t xml:space="preserve">Article </w:t>
      </w:r>
      <w:r>
        <w:rPr>
          <w:noProof/>
          <w:szCs w:val="24"/>
        </w:rPr>
        <w:t>38</w:t>
      </w:r>
      <w:r>
        <w:rPr>
          <w:noProof/>
          <w:szCs w:val="24"/>
        </w:rPr>
        <w:br/>
      </w:r>
      <w:r>
        <w:rPr>
          <w:b/>
          <w:i w:val="0"/>
          <w:noProof/>
          <w:szCs w:val="24"/>
        </w:rPr>
        <w:t>Review</w:t>
      </w:r>
    </w:p>
    <w:p w:rsidR="00926A0D" w:rsidRDefault="006023A9">
      <w:pPr>
        <w:rPr>
          <w:noProof/>
          <w:szCs w:val="24"/>
        </w:rPr>
      </w:pPr>
      <w:r>
        <w:rPr>
          <w:rFonts w:eastAsia="Times New Roman"/>
          <w:noProof/>
          <w:color w:val="000000"/>
          <w:szCs w:val="24"/>
          <w:lang w:eastAsia="en-GB"/>
        </w:rPr>
        <w:t>The Commission shall report to the European Parliament and to the Council by 28 February 2026 and every five years thereafter on the operation of this Regulation, its contribution to the Governance of the Energy Union and the conformity of the planning, reporting and monitoring provisions of this Regulation with other Union legislation or future decisions relating to the UNFCCC and the Paris Agreement. The Commission may make proposals if appropriate.</w:t>
      </w:r>
    </w:p>
    <w:p w:rsidR="00926A0D" w:rsidRDefault="006023A9">
      <w:pPr>
        <w:pStyle w:val="Titrearticle"/>
        <w:rPr>
          <w:noProof/>
        </w:rPr>
      </w:pPr>
      <w:r>
        <w:rPr>
          <w:noProof/>
        </w:rPr>
        <w:t xml:space="preserve">Article </w:t>
      </w:r>
      <w:r w:rsidR="00FC5D7E">
        <w:rPr>
          <w:noProof/>
        </w:rPr>
        <w:t>39</w:t>
      </w:r>
      <w:r>
        <w:rPr>
          <w:noProof/>
        </w:rPr>
        <w:br/>
      </w:r>
      <w:r>
        <w:rPr>
          <w:b/>
          <w:i w:val="0"/>
          <w:noProof/>
          <w:szCs w:val="24"/>
        </w:rPr>
        <w:t>Amendments to Directive 94/22/EC</w:t>
      </w:r>
    </w:p>
    <w:p w:rsidR="00926A0D" w:rsidRDefault="006023A9">
      <w:pPr>
        <w:rPr>
          <w:noProof/>
        </w:rPr>
      </w:pPr>
      <w:r>
        <w:rPr>
          <w:noProof/>
        </w:rPr>
        <w:t>Directive 94/22/EC is amended as follows:</w:t>
      </w:r>
    </w:p>
    <w:p w:rsidR="00926A0D" w:rsidRDefault="006023A9">
      <w:pPr>
        <w:pStyle w:val="Point1number"/>
        <w:rPr>
          <w:noProof/>
        </w:rPr>
      </w:pPr>
      <w:r>
        <w:rPr>
          <w:noProof/>
        </w:rPr>
        <w:t>in Article 8, paragraph 2 is deleted;</w:t>
      </w:r>
    </w:p>
    <w:p w:rsidR="00926A0D" w:rsidRDefault="006023A9">
      <w:pPr>
        <w:pStyle w:val="Point1number"/>
        <w:rPr>
          <w:noProof/>
        </w:rPr>
      </w:pPr>
      <w:r>
        <w:rPr>
          <w:noProof/>
        </w:rPr>
        <w:t>Article 9 is deleted</w:t>
      </w:r>
      <w:r w:rsidR="00B83D62">
        <w:rPr>
          <w:noProof/>
        </w:rPr>
        <w:t>.</w:t>
      </w:r>
    </w:p>
    <w:p w:rsidR="00926A0D" w:rsidRDefault="006023A9">
      <w:pPr>
        <w:pStyle w:val="Titrearticle"/>
        <w:rPr>
          <w:noProof/>
        </w:rPr>
      </w:pPr>
      <w:r>
        <w:rPr>
          <w:noProof/>
        </w:rPr>
        <w:t>Article 4</w:t>
      </w:r>
      <w:r w:rsidR="00FC5D7E">
        <w:rPr>
          <w:noProof/>
        </w:rPr>
        <w:t>0</w:t>
      </w:r>
      <w:r>
        <w:rPr>
          <w:noProof/>
        </w:rPr>
        <w:br/>
      </w:r>
      <w:r>
        <w:rPr>
          <w:b/>
          <w:noProof/>
        </w:rPr>
        <w:t>Amendments to Directive 98/70/EC</w:t>
      </w:r>
    </w:p>
    <w:p w:rsidR="00926A0D" w:rsidRDefault="006023A9">
      <w:pPr>
        <w:rPr>
          <w:noProof/>
        </w:rPr>
      </w:pPr>
      <w:r>
        <w:rPr>
          <w:noProof/>
        </w:rPr>
        <w:t xml:space="preserve">Directive 98/70/EC is amended as follows: </w:t>
      </w:r>
    </w:p>
    <w:p w:rsidR="00926A0D" w:rsidRDefault="00C50C1D" w:rsidP="00AF12E0">
      <w:pPr>
        <w:pStyle w:val="Point1number"/>
        <w:numPr>
          <w:ilvl w:val="2"/>
          <w:numId w:val="50"/>
        </w:numPr>
        <w:rPr>
          <w:noProof/>
        </w:rPr>
      </w:pPr>
      <w:r>
        <w:rPr>
          <w:noProof/>
        </w:rPr>
        <w:t>i</w:t>
      </w:r>
      <w:r w:rsidR="006023A9">
        <w:rPr>
          <w:noProof/>
        </w:rPr>
        <w:t>n Article 8(4), the second sentence is deleted;</w:t>
      </w:r>
    </w:p>
    <w:p w:rsidR="00926A0D" w:rsidRDefault="006023A9">
      <w:pPr>
        <w:pStyle w:val="Point1number"/>
        <w:rPr>
          <w:noProof/>
        </w:rPr>
      </w:pPr>
      <w:r>
        <w:rPr>
          <w:noProof/>
        </w:rPr>
        <w:t>in the third subparagraph of Article 7a(1), point (a) is replaced by the following:</w:t>
      </w:r>
    </w:p>
    <w:p w:rsidR="00926A0D" w:rsidRDefault="006023A9">
      <w:pPr>
        <w:pStyle w:val="Text1"/>
        <w:rPr>
          <w:noProof/>
        </w:rPr>
      </w:pPr>
      <w:r>
        <w:rPr>
          <w:noProof/>
        </w:rPr>
        <w:t>"the total volume of each type of fuel or energy supplied; and";</w:t>
      </w:r>
    </w:p>
    <w:p w:rsidR="00926A0D" w:rsidRDefault="006023A9">
      <w:pPr>
        <w:pStyle w:val="Point1number"/>
        <w:rPr>
          <w:noProof/>
        </w:rPr>
      </w:pPr>
      <w:r>
        <w:rPr>
          <w:noProof/>
        </w:rPr>
        <w:t>in Article 7a(2), the first sentence is replaced by the following:</w:t>
      </w:r>
    </w:p>
    <w:p w:rsidR="00926A0D" w:rsidRDefault="006023A9">
      <w:pPr>
        <w:pStyle w:val="Text1"/>
        <w:rPr>
          <w:noProof/>
        </w:rPr>
      </w:pPr>
      <w:r>
        <w:rPr>
          <w:noProof/>
        </w:rPr>
        <w:t>"Member States shall require suppliers to reduce as gradually as possible life cycle greenhouse gas emissions per unit of energy from fuel and energy supplied by up to 10 % by 31 December 2020, compared with the fuel baseline standard set out in Annex II to Council Directive (EU) 2015/652</w:t>
      </w:r>
      <w:r w:rsidR="00B83D62">
        <w:rPr>
          <w:noProof/>
        </w:rPr>
        <w:t>.</w:t>
      </w:r>
      <w:r>
        <w:rPr>
          <w:noProof/>
        </w:rPr>
        <w:t>".</w:t>
      </w:r>
    </w:p>
    <w:p w:rsidR="00926A0D" w:rsidRDefault="006023A9">
      <w:pPr>
        <w:pStyle w:val="Titrearticle"/>
        <w:rPr>
          <w:noProof/>
        </w:rPr>
      </w:pPr>
      <w:r>
        <w:rPr>
          <w:noProof/>
        </w:rPr>
        <w:lastRenderedPageBreak/>
        <w:t>Article 4</w:t>
      </w:r>
      <w:r w:rsidR="00FC5D7E">
        <w:rPr>
          <w:noProof/>
        </w:rPr>
        <w:t>1</w:t>
      </w:r>
      <w:r>
        <w:rPr>
          <w:noProof/>
        </w:rPr>
        <w:br/>
      </w:r>
      <w:r>
        <w:rPr>
          <w:b/>
          <w:noProof/>
        </w:rPr>
        <w:t>Amendment to Directive 2009/31/EC</w:t>
      </w:r>
    </w:p>
    <w:p w:rsidR="00926A0D" w:rsidRDefault="006023A9">
      <w:pPr>
        <w:rPr>
          <w:noProof/>
        </w:rPr>
      </w:pPr>
      <w:r>
        <w:rPr>
          <w:noProof/>
        </w:rPr>
        <w:t>In Article 38 of Directive 2009/31/EC, paragraph 1 is deleted.</w:t>
      </w:r>
    </w:p>
    <w:p w:rsidR="00926A0D" w:rsidRDefault="006023A9">
      <w:pPr>
        <w:pStyle w:val="Titrearticle"/>
        <w:rPr>
          <w:noProof/>
        </w:rPr>
      </w:pPr>
      <w:r>
        <w:rPr>
          <w:noProof/>
        </w:rPr>
        <w:t>Article 4</w:t>
      </w:r>
      <w:r w:rsidR="00FC5D7E">
        <w:rPr>
          <w:noProof/>
        </w:rPr>
        <w:t>2</w:t>
      </w:r>
      <w:r>
        <w:rPr>
          <w:noProof/>
        </w:rPr>
        <w:br/>
      </w:r>
      <w:r>
        <w:rPr>
          <w:b/>
          <w:noProof/>
        </w:rPr>
        <w:t xml:space="preserve">Amendments to Regulation </w:t>
      </w:r>
      <w:r w:rsidR="00CA1373">
        <w:rPr>
          <w:b/>
          <w:noProof/>
        </w:rPr>
        <w:t xml:space="preserve">(EC) No </w:t>
      </w:r>
      <w:r>
        <w:rPr>
          <w:b/>
          <w:noProof/>
        </w:rPr>
        <w:t>663/2009</w:t>
      </w:r>
    </w:p>
    <w:p w:rsidR="00926A0D" w:rsidRDefault="006023A9">
      <w:pPr>
        <w:rPr>
          <w:noProof/>
        </w:rPr>
      </w:pPr>
      <w:r>
        <w:rPr>
          <w:noProof/>
        </w:rPr>
        <w:t xml:space="preserve">Regulation </w:t>
      </w:r>
      <w:r w:rsidR="00CA1373">
        <w:rPr>
          <w:noProof/>
        </w:rPr>
        <w:t xml:space="preserve">(EC) No </w:t>
      </w:r>
      <w:r>
        <w:rPr>
          <w:noProof/>
        </w:rPr>
        <w:t>663/2009 is amended as follows:</w:t>
      </w:r>
    </w:p>
    <w:p w:rsidR="00926A0D" w:rsidRDefault="006023A9" w:rsidP="0076006B">
      <w:pPr>
        <w:pStyle w:val="Point2number"/>
        <w:numPr>
          <w:ilvl w:val="4"/>
          <w:numId w:val="26"/>
        </w:numPr>
        <w:rPr>
          <w:noProof/>
        </w:rPr>
      </w:pPr>
      <w:r>
        <w:rPr>
          <w:noProof/>
        </w:rPr>
        <w:t>in Article 27, paragraphs 1 and 3 are deleted;</w:t>
      </w:r>
    </w:p>
    <w:p w:rsidR="00926A0D" w:rsidRDefault="006023A9">
      <w:pPr>
        <w:pStyle w:val="Point2number"/>
        <w:rPr>
          <w:noProof/>
        </w:rPr>
      </w:pPr>
      <w:r>
        <w:rPr>
          <w:noProof/>
        </w:rPr>
        <w:t>Article 28 is deleted.</w:t>
      </w:r>
    </w:p>
    <w:p w:rsidR="00926A0D" w:rsidRDefault="006023A9">
      <w:pPr>
        <w:pStyle w:val="Titrearticle"/>
        <w:rPr>
          <w:noProof/>
        </w:rPr>
      </w:pPr>
      <w:r>
        <w:rPr>
          <w:noProof/>
        </w:rPr>
        <w:t>Article 4</w:t>
      </w:r>
      <w:r w:rsidR="00FC5D7E">
        <w:rPr>
          <w:noProof/>
        </w:rPr>
        <w:t>3</w:t>
      </w:r>
      <w:r>
        <w:rPr>
          <w:noProof/>
        </w:rPr>
        <w:br/>
      </w:r>
      <w:r>
        <w:rPr>
          <w:b/>
          <w:noProof/>
        </w:rPr>
        <w:t xml:space="preserve">Amendment to Regulation (EC) </w:t>
      </w:r>
      <w:r w:rsidR="00CA1373">
        <w:rPr>
          <w:b/>
          <w:noProof/>
        </w:rPr>
        <w:t xml:space="preserve">No </w:t>
      </w:r>
      <w:r>
        <w:rPr>
          <w:b/>
          <w:noProof/>
        </w:rPr>
        <w:t>715/2009</w:t>
      </w:r>
    </w:p>
    <w:p w:rsidR="00926A0D" w:rsidRDefault="006023A9">
      <w:pPr>
        <w:rPr>
          <w:noProof/>
        </w:rPr>
      </w:pPr>
      <w:r>
        <w:rPr>
          <w:noProof/>
        </w:rPr>
        <w:t xml:space="preserve">Article 29 of Regulation (EC) </w:t>
      </w:r>
      <w:r w:rsidR="00CA1373">
        <w:rPr>
          <w:noProof/>
        </w:rPr>
        <w:t xml:space="preserve">No </w:t>
      </w:r>
      <w:r>
        <w:rPr>
          <w:noProof/>
        </w:rPr>
        <w:t>715/2009 is deleted.</w:t>
      </w:r>
    </w:p>
    <w:p w:rsidR="00926A0D" w:rsidRDefault="006023A9">
      <w:pPr>
        <w:pStyle w:val="Titrearticle"/>
        <w:rPr>
          <w:noProof/>
        </w:rPr>
      </w:pPr>
      <w:r>
        <w:rPr>
          <w:noProof/>
        </w:rPr>
        <w:t>Article 4</w:t>
      </w:r>
      <w:r w:rsidR="00FC5D7E">
        <w:rPr>
          <w:noProof/>
        </w:rPr>
        <w:t>4</w:t>
      </w:r>
      <w:r>
        <w:rPr>
          <w:noProof/>
        </w:rPr>
        <w:br/>
      </w:r>
      <w:r>
        <w:rPr>
          <w:b/>
          <w:noProof/>
        </w:rPr>
        <w:t>Amendments to Directive 2009/73/EC</w:t>
      </w:r>
    </w:p>
    <w:p w:rsidR="00926A0D" w:rsidRDefault="006023A9">
      <w:pPr>
        <w:rPr>
          <w:noProof/>
        </w:rPr>
      </w:pPr>
      <w:r>
        <w:rPr>
          <w:noProof/>
        </w:rPr>
        <w:t>Directive 2009/73/EC is amended as follows:</w:t>
      </w:r>
    </w:p>
    <w:p w:rsidR="00926A0D" w:rsidRDefault="006023A9" w:rsidP="0076006B">
      <w:pPr>
        <w:pStyle w:val="Point2number"/>
        <w:numPr>
          <w:ilvl w:val="4"/>
          <w:numId w:val="27"/>
        </w:numPr>
        <w:rPr>
          <w:noProof/>
        </w:rPr>
      </w:pPr>
      <w:r>
        <w:rPr>
          <w:noProof/>
        </w:rPr>
        <w:t xml:space="preserve">Article 5 is deleted; </w:t>
      </w:r>
    </w:p>
    <w:p w:rsidR="00926A0D" w:rsidRDefault="006023A9">
      <w:pPr>
        <w:pStyle w:val="Point2number"/>
        <w:rPr>
          <w:noProof/>
        </w:rPr>
      </w:pPr>
      <w:r>
        <w:rPr>
          <w:noProof/>
        </w:rPr>
        <w:t xml:space="preserve">Article 52 is replaced by the following: </w:t>
      </w:r>
    </w:p>
    <w:p w:rsidR="00926A0D" w:rsidRDefault="006023A9">
      <w:pPr>
        <w:pStyle w:val="Text3"/>
        <w:rPr>
          <w:i/>
          <w:noProof/>
        </w:rPr>
      </w:pPr>
      <w:r>
        <w:rPr>
          <w:i/>
          <w:noProof/>
        </w:rPr>
        <w:t>"Article 52</w:t>
      </w:r>
    </w:p>
    <w:p w:rsidR="00926A0D" w:rsidRDefault="006023A9">
      <w:pPr>
        <w:pStyle w:val="Text3"/>
        <w:rPr>
          <w:noProof/>
        </w:rPr>
      </w:pPr>
      <w:r>
        <w:rPr>
          <w:b/>
          <w:noProof/>
          <w:lang w:val="en"/>
        </w:rPr>
        <w:t>Reporting</w:t>
      </w:r>
    </w:p>
    <w:p w:rsidR="00926A0D" w:rsidRDefault="006023A9">
      <w:pPr>
        <w:pStyle w:val="Text1"/>
        <w:ind w:left="1984"/>
        <w:rPr>
          <w:noProof/>
        </w:rPr>
      </w:pPr>
      <w:r>
        <w:rPr>
          <w:noProof/>
        </w:rPr>
        <w:t xml:space="preserve">The Commission shall monitor and review the application of this Directive and submit an overall progress report to the European Parliament and the Council as an annex to the State of the Energy Union Report referred to in Article </w:t>
      </w:r>
      <w:r w:rsidR="00F94257">
        <w:rPr>
          <w:noProof/>
        </w:rPr>
        <w:t>29</w:t>
      </w:r>
      <w:r>
        <w:rPr>
          <w:noProof/>
        </w:rPr>
        <w:t xml:space="preserve"> of Regulation </w:t>
      </w:r>
      <w:r w:rsidR="00A61669">
        <w:rPr>
          <w:noProof/>
        </w:rPr>
        <w:t>[</w:t>
      </w:r>
      <w:r>
        <w:rPr>
          <w:noProof/>
        </w:rPr>
        <w:t>XX/20XX</w:t>
      </w:r>
      <w:r w:rsidR="00A61669">
        <w:rPr>
          <w:noProof/>
        </w:rPr>
        <w:t>] [</w:t>
      </w:r>
      <w:r>
        <w:rPr>
          <w:noProof/>
        </w:rPr>
        <w:t>this regulation]."</w:t>
      </w:r>
      <w:r w:rsidR="002B3CBF">
        <w:rPr>
          <w:noProof/>
        </w:rPr>
        <w:t>.</w:t>
      </w:r>
    </w:p>
    <w:p w:rsidR="00926A0D" w:rsidRDefault="006023A9">
      <w:pPr>
        <w:pStyle w:val="Titrearticle"/>
        <w:rPr>
          <w:noProof/>
        </w:rPr>
      </w:pPr>
      <w:r>
        <w:rPr>
          <w:noProof/>
        </w:rPr>
        <w:t>Article 4</w:t>
      </w:r>
      <w:r w:rsidR="00FC5D7E">
        <w:rPr>
          <w:noProof/>
        </w:rPr>
        <w:t>5</w:t>
      </w:r>
      <w:r>
        <w:rPr>
          <w:noProof/>
        </w:rPr>
        <w:br/>
      </w:r>
      <w:r>
        <w:rPr>
          <w:b/>
          <w:noProof/>
        </w:rPr>
        <w:t>Amendment to Council Directive 2009/119/EC</w:t>
      </w:r>
    </w:p>
    <w:p w:rsidR="00926A0D" w:rsidRDefault="006023A9">
      <w:pPr>
        <w:rPr>
          <w:noProof/>
        </w:rPr>
      </w:pPr>
      <w:r>
        <w:rPr>
          <w:noProof/>
        </w:rPr>
        <w:t>In Article 6 of Council Directive 2009/119/EC, paragraph 2 is replaced by the following:</w:t>
      </w:r>
    </w:p>
    <w:p w:rsidR="00926A0D" w:rsidRDefault="006023A9">
      <w:pPr>
        <w:pStyle w:val="Text1"/>
        <w:rPr>
          <w:noProof/>
        </w:rPr>
      </w:pPr>
      <w:r>
        <w:rPr>
          <w:noProof/>
        </w:rPr>
        <w:t>"2. By 15 March each year, each Member State shall send the Commission a summary copy of the stock register referred to in paragraph 1 showing at least the quantities and nature of the emergency stocks included in the register on the last day of the preceding calendar year</w:t>
      </w:r>
      <w:r w:rsidR="002B3CBF">
        <w:rPr>
          <w:noProof/>
        </w:rPr>
        <w:t>.</w:t>
      </w:r>
      <w:r>
        <w:rPr>
          <w:noProof/>
        </w:rPr>
        <w:t>".</w:t>
      </w:r>
    </w:p>
    <w:p w:rsidR="00926A0D" w:rsidRDefault="006023A9">
      <w:pPr>
        <w:pStyle w:val="Titrearticle"/>
        <w:rPr>
          <w:noProof/>
        </w:rPr>
      </w:pPr>
      <w:r>
        <w:rPr>
          <w:noProof/>
        </w:rPr>
        <w:t>Article</w:t>
      </w:r>
      <w:r>
        <w:rPr>
          <w:i w:val="0"/>
          <w:noProof/>
        </w:rPr>
        <w:t xml:space="preserve"> </w:t>
      </w:r>
      <w:r w:rsidRPr="003C4AC6">
        <w:rPr>
          <w:noProof/>
        </w:rPr>
        <w:t>4</w:t>
      </w:r>
      <w:r w:rsidR="00FC5D7E" w:rsidRPr="003C4AC6">
        <w:rPr>
          <w:noProof/>
        </w:rPr>
        <w:t>6</w:t>
      </w:r>
      <w:r>
        <w:rPr>
          <w:i w:val="0"/>
          <w:noProof/>
        </w:rPr>
        <w:br/>
      </w:r>
      <w:r>
        <w:rPr>
          <w:b/>
          <w:noProof/>
        </w:rPr>
        <w:t>Amendments to Directive 2010/31/EU</w:t>
      </w:r>
    </w:p>
    <w:p w:rsidR="00926A0D" w:rsidRDefault="006023A9">
      <w:pPr>
        <w:rPr>
          <w:noProof/>
        </w:rPr>
      </w:pPr>
      <w:r>
        <w:rPr>
          <w:noProof/>
        </w:rPr>
        <w:t>Directive 2010/31/EU is amended as follows:</w:t>
      </w:r>
    </w:p>
    <w:p w:rsidR="00926A0D" w:rsidRDefault="006023A9" w:rsidP="00AF12E0">
      <w:pPr>
        <w:pStyle w:val="Point1number"/>
        <w:numPr>
          <w:ilvl w:val="2"/>
          <w:numId w:val="51"/>
        </w:numPr>
        <w:rPr>
          <w:noProof/>
        </w:rPr>
      </w:pPr>
      <w:r>
        <w:rPr>
          <w:noProof/>
        </w:rPr>
        <w:t>In Article 2a</w:t>
      </w:r>
      <w:r w:rsidR="00C92A21">
        <w:rPr>
          <w:noProof/>
        </w:rPr>
        <w:t xml:space="preserve"> of</w:t>
      </w:r>
      <w:r w:rsidR="00DE5F7C">
        <w:rPr>
          <w:noProof/>
        </w:rPr>
        <w:t xml:space="preserve"> Directive 2010/31/EU</w:t>
      </w:r>
      <w:r w:rsidR="00C92A21">
        <w:rPr>
          <w:noProof/>
        </w:rPr>
        <w:t xml:space="preserve"> [</w:t>
      </w:r>
      <w:r w:rsidR="00DF79A6">
        <w:rPr>
          <w:noProof/>
        </w:rPr>
        <w:t xml:space="preserve">version </w:t>
      </w:r>
      <w:r w:rsidR="005E7873">
        <w:rPr>
          <w:noProof/>
        </w:rPr>
        <w:t xml:space="preserve">as </w:t>
      </w:r>
      <w:r w:rsidR="00DF79A6" w:rsidRPr="004B28E2">
        <w:rPr>
          <w:noProof/>
        </w:rPr>
        <w:t xml:space="preserve">amended </w:t>
      </w:r>
      <w:r w:rsidR="00DF79A6">
        <w:rPr>
          <w:noProof/>
        </w:rPr>
        <w:t xml:space="preserve">in accordance with </w:t>
      </w:r>
      <w:r w:rsidR="00C92A21">
        <w:rPr>
          <w:noProof/>
        </w:rPr>
        <w:t xml:space="preserve">proposal </w:t>
      </w:r>
      <w:r w:rsidR="00C92A21" w:rsidRPr="00C92A21">
        <w:rPr>
          <w:noProof/>
        </w:rPr>
        <w:t>COM(2016) 765</w:t>
      </w:r>
      <w:r w:rsidR="00C92A21">
        <w:rPr>
          <w:noProof/>
        </w:rPr>
        <w:t>]</w:t>
      </w:r>
      <w:r>
        <w:rPr>
          <w:noProof/>
        </w:rPr>
        <w:t>, the following paragraph 4 is inserted:</w:t>
      </w:r>
    </w:p>
    <w:p w:rsidR="00926A0D" w:rsidRDefault="006023A9">
      <w:pPr>
        <w:pStyle w:val="Text2"/>
        <w:rPr>
          <w:noProof/>
        </w:rPr>
      </w:pPr>
      <w:r>
        <w:rPr>
          <w:noProof/>
        </w:rPr>
        <w:lastRenderedPageBreak/>
        <w:t xml:space="preserve">"4. The long-term strategy under paragraph 1 shall be submitted to the Commission, as </w:t>
      </w:r>
      <w:r w:rsidR="005D4B8C">
        <w:rPr>
          <w:noProof/>
        </w:rPr>
        <w:t xml:space="preserve">part of </w:t>
      </w:r>
      <w:r>
        <w:rPr>
          <w:noProof/>
        </w:rPr>
        <w:t xml:space="preserve">the Integrated National Energy and Climate Plan, pursuant to Article 3 of </w:t>
      </w:r>
      <w:r w:rsidR="00A61669">
        <w:rPr>
          <w:noProof/>
        </w:rPr>
        <w:t xml:space="preserve">Regulation </w:t>
      </w:r>
      <w:r w:rsidR="001921F7">
        <w:rPr>
          <w:noProof/>
        </w:rPr>
        <w:t>[XX/20XX</w:t>
      </w:r>
      <w:r w:rsidR="00A61669">
        <w:rPr>
          <w:noProof/>
        </w:rPr>
        <w:t xml:space="preserve">] </w:t>
      </w:r>
      <w:r w:rsidR="00982F52">
        <w:rPr>
          <w:noProof/>
        </w:rPr>
        <w:t>[</w:t>
      </w:r>
      <w:r w:rsidR="001921F7">
        <w:rPr>
          <w:noProof/>
        </w:rPr>
        <w:t xml:space="preserve"> this regulation]</w:t>
      </w:r>
      <w:r>
        <w:rPr>
          <w:noProof/>
        </w:rPr>
        <w:t>.";</w:t>
      </w:r>
    </w:p>
    <w:p w:rsidR="00926A0D" w:rsidRDefault="006023A9">
      <w:pPr>
        <w:pStyle w:val="Point1number"/>
        <w:rPr>
          <w:noProof/>
        </w:rPr>
      </w:pPr>
      <w:r>
        <w:rPr>
          <w:noProof/>
        </w:rPr>
        <w:t>in Article 5(2), second subparagraph, the sentence "The report may be included in the Energy Efficiency Action Plans referred to in Article 14(2) of Directive 2006/32/EC" is deleted</w:t>
      </w:r>
      <w:r w:rsidR="00E72AFB">
        <w:rPr>
          <w:noProof/>
        </w:rPr>
        <w:t>;</w:t>
      </w:r>
    </w:p>
    <w:p w:rsidR="00926A0D" w:rsidRDefault="006023A9">
      <w:pPr>
        <w:pStyle w:val="Point1number"/>
        <w:rPr>
          <w:noProof/>
        </w:rPr>
      </w:pPr>
      <w:r>
        <w:rPr>
          <w:noProof/>
        </w:rPr>
        <w:t>in Article 9</w:t>
      </w:r>
      <w:r w:rsidR="005F6E4F">
        <w:rPr>
          <w:noProof/>
        </w:rPr>
        <w:t xml:space="preserve">, paragraph </w:t>
      </w:r>
      <w:r>
        <w:rPr>
          <w:noProof/>
        </w:rPr>
        <w:t>5 is replaced by the following:</w:t>
      </w:r>
    </w:p>
    <w:p w:rsidR="00926A0D" w:rsidRDefault="006023A9">
      <w:pPr>
        <w:pStyle w:val="Text1"/>
        <w:rPr>
          <w:noProof/>
        </w:rPr>
      </w:pPr>
      <w:r>
        <w:rPr>
          <w:noProof/>
        </w:rPr>
        <w:t xml:space="preserve">"As part of its State of the Energy Union report referred to in Article </w:t>
      </w:r>
      <w:r w:rsidR="006B082F">
        <w:rPr>
          <w:noProof/>
        </w:rPr>
        <w:t>29</w:t>
      </w:r>
      <w:r>
        <w:rPr>
          <w:noProof/>
        </w:rPr>
        <w:t xml:space="preserve"> of Regulation </w:t>
      </w:r>
      <w:r w:rsidR="001921F7">
        <w:rPr>
          <w:noProof/>
        </w:rPr>
        <w:t>[</w:t>
      </w:r>
      <w:r>
        <w:rPr>
          <w:noProof/>
        </w:rPr>
        <w:t>XX/20XX</w:t>
      </w:r>
      <w:r w:rsidR="00A61669">
        <w:rPr>
          <w:noProof/>
        </w:rPr>
        <w:t>] [</w:t>
      </w:r>
      <w:r>
        <w:rPr>
          <w:noProof/>
        </w:rPr>
        <w:t xml:space="preserve">this regulation], the Commission shall </w:t>
      </w:r>
      <w:r w:rsidR="001921F7">
        <w:rPr>
          <w:noProof/>
        </w:rPr>
        <w:t xml:space="preserve">report </w:t>
      </w:r>
      <w:r>
        <w:rPr>
          <w:noProof/>
        </w:rPr>
        <w:t>every two years to the European Parliament and to the Council on the progress of Member States in increasing the number of nearly zero-energy buildings. On the basis of this reported information the Commission shall develop an action plan and, if necessary, propose recommendations and measures pursuant to Article</w:t>
      </w:r>
      <w:r w:rsidR="006B082F">
        <w:rPr>
          <w:noProof/>
        </w:rPr>
        <w:t>s</w:t>
      </w:r>
      <w:r>
        <w:rPr>
          <w:noProof/>
        </w:rPr>
        <w:t xml:space="preserve"> </w:t>
      </w:r>
      <w:r w:rsidR="006B082F">
        <w:rPr>
          <w:noProof/>
        </w:rPr>
        <w:t>27 and 28</w:t>
      </w:r>
      <w:r>
        <w:rPr>
          <w:noProof/>
        </w:rPr>
        <w:t xml:space="preserve"> of Regulation [</w:t>
      </w:r>
      <w:r w:rsidR="001921F7">
        <w:rPr>
          <w:noProof/>
        </w:rPr>
        <w:t>XX/20XX</w:t>
      </w:r>
      <w:r w:rsidR="00A61669">
        <w:rPr>
          <w:noProof/>
        </w:rPr>
        <w:t>] [</w:t>
      </w:r>
      <w:r>
        <w:rPr>
          <w:noProof/>
        </w:rPr>
        <w:t>this regulation] to increase the number of those buildings and encourage best practices as regards the cost-effective transformation of existing buildings into nearly zero-energy buildings</w:t>
      </w:r>
      <w:r w:rsidR="00E72AFB">
        <w:rPr>
          <w:noProof/>
        </w:rPr>
        <w:t>.</w:t>
      </w:r>
      <w:r>
        <w:rPr>
          <w:noProof/>
        </w:rPr>
        <w:t>";</w:t>
      </w:r>
    </w:p>
    <w:p w:rsidR="00926A0D" w:rsidRDefault="006023A9">
      <w:pPr>
        <w:pStyle w:val="Point1number"/>
        <w:rPr>
          <w:noProof/>
        </w:rPr>
      </w:pPr>
      <w:r>
        <w:rPr>
          <w:noProof/>
        </w:rPr>
        <w:t>in Article 10, paragraph</w:t>
      </w:r>
      <w:r w:rsidR="00E72AFB">
        <w:rPr>
          <w:noProof/>
        </w:rPr>
        <w:t>s</w:t>
      </w:r>
      <w:r>
        <w:rPr>
          <w:noProof/>
        </w:rPr>
        <w:t xml:space="preserve"> 2 and 3 are deleted</w:t>
      </w:r>
      <w:r w:rsidR="00E72AFB">
        <w:rPr>
          <w:noProof/>
        </w:rPr>
        <w:t>.</w:t>
      </w:r>
    </w:p>
    <w:p w:rsidR="00926A0D" w:rsidRDefault="006023A9">
      <w:pPr>
        <w:pStyle w:val="Titrearticle"/>
        <w:rPr>
          <w:noProof/>
        </w:rPr>
      </w:pPr>
      <w:r>
        <w:rPr>
          <w:noProof/>
        </w:rPr>
        <w:t>Article 4</w:t>
      </w:r>
      <w:r w:rsidR="00FC5D7E">
        <w:rPr>
          <w:noProof/>
        </w:rPr>
        <w:t>7</w:t>
      </w:r>
      <w:r>
        <w:rPr>
          <w:noProof/>
        </w:rPr>
        <w:br/>
      </w:r>
      <w:r>
        <w:rPr>
          <w:b/>
          <w:noProof/>
        </w:rPr>
        <w:t>Amendments to Directive 2012/27/EU</w:t>
      </w:r>
    </w:p>
    <w:p w:rsidR="00926A0D" w:rsidRDefault="006023A9">
      <w:pPr>
        <w:rPr>
          <w:noProof/>
        </w:rPr>
      </w:pPr>
      <w:r>
        <w:rPr>
          <w:noProof/>
        </w:rPr>
        <w:t>Directive 2012/27/EU is amended as follows:</w:t>
      </w:r>
    </w:p>
    <w:p w:rsidR="00926A0D" w:rsidRDefault="006023A9" w:rsidP="00AF12E0">
      <w:pPr>
        <w:pStyle w:val="Point1number"/>
        <w:numPr>
          <w:ilvl w:val="2"/>
          <w:numId w:val="52"/>
        </w:numPr>
        <w:rPr>
          <w:noProof/>
        </w:rPr>
      </w:pPr>
      <w:r>
        <w:rPr>
          <w:noProof/>
        </w:rPr>
        <w:t xml:space="preserve">in Article 4, the last paragraph is deleted; </w:t>
      </w:r>
    </w:p>
    <w:p w:rsidR="00926A0D" w:rsidRDefault="006023A9">
      <w:pPr>
        <w:pStyle w:val="Point1number"/>
        <w:rPr>
          <w:noProof/>
        </w:rPr>
      </w:pPr>
      <w:r>
        <w:rPr>
          <w:noProof/>
        </w:rPr>
        <w:t xml:space="preserve">in Article 18(1), point (e) is deleted; </w:t>
      </w:r>
    </w:p>
    <w:p w:rsidR="00926A0D" w:rsidRDefault="006023A9">
      <w:pPr>
        <w:pStyle w:val="Point1number"/>
        <w:rPr>
          <w:noProof/>
        </w:rPr>
      </w:pPr>
      <w:r>
        <w:rPr>
          <w:noProof/>
        </w:rPr>
        <w:t>in Article 24, paragraphs 1 to 4 and 11, are deleted</w:t>
      </w:r>
      <w:r w:rsidR="006B082F">
        <w:rPr>
          <w:noProof/>
        </w:rPr>
        <w:t>;</w:t>
      </w:r>
    </w:p>
    <w:p w:rsidR="00926A0D" w:rsidRDefault="006023A9">
      <w:pPr>
        <w:pStyle w:val="Point1number"/>
        <w:rPr>
          <w:noProof/>
        </w:rPr>
      </w:pPr>
      <w:r>
        <w:rPr>
          <w:noProof/>
        </w:rPr>
        <w:t>Annex XIV is deleted</w:t>
      </w:r>
      <w:r w:rsidR="006B082F">
        <w:rPr>
          <w:noProof/>
        </w:rPr>
        <w:t>.</w:t>
      </w:r>
    </w:p>
    <w:p w:rsidR="00926A0D" w:rsidRDefault="006023A9">
      <w:pPr>
        <w:pStyle w:val="Titrearticle"/>
        <w:rPr>
          <w:noProof/>
        </w:rPr>
      </w:pPr>
      <w:r>
        <w:rPr>
          <w:noProof/>
        </w:rPr>
        <w:t>Article 4</w:t>
      </w:r>
      <w:r w:rsidR="00FC5D7E">
        <w:rPr>
          <w:noProof/>
        </w:rPr>
        <w:t>8</w:t>
      </w:r>
      <w:r>
        <w:rPr>
          <w:noProof/>
        </w:rPr>
        <w:br/>
      </w:r>
      <w:r>
        <w:rPr>
          <w:b/>
          <w:noProof/>
        </w:rPr>
        <w:t>Amendment to Directive 2013/30/EU</w:t>
      </w:r>
    </w:p>
    <w:p w:rsidR="00926A0D" w:rsidRDefault="006023A9">
      <w:pPr>
        <w:rPr>
          <w:noProof/>
        </w:rPr>
      </w:pPr>
      <w:r>
        <w:rPr>
          <w:noProof/>
        </w:rPr>
        <w:t>In Article 25 of Directive 2013/30/EU, paragraph 1 is replaced by the following:</w:t>
      </w:r>
    </w:p>
    <w:p w:rsidR="00926A0D" w:rsidRDefault="006023A9">
      <w:pPr>
        <w:pStyle w:val="Text1"/>
        <w:rPr>
          <w:noProof/>
        </w:rPr>
      </w:pPr>
      <w:r>
        <w:rPr>
          <w:noProof/>
        </w:rPr>
        <w:t xml:space="preserve">"1. Member States shall report annually to the Commission, as part of the annual reporting pursuant to Article </w:t>
      </w:r>
      <w:r w:rsidR="006B082F">
        <w:rPr>
          <w:noProof/>
        </w:rPr>
        <w:t>23</w:t>
      </w:r>
      <w:r>
        <w:rPr>
          <w:noProof/>
        </w:rPr>
        <w:t xml:space="preserve"> of Regulation </w:t>
      </w:r>
      <w:r w:rsidR="00A61669">
        <w:rPr>
          <w:noProof/>
        </w:rPr>
        <w:t>[</w:t>
      </w:r>
      <w:r>
        <w:rPr>
          <w:noProof/>
        </w:rPr>
        <w:t>XX/20XX</w:t>
      </w:r>
      <w:r w:rsidR="00A61669">
        <w:rPr>
          <w:noProof/>
        </w:rPr>
        <w:t>]</w:t>
      </w:r>
      <w:r>
        <w:rPr>
          <w:noProof/>
        </w:rPr>
        <w:t xml:space="preserve"> [this regulation], the information specified in Annex IX, point 3."</w:t>
      </w:r>
      <w:r w:rsidR="006B082F">
        <w:rPr>
          <w:noProof/>
        </w:rPr>
        <w:t>.</w:t>
      </w:r>
    </w:p>
    <w:p w:rsidR="00926A0D" w:rsidRDefault="006023A9">
      <w:pPr>
        <w:pStyle w:val="Titrearticle"/>
        <w:rPr>
          <w:noProof/>
        </w:rPr>
      </w:pPr>
      <w:r>
        <w:rPr>
          <w:i w:val="0"/>
          <w:noProof/>
        </w:rPr>
        <w:t>Article</w:t>
      </w:r>
      <w:r>
        <w:rPr>
          <w:noProof/>
        </w:rPr>
        <w:t xml:space="preserve"> </w:t>
      </w:r>
      <w:r w:rsidR="00FC5D7E">
        <w:rPr>
          <w:noProof/>
        </w:rPr>
        <w:t>49</w:t>
      </w:r>
      <w:r>
        <w:rPr>
          <w:noProof/>
        </w:rPr>
        <w:br/>
      </w:r>
      <w:r>
        <w:rPr>
          <w:b/>
          <w:noProof/>
        </w:rPr>
        <w:t>Amendments to Council Directive (EU) 2015/652</w:t>
      </w:r>
    </w:p>
    <w:p w:rsidR="00926A0D" w:rsidRDefault="006023A9">
      <w:pPr>
        <w:rPr>
          <w:noProof/>
        </w:rPr>
      </w:pPr>
      <w:r>
        <w:rPr>
          <w:noProof/>
        </w:rPr>
        <w:t>Council Directive (EU) 2015/652 is amended as follows:</w:t>
      </w:r>
    </w:p>
    <w:p w:rsidR="00926A0D" w:rsidRDefault="00A56910" w:rsidP="00AF12E0">
      <w:pPr>
        <w:pStyle w:val="Point1number"/>
        <w:numPr>
          <w:ilvl w:val="2"/>
          <w:numId w:val="53"/>
        </w:numPr>
        <w:rPr>
          <w:noProof/>
        </w:rPr>
      </w:pPr>
      <w:r>
        <w:rPr>
          <w:noProof/>
        </w:rPr>
        <w:t>i</w:t>
      </w:r>
      <w:r w:rsidR="006023A9">
        <w:rPr>
          <w:noProof/>
        </w:rPr>
        <w:t>n Annex I, Part 2, points 2, 3, 4 and 7 are deleted.</w:t>
      </w:r>
    </w:p>
    <w:p w:rsidR="00926A0D" w:rsidRDefault="006023A9">
      <w:pPr>
        <w:pStyle w:val="Point1number"/>
        <w:rPr>
          <w:noProof/>
          <w:color w:val="000000"/>
        </w:rPr>
      </w:pPr>
      <w:r>
        <w:rPr>
          <w:noProof/>
          <w:color w:val="000000"/>
        </w:rPr>
        <w:t>Annex III is amended as follows:</w:t>
      </w:r>
    </w:p>
    <w:p w:rsidR="00926A0D" w:rsidRDefault="006023A9">
      <w:pPr>
        <w:pStyle w:val="Point1letter"/>
        <w:rPr>
          <w:noProof/>
        </w:rPr>
      </w:pPr>
      <w:r>
        <w:rPr>
          <w:noProof/>
        </w:rPr>
        <w:t>point 1 is replaced by the following:</w:t>
      </w:r>
    </w:p>
    <w:p w:rsidR="00926A0D" w:rsidRDefault="006023A9" w:rsidP="006C5B08">
      <w:pPr>
        <w:pStyle w:val="Text2"/>
        <w:rPr>
          <w:noProof/>
        </w:rPr>
      </w:pPr>
      <w:r>
        <w:rPr>
          <w:noProof/>
        </w:rPr>
        <w:t>"1. Member States are to report the data listed in point 3. These data must be reported for all fuel and energy placed on the market in each Member State. Where multiple biofuels are blended with fossil fuels, the data for each biofuel must be provided."</w:t>
      </w:r>
    </w:p>
    <w:p w:rsidR="00926A0D" w:rsidRDefault="006023A9">
      <w:pPr>
        <w:pStyle w:val="Point1letter"/>
        <w:rPr>
          <w:noProof/>
        </w:rPr>
      </w:pPr>
      <w:r>
        <w:rPr>
          <w:noProof/>
        </w:rPr>
        <w:lastRenderedPageBreak/>
        <w:t>in point 3, points (e) and (f) are deleted</w:t>
      </w:r>
      <w:r w:rsidR="00A56910">
        <w:rPr>
          <w:noProof/>
        </w:rPr>
        <w:t>;</w:t>
      </w:r>
    </w:p>
    <w:p w:rsidR="00926A0D" w:rsidRDefault="006023A9">
      <w:pPr>
        <w:pStyle w:val="Point1number"/>
        <w:rPr>
          <w:noProof/>
        </w:rPr>
      </w:pPr>
      <w:r>
        <w:rPr>
          <w:noProof/>
        </w:rPr>
        <w:t>Annex IV is amended as follows:</w:t>
      </w:r>
    </w:p>
    <w:p w:rsidR="00926A0D" w:rsidRDefault="006023A9">
      <w:pPr>
        <w:pStyle w:val="Point1letter"/>
        <w:rPr>
          <w:noProof/>
        </w:rPr>
      </w:pPr>
      <w:r>
        <w:rPr>
          <w:noProof/>
        </w:rPr>
        <w:t>the following templates for reporting information for consistency of the reported data are deleted:</w:t>
      </w:r>
    </w:p>
    <w:p w:rsidR="00926A0D" w:rsidRDefault="006023A9">
      <w:pPr>
        <w:pStyle w:val="Point2"/>
        <w:rPr>
          <w:noProof/>
        </w:rPr>
      </w:pPr>
      <w:r>
        <w:rPr>
          <w:noProof/>
        </w:rPr>
        <w:t>- Origin — Single Suppliers</w:t>
      </w:r>
    </w:p>
    <w:p w:rsidR="00926A0D" w:rsidRDefault="006023A9">
      <w:pPr>
        <w:pStyle w:val="Point2"/>
        <w:rPr>
          <w:noProof/>
        </w:rPr>
      </w:pPr>
      <w:r>
        <w:rPr>
          <w:noProof/>
        </w:rPr>
        <w:t>- Origin — Joint Suppliers</w:t>
      </w:r>
    </w:p>
    <w:p w:rsidR="00926A0D" w:rsidRDefault="006023A9">
      <w:pPr>
        <w:pStyle w:val="Point2"/>
        <w:rPr>
          <w:noProof/>
        </w:rPr>
      </w:pPr>
      <w:r>
        <w:rPr>
          <w:noProof/>
        </w:rPr>
        <w:t>- Place of Purchase</w:t>
      </w:r>
    </w:p>
    <w:p w:rsidR="00926A0D" w:rsidRDefault="006023A9">
      <w:pPr>
        <w:pStyle w:val="Point1letter"/>
        <w:rPr>
          <w:noProof/>
        </w:rPr>
      </w:pPr>
      <w:r>
        <w:rPr>
          <w:noProof/>
        </w:rPr>
        <w:t>in the format notes, points 8 and 9 are deleted.</w:t>
      </w:r>
    </w:p>
    <w:p w:rsidR="00FC5D7E" w:rsidRDefault="00FC5D7E" w:rsidP="00FC5D7E">
      <w:pPr>
        <w:pStyle w:val="Titrearticle"/>
        <w:rPr>
          <w:noProof/>
        </w:rPr>
      </w:pPr>
      <w:r>
        <w:rPr>
          <w:noProof/>
        </w:rPr>
        <w:t>Article 50</w:t>
      </w:r>
      <w:r>
        <w:rPr>
          <w:noProof/>
        </w:rPr>
        <w:br/>
      </w:r>
      <w:r>
        <w:rPr>
          <w:b/>
          <w:i w:val="0"/>
          <w:noProof/>
          <w:szCs w:val="24"/>
        </w:rPr>
        <w:t>Repeal</w:t>
      </w:r>
    </w:p>
    <w:p w:rsidR="00FC5D7E" w:rsidRDefault="00FC5D7E" w:rsidP="00FC5D7E">
      <w:pPr>
        <w:rPr>
          <w:noProof/>
        </w:rPr>
      </w:pPr>
      <w:r>
        <w:rPr>
          <w:noProof/>
        </w:rPr>
        <w:t xml:space="preserve">Regulation (EU) </w:t>
      </w:r>
      <w:r w:rsidR="00A56910">
        <w:rPr>
          <w:noProof/>
        </w:rPr>
        <w:t xml:space="preserve">No </w:t>
      </w:r>
      <w:r>
        <w:rPr>
          <w:noProof/>
        </w:rPr>
        <w:t xml:space="preserve">525/2013 shall be repealed with effect </w:t>
      </w:r>
      <w:r w:rsidR="00A56910">
        <w:rPr>
          <w:noProof/>
        </w:rPr>
        <w:t xml:space="preserve">as </w:t>
      </w:r>
      <w:r>
        <w:rPr>
          <w:noProof/>
        </w:rPr>
        <w:t>from 1 January 2021, subject to transitional provisions laid down in Article 51. References to the repealed Regulation shall be construed as references to this Regulation and shall be read in accordance with the correlation table in Annex XI.</w:t>
      </w:r>
    </w:p>
    <w:p w:rsidR="00926A0D" w:rsidRDefault="006023A9">
      <w:pPr>
        <w:pStyle w:val="Titrearticle"/>
        <w:rPr>
          <w:i w:val="0"/>
          <w:noProof/>
        </w:rPr>
      </w:pPr>
      <w:r>
        <w:rPr>
          <w:noProof/>
        </w:rPr>
        <w:t>Article 51</w:t>
      </w:r>
      <w:r>
        <w:rPr>
          <w:noProof/>
        </w:rPr>
        <w:br/>
      </w:r>
      <w:r>
        <w:rPr>
          <w:b/>
          <w:i w:val="0"/>
          <w:noProof/>
        </w:rPr>
        <w:t>Transitional provisions</w:t>
      </w:r>
    </w:p>
    <w:p w:rsidR="00926A0D" w:rsidRDefault="006023A9">
      <w:pPr>
        <w:rPr>
          <w:noProof/>
          <w:color w:val="000000" w:themeColor="text1"/>
          <w:szCs w:val="24"/>
        </w:rPr>
      </w:pPr>
      <w:r>
        <w:rPr>
          <w:noProof/>
          <w:szCs w:val="24"/>
        </w:rPr>
        <w:t xml:space="preserve">By way of derogation from Article </w:t>
      </w:r>
      <w:r w:rsidR="007C3F95">
        <w:rPr>
          <w:noProof/>
          <w:szCs w:val="24"/>
        </w:rPr>
        <w:t>50</w:t>
      </w:r>
      <w:r>
        <w:rPr>
          <w:noProof/>
          <w:szCs w:val="24"/>
        </w:rPr>
        <w:t xml:space="preserve"> </w:t>
      </w:r>
      <w:r w:rsidRPr="00886854">
        <w:rPr>
          <w:noProof/>
          <w:szCs w:val="24"/>
        </w:rPr>
        <w:t>of this Regulation</w:t>
      </w:r>
      <w:r>
        <w:rPr>
          <w:noProof/>
          <w:szCs w:val="24"/>
        </w:rPr>
        <w:t xml:space="preserve">, </w:t>
      </w:r>
      <w:r>
        <w:rPr>
          <w:noProof/>
          <w:color w:val="000000" w:themeColor="text1"/>
          <w:szCs w:val="24"/>
        </w:rPr>
        <w:t xml:space="preserve">Articles 7 and 17(1)(a) and (d) of </w:t>
      </w:r>
      <w:r>
        <w:rPr>
          <w:noProof/>
        </w:rPr>
        <w:t xml:space="preserve">Regulation (EU) No 525/2013 </w:t>
      </w:r>
      <w:r>
        <w:rPr>
          <w:noProof/>
          <w:color w:val="000000" w:themeColor="text1"/>
          <w:szCs w:val="24"/>
        </w:rPr>
        <w:t>shall continue to apply to the reports containing the data required under those Articles for the years 2018, 2019 and 2020.</w:t>
      </w:r>
    </w:p>
    <w:p w:rsidR="00926A0D" w:rsidRDefault="006023A9">
      <w:pPr>
        <w:rPr>
          <w:noProof/>
          <w:color w:val="000000" w:themeColor="text1"/>
          <w:szCs w:val="24"/>
        </w:rPr>
      </w:pPr>
      <w:r>
        <w:rPr>
          <w:noProof/>
          <w:color w:val="000000" w:themeColor="text1"/>
          <w:szCs w:val="24"/>
        </w:rPr>
        <w:t xml:space="preserve">Article 19 of </w:t>
      </w:r>
      <w:r>
        <w:rPr>
          <w:noProof/>
        </w:rPr>
        <w:t xml:space="preserve">Regulation (EU) No 525/2013 </w:t>
      </w:r>
      <w:r>
        <w:rPr>
          <w:noProof/>
          <w:color w:val="000000" w:themeColor="text1"/>
          <w:szCs w:val="24"/>
        </w:rPr>
        <w:t>shall continue to apply to the reviews of the GHG inventory data for the years 2018, 2019 and 2020.</w:t>
      </w:r>
    </w:p>
    <w:p w:rsidR="00926A0D" w:rsidRDefault="006023A9">
      <w:pPr>
        <w:rPr>
          <w:noProof/>
          <w:szCs w:val="24"/>
        </w:rPr>
      </w:pPr>
      <w:r>
        <w:rPr>
          <w:noProof/>
          <w:color w:val="000000" w:themeColor="text1"/>
          <w:szCs w:val="24"/>
        </w:rPr>
        <w:t xml:space="preserve">Article 22 of </w:t>
      </w:r>
      <w:r>
        <w:rPr>
          <w:noProof/>
        </w:rPr>
        <w:t xml:space="preserve">Regulation (EU) </w:t>
      </w:r>
      <w:r w:rsidR="00F84BBB">
        <w:rPr>
          <w:noProof/>
        </w:rPr>
        <w:t xml:space="preserve">No </w:t>
      </w:r>
      <w:r>
        <w:rPr>
          <w:noProof/>
        </w:rPr>
        <w:t xml:space="preserve">525/2013 </w:t>
      </w:r>
      <w:r>
        <w:rPr>
          <w:noProof/>
          <w:color w:val="000000" w:themeColor="text1"/>
          <w:szCs w:val="24"/>
        </w:rPr>
        <w:t>shall continue to apply to the submission of the report required under that Article.</w:t>
      </w:r>
    </w:p>
    <w:p w:rsidR="00926A0D" w:rsidRDefault="006023A9">
      <w:pPr>
        <w:pStyle w:val="Titrearticle"/>
        <w:rPr>
          <w:noProof/>
        </w:rPr>
      </w:pPr>
      <w:r>
        <w:rPr>
          <w:noProof/>
        </w:rPr>
        <w:t>Article 52</w:t>
      </w:r>
      <w:r>
        <w:rPr>
          <w:noProof/>
        </w:rPr>
        <w:br/>
      </w:r>
      <w:r>
        <w:rPr>
          <w:b/>
          <w:i w:val="0"/>
          <w:noProof/>
          <w:szCs w:val="24"/>
        </w:rPr>
        <w:t>Entry into force</w:t>
      </w:r>
    </w:p>
    <w:p w:rsidR="00926A0D" w:rsidRDefault="006023A9">
      <w:pPr>
        <w:rPr>
          <w:noProof/>
          <w:szCs w:val="24"/>
        </w:rPr>
      </w:pPr>
      <w:r>
        <w:rPr>
          <w:noProof/>
          <w:szCs w:val="24"/>
        </w:rPr>
        <w:t xml:space="preserve">This Regulation shall enter into force on the twentieth day following that of its publication in the </w:t>
      </w:r>
      <w:r>
        <w:rPr>
          <w:i/>
          <w:noProof/>
          <w:szCs w:val="24"/>
        </w:rPr>
        <w:t>Official Journal of the European Union</w:t>
      </w:r>
      <w:r>
        <w:rPr>
          <w:noProof/>
          <w:szCs w:val="24"/>
        </w:rPr>
        <w:t>.</w:t>
      </w:r>
    </w:p>
    <w:p w:rsidR="00926A0D" w:rsidRDefault="006023A9">
      <w:pPr>
        <w:rPr>
          <w:noProof/>
          <w:szCs w:val="24"/>
        </w:rPr>
      </w:pPr>
      <w:r>
        <w:rPr>
          <w:noProof/>
        </w:rPr>
        <w:t>Articles 33, 4</w:t>
      </w:r>
      <w:r w:rsidR="00FC5D7E">
        <w:rPr>
          <w:noProof/>
        </w:rPr>
        <w:t>6</w:t>
      </w:r>
      <w:r>
        <w:rPr>
          <w:noProof/>
        </w:rPr>
        <w:t>(2) to (4) and 4</w:t>
      </w:r>
      <w:r w:rsidR="00FC5D7E">
        <w:rPr>
          <w:noProof/>
        </w:rPr>
        <w:t>7</w:t>
      </w:r>
      <w:r>
        <w:rPr>
          <w:noProof/>
        </w:rPr>
        <w:t>(3) and (4) shall apply from 1 January 2021.</w:t>
      </w:r>
    </w:p>
    <w:p w:rsidR="00926A0D" w:rsidRDefault="006023A9">
      <w:pPr>
        <w:pStyle w:val="Applicationdirecte"/>
        <w:rPr>
          <w:noProof/>
        </w:rPr>
      </w:pPr>
      <w:r>
        <w:rPr>
          <w:noProof/>
        </w:rPr>
        <w:t>This Regulation shall be binding in its entirety and directly applicable in all Member States.</w:t>
      </w:r>
    </w:p>
    <w:p w:rsidR="00926A0D" w:rsidRDefault="00792748" w:rsidP="00792748">
      <w:pPr>
        <w:pStyle w:val="Fait"/>
        <w:rPr>
          <w:noProof/>
        </w:rPr>
      </w:pPr>
      <w:r w:rsidRPr="00792748">
        <w:t>Done at Brussels,</w:t>
      </w:r>
    </w:p>
    <w:p w:rsidR="00926A0D" w:rsidRDefault="006023A9">
      <w:pPr>
        <w:pStyle w:val="Institutionquisigne"/>
        <w:rPr>
          <w:noProof/>
        </w:rPr>
      </w:pPr>
      <w:r>
        <w:rPr>
          <w:noProof/>
        </w:rPr>
        <w:t>For the European Parliament</w:t>
      </w:r>
      <w:r>
        <w:rPr>
          <w:noProof/>
        </w:rPr>
        <w:tab/>
        <w:t>For the Council</w:t>
      </w:r>
    </w:p>
    <w:p w:rsidR="00926A0D" w:rsidRDefault="006023A9">
      <w:pPr>
        <w:pStyle w:val="Personnequisigne"/>
        <w:rPr>
          <w:noProof/>
        </w:rPr>
      </w:pPr>
      <w:r>
        <w:rPr>
          <w:noProof/>
        </w:rPr>
        <w:t>The President</w:t>
      </w:r>
      <w:r>
        <w:rPr>
          <w:noProof/>
        </w:rPr>
        <w:tab/>
        <w:t>The President</w:t>
      </w:r>
    </w:p>
    <w:p w:rsidR="00926A0D" w:rsidRDefault="00926A0D">
      <w:pPr>
        <w:rPr>
          <w:noProof/>
        </w:rPr>
        <w:sectPr w:rsidR="00926A0D" w:rsidSect="00211F8F">
          <w:pgSz w:w="11907" w:h="16839"/>
          <w:pgMar w:top="1134" w:right="1417" w:bottom="1134" w:left="1417" w:header="709" w:footer="709" w:gutter="0"/>
          <w:cols w:space="708"/>
          <w:docGrid w:linePitch="360"/>
        </w:sectPr>
      </w:pPr>
    </w:p>
    <w:p w:rsidR="00926A0D" w:rsidRDefault="006023A9">
      <w:pPr>
        <w:pStyle w:val="Fichefinanciretitre"/>
        <w:rPr>
          <w:noProof/>
        </w:rPr>
      </w:pPr>
      <w:r>
        <w:rPr>
          <w:noProof/>
        </w:rPr>
        <w:lastRenderedPageBreak/>
        <w:t>LEGISLATIVE FINANCIAL STATEMENTS</w:t>
      </w:r>
    </w:p>
    <w:p w:rsidR="00926A0D" w:rsidRDefault="006023A9">
      <w:pPr>
        <w:jc w:val="center"/>
        <w:rPr>
          <w:noProof/>
        </w:rPr>
      </w:pPr>
      <w:r>
        <w:rPr>
          <w:b/>
          <w:noProof/>
          <w:u w:val="single"/>
        </w:rPr>
        <w:t>Commission Services</w:t>
      </w:r>
    </w:p>
    <w:p w:rsidR="00926A0D" w:rsidRDefault="006023A9">
      <w:pPr>
        <w:pStyle w:val="ManualHeading1"/>
        <w:rPr>
          <w:noProof/>
        </w:rPr>
      </w:pPr>
      <w:r>
        <w:rPr>
          <w:noProof/>
        </w:rPr>
        <w:t>1.</w:t>
      </w:r>
      <w:r>
        <w:rPr>
          <w:noProof/>
        </w:rPr>
        <w:tab/>
        <w:t xml:space="preserve">FRAMEWORK OF THE PROPOSAL/INITIATIVE </w:t>
      </w:r>
    </w:p>
    <w:p w:rsidR="00926A0D" w:rsidRDefault="006023A9">
      <w:pPr>
        <w:pStyle w:val="ManualHeading2"/>
        <w:rPr>
          <w:b w:val="0"/>
          <w:noProof/>
        </w:rPr>
      </w:pPr>
      <w:r>
        <w:rPr>
          <w:noProof/>
        </w:rPr>
        <w:tab/>
      </w:r>
      <w:r>
        <w:rPr>
          <w:b w:val="0"/>
          <w:noProof/>
        </w:rPr>
        <w:t>1.1.</w:t>
      </w:r>
      <w:r>
        <w:rPr>
          <w:b w:val="0"/>
          <w:noProof/>
        </w:rPr>
        <w:tab/>
        <w:t xml:space="preserve">Title of the proposal/initiative </w:t>
      </w:r>
    </w:p>
    <w:p w:rsidR="00926A0D" w:rsidRDefault="006023A9">
      <w:pPr>
        <w:pStyle w:val="ManualHeading2"/>
        <w:rPr>
          <w:b w:val="0"/>
          <w:noProof/>
        </w:rPr>
      </w:pPr>
      <w:r>
        <w:rPr>
          <w:b w:val="0"/>
          <w:noProof/>
        </w:rPr>
        <w:tab/>
        <w:t>1.2.</w:t>
      </w:r>
      <w:r>
        <w:rPr>
          <w:b w:val="0"/>
          <w:noProof/>
        </w:rPr>
        <w:tab/>
        <w:t>Policy area(s) concerned in the ABM/ABB structure</w:t>
      </w:r>
    </w:p>
    <w:p w:rsidR="00926A0D" w:rsidRDefault="006023A9">
      <w:pPr>
        <w:pStyle w:val="ManualHeading2"/>
        <w:rPr>
          <w:b w:val="0"/>
          <w:noProof/>
        </w:rPr>
      </w:pPr>
      <w:r>
        <w:rPr>
          <w:b w:val="0"/>
          <w:noProof/>
        </w:rPr>
        <w:tab/>
        <w:t>1.3.</w:t>
      </w:r>
      <w:r>
        <w:rPr>
          <w:b w:val="0"/>
          <w:noProof/>
        </w:rPr>
        <w:tab/>
        <w:t xml:space="preserve">Nature of the proposal/initiative </w:t>
      </w:r>
    </w:p>
    <w:p w:rsidR="00926A0D" w:rsidRDefault="006023A9">
      <w:pPr>
        <w:pStyle w:val="ManualHeading2"/>
        <w:rPr>
          <w:b w:val="0"/>
          <w:noProof/>
        </w:rPr>
      </w:pPr>
      <w:r>
        <w:rPr>
          <w:b w:val="0"/>
          <w:noProof/>
        </w:rPr>
        <w:tab/>
        <w:t>1.4.</w:t>
      </w:r>
      <w:r>
        <w:rPr>
          <w:b w:val="0"/>
          <w:noProof/>
        </w:rPr>
        <w:tab/>
        <w:t xml:space="preserve">Objective(s) </w:t>
      </w:r>
    </w:p>
    <w:p w:rsidR="00926A0D" w:rsidRDefault="006023A9">
      <w:pPr>
        <w:pStyle w:val="ManualHeading2"/>
        <w:rPr>
          <w:b w:val="0"/>
          <w:noProof/>
        </w:rPr>
      </w:pPr>
      <w:r>
        <w:rPr>
          <w:b w:val="0"/>
          <w:noProof/>
        </w:rPr>
        <w:tab/>
        <w:t>1.5.</w:t>
      </w:r>
      <w:r>
        <w:rPr>
          <w:b w:val="0"/>
          <w:noProof/>
        </w:rPr>
        <w:tab/>
        <w:t xml:space="preserve">Grounds for the proposal/initiative </w:t>
      </w:r>
    </w:p>
    <w:p w:rsidR="00926A0D" w:rsidRDefault="006023A9">
      <w:pPr>
        <w:pStyle w:val="ManualHeading2"/>
        <w:rPr>
          <w:b w:val="0"/>
          <w:noProof/>
        </w:rPr>
      </w:pPr>
      <w:r>
        <w:rPr>
          <w:b w:val="0"/>
          <w:noProof/>
        </w:rPr>
        <w:tab/>
        <w:t>1.6.</w:t>
      </w:r>
      <w:r>
        <w:rPr>
          <w:b w:val="0"/>
          <w:noProof/>
        </w:rPr>
        <w:tab/>
        <w:t xml:space="preserve">Duration and financial impact </w:t>
      </w:r>
    </w:p>
    <w:p w:rsidR="00926A0D" w:rsidRDefault="006023A9">
      <w:pPr>
        <w:pStyle w:val="ManualHeading2"/>
        <w:rPr>
          <w:b w:val="0"/>
          <w:noProof/>
        </w:rPr>
      </w:pPr>
      <w:r>
        <w:rPr>
          <w:b w:val="0"/>
          <w:noProof/>
        </w:rPr>
        <w:tab/>
        <w:t>1.7.</w:t>
      </w:r>
      <w:r>
        <w:rPr>
          <w:b w:val="0"/>
          <w:noProof/>
        </w:rPr>
        <w:tab/>
        <w:t xml:space="preserve">Management mode(s) planned </w:t>
      </w:r>
    </w:p>
    <w:p w:rsidR="00926A0D" w:rsidRDefault="006023A9">
      <w:pPr>
        <w:pStyle w:val="ManualHeading1"/>
        <w:rPr>
          <w:noProof/>
        </w:rPr>
      </w:pPr>
      <w:r>
        <w:rPr>
          <w:noProof/>
        </w:rPr>
        <w:t>2.</w:t>
      </w:r>
      <w:r>
        <w:rPr>
          <w:noProof/>
        </w:rPr>
        <w:tab/>
        <w:t xml:space="preserve">MANAGEMENT MEASURES </w:t>
      </w:r>
    </w:p>
    <w:p w:rsidR="00926A0D" w:rsidRDefault="006023A9">
      <w:pPr>
        <w:pStyle w:val="ManualHeading2"/>
        <w:rPr>
          <w:b w:val="0"/>
          <w:noProof/>
        </w:rPr>
      </w:pPr>
      <w:r>
        <w:rPr>
          <w:b w:val="0"/>
          <w:noProof/>
        </w:rPr>
        <w:tab/>
        <w:t>2.1.</w:t>
      </w:r>
      <w:r>
        <w:rPr>
          <w:b w:val="0"/>
          <w:noProof/>
        </w:rPr>
        <w:tab/>
        <w:t xml:space="preserve">Monitoring and reporting rules </w:t>
      </w:r>
    </w:p>
    <w:p w:rsidR="00926A0D" w:rsidRDefault="006023A9">
      <w:pPr>
        <w:pStyle w:val="ManualHeading2"/>
        <w:rPr>
          <w:b w:val="0"/>
          <w:noProof/>
        </w:rPr>
      </w:pPr>
      <w:r>
        <w:rPr>
          <w:b w:val="0"/>
          <w:noProof/>
        </w:rPr>
        <w:tab/>
        <w:t>2.2.</w:t>
      </w:r>
      <w:r>
        <w:rPr>
          <w:b w:val="0"/>
          <w:noProof/>
        </w:rPr>
        <w:tab/>
        <w:t xml:space="preserve">Management and control system </w:t>
      </w:r>
    </w:p>
    <w:p w:rsidR="00926A0D" w:rsidRDefault="006023A9">
      <w:pPr>
        <w:pStyle w:val="ManualHeading2"/>
        <w:rPr>
          <w:b w:val="0"/>
          <w:noProof/>
        </w:rPr>
      </w:pPr>
      <w:r>
        <w:rPr>
          <w:b w:val="0"/>
          <w:noProof/>
        </w:rPr>
        <w:tab/>
        <w:t>2.3.</w:t>
      </w:r>
      <w:r>
        <w:rPr>
          <w:b w:val="0"/>
          <w:noProof/>
        </w:rPr>
        <w:tab/>
        <w:t xml:space="preserve">Measures to prevent fraud and irregularities </w:t>
      </w:r>
    </w:p>
    <w:p w:rsidR="00926A0D" w:rsidRDefault="006023A9">
      <w:pPr>
        <w:pStyle w:val="ManualHeading1"/>
        <w:rPr>
          <w:noProof/>
        </w:rPr>
      </w:pPr>
      <w:r>
        <w:rPr>
          <w:noProof/>
        </w:rPr>
        <w:t>3.</w:t>
      </w:r>
      <w:r>
        <w:rPr>
          <w:noProof/>
        </w:rPr>
        <w:tab/>
        <w:t xml:space="preserve">ESTIMATED FINANCIAL IMPACT OF THE PROPOSAL/INITIATIVE </w:t>
      </w:r>
    </w:p>
    <w:p w:rsidR="00926A0D" w:rsidRDefault="006023A9">
      <w:pPr>
        <w:pStyle w:val="ManualHeading2"/>
        <w:rPr>
          <w:b w:val="0"/>
          <w:noProof/>
        </w:rPr>
      </w:pPr>
      <w:r>
        <w:rPr>
          <w:b w:val="0"/>
          <w:noProof/>
        </w:rPr>
        <w:tab/>
        <w:t>3.1.</w:t>
      </w:r>
      <w:r>
        <w:rPr>
          <w:b w:val="0"/>
          <w:noProof/>
        </w:rPr>
        <w:tab/>
        <w:t xml:space="preserve">Heading(s) of the multiannual financial framework and expenditure budget line(s) affected </w:t>
      </w:r>
    </w:p>
    <w:p w:rsidR="00926A0D" w:rsidRDefault="006023A9">
      <w:pPr>
        <w:pStyle w:val="ManualHeading2"/>
        <w:rPr>
          <w:noProof/>
        </w:rPr>
      </w:pPr>
      <w:r>
        <w:rPr>
          <w:b w:val="0"/>
          <w:noProof/>
        </w:rPr>
        <w:tab/>
        <w:t>3.2.</w:t>
      </w:r>
      <w:r>
        <w:rPr>
          <w:b w:val="0"/>
          <w:noProof/>
        </w:rPr>
        <w:tab/>
        <w:t>Estimated impact on expenditure</w:t>
      </w:r>
      <w:r>
        <w:rPr>
          <w:noProof/>
        </w:rPr>
        <w:t xml:space="preserve"> </w:t>
      </w:r>
    </w:p>
    <w:p w:rsidR="00926A0D" w:rsidRDefault="006023A9">
      <w:pPr>
        <w:pStyle w:val="ManualHeading3"/>
        <w:rPr>
          <w:noProof/>
        </w:rPr>
      </w:pPr>
      <w:r>
        <w:rPr>
          <w:noProof/>
        </w:rPr>
        <w:tab/>
        <w:t>3.2.1.</w:t>
      </w:r>
      <w:r>
        <w:rPr>
          <w:noProof/>
        </w:rPr>
        <w:tab/>
        <w:t xml:space="preserve">Summary of estimated impact on expenditure </w:t>
      </w:r>
    </w:p>
    <w:p w:rsidR="00926A0D" w:rsidRDefault="006023A9">
      <w:pPr>
        <w:pStyle w:val="ManualHeading3"/>
        <w:rPr>
          <w:noProof/>
        </w:rPr>
      </w:pPr>
      <w:r>
        <w:rPr>
          <w:noProof/>
        </w:rPr>
        <w:tab/>
        <w:t>3.2.2.</w:t>
      </w:r>
      <w:r>
        <w:rPr>
          <w:noProof/>
        </w:rPr>
        <w:tab/>
        <w:t xml:space="preserve">Estimated impact on operational appropriations </w:t>
      </w:r>
    </w:p>
    <w:p w:rsidR="00926A0D" w:rsidRDefault="006023A9">
      <w:pPr>
        <w:pStyle w:val="ManualHeading3"/>
        <w:rPr>
          <w:noProof/>
        </w:rPr>
      </w:pPr>
      <w:r>
        <w:rPr>
          <w:noProof/>
        </w:rPr>
        <w:tab/>
        <w:t>3.2.3.</w:t>
      </w:r>
      <w:r>
        <w:rPr>
          <w:noProof/>
        </w:rPr>
        <w:tab/>
        <w:t>Estimated impact on appropriations of an administrative nature</w:t>
      </w:r>
    </w:p>
    <w:p w:rsidR="00926A0D" w:rsidRDefault="006023A9">
      <w:pPr>
        <w:pStyle w:val="ManualHeading3"/>
        <w:rPr>
          <w:noProof/>
        </w:rPr>
      </w:pPr>
      <w:r>
        <w:rPr>
          <w:noProof/>
        </w:rPr>
        <w:tab/>
        <w:t>3.2.4.</w:t>
      </w:r>
      <w:r>
        <w:rPr>
          <w:noProof/>
        </w:rPr>
        <w:tab/>
        <w:t>Compatibility with the current multiannual financial framework</w:t>
      </w:r>
    </w:p>
    <w:p w:rsidR="00926A0D" w:rsidRDefault="006023A9">
      <w:pPr>
        <w:pStyle w:val="ManualHeading3"/>
        <w:rPr>
          <w:noProof/>
        </w:rPr>
      </w:pPr>
      <w:r>
        <w:rPr>
          <w:noProof/>
        </w:rPr>
        <w:tab/>
        <w:t>3.2.5.</w:t>
      </w:r>
      <w:r>
        <w:rPr>
          <w:noProof/>
        </w:rPr>
        <w:tab/>
        <w:t xml:space="preserve">Third-party contributions </w:t>
      </w:r>
    </w:p>
    <w:p w:rsidR="00926A0D" w:rsidRDefault="006023A9">
      <w:pPr>
        <w:pStyle w:val="ManualHeading2"/>
        <w:jc w:val="left"/>
        <w:rPr>
          <w:b w:val="0"/>
          <w:noProof/>
        </w:rPr>
        <w:sectPr w:rsidR="00926A0D" w:rsidSect="00211F8F">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rsidR="00926A0D" w:rsidRDefault="006023A9">
      <w:pPr>
        <w:jc w:val="center"/>
        <w:rPr>
          <w:b/>
          <w:noProof/>
          <w:u w:val="single"/>
        </w:rPr>
      </w:pPr>
      <w:r>
        <w:rPr>
          <w:b/>
          <w:noProof/>
          <w:u w:val="single"/>
        </w:rPr>
        <w:lastRenderedPageBreak/>
        <w:t>LEGISLATIVE FINANCIAL STATEMENT</w:t>
      </w:r>
    </w:p>
    <w:p w:rsidR="00926A0D" w:rsidRDefault="006023A9">
      <w:pPr>
        <w:pStyle w:val="ManualHeading1"/>
        <w:rPr>
          <w:noProof/>
        </w:rPr>
      </w:pPr>
      <w:r>
        <w:t>1.</w:t>
      </w:r>
      <w:r>
        <w:tab/>
      </w:r>
      <w:r>
        <w:rPr>
          <w:noProof/>
        </w:rPr>
        <w:t xml:space="preserve">FRAMEWORK OF THE PROPOSAL/INITIATIVE </w:t>
      </w:r>
    </w:p>
    <w:p w:rsidR="00926A0D" w:rsidRDefault="006023A9">
      <w:pPr>
        <w:pStyle w:val="ManualHeading2"/>
        <w:rPr>
          <w:noProof/>
        </w:rPr>
      </w:pPr>
      <w:r>
        <w:t>1.1.</w:t>
      </w:r>
      <w:r>
        <w:tab/>
      </w:r>
      <w:r>
        <w:rPr>
          <w:noProof/>
        </w:rPr>
        <w:t xml:space="preserve">Title of the proposal/initiative </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REGULATION (EU) OF THE EUROPEAN PARLIAMENT AND OF THE COUNCIL on the Governance of the Energy Union</w:t>
      </w:r>
    </w:p>
    <w:p w:rsidR="00926A0D" w:rsidRDefault="006023A9">
      <w:pPr>
        <w:pStyle w:val="ManualHeading2"/>
        <w:rPr>
          <w:noProof/>
          <w:szCs w:val="24"/>
        </w:rPr>
      </w:pPr>
      <w:r>
        <w:t>1.2.</w:t>
      </w:r>
      <w:r>
        <w:tab/>
      </w:r>
      <w:r>
        <w:rPr>
          <w:noProof/>
        </w:rPr>
        <w:t>Policy area(s) concerned in the ABM/ABB structure</w:t>
      </w:r>
      <w:r>
        <w:rPr>
          <w:rStyle w:val="FootnoteReference"/>
          <w:noProof/>
        </w:rPr>
        <w:footnoteReference w:id="42"/>
      </w:r>
      <w:r>
        <w:rPr>
          <w:i/>
          <w:noProof/>
        </w:rPr>
        <w:t xml:space="preserve"> </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32: Energy</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34: Climate action</w:t>
      </w:r>
      <w:r>
        <w:rPr>
          <w:noProof/>
          <w:highlight w:val="yellow"/>
        </w:rPr>
        <w:t xml:space="preserve"> </w:t>
      </w:r>
    </w:p>
    <w:p w:rsidR="00926A0D" w:rsidRDefault="006023A9">
      <w:pPr>
        <w:pStyle w:val="ManualHeading2"/>
        <w:rPr>
          <w:bCs/>
          <w:noProof/>
          <w:szCs w:val="24"/>
        </w:rPr>
      </w:pPr>
      <w:r>
        <w:t>1.3.</w:t>
      </w:r>
      <w:r>
        <w:tab/>
      </w:r>
      <w:r>
        <w:rPr>
          <w:noProof/>
        </w:rPr>
        <w:t xml:space="preserve">Nature of the proposal/initiative </w:t>
      </w:r>
    </w:p>
    <w:p w:rsidR="00926A0D" w:rsidRDefault="006023A9">
      <w:pPr>
        <w:pStyle w:val="Text1"/>
        <w:rPr>
          <w:b/>
          <w:noProof/>
          <w:sz w:val="22"/>
        </w:rPr>
      </w:pPr>
      <w:r>
        <w:rPr>
          <w:noProof/>
          <w:sz w:val="22"/>
        </w:rPr>
        <w:sym w:font="Wingdings" w:char="F0FE"/>
      </w:r>
      <w:r>
        <w:rPr>
          <w:b/>
          <w:i/>
          <w:noProof/>
          <w:sz w:val="22"/>
        </w:rPr>
        <w:t xml:space="preserve"> </w:t>
      </w:r>
      <w:r>
        <w:rPr>
          <w:noProof/>
        </w:rPr>
        <w:t xml:space="preserve">The proposal/initiative relates to </w:t>
      </w:r>
      <w:r>
        <w:rPr>
          <w:b/>
          <w:noProof/>
        </w:rPr>
        <w:t>a new action</w:t>
      </w:r>
      <w:r>
        <w:rPr>
          <w:b/>
          <w:noProof/>
          <w:sz w:val="22"/>
        </w:rPr>
        <w:t xml:space="preserve"> </w:t>
      </w:r>
    </w:p>
    <w:p w:rsidR="00926A0D" w:rsidRDefault="006023A9">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b/>
          <w:noProof/>
        </w:rPr>
        <w:footnoteReference w:id="43"/>
      </w:r>
      <w:r>
        <w:rPr>
          <w:noProof/>
          <w:sz w:val="22"/>
        </w:rPr>
        <w:t xml:space="preserve"> </w:t>
      </w:r>
    </w:p>
    <w:p w:rsidR="00926A0D" w:rsidRDefault="006023A9">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rsidR="00926A0D" w:rsidRDefault="006023A9">
      <w:pPr>
        <w:pStyle w:val="Text1"/>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rsidR="00926A0D" w:rsidRDefault="006023A9">
      <w:pPr>
        <w:pStyle w:val="ManualHeading2"/>
        <w:rPr>
          <w:bCs/>
          <w:noProof/>
          <w:szCs w:val="24"/>
        </w:rPr>
      </w:pPr>
      <w:r>
        <w:t>1.4.</w:t>
      </w:r>
      <w:r>
        <w:tab/>
      </w:r>
      <w:r>
        <w:rPr>
          <w:noProof/>
        </w:rPr>
        <w:t>Objective(s)</w:t>
      </w:r>
    </w:p>
    <w:p w:rsidR="00926A0D" w:rsidRDefault="006023A9">
      <w:pPr>
        <w:pStyle w:val="ManualHeading3"/>
        <w:rPr>
          <w:noProof/>
        </w:rPr>
      </w:pPr>
      <w:r>
        <w:t>1.4.1.</w:t>
      </w:r>
      <w:r>
        <w:tab/>
      </w:r>
      <w:r>
        <w:rPr>
          <w:noProof/>
        </w:rPr>
        <w:t xml:space="preserve">The Commission's multiannual strategic objective(s) targeted by the proposal/initiative </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 xml:space="preserve">The proposed Regulation aims at ensuring a coordinated and coherent implementation of the Energy Union Strategy across its five dimensions, as well as the collective achievement of the Energy Union objectives through a combination of EU and national measures on the basis of streamlined planning, reporting and monitoring obligations and a functional governance process between the Commission and Member States. </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The setting up of an Energy Union is part of the Commission's ten political priorities, and this proposal is an important element of the Strategic Framework for the Energy Union.</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The proposal is jointly prepared by DG Energy and DG Climate Action</w:t>
      </w:r>
      <w:r w:rsidR="00B83D62">
        <w:rPr>
          <w:noProof/>
        </w:rPr>
        <w:t>.</w:t>
      </w:r>
      <w:r>
        <w:rPr>
          <w:noProof/>
        </w:rPr>
        <w:t xml:space="preserve"> </w:t>
      </w:r>
    </w:p>
    <w:p w:rsidR="00926A0D" w:rsidRDefault="00926A0D">
      <w:pPr>
        <w:pStyle w:val="Text1"/>
        <w:pBdr>
          <w:top w:val="single" w:sz="4" w:space="1" w:color="auto"/>
          <w:left w:val="single" w:sz="4" w:space="4" w:color="auto"/>
          <w:bottom w:val="single" w:sz="4" w:space="1" w:color="auto"/>
          <w:right w:val="single" w:sz="4" w:space="4" w:color="auto"/>
        </w:pBdr>
        <w:rPr>
          <w:noProof/>
        </w:rPr>
      </w:pPr>
    </w:p>
    <w:p w:rsidR="00926A0D" w:rsidRDefault="006023A9">
      <w:pPr>
        <w:pStyle w:val="ManualHeading3"/>
        <w:rPr>
          <w:bCs/>
          <w:noProof/>
          <w:szCs w:val="24"/>
        </w:rPr>
      </w:pPr>
      <w:r>
        <w:t>1.4.2.</w:t>
      </w:r>
      <w:r>
        <w:tab/>
      </w:r>
      <w:r>
        <w:rPr>
          <w:noProof/>
        </w:rPr>
        <w:t xml:space="preserve">Specific objective(s) and ABM/ABB activity(ies) concerned </w:t>
      </w:r>
    </w:p>
    <w:p w:rsidR="00926A0D" w:rsidRDefault="006023A9">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For DG Energy: Specific Objective 6: Implementation and follow-up on the overall Energy Union strategy.</w:t>
      </w:r>
    </w:p>
    <w:p w:rsidR="00926A0D" w:rsidRDefault="00926A0D">
      <w:pPr>
        <w:pStyle w:val="Text1"/>
        <w:pBdr>
          <w:top w:val="single" w:sz="4" w:space="1" w:color="auto"/>
          <w:left w:val="single" w:sz="4" w:space="4" w:color="auto"/>
          <w:bottom w:val="single" w:sz="4" w:space="1" w:color="auto"/>
          <w:right w:val="single" w:sz="4" w:space="4" w:color="auto"/>
        </w:pBdr>
        <w:rPr>
          <w:noProof/>
        </w:rPr>
      </w:pP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For DG Climate Action: Specific objective 6: Implementation of the Energy Union Strategy towards an enhanced climate and energy governance mechanism including streamlined reporting and planning post 2020 (coordination with DG ENER)</w:t>
      </w:r>
      <w:r w:rsidR="00B83D62">
        <w:rPr>
          <w:noProof/>
        </w:rPr>
        <w:t>.</w:t>
      </w:r>
    </w:p>
    <w:p w:rsidR="00926A0D" w:rsidRDefault="00926A0D">
      <w:pPr>
        <w:pStyle w:val="Text1"/>
        <w:pBdr>
          <w:top w:val="single" w:sz="4" w:space="1" w:color="auto"/>
          <w:left w:val="single" w:sz="4" w:space="4" w:color="auto"/>
          <w:bottom w:val="single" w:sz="4" w:space="1" w:color="auto"/>
          <w:right w:val="single" w:sz="4" w:space="4" w:color="auto"/>
        </w:pBdr>
        <w:rPr>
          <w:noProof/>
        </w:rPr>
      </w:pPr>
    </w:p>
    <w:p w:rsidR="00926A0D" w:rsidRDefault="006023A9">
      <w:pPr>
        <w:pStyle w:val="Text1"/>
        <w:pBdr>
          <w:top w:val="single" w:sz="4" w:space="1" w:color="auto"/>
          <w:left w:val="single" w:sz="4" w:space="4" w:color="auto"/>
          <w:bottom w:val="single" w:sz="4" w:space="1" w:color="auto"/>
          <w:right w:val="single" w:sz="4" w:space="4" w:color="auto"/>
        </w:pBdr>
        <w:rPr>
          <w:noProof/>
          <w:u w:val="single"/>
        </w:rPr>
      </w:pPr>
      <w:r>
        <w:rPr>
          <w:noProof/>
          <w:u w:val="single"/>
        </w:rPr>
        <w:t>ABM/ABB activity(ies) concerned</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Spending of DG Energy is taking place through ABB activity 32.02 Conventional and Renewable Energy (or ABB1: Conventional and Renewable Energy).</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 xml:space="preserve">In the 2016 Management Plan and in line with the new structure of specific objectives following the Energy Union, ABB 1 contributes to all 6 specific objectives including the competitiveness aspects of specific objective 5. </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For DG CLIMA it is under activity ABB Activity 34 02 – "Climate action at Union and international level</w:t>
      </w:r>
      <w:r w:rsidR="00EF1A2E">
        <w:rPr>
          <w:noProof/>
        </w:rPr>
        <w:t>.</w:t>
      </w:r>
      <w:r>
        <w:rPr>
          <w:noProof/>
        </w:rPr>
        <w:t xml:space="preserve"> </w:t>
      </w:r>
    </w:p>
    <w:p w:rsidR="00926A0D" w:rsidRDefault="00926A0D">
      <w:pPr>
        <w:pStyle w:val="Text1"/>
        <w:pBdr>
          <w:top w:val="single" w:sz="4" w:space="1" w:color="auto"/>
          <w:left w:val="single" w:sz="4" w:space="4" w:color="auto"/>
          <w:bottom w:val="single" w:sz="4" w:space="1" w:color="auto"/>
          <w:right w:val="single" w:sz="4" w:space="4" w:color="auto"/>
        </w:pBdr>
        <w:rPr>
          <w:noProof/>
        </w:rPr>
      </w:pPr>
    </w:p>
    <w:p w:rsidR="00926A0D" w:rsidRDefault="006023A9">
      <w:pPr>
        <w:pStyle w:val="ManualHeading3"/>
        <w:rPr>
          <w:bCs/>
          <w:noProof/>
          <w:szCs w:val="24"/>
        </w:rPr>
      </w:pPr>
      <w:r>
        <w:t>1.4.3.</w:t>
      </w:r>
      <w:r>
        <w:tab/>
      </w:r>
      <w:r>
        <w:rPr>
          <w:noProof/>
        </w:rPr>
        <w:t>Expected result(s) and impact</w:t>
      </w:r>
    </w:p>
    <w:p w:rsidR="00926A0D" w:rsidRDefault="006023A9">
      <w:pPr>
        <w:pStyle w:val="Text1"/>
        <w:rPr>
          <w:i/>
          <w:noProof/>
          <w:sz w:val="20"/>
        </w:rPr>
      </w:pPr>
      <w:r>
        <w:rPr>
          <w:i/>
          <w:noProof/>
          <w:sz w:val="20"/>
        </w:rPr>
        <w:t>Specify the effects which the proposal/initiative should have on the beneficiaries/groups targeted.</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The Integrated National Energy and Climate Plans and corresponding Progress Reports should minimise administrative burden for the Member States and the Commission, while improving the quality of information and transparency, ensuring a timely implementation and monitoring of the Energy Union objectives, as well as improving inter-linkages and synergies between the energy and climate fields.</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Streamlining existing planning, reporting obligations of Member States and monitoring obligations of the Commission would improve the situation for all stakeholders in line with the Better Regulation principles of effectiveness, efficiency, EU added value, relevance and coherence</w:t>
      </w:r>
      <w:r w:rsidR="00B83D62">
        <w:rPr>
          <w:noProof/>
        </w:rPr>
        <w:t>.</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Furthermore, this proposal will specify the content and adequate periodicity of National Plans, Progress Reports and integrated monitoring by the Commission, as well as the related governance process between the Member States and the Commission including regional coordination. It aims at synchronising with the Paris Climate Agreement's 5-year review cycles.</w:t>
      </w:r>
    </w:p>
    <w:p w:rsidR="00926A0D" w:rsidRDefault="006023A9">
      <w:pPr>
        <w:pStyle w:val="ManualHeading3"/>
        <w:rPr>
          <w:bCs/>
          <w:noProof/>
          <w:szCs w:val="24"/>
        </w:rPr>
      </w:pPr>
      <w:r>
        <w:t>1.4.4.</w:t>
      </w:r>
      <w:r>
        <w:tab/>
      </w:r>
      <w:r>
        <w:rPr>
          <w:noProof/>
        </w:rPr>
        <w:t xml:space="preserve">Indicators of results and impact </w:t>
      </w:r>
    </w:p>
    <w:p w:rsidR="00926A0D" w:rsidRDefault="006023A9">
      <w:pPr>
        <w:pStyle w:val="Text1"/>
        <w:rPr>
          <w:i/>
          <w:noProof/>
          <w:sz w:val="20"/>
        </w:rPr>
      </w:pPr>
      <w:r>
        <w:rPr>
          <w:i/>
          <w:noProof/>
          <w:sz w:val="20"/>
        </w:rPr>
        <w:t>Specify the indicators for monitoring implementation of the proposal/initiative.</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The implementation of the proposal should ensure transparent information on the progress of Member States and of the EU collectively towards the Energy Union objectives for 2030 and beyond and provide a governance framework that is suitable for the implementation of the Energy Union Strategy.</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Indicator for the implementation of the proposal is: Number of Member States that provide integrated plans in time (as specified in the Regulation)</w:t>
      </w:r>
      <w:r w:rsidR="00B83D62">
        <w:rPr>
          <w:noProof/>
        </w:rPr>
        <w:t>.</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 xml:space="preserve">  </w:t>
      </w:r>
    </w:p>
    <w:p w:rsidR="00926A0D" w:rsidRDefault="006023A9">
      <w:pPr>
        <w:pStyle w:val="ManualHeading2"/>
        <w:rPr>
          <w:bCs/>
          <w:noProof/>
          <w:szCs w:val="24"/>
        </w:rPr>
      </w:pPr>
      <w:r>
        <w:t>1.5.</w:t>
      </w:r>
      <w:r>
        <w:tab/>
      </w:r>
      <w:r>
        <w:rPr>
          <w:noProof/>
        </w:rPr>
        <w:t xml:space="preserve">Grounds for the proposal/initiative </w:t>
      </w:r>
    </w:p>
    <w:p w:rsidR="00926A0D" w:rsidRDefault="006023A9">
      <w:pPr>
        <w:pStyle w:val="ManualHeading3"/>
        <w:rPr>
          <w:noProof/>
        </w:rPr>
      </w:pPr>
      <w:r>
        <w:t>1.5.1.</w:t>
      </w:r>
      <w:r>
        <w:tab/>
      </w:r>
      <w:r>
        <w:rPr>
          <w:noProof/>
        </w:rPr>
        <w:t xml:space="preserve">Requirement(s) to be met in the short or long term </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 xml:space="preserve">Member States would have to submit less national plans and reports required by different sectorial legal instruments, but instead should submit integrated plans and reports to the Commission at regular intervals. On the basis of the information provided by the Member States, the Commission should produce the necessary monitoring reports.  </w:t>
      </w:r>
    </w:p>
    <w:p w:rsidR="00926A0D" w:rsidRDefault="006023A9">
      <w:pPr>
        <w:pStyle w:val="ManualHeading3"/>
        <w:rPr>
          <w:bCs/>
          <w:noProof/>
          <w:szCs w:val="24"/>
        </w:rPr>
      </w:pPr>
      <w:r>
        <w:lastRenderedPageBreak/>
        <w:t>1.5.2.</w:t>
      </w:r>
      <w:r>
        <w:tab/>
      </w:r>
      <w:r>
        <w:rPr>
          <w:noProof/>
        </w:rPr>
        <w:t>Added value of EU involvement</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 xml:space="preserve">First, having in mind that several elements of the Energy Union Strategy relate to objectives set at the EU level, action at EU level is needed to ensure the attainment of these objectives as well as coherence of energy and climate policies within the EU and across its Member States, while preserving flexibility for Member States. </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Moreover, the majority of the energy challenges facing the Union cannot be met through uncoordinated national action. The same holds true for climate change, which by its nature is a trans-boundary problem and cannot be solved by national or local action alone. Therefore, coordination of climate action at both European and global level is necessary. Consequently, EU action is justified to monitor the progress of implementation of energy and climate policies across the EU in line with the Energy Union objectives as well as the functioning of the internal energy market.</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Second, because of the cross-border relevance of each dimension of the Energy Union, EU action is needed to further promote enhanced cooperation among Member States. None of the Energy Union dimensions could be effectively implemented in the absence of an EU governance process between Member States and the Commission which will also ensure a more regional approach to energy and climate policy. It is also necessary to create the enabling framework to ensure that the EU is ready to participate fully in the review processes under the Paris Agreement, ensuring maximum synchronisation and synergies.</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 xml:space="preserve">Third, EU action is justified for the initiative's objective of streamlining existing planning, reporting and monitoring obligations, as existing EU legislation in the energy acquis as well as the Monitoring Mechanism Regulation can only be amended by means of legislative proposals in order to reduce the administrative burden for Member States and the Commission and enhance the coherence of planning and reporting as well as to ensure comparability of National Plans and Progress Reports. </w:t>
      </w:r>
    </w:p>
    <w:p w:rsidR="00926A0D" w:rsidRDefault="006023A9">
      <w:pPr>
        <w:pStyle w:val="ManualHeading3"/>
        <w:rPr>
          <w:bCs/>
          <w:noProof/>
          <w:szCs w:val="24"/>
        </w:rPr>
      </w:pPr>
      <w:r>
        <w:t>1.5.3.</w:t>
      </w:r>
      <w:r>
        <w:tab/>
      </w:r>
      <w:r>
        <w:rPr>
          <w:noProof/>
        </w:rPr>
        <w:t>Lessons learned from similar experiences in the past</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 xml:space="preserve">Most of the current planning, reporting and monitoring obligations provide benefits in terms of useful information on a specific policy area and support the implementation of specific policy objectives set out in sectorial legislation. The current reporting obligations on the Commission ensure that the Commission informs the European Parliament, the Council and the general public about the results achieved by EU legislation and the progress made by the EU and its Member States in fulfilling their respective obligations under international commitments under the UNFCCC. </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 xml:space="preserve">However, the existing framework is unsuitable for the 2030 targets for energy and climate and Energy Union objectives, as it fails to ensure policy coherence among obligations in the energy field and consistency between the energy and climate fields. Furthermore, some of the current plans and reports are seen as having high administrative costs. </w:t>
      </w:r>
    </w:p>
    <w:p w:rsidR="00926A0D" w:rsidRDefault="006023A9">
      <w:pPr>
        <w:pStyle w:val="ManualHeading3"/>
        <w:rPr>
          <w:bCs/>
          <w:noProof/>
          <w:szCs w:val="24"/>
        </w:rPr>
      </w:pPr>
      <w:r>
        <w:t>1.5.4.</w:t>
      </w:r>
      <w:r>
        <w:tab/>
      </w:r>
      <w:r>
        <w:rPr>
          <w:noProof/>
        </w:rPr>
        <w:t>Compatibility and possible synergy with other appropriate instruments</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 xml:space="preserve">The proposal is consistent with the review of Directive 2009/28/EC (Renewable Energy Directive), of Directive 2010/31/EU (Energy Performance of Buildings Directive), of Directive 2012/27/EU (Energy Efficiency Directive) and with the Market Design Initiative. </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lastRenderedPageBreak/>
        <w:t xml:space="preserve">It is also consistent with the Decision </w:t>
      </w:r>
      <w:r w:rsidR="007A2346">
        <w:rPr>
          <w:noProof/>
        </w:rPr>
        <w:t xml:space="preserve">No </w:t>
      </w:r>
      <w:r>
        <w:rPr>
          <w:noProof/>
        </w:rPr>
        <w:t xml:space="preserve">406/2009 EC (Effort Sharing Decision – valid 2013-20), its proposed successor for the period 2021-30, COM(2016) 482 final </w:t>
      </w:r>
      <w:r w:rsidR="00EA2A0F" w:rsidRPr="00EA2A0F">
        <w:rPr>
          <w:noProof/>
        </w:rPr>
        <w:t>- 2016/0231 (COD)</w:t>
      </w:r>
      <w:r>
        <w:rPr>
          <w:noProof/>
        </w:rPr>
        <w:t xml:space="preserve"> (Proposal for </w:t>
      </w:r>
      <w:r w:rsidR="00EA2A0F">
        <w:rPr>
          <w:noProof/>
        </w:rPr>
        <w:t>a</w:t>
      </w:r>
      <w:r>
        <w:rPr>
          <w:noProof/>
        </w:rPr>
        <w:t xml:space="preserve"> Regulation</w:t>
      </w:r>
      <w:r w:rsidR="00EA2A0F">
        <w:rPr>
          <w:noProof/>
        </w:rPr>
        <w:t xml:space="preserve"> on binding annual greenhouse gas emission reductions by Member States from 2021 to 2030 for  a resilient Energy Union and to meet commitments under the Paris Agreement and amending Regulation</w:t>
      </w:r>
      <w:r w:rsidR="00AE2777">
        <w:rPr>
          <w:noProof/>
        </w:rPr>
        <w:t xml:space="preserve"> </w:t>
      </w:r>
      <w:r w:rsidR="00EA2A0F">
        <w:rPr>
          <w:noProof/>
        </w:rPr>
        <w:t>No 525/2013 of the European Parliament and the Council on a mechanism for monitoring and reporting greenhouse gas emissions and other information relevant to climate change</w:t>
      </w:r>
      <w:r>
        <w:rPr>
          <w:noProof/>
        </w:rPr>
        <w:t>), as well as the LULUCF Proposal</w:t>
      </w:r>
      <w:r w:rsidR="00EA2A0F">
        <w:rPr>
          <w:noProof/>
        </w:rPr>
        <w:t xml:space="preserve">, COM(2016) 479 final - </w:t>
      </w:r>
      <w:r w:rsidR="00EA2A0F" w:rsidRPr="00EA2A0F">
        <w:rPr>
          <w:noProof/>
        </w:rPr>
        <w:t>2016/0230 (COD)</w:t>
      </w:r>
      <w:r w:rsidR="00EA2A0F">
        <w:rPr>
          <w:noProof/>
        </w:rPr>
        <w:t xml:space="preserve"> (Proposal for a Regulation on the inclusion of greenhouse gas emissions and removals from land use, land use change and forestry into the 2030 climate and energy framework and amending Regulation No 525/2013 of the European Parliament and the Council on a mechanism for monitoring and reporting greenhouse gas emissions and other information relevant to climate change)</w:t>
      </w:r>
      <w:r>
        <w:rPr>
          <w:noProof/>
        </w:rPr>
        <w:t>. These initiatives aim at establishing a post-2020 sector-specific legal framework, while the current proposal shall establish the overall governance framework for reaching the Energy Union objectives.</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It is also consistent with Directive 2009/31/EC on the geological storage of carbon dioxide.</w:t>
      </w:r>
    </w:p>
    <w:p w:rsidR="00926A0D" w:rsidRDefault="00926A0D">
      <w:pPr>
        <w:pStyle w:val="Text1"/>
        <w:pBdr>
          <w:top w:val="single" w:sz="4" w:space="1" w:color="auto"/>
          <w:left w:val="single" w:sz="4" w:space="4" w:color="auto"/>
          <w:bottom w:val="single" w:sz="4" w:space="1" w:color="auto"/>
          <w:right w:val="single" w:sz="4" w:space="4" w:color="auto"/>
        </w:pBdr>
        <w:rPr>
          <w:noProof/>
        </w:rPr>
      </w:pPr>
    </w:p>
    <w:p w:rsidR="00926A0D" w:rsidRDefault="006023A9">
      <w:pPr>
        <w:pStyle w:val="ManualHeading2"/>
        <w:rPr>
          <w:bCs/>
          <w:noProof/>
          <w:szCs w:val="24"/>
        </w:rPr>
      </w:pPr>
      <w:r>
        <w:rPr>
          <w:noProof/>
        </w:rPr>
        <w:br w:type="page"/>
      </w:r>
      <w:r>
        <w:lastRenderedPageBreak/>
        <w:t>1.6.</w:t>
      </w:r>
      <w:r>
        <w:tab/>
      </w:r>
      <w:r>
        <w:rPr>
          <w:noProof/>
        </w:rPr>
        <w:t xml:space="preserve">Duration and financial impact </w:t>
      </w:r>
    </w:p>
    <w:p w:rsidR="00926A0D" w:rsidRDefault="006023A9">
      <w:pPr>
        <w:pStyle w:val="Text1"/>
        <w:rPr>
          <w:noProof/>
        </w:rPr>
      </w:pPr>
      <w:r>
        <w:rPr>
          <w:noProof/>
        </w:rPr>
        <w:sym w:font="Wingdings" w:char="F0A8"/>
      </w:r>
      <w:r>
        <w:rPr>
          <w:b/>
          <w:i/>
          <w:noProof/>
        </w:rPr>
        <w:t xml:space="preserve"> </w:t>
      </w:r>
      <w:r>
        <w:rPr>
          <w:noProof/>
        </w:rPr>
        <w:t xml:space="preserve">Proposal/initiative of </w:t>
      </w:r>
      <w:r>
        <w:rPr>
          <w:b/>
          <w:noProof/>
        </w:rPr>
        <w:t xml:space="preserve">limited duration </w:t>
      </w:r>
    </w:p>
    <w:p w:rsidR="00926A0D" w:rsidRDefault="006023A9">
      <w:pPr>
        <w:pStyle w:val="ListDash2"/>
        <w:rPr>
          <w:noProof/>
        </w:rPr>
      </w:pPr>
      <w:r>
        <w:rPr>
          <w:noProof/>
        </w:rPr>
        <w:sym w:font="Wingdings" w:char="F0A8"/>
      </w:r>
      <w:r>
        <w:rPr>
          <w:noProof/>
        </w:rPr>
        <w:tab/>
        <w:t xml:space="preserve">Proposal/initiative in effect from [DD/MM]YYYY to [DD/MM]YYYY </w:t>
      </w:r>
    </w:p>
    <w:p w:rsidR="00926A0D" w:rsidRDefault="006023A9">
      <w:pPr>
        <w:pStyle w:val="ListDash2"/>
        <w:rPr>
          <w:noProof/>
        </w:rPr>
      </w:pPr>
      <w:r>
        <w:rPr>
          <w:noProof/>
        </w:rPr>
        <w:sym w:font="Wingdings" w:char="F0A8"/>
      </w:r>
      <w:r>
        <w:rPr>
          <w:noProof/>
        </w:rPr>
        <w:tab/>
        <w:t xml:space="preserve">Financial impact from YYYY to YYYY </w:t>
      </w:r>
    </w:p>
    <w:p w:rsidR="00926A0D" w:rsidRDefault="006023A9">
      <w:pPr>
        <w:pStyle w:val="Text1"/>
        <w:rPr>
          <w:noProof/>
        </w:rPr>
      </w:pPr>
      <w:r>
        <w:rPr>
          <w:noProof/>
        </w:rPr>
        <w:sym w:font="Wingdings" w:char="F0FE"/>
      </w:r>
      <w:r>
        <w:rPr>
          <w:b/>
          <w:i/>
          <w:noProof/>
        </w:rPr>
        <w:t xml:space="preserve"> </w:t>
      </w:r>
      <w:r>
        <w:rPr>
          <w:noProof/>
        </w:rPr>
        <w:t xml:space="preserve">Proposal/initiative of </w:t>
      </w:r>
      <w:r>
        <w:rPr>
          <w:b/>
          <w:noProof/>
        </w:rPr>
        <w:t>unlimited duration</w:t>
      </w:r>
    </w:p>
    <w:p w:rsidR="00926A0D" w:rsidRDefault="006023A9">
      <w:pPr>
        <w:pStyle w:val="ListDash1"/>
        <w:rPr>
          <w:noProof/>
        </w:rPr>
      </w:pPr>
      <w:r>
        <w:rPr>
          <w:noProof/>
        </w:rPr>
        <w:t>Implementation with a start-up period from 2018 for unlimited duration,</w:t>
      </w:r>
    </w:p>
    <w:p w:rsidR="00926A0D" w:rsidRDefault="006023A9">
      <w:pPr>
        <w:pStyle w:val="ListDash1"/>
        <w:rPr>
          <w:noProof/>
        </w:rPr>
      </w:pPr>
      <w:r>
        <w:rPr>
          <w:noProof/>
        </w:rPr>
        <w:t>followed by full-scale operation.</w:t>
      </w:r>
    </w:p>
    <w:p w:rsidR="00926A0D" w:rsidRDefault="006023A9">
      <w:pPr>
        <w:pStyle w:val="ManualHeading2"/>
        <w:rPr>
          <w:bCs/>
          <w:noProof/>
          <w:szCs w:val="24"/>
        </w:rPr>
      </w:pPr>
      <w:r>
        <w:t>1.7.</w:t>
      </w:r>
      <w:r>
        <w:tab/>
      </w:r>
      <w:r>
        <w:rPr>
          <w:noProof/>
        </w:rPr>
        <w:t>Management mode(s) planned</w:t>
      </w:r>
      <w:r>
        <w:rPr>
          <w:rStyle w:val="FootnoteReference"/>
          <w:noProof/>
        </w:rPr>
        <w:footnoteReference w:id="44"/>
      </w:r>
      <w:r>
        <w:rPr>
          <w:rStyle w:val="FootnoteReference"/>
          <w:noProof/>
        </w:rPr>
        <w:t xml:space="preserve"> </w:t>
      </w:r>
    </w:p>
    <w:p w:rsidR="00926A0D" w:rsidRDefault="006023A9">
      <w:pPr>
        <w:pStyle w:val="Text1"/>
        <w:rPr>
          <w:noProof/>
        </w:rPr>
      </w:pPr>
      <w:r>
        <w:rPr>
          <w:noProof/>
        </w:rPr>
        <w:sym w:font="Wingdings" w:char="F0FE"/>
      </w:r>
      <w:r>
        <w:rPr>
          <w:i/>
          <w:noProof/>
        </w:rPr>
        <w:t xml:space="preserve"> </w:t>
      </w:r>
      <w:r>
        <w:rPr>
          <w:b/>
          <w:noProof/>
        </w:rPr>
        <w:t>Direct management</w:t>
      </w:r>
      <w:r>
        <w:rPr>
          <w:noProof/>
        </w:rPr>
        <w:t xml:space="preserve"> by the Commission</w:t>
      </w:r>
    </w:p>
    <w:p w:rsidR="00926A0D" w:rsidRDefault="006023A9">
      <w:pPr>
        <w:pStyle w:val="ListDash2"/>
        <w:rPr>
          <w:rFonts w:cs="EUAlbertina"/>
          <w:noProof/>
        </w:rPr>
      </w:pPr>
      <w:r>
        <w:rPr>
          <w:noProof/>
        </w:rPr>
        <w:sym w:font="Wingdings" w:char="F0FE"/>
      </w:r>
      <w:r>
        <w:rPr>
          <w:noProof/>
        </w:rPr>
        <w:t xml:space="preserve"> by its departments, including by its staff in the Union delegations; </w:t>
      </w:r>
    </w:p>
    <w:p w:rsidR="00926A0D" w:rsidRDefault="006023A9">
      <w:pPr>
        <w:pStyle w:val="ListDash2"/>
        <w:rPr>
          <w:noProof/>
        </w:rPr>
      </w:pPr>
      <w:r>
        <w:rPr>
          <w:noProof/>
        </w:rPr>
        <w:sym w:font="Wingdings" w:char="F0A8"/>
      </w:r>
      <w:r>
        <w:rPr>
          <w:noProof/>
        </w:rPr>
        <w:tab/>
        <w:t xml:space="preserve">by the executive agencies </w:t>
      </w:r>
    </w:p>
    <w:p w:rsidR="00926A0D" w:rsidRDefault="006023A9">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rsidR="00926A0D" w:rsidRDefault="006023A9">
      <w:pPr>
        <w:pStyle w:val="Text1"/>
        <w:rPr>
          <w:noProof/>
        </w:rPr>
      </w:pPr>
      <w:r>
        <w:rPr>
          <w:noProof/>
        </w:rPr>
        <w:t>x</w:t>
      </w:r>
      <w:r>
        <w:rPr>
          <w:i/>
          <w:noProof/>
        </w:rPr>
        <w:t xml:space="preserve"> </w:t>
      </w:r>
      <w:r>
        <w:rPr>
          <w:b/>
          <w:noProof/>
        </w:rPr>
        <w:t>Indirect management</w:t>
      </w:r>
      <w:r>
        <w:rPr>
          <w:noProof/>
        </w:rPr>
        <w:t xml:space="preserve"> by entrusting budget implementation tasks to:</w:t>
      </w:r>
    </w:p>
    <w:p w:rsidR="00926A0D" w:rsidRDefault="006023A9">
      <w:pPr>
        <w:pStyle w:val="ListDash2"/>
        <w:rPr>
          <w:noProof/>
        </w:rPr>
      </w:pPr>
      <w:r>
        <w:rPr>
          <w:noProof/>
        </w:rPr>
        <w:sym w:font="Wingdings" w:char="F0A8"/>
      </w:r>
      <w:r>
        <w:rPr>
          <w:noProof/>
        </w:rPr>
        <w:t xml:space="preserve"> third countries or the bodies they have designated;</w:t>
      </w:r>
    </w:p>
    <w:p w:rsidR="00926A0D" w:rsidRDefault="006023A9">
      <w:pPr>
        <w:pStyle w:val="ListDash2"/>
        <w:rPr>
          <w:noProof/>
        </w:rPr>
      </w:pPr>
      <w:r>
        <w:rPr>
          <w:noProof/>
        </w:rPr>
        <w:sym w:font="Wingdings" w:char="F0A8"/>
      </w:r>
      <w:r>
        <w:rPr>
          <w:noProof/>
        </w:rPr>
        <w:t xml:space="preserve"> international organisations and their agencies (to be specified);</w:t>
      </w:r>
    </w:p>
    <w:p w:rsidR="00926A0D" w:rsidRDefault="006023A9">
      <w:pPr>
        <w:pStyle w:val="ListDash2"/>
        <w:rPr>
          <w:noProof/>
        </w:rPr>
      </w:pPr>
      <w:r>
        <w:rPr>
          <w:noProof/>
        </w:rPr>
        <w:sym w:font="Wingdings" w:char="F0A8"/>
      </w:r>
      <w:r>
        <w:rPr>
          <w:noProof/>
        </w:rPr>
        <w:t>the EIB and the European Investment Fund;</w:t>
      </w:r>
    </w:p>
    <w:p w:rsidR="00926A0D" w:rsidRDefault="006023A9">
      <w:pPr>
        <w:pStyle w:val="ListDash2"/>
        <w:rPr>
          <w:noProof/>
        </w:rPr>
      </w:pPr>
      <w:r>
        <w:rPr>
          <w:noProof/>
        </w:rPr>
        <w:t>x bodies referred to in Articles 208 and 209 of the Financial Regulation;</w:t>
      </w:r>
    </w:p>
    <w:p w:rsidR="00926A0D" w:rsidRDefault="006023A9">
      <w:pPr>
        <w:pStyle w:val="ListDash2"/>
        <w:rPr>
          <w:noProof/>
        </w:rPr>
      </w:pPr>
      <w:r>
        <w:rPr>
          <w:noProof/>
        </w:rPr>
        <w:sym w:font="Wingdings" w:char="F0A8"/>
      </w:r>
      <w:r>
        <w:rPr>
          <w:noProof/>
        </w:rPr>
        <w:t xml:space="preserve"> public law bodies;</w:t>
      </w:r>
    </w:p>
    <w:p w:rsidR="00926A0D" w:rsidRDefault="006023A9">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rsidR="00926A0D" w:rsidRDefault="006023A9">
      <w:pPr>
        <w:pStyle w:val="ListDash2"/>
        <w:rPr>
          <w:noProof/>
        </w:rPr>
      </w:pPr>
      <w:r>
        <w:rPr>
          <w:noProof/>
        </w:rPr>
        <w:sym w:font="Wingdings" w:char="F0A8"/>
      </w:r>
      <w:r>
        <w:rPr>
          <w:noProof/>
        </w:rPr>
        <w:t xml:space="preserve"> bodies governed by the private law of a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smartTag>
      <w:r>
        <w:rPr>
          <w:noProof/>
        </w:rPr>
        <w:t xml:space="preserve"> that are entrusted with the implementation of a public-private partnership and that provide adequate financial guarantees;</w:t>
      </w:r>
    </w:p>
    <w:p w:rsidR="00926A0D" w:rsidRDefault="006023A9">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rsidR="00926A0D" w:rsidRDefault="006023A9">
      <w:pPr>
        <w:pStyle w:val="ListDash2"/>
        <w:rPr>
          <w:i/>
          <w:noProof/>
          <w:sz w:val="18"/>
          <w:u w:val="single"/>
        </w:rPr>
      </w:pPr>
      <w:r>
        <w:rPr>
          <w:i/>
          <w:noProof/>
          <w:sz w:val="18"/>
        </w:rPr>
        <w:t>If more than one management mode is indicated, please provide details in the ‘Comments’ section.</w:t>
      </w:r>
    </w:p>
    <w:p w:rsidR="00926A0D" w:rsidRDefault="006023A9">
      <w:pPr>
        <w:rPr>
          <w:noProof/>
        </w:rPr>
      </w:pPr>
      <w:r>
        <w:rPr>
          <w:noProof/>
        </w:rPr>
        <w:t xml:space="preserve">Comments </w:t>
      </w:r>
    </w:p>
    <w:p w:rsidR="00926A0D" w:rsidRDefault="006023A9">
      <w:pPr>
        <w:pBdr>
          <w:top w:val="single" w:sz="4" w:space="1" w:color="auto"/>
          <w:left w:val="single" w:sz="4" w:space="4" w:color="auto"/>
          <w:bottom w:val="single" w:sz="4" w:space="1" w:color="auto"/>
          <w:right w:val="single" w:sz="4" w:space="4" w:color="auto"/>
        </w:pBdr>
        <w:rPr>
          <w:noProof/>
        </w:rPr>
      </w:pPr>
      <w:r>
        <w:rPr>
          <w:noProof/>
        </w:rPr>
        <w:t xml:space="preserve">The participation of the </w:t>
      </w:r>
      <w:r w:rsidR="007C4B63">
        <w:rPr>
          <w:noProof/>
        </w:rPr>
        <w:t>Joint Research Centre (</w:t>
      </w:r>
      <w:r>
        <w:rPr>
          <w:noProof/>
        </w:rPr>
        <w:t>JRC</w:t>
      </w:r>
      <w:r w:rsidR="007C4B63">
        <w:rPr>
          <w:noProof/>
        </w:rPr>
        <w:t>)</w:t>
      </w:r>
      <w:r>
        <w:rPr>
          <w:noProof/>
        </w:rPr>
        <w:t xml:space="preserve"> and </w:t>
      </w:r>
      <w:r w:rsidR="007C4B63">
        <w:rPr>
          <w:noProof/>
        </w:rPr>
        <w:t>European Environment Agency (</w:t>
      </w:r>
      <w:r>
        <w:rPr>
          <w:noProof/>
        </w:rPr>
        <w:t>EEA</w:t>
      </w:r>
      <w:r w:rsidR="007C4B63">
        <w:rPr>
          <w:noProof/>
        </w:rPr>
        <w:t>)</w:t>
      </w:r>
      <w:r>
        <w:rPr>
          <w:noProof/>
        </w:rPr>
        <w:t xml:space="preserve"> will be needed for the implementation of the requirements of this </w:t>
      </w:r>
      <w:r w:rsidR="00445D1B">
        <w:rPr>
          <w:noProof/>
        </w:rPr>
        <w:t>R</w:t>
      </w:r>
      <w:r>
        <w:rPr>
          <w:noProof/>
        </w:rPr>
        <w:t xml:space="preserve">egulation. </w:t>
      </w:r>
    </w:p>
    <w:p w:rsidR="00926A0D" w:rsidRDefault="00926A0D">
      <w:pPr>
        <w:rPr>
          <w:noProof/>
        </w:rPr>
        <w:sectPr w:rsidR="00926A0D" w:rsidSect="00211F8F">
          <w:pgSz w:w="11907" w:h="16840" w:code="9"/>
          <w:pgMar w:top="1134" w:right="1418" w:bottom="1134" w:left="1418" w:header="709" w:footer="709" w:gutter="0"/>
          <w:cols w:space="708"/>
          <w:docGrid w:linePitch="360"/>
        </w:sectPr>
      </w:pPr>
    </w:p>
    <w:p w:rsidR="00926A0D" w:rsidRDefault="006023A9">
      <w:pPr>
        <w:pStyle w:val="ManualHeading1"/>
        <w:rPr>
          <w:bCs/>
          <w:noProof/>
          <w:szCs w:val="24"/>
        </w:rPr>
      </w:pPr>
      <w:r>
        <w:lastRenderedPageBreak/>
        <w:t>2.</w:t>
      </w:r>
      <w:r>
        <w:tab/>
      </w:r>
      <w:r>
        <w:rPr>
          <w:noProof/>
        </w:rPr>
        <w:t xml:space="preserve">MANAGEMENT MEASURES </w:t>
      </w:r>
    </w:p>
    <w:p w:rsidR="00926A0D" w:rsidRDefault="006023A9">
      <w:pPr>
        <w:pStyle w:val="ManualHeading2"/>
        <w:rPr>
          <w:noProof/>
        </w:rPr>
      </w:pPr>
      <w:r>
        <w:t>2.1.</w:t>
      </w:r>
      <w:r>
        <w:tab/>
      </w:r>
      <w:r>
        <w:rPr>
          <w:noProof/>
        </w:rPr>
        <w:t xml:space="preserve">Monitoring and reporting rules </w:t>
      </w:r>
    </w:p>
    <w:p w:rsidR="00926A0D" w:rsidRDefault="006023A9">
      <w:pPr>
        <w:pStyle w:val="Text1"/>
        <w:rPr>
          <w:i/>
          <w:noProof/>
          <w:sz w:val="20"/>
          <w:u w:val="single"/>
        </w:rPr>
      </w:pPr>
      <w:r>
        <w:rPr>
          <w:i/>
          <w:noProof/>
          <w:sz w:val="20"/>
        </w:rPr>
        <w:t>Specify frequency and conditions.</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The Regulation sets the periodicity and conditions for planning, reporting and monitoring by Member States and the Commission. External technical support from a contractor would be needed for the Commission's monitoring tasks. Furthermore, it is planned that a new communication tool is set up, including a web platform and a public website for the exchange of information and best practices and divulgation to the general public.</w:t>
      </w:r>
    </w:p>
    <w:p w:rsidR="00926A0D" w:rsidRDefault="006023A9">
      <w:pPr>
        <w:pStyle w:val="ManualHeading2"/>
        <w:rPr>
          <w:bCs/>
          <w:noProof/>
        </w:rPr>
      </w:pPr>
      <w:r>
        <w:t>2.2.</w:t>
      </w:r>
      <w:r>
        <w:tab/>
      </w:r>
      <w:r>
        <w:rPr>
          <w:noProof/>
        </w:rPr>
        <w:t xml:space="preserve">Management and control system </w:t>
      </w:r>
    </w:p>
    <w:p w:rsidR="00926A0D" w:rsidRDefault="006023A9">
      <w:pPr>
        <w:pStyle w:val="ManualHeading3"/>
        <w:rPr>
          <w:noProof/>
        </w:rPr>
      </w:pPr>
      <w:r>
        <w:t>2.2.1.</w:t>
      </w:r>
      <w:r>
        <w:tab/>
      </w:r>
      <w:r>
        <w:rPr>
          <w:noProof/>
        </w:rPr>
        <w:t xml:space="preserve">Risk(s) identified </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Member States may become delayed in their planning and reporting obligations. Also for this reason, there will be a web database established. Data quality and completeness may also be important risks particularly at the beginning of the process.</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 xml:space="preserve">The risks related to the functioning of the web platform relate mainly to IT-related problems, such as a possible breakdown of the system and confidentiality issues. </w:t>
      </w:r>
    </w:p>
    <w:p w:rsidR="00926A0D" w:rsidRDefault="006023A9">
      <w:pPr>
        <w:pStyle w:val="ManualHeading3"/>
        <w:rPr>
          <w:bCs/>
          <w:noProof/>
          <w:szCs w:val="24"/>
        </w:rPr>
      </w:pPr>
      <w:r>
        <w:t>2.2.2.</w:t>
      </w:r>
      <w:r>
        <w:tab/>
      </w:r>
      <w:r>
        <w:rPr>
          <w:noProof/>
        </w:rPr>
        <w:t>Information concerning the internal control system set up</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 xml:space="preserve">The control methods envisaged are laid down in the Financial Regulation and Rules of Application. </w:t>
      </w:r>
    </w:p>
    <w:p w:rsidR="00926A0D" w:rsidRDefault="006023A9">
      <w:pPr>
        <w:pStyle w:val="ManualHeading3"/>
        <w:rPr>
          <w:noProof/>
        </w:rPr>
      </w:pPr>
      <w:r>
        <w:t>2.2.3.</w:t>
      </w:r>
      <w:r>
        <w:tab/>
      </w:r>
      <w:r>
        <w:rPr>
          <w:noProof/>
        </w:rPr>
        <w:t xml:space="preserve">Estimate of the costs and benefits of the controls and assessment of the expected level of risk of error </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N/A</w:t>
      </w:r>
    </w:p>
    <w:p w:rsidR="00926A0D" w:rsidRDefault="006023A9">
      <w:pPr>
        <w:pStyle w:val="ManualHeading2"/>
        <w:rPr>
          <w:bCs/>
          <w:noProof/>
          <w:szCs w:val="24"/>
        </w:rPr>
      </w:pPr>
      <w:r>
        <w:t>2.3.</w:t>
      </w:r>
      <w:r>
        <w:tab/>
      </w:r>
      <w:r>
        <w:rPr>
          <w:noProof/>
        </w:rPr>
        <w:t xml:space="preserve">Measures to prevent fraud and irregularities </w:t>
      </w:r>
    </w:p>
    <w:p w:rsidR="00926A0D" w:rsidRDefault="006023A9">
      <w:pPr>
        <w:pStyle w:val="Text1"/>
        <w:rPr>
          <w:i/>
          <w:noProof/>
          <w:sz w:val="20"/>
        </w:rPr>
      </w:pPr>
      <w:r>
        <w:rPr>
          <w:i/>
          <w:noProof/>
          <w:sz w:val="20"/>
        </w:rPr>
        <w:t>Specify existing or envisaged prevention and protection measures.</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No specific measures beyond the application of the Financial Regulation have been envisaged.</w:t>
      </w:r>
    </w:p>
    <w:p w:rsidR="00926A0D" w:rsidRDefault="00926A0D">
      <w:pPr>
        <w:rPr>
          <w:noProof/>
        </w:rPr>
        <w:sectPr w:rsidR="00926A0D" w:rsidSect="00211F8F">
          <w:pgSz w:w="11907" w:h="16840" w:code="9"/>
          <w:pgMar w:top="1134" w:right="1418" w:bottom="1134" w:left="1418" w:header="709" w:footer="709" w:gutter="0"/>
          <w:cols w:space="708"/>
          <w:docGrid w:linePitch="360"/>
        </w:sectPr>
      </w:pPr>
    </w:p>
    <w:p w:rsidR="00926A0D" w:rsidRDefault="006023A9">
      <w:pPr>
        <w:pStyle w:val="ManualHeading1"/>
        <w:rPr>
          <w:bCs/>
          <w:noProof/>
          <w:szCs w:val="24"/>
        </w:rPr>
      </w:pPr>
      <w:r>
        <w:lastRenderedPageBreak/>
        <w:t>3.</w:t>
      </w:r>
      <w:r>
        <w:tab/>
      </w:r>
      <w:r>
        <w:rPr>
          <w:noProof/>
        </w:rPr>
        <w:t xml:space="preserve">ESTIMATED FINANCIAL IMPACT OF THE PROPOSAL/INITIATIVE </w:t>
      </w:r>
    </w:p>
    <w:p w:rsidR="00926A0D" w:rsidRDefault="006023A9">
      <w:pPr>
        <w:pStyle w:val="ManualHeading2"/>
        <w:rPr>
          <w:noProof/>
        </w:rPr>
      </w:pPr>
      <w:r>
        <w:t>3.1.</w:t>
      </w:r>
      <w:r>
        <w:tab/>
      </w:r>
      <w:r>
        <w:rPr>
          <w:noProof/>
        </w:rPr>
        <w:t xml:space="preserve">Heading(s) of the multiannual financial framework and expenditure budget line(s) affected </w:t>
      </w:r>
    </w:p>
    <w:p w:rsidR="00926A0D" w:rsidRDefault="006023A9">
      <w:pPr>
        <w:pStyle w:val="ListBullet1"/>
        <w:rPr>
          <w:noProof/>
        </w:rPr>
      </w:pPr>
      <w:r>
        <w:rPr>
          <w:noProof/>
        </w:rPr>
        <w:t xml:space="preserve">Existing budget lines </w:t>
      </w:r>
    </w:p>
    <w:p w:rsidR="00926A0D" w:rsidRDefault="006023A9">
      <w:pPr>
        <w:pStyle w:val="Text1"/>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926A0D">
        <w:tc>
          <w:tcPr>
            <w:tcW w:w="1080" w:type="dxa"/>
            <w:vMerge w:val="restart"/>
            <w:vAlign w:val="center"/>
          </w:tcPr>
          <w:p w:rsidR="00926A0D" w:rsidRDefault="006023A9">
            <w:pPr>
              <w:spacing w:before="60" w:after="60"/>
              <w:jc w:val="center"/>
              <w:rPr>
                <w:noProof/>
                <w:sz w:val="22"/>
              </w:rPr>
            </w:pPr>
            <w:r>
              <w:rPr>
                <w:noProof/>
                <w:sz w:val="18"/>
              </w:rPr>
              <w:t>Heading of multiannual financial framework</w:t>
            </w:r>
          </w:p>
        </w:tc>
        <w:tc>
          <w:tcPr>
            <w:tcW w:w="3960" w:type="dxa"/>
            <w:vAlign w:val="center"/>
          </w:tcPr>
          <w:p w:rsidR="00926A0D" w:rsidRDefault="006023A9">
            <w:pPr>
              <w:spacing w:before="60" w:after="60"/>
              <w:jc w:val="center"/>
              <w:rPr>
                <w:noProof/>
                <w:sz w:val="22"/>
              </w:rPr>
            </w:pPr>
            <w:r>
              <w:rPr>
                <w:noProof/>
                <w:sz w:val="20"/>
              </w:rPr>
              <w:t>Budget line</w:t>
            </w:r>
          </w:p>
        </w:tc>
        <w:tc>
          <w:tcPr>
            <w:tcW w:w="1080" w:type="dxa"/>
            <w:vAlign w:val="center"/>
          </w:tcPr>
          <w:p w:rsidR="00926A0D" w:rsidRDefault="006023A9">
            <w:pPr>
              <w:spacing w:before="60" w:after="60"/>
              <w:jc w:val="center"/>
              <w:rPr>
                <w:noProof/>
                <w:sz w:val="22"/>
              </w:rPr>
            </w:pPr>
            <w:r>
              <w:rPr>
                <w:noProof/>
                <w:sz w:val="18"/>
              </w:rPr>
              <w:t xml:space="preserve">Type of </w:t>
            </w:r>
            <w:r>
              <w:rPr>
                <w:noProof/>
                <w:sz w:val="22"/>
              </w:rPr>
              <w:br/>
            </w:r>
            <w:r>
              <w:rPr>
                <w:noProof/>
                <w:sz w:val="18"/>
              </w:rPr>
              <w:t>expenditure</w:t>
            </w:r>
          </w:p>
        </w:tc>
        <w:tc>
          <w:tcPr>
            <w:tcW w:w="4440" w:type="dxa"/>
            <w:gridSpan w:val="4"/>
            <w:vAlign w:val="center"/>
          </w:tcPr>
          <w:p w:rsidR="00926A0D" w:rsidRDefault="006023A9">
            <w:pPr>
              <w:spacing w:before="60" w:after="60"/>
              <w:jc w:val="center"/>
              <w:rPr>
                <w:noProof/>
                <w:sz w:val="22"/>
              </w:rPr>
            </w:pPr>
            <w:r>
              <w:rPr>
                <w:noProof/>
                <w:sz w:val="20"/>
              </w:rPr>
              <w:t xml:space="preserve">Contribution </w:t>
            </w:r>
          </w:p>
        </w:tc>
      </w:tr>
      <w:tr w:rsidR="00926A0D">
        <w:tc>
          <w:tcPr>
            <w:tcW w:w="1080" w:type="dxa"/>
            <w:vMerge/>
            <w:vAlign w:val="center"/>
          </w:tcPr>
          <w:p w:rsidR="00926A0D" w:rsidRDefault="00926A0D">
            <w:pPr>
              <w:jc w:val="center"/>
              <w:rPr>
                <w:noProof/>
                <w:sz w:val="22"/>
              </w:rPr>
            </w:pPr>
          </w:p>
        </w:tc>
        <w:tc>
          <w:tcPr>
            <w:tcW w:w="3960" w:type="dxa"/>
            <w:vAlign w:val="center"/>
          </w:tcPr>
          <w:p w:rsidR="00926A0D" w:rsidRDefault="006023A9">
            <w:pPr>
              <w:rPr>
                <w:noProof/>
                <w:sz w:val="22"/>
              </w:rPr>
            </w:pPr>
            <w:r>
              <w:rPr>
                <w:noProof/>
                <w:sz w:val="20"/>
              </w:rPr>
              <w:t xml:space="preserve">Number </w:t>
            </w:r>
            <w:r>
              <w:rPr>
                <w:noProof/>
                <w:sz w:val="22"/>
              </w:rPr>
              <w:br/>
            </w:r>
            <w:r>
              <w:rPr>
                <w:noProof/>
              </w:rPr>
              <w:t>[…]</w:t>
            </w:r>
            <w:r>
              <w:rPr>
                <w:noProof/>
                <w:sz w:val="20"/>
              </w:rPr>
              <w:t>[Heading………………………...……………]</w:t>
            </w:r>
          </w:p>
        </w:tc>
        <w:tc>
          <w:tcPr>
            <w:tcW w:w="1080" w:type="dxa"/>
            <w:vAlign w:val="center"/>
          </w:tcPr>
          <w:p w:rsidR="00926A0D" w:rsidRDefault="006023A9">
            <w:pPr>
              <w:jc w:val="center"/>
              <w:rPr>
                <w:noProof/>
                <w:sz w:val="22"/>
              </w:rPr>
            </w:pPr>
            <w:r>
              <w:rPr>
                <w:noProof/>
                <w:sz w:val="18"/>
              </w:rPr>
              <w:t>Diff./Non-diff.</w:t>
            </w:r>
            <w:r>
              <w:rPr>
                <w:rStyle w:val="FootnoteReference"/>
                <w:noProof/>
                <w:sz w:val="18"/>
              </w:rPr>
              <w:footnoteReference w:id="45"/>
            </w:r>
          </w:p>
        </w:tc>
        <w:tc>
          <w:tcPr>
            <w:tcW w:w="956" w:type="dxa"/>
            <w:vAlign w:val="center"/>
          </w:tcPr>
          <w:p w:rsidR="00926A0D" w:rsidRDefault="006023A9">
            <w:pPr>
              <w:jc w:val="center"/>
              <w:rPr>
                <w:noProof/>
                <w:sz w:val="22"/>
              </w:rPr>
            </w:pPr>
            <w:r>
              <w:rPr>
                <w:noProof/>
                <w:sz w:val="18"/>
              </w:rPr>
              <w:t>from EFTA countries</w:t>
            </w:r>
            <w:r>
              <w:rPr>
                <w:rStyle w:val="FootnoteReference"/>
                <w:noProof/>
                <w:sz w:val="18"/>
              </w:rPr>
              <w:footnoteReference w:id="46"/>
            </w:r>
          </w:p>
          <w:p w:rsidR="00926A0D" w:rsidRDefault="00926A0D">
            <w:pPr>
              <w:spacing w:before="0" w:after="0"/>
              <w:jc w:val="center"/>
              <w:rPr>
                <w:b/>
                <w:noProof/>
                <w:sz w:val="18"/>
              </w:rPr>
            </w:pPr>
          </w:p>
        </w:tc>
        <w:tc>
          <w:tcPr>
            <w:tcW w:w="1080" w:type="dxa"/>
            <w:vAlign w:val="center"/>
          </w:tcPr>
          <w:p w:rsidR="00926A0D" w:rsidRDefault="006023A9">
            <w:pPr>
              <w:jc w:val="center"/>
              <w:rPr>
                <w:noProof/>
                <w:sz w:val="22"/>
              </w:rPr>
            </w:pPr>
            <w:r>
              <w:rPr>
                <w:noProof/>
                <w:sz w:val="18"/>
              </w:rPr>
              <w:t>from candidate countries</w:t>
            </w:r>
            <w:r>
              <w:rPr>
                <w:rStyle w:val="FootnoteReference"/>
                <w:noProof/>
                <w:sz w:val="18"/>
              </w:rPr>
              <w:footnoteReference w:id="47"/>
            </w:r>
          </w:p>
          <w:p w:rsidR="00926A0D" w:rsidRDefault="00926A0D">
            <w:pPr>
              <w:spacing w:before="0" w:after="0"/>
              <w:jc w:val="center"/>
              <w:rPr>
                <w:noProof/>
                <w:sz w:val="18"/>
              </w:rPr>
            </w:pPr>
          </w:p>
        </w:tc>
        <w:tc>
          <w:tcPr>
            <w:tcW w:w="956" w:type="dxa"/>
            <w:vAlign w:val="center"/>
          </w:tcPr>
          <w:p w:rsidR="00926A0D" w:rsidRDefault="006023A9">
            <w:pPr>
              <w:jc w:val="center"/>
              <w:rPr>
                <w:noProof/>
                <w:sz w:val="18"/>
              </w:rPr>
            </w:pPr>
            <w:r>
              <w:rPr>
                <w:noProof/>
                <w:sz w:val="18"/>
              </w:rPr>
              <w:t>from third countries</w:t>
            </w:r>
          </w:p>
        </w:tc>
        <w:tc>
          <w:tcPr>
            <w:tcW w:w="1448" w:type="dxa"/>
            <w:vAlign w:val="center"/>
          </w:tcPr>
          <w:p w:rsidR="00926A0D" w:rsidRDefault="006023A9">
            <w:pPr>
              <w:jc w:val="center"/>
              <w:rPr>
                <w:noProof/>
                <w:sz w:val="22"/>
              </w:rPr>
            </w:pPr>
            <w:r>
              <w:rPr>
                <w:noProof/>
                <w:sz w:val="16"/>
              </w:rPr>
              <w:t xml:space="preserve">within the meaning of Article 21(2)(b) of the Financial Regulation </w:t>
            </w:r>
          </w:p>
        </w:tc>
      </w:tr>
      <w:tr w:rsidR="00926A0D">
        <w:tc>
          <w:tcPr>
            <w:tcW w:w="1080" w:type="dxa"/>
            <w:vAlign w:val="center"/>
          </w:tcPr>
          <w:p w:rsidR="00926A0D" w:rsidRDefault="006023A9">
            <w:pPr>
              <w:jc w:val="center"/>
              <w:rPr>
                <w:noProof/>
                <w:sz w:val="22"/>
              </w:rPr>
            </w:pPr>
            <w:r>
              <w:rPr>
                <w:noProof/>
              </w:rPr>
              <w:t>5 Administration</w:t>
            </w:r>
          </w:p>
        </w:tc>
        <w:tc>
          <w:tcPr>
            <w:tcW w:w="3960" w:type="dxa"/>
            <w:vAlign w:val="center"/>
          </w:tcPr>
          <w:p w:rsidR="00926A0D" w:rsidRDefault="006023A9">
            <w:pPr>
              <w:rPr>
                <w:noProof/>
              </w:rPr>
            </w:pPr>
            <w:r>
              <w:rPr>
                <w:noProof/>
              </w:rPr>
              <w:t>32 01 01</w:t>
            </w:r>
          </w:p>
          <w:p w:rsidR="00926A0D" w:rsidRDefault="006023A9">
            <w:pPr>
              <w:rPr>
                <w:noProof/>
                <w:sz w:val="20"/>
              </w:rPr>
            </w:pPr>
            <w:r>
              <w:rPr>
                <w:noProof/>
              </w:rPr>
              <w:t>Expenditure related to officials and temporary staff in the 'Energy' policy area</w:t>
            </w:r>
          </w:p>
        </w:tc>
        <w:tc>
          <w:tcPr>
            <w:tcW w:w="1080" w:type="dxa"/>
            <w:vAlign w:val="center"/>
          </w:tcPr>
          <w:p w:rsidR="00926A0D" w:rsidRDefault="006023A9">
            <w:pPr>
              <w:pStyle w:val="Default"/>
              <w:jc w:val="center"/>
              <w:rPr>
                <w:noProof/>
                <w:color w:val="auto"/>
              </w:rPr>
            </w:pPr>
            <w:r>
              <w:rPr>
                <w:noProof/>
                <w:color w:val="auto"/>
              </w:rPr>
              <w:t>Non-diff.</w:t>
            </w:r>
          </w:p>
          <w:p w:rsidR="00926A0D" w:rsidRDefault="00926A0D">
            <w:pPr>
              <w:jc w:val="center"/>
            </w:pPr>
          </w:p>
        </w:tc>
        <w:tc>
          <w:tcPr>
            <w:tcW w:w="956" w:type="dxa"/>
            <w:vAlign w:val="center"/>
          </w:tcPr>
          <w:p w:rsidR="00926A0D" w:rsidRDefault="006023A9">
            <w:pPr>
              <w:pStyle w:val="Default"/>
              <w:jc w:val="center"/>
              <w:rPr>
                <w:noProof/>
                <w:color w:val="auto"/>
                <w:sz w:val="18"/>
              </w:rPr>
            </w:pPr>
            <w:r>
              <w:rPr>
                <w:noProof/>
                <w:color w:val="auto"/>
              </w:rPr>
              <w:t>NO</w:t>
            </w:r>
          </w:p>
        </w:tc>
        <w:tc>
          <w:tcPr>
            <w:tcW w:w="1080" w:type="dxa"/>
            <w:vAlign w:val="center"/>
          </w:tcPr>
          <w:p w:rsidR="00926A0D" w:rsidRDefault="006023A9">
            <w:pPr>
              <w:jc w:val="center"/>
              <w:rPr>
                <w:noProof/>
                <w:sz w:val="18"/>
              </w:rPr>
            </w:pPr>
            <w:r>
              <w:rPr>
                <w:noProof/>
              </w:rPr>
              <w:t>NO</w:t>
            </w:r>
          </w:p>
        </w:tc>
        <w:tc>
          <w:tcPr>
            <w:tcW w:w="956" w:type="dxa"/>
            <w:vAlign w:val="center"/>
          </w:tcPr>
          <w:p w:rsidR="00926A0D" w:rsidRDefault="006023A9">
            <w:pPr>
              <w:jc w:val="center"/>
              <w:rPr>
                <w:noProof/>
                <w:sz w:val="18"/>
              </w:rPr>
            </w:pPr>
            <w:r>
              <w:rPr>
                <w:noProof/>
              </w:rPr>
              <w:t>NO</w:t>
            </w:r>
          </w:p>
        </w:tc>
        <w:tc>
          <w:tcPr>
            <w:tcW w:w="1448" w:type="dxa"/>
            <w:vAlign w:val="center"/>
          </w:tcPr>
          <w:p w:rsidR="00926A0D" w:rsidRDefault="006023A9">
            <w:pPr>
              <w:jc w:val="center"/>
              <w:rPr>
                <w:noProof/>
                <w:sz w:val="16"/>
              </w:rPr>
            </w:pPr>
            <w:r>
              <w:rPr>
                <w:noProof/>
              </w:rPr>
              <w:t>NO</w:t>
            </w:r>
          </w:p>
        </w:tc>
      </w:tr>
      <w:tr w:rsidR="00926A0D">
        <w:tc>
          <w:tcPr>
            <w:tcW w:w="1080" w:type="dxa"/>
            <w:vAlign w:val="center"/>
          </w:tcPr>
          <w:p w:rsidR="00926A0D" w:rsidRDefault="006023A9">
            <w:pPr>
              <w:jc w:val="center"/>
              <w:rPr>
                <w:noProof/>
                <w:sz w:val="22"/>
              </w:rPr>
            </w:pPr>
            <w:r>
              <w:rPr>
                <w:noProof/>
              </w:rPr>
              <w:t>5 Administration</w:t>
            </w:r>
          </w:p>
        </w:tc>
        <w:tc>
          <w:tcPr>
            <w:tcW w:w="3960" w:type="dxa"/>
            <w:vAlign w:val="center"/>
          </w:tcPr>
          <w:p w:rsidR="00926A0D" w:rsidRDefault="006023A9">
            <w:pPr>
              <w:rPr>
                <w:noProof/>
              </w:rPr>
            </w:pPr>
            <w:r>
              <w:rPr>
                <w:noProof/>
              </w:rPr>
              <w:t>32 01 02</w:t>
            </w:r>
          </w:p>
          <w:p w:rsidR="00926A0D" w:rsidRDefault="006023A9">
            <w:pPr>
              <w:rPr>
                <w:noProof/>
                <w:sz w:val="20"/>
              </w:rPr>
            </w:pPr>
            <w:r>
              <w:rPr>
                <w:noProof/>
              </w:rPr>
              <w:t>External personnel and other management expenditure in support of the 'Energy' policy area</w:t>
            </w:r>
          </w:p>
        </w:tc>
        <w:tc>
          <w:tcPr>
            <w:tcW w:w="1080" w:type="dxa"/>
            <w:vAlign w:val="center"/>
          </w:tcPr>
          <w:p w:rsidR="00926A0D" w:rsidRDefault="006023A9">
            <w:pPr>
              <w:pStyle w:val="Default"/>
              <w:jc w:val="center"/>
              <w:rPr>
                <w:noProof/>
                <w:color w:val="auto"/>
              </w:rPr>
            </w:pPr>
            <w:r>
              <w:rPr>
                <w:noProof/>
                <w:color w:val="auto"/>
              </w:rPr>
              <w:t>Non-diff.</w:t>
            </w:r>
          </w:p>
          <w:p w:rsidR="00926A0D" w:rsidRDefault="00926A0D">
            <w:pPr>
              <w:jc w:val="center"/>
            </w:pPr>
          </w:p>
        </w:tc>
        <w:tc>
          <w:tcPr>
            <w:tcW w:w="956" w:type="dxa"/>
            <w:vAlign w:val="center"/>
          </w:tcPr>
          <w:p w:rsidR="00926A0D" w:rsidRDefault="006023A9">
            <w:pPr>
              <w:jc w:val="center"/>
              <w:rPr>
                <w:noProof/>
                <w:sz w:val="18"/>
              </w:rPr>
            </w:pPr>
            <w:r>
              <w:rPr>
                <w:noProof/>
              </w:rPr>
              <w:t>NO</w:t>
            </w:r>
          </w:p>
        </w:tc>
        <w:tc>
          <w:tcPr>
            <w:tcW w:w="1080" w:type="dxa"/>
            <w:vAlign w:val="center"/>
          </w:tcPr>
          <w:p w:rsidR="00926A0D" w:rsidRDefault="006023A9">
            <w:pPr>
              <w:jc w:val="center"/>
              <w:rPr>
                <w:noProof/>
                <w:sz w:val="18"/>
              </w:rPr>
            </w:pPr>
            <w:r>
              <w:rPr>
                <w:noProof/>
              </w:rPr>
              <w:t>NO</w:t>
            </w:r>
          </w:p>
        </w:tc>
        <w:tc>
          <w:tcPr>
            <w:tcW w:w="956" w:type="dxa"/>
            <w:vAlign w:val="center"/>
          </w:tcPr>
          <w:p w:rsidR="00926A0D" w:rsidRDefault="006023A9">
            <w:pPr>
              <w:jc w:val="center"/>
              <w:rPr>
                <w:noProof/>
                <w:sz w:val="18"/>
              </w:rPr>
            </w:pPr>
            <w:r>
              <w:rPr>
                <w:noProof/>
              </w:rPr>
              <w:t>NO</w:t>
            </w:r>
          </w:p>
        </w:tc>
        <w:tc>
          <w:tcPr>
            <w:tcW w:w="1448" w:type="dxa"/>
            <w:vAlign w:val="center"/>
          </w:tcPr>
          <w:p w:rsidR="00926A0D" w:rsidRDefault="006023A9">
            <w:pPr>
              <w:jc w:val="center"/>
              <w:rPr>
                <w:noProof/>
                <w:sz w:val="16"/>
              </w:rPr>
            </w:pPr>
            <w:r>
              <w:rPr>
                <w:noProof/>
              </w:rPr>
              <w:t>NO</w:t>
            </w:r>
          </w:p>
        </w:tc>
      </w:tr>
      <w:tr w:rsidR="00926A0D">
        <w:tc>
          <w:tcPr>
            <w:tcW w:w="1080" w:type="dxa"/>
          </w:tcPr>
          <w:p w:rsidR="00926A0D" w:rsidRDefault="006023A9">
            <w:pPr>
              <w:jc w:val="center"/>
            </w:pPr>
            <w:r>
              <w:rPr>
                <w:noProof/>
              </w:rPr>
              <w:t>5 Administration</w:t>
            </w:r>
          </w:p>
        </w:tc>
        <w:tc>
          <w:tcPr>
            <w:tcW w:w="3960" w:type="dxa"/>
            <w:vAlign w:val="center"/>
          </w:tcPr>
          <w:p w:rsidR="00926A0D" w:rsidRDefault="006023A9">
            <w:pPr>
              <w:rPr>
                <w:noProof/>
              </w:rPr>
            </w:pPr>
            <w:r>
              <w:rPr>
                <w:noProof/>
              </w:rPr>
              <w:t>34 01 01</w:t>
            </w:r>
          </w:p>
          <w:p w:rsidR="00926A0D" w:rsidRDefault="006023A9">
            <w:r>
              <w:rPr>
                <w:noProof/>
              </w:rPr>
              <w:t>Expenditure related to officials and temporary staff in the 'Climate action' policy area</w:t>
            </w:r>
          </w:p>
        </w:tc>
        <w:tc>
          <w:tcPr>
            <w:tcW w:w="1080" w:type="dxa"/>
            <w:vAlign w:val="center"/>
          </w:tcPr>
          <w:p w:rsidR="00926A0D" w:rsidRDefault="006023A9">
            <w:pPr>
              <w:pStyle w:val="Default"/>
              <w:jc w:val="center"/>
              <w:rPr>
                <w:noProof/>
                <w:color w:val="auto"/>
              </w:rPr>
            </w:pPr>
            <w:r>
              <w:rPr>
                <w:noProof/>
                <w:color w:val="auto"/>
              </w:rPr>
              <w:t>Non-diff.</w:t>
            </w:r>
          </w:p>
          <w:p w:rsidR="00926A0D" w:rsidRDefault="00926A0D">
            <w:pPr>
              <w:pStyle w:val="Default"/>
              <w:jc w:val="center"/>
            </w:pPr>
          </w:p>
        </w:tc>
        <w:tc>
          <w:tcPr>
            <w:tcW w:w="956" w:type="dxa"/>
            <w:vAlign w:val="center"/>
          </w:tcPr>
          <w:p w:rsidR="00926A0D" w:rsidRDefault="006023A9">
            <w:pPr>
              <w:jc w:val="center"/>
            </w:pPr>
            <w:r>
              <w:rPr>
                <w:noProof/>
              </w:rPr>
              <w:t>NO</w:t>
            </w:r>
          </w:p>
        </w:tc>
        <w:tc>
          <w:tcPr>
            <w:tcW w:w="1080" w:type="dxa"/>
            <w:vAlign w:val="center"/>
          </w:tcPr>
          <w:p w:rsidR="00926A0D" w:rsidRDefault="006023A9">
            <w:pPr>
              <w:jc w:val="center"/>
            </w:pPr>
            <w:r>
              <w:rPr>
                <w:noProof/>
              </w:rPr>
              <w:t>NO</w:t>
            </w:r>
          </w:p>
        </w:tc>
        <w:tc>
          <w:tcPr>
            <w:tcW w:w="956" w:type="dxa"/>
            <w:vAlign w:val="center"/>
          </w:tcPr>
          <w:p w:rsidR="00926A0D" w:rsidRDefault="006023A9">
            <w:pPr>
              <w:jc w:val="center"/>
            </w:pPr>
            <w:r>
              <w:rPr>
                <w:noProof/>
              </w:rPr>
              <w:t>NO</w:t>
            </w:r>
          </w:p>
        </w:tc>
        <w:tc>
          <w:tcPr>
            <w:tcW w:w="1448" w:type="dxa"/>
            <w:vAlign w:val="center"/>
          </w:tcPr>
          <w:p w:rsidR="00926A0D" w:rsidRDefault="006023A9">
            <w:pPr>
              <w:jc w:val="center"/>
            </w:pPr>
            <w:r>
              <w:rPr>
                <w:noProof/>
              </w:rPr>
              <w:t>NO</w:t>
            </w:r>
          </w:p>
        </w:tc>
      </w:tr>
      <w:tr w:rsidR="00926A0D">
        <w:tc>
          <w:tcPr>
            <w:tcW w:w="1080" w:type="dxa"/>
          </w:tcPr>
          <w:p w:rsidR="00926A0D" w:rsidRDefault="006023A9">
            <w:pPr>
              <w:jc w:val="center"/>
            </w:pPr>
            <w:r>
              <w:rPr>
                <w:noProof/>
              </w:rPr>
              <w:t>5 Administration</w:t>
            </w:r>
          </w:p>
        </w:tc>
        <w:tc>
          <w:tcPr>
            <w:tcW w:w="3960" w:type="dxa"/>
            <w:vAlign w:val="center"/>
          </w:tcPr>
          <w:p w:rsidR="00926A0D" w:rsidRDefault="006023A9">
            <w:pPr>
              <w:rPr>
                <w:noProof/>
              </w:rPr>
            </w:pPr>
            <w:r>
              <w:rPr>
                <w:noProof/>
              </w:rPr>
              <w:t>34 01 02</w:t>
            </w:r>
          </w:p>
          <w:p w:rsidR="00926A0D" w:rsidRDefault="006023A9">
            <w:r>
              <w:rPr>
                <w:noProof/>
              </w:rPr>
              <w:t>External personnel and other management expenditure in support of the 'Climate action' policy area</w:t>
            </w:r>
          </w:p>
        </w:tc>
        <w:tc>
          <w:tcPr>
            <w:tcW w:w="1080" w:type="dxa"/>
            <w:vAlign w:val="center"/>
          </w:tcPr>
          <w:p w:rsidR="00926A0D" w:rsidRDefault="006023A9">
            <w:pPr>
              <w:pStyle w:val="Default"/>
              <w:jc w:val="center"/>
              <w:rPr>
                <w:noProof/>
                <w:color w:val="auto"/>
              </w:rPr>
            </w:pPr>
            <w:r>
              <w:rPr>
                <w:noProof/>
                <w:color w:val="auto"/>
              </w:rPr>
              <w:t>Non-diff.</w:t>
            </w:r>
          </w:p>
          <w:p w:rsidR="00926A0D" w:rsidRDefault="00926A0D">
            <w:pPr>
              <w:pStyle w:val="Default"/>
              <w:jc w:val="center"/>
            </w:pPr>
          </w:p>
        </w:tc>
        <w:tc>
          <w:tcPr>
            <w:tcW w:w="956" w:type="dxa"/>
            <w:vAlign w:val="center"/>
          </w:tcPr>
          <w:p w:rsidR="00926A0D" w:rsidRDefault="006023A9">
            <w:pPr>
              <w:jc w:val="center"/>
            </w:pPr>
            <w:r>
              <w:rPr>
                <w:noProof/>
              </w:rPr>
              <w:t>NO</w:t>
            </w:r>
          </w:p>
        </w:tc>
        <w:tc>
          <w:tcPr>
            <w:tcW w:w="1080" w:type="dxa"/>
            <w:vAlign w:val="center"/>
          </w:tcPr>
          <w:p w:rsidR="00926A0D" w:rsidRDefault="006023A9">
            <w:pPr>
              <w:jc w:val="center"/>
            </w:pPr>
            <w:r>
              <w:rPr>
                <w:noProof/>
              </w:rPr>
              <w:t>NO</w:t>
            </w:r>
          </w:p>
        </w:tc>
        <w:tc>
          <w:tcPr>
            <w:tcW w:w="956" w:type="dxa"/>
            <w:vAlign w:val="center"/>
          </w:tcPr>
          <w:p w:rsidR="00926A0D" w:rsidRDefault="006023A9">
            <w:pPr>
              <w:jc w:val="center"/>
            </w:pPr>
            <w:r>
              <w:rPr>
                <w:noProof/>
              </w:rPr>
              <w:t>NO</w:t>
            </w:r>
          </w:p>
        </w:tc>
        <w:tc>
          <w:tcPr>
            <w:tcW w:w="1448" w:type="dxa"/>
            <w:vAlign w:val="center"/>
          </w:tcPr>
          <w:p w:rsidR="00926A0D" w:rsidRDefault="006023A9">
            <w:pPr>
              <w:jc w:val="center"/>
            </w:pPr>
            <w:r>
              <w:rPr>
                <w:noProof/>
              </w:rPr>
              <w:t>NO</w:t>
            </w:r>
          </w:p>
        </w:tc>
      </w:tr>
      <w:tr w:rsidR="00926A0D">
        <w:tc>
          <w:tcPr>
            <w:tcW w:w="1080" w:type="dxa"/>
            <w:vAlign w:val="center"/>
          </w:tcPr>
          <w:p w:rsidR="00926A0D" w:rsidRDefault="006023A9">
            <w:pPr>
              <w:jc w:val="center"/>
              <w:rPr>
                <w:noProof/>
                <w:sz w:val="22"/>
              </w:rPr>
            </w:pPr>
            <w:r>
              <w:rPr>
                <w:noProof/>
                <w:sz w:val="22"/>
              </w:rPr>
              <w:t>1A</w:t>
            </w:r>
          </w:p>
        </w:tc>
        <w:tc>
          <w:tcPr>
            <w:tcW w:w="3960" w:type="dxa"/>
            <w:vAlign w:val="center"/>
          </w:tcPr>
          <w:p w:rsidR="00926A0D" w:rsidRDefault="006023A9">
            <w:pPr>
              <w:rPr>
                <w:noProof/>
              </w:rPr>
            </w:pPr>
            <w:r>
              <w:rPr>
                <w:noProof/>
              </w:rPr>
              <w:t xml:space="preserve">32 02 02 </w:t>
            </w:r>
          </w:p>
          <w:p w:rsidR="00926A0D" w:rsidRDefault="006023A9">
            <w:pPr>
              <w:rPr>
                <w:noProof/>
                <w:sz w:val="22"/>
              </w:rPr>
            </w:pPr>
            <w:r>
              <w:rPr>
                <w:noProof/>
              </w:rPr>
              <w:t xml:space="preserve">Support activities to the European energy policy and internal energy market </w:t>
            </w:r>
          </w:p>
        </w:tc>
        <w:tc>
          <w:tcPr>
            <w:tcW w:w="1080" w:type="dxa"/>
            <w:vAlign w:val="center"/>
          </w:tcPr>
          <w:p w:rsidR="00926A0D" w:rsidRDefault="006023A9">
            <w:pPr>
              <w:pStyle w:val="Default"/>
              <w:jc w:val="center"/>
              <w:rPr>
                <w:noProof/>
                <w:color w:val="auto"/>
                <w:sz w:val="22"/>
                <w:highlight w:val="yellow"/>
              </w:rPr>
            </w:pPr>
            <w:r>
              <w:rPr>
                <w:noProof/>
                <w:color w:val="auto"/>
              </w:rPr>
              <w:t>Diff.</w:t>
            </w:r>
          </w:p>
        </w:tc>
        <w:tc>
          <w:tcPr>
            <w:tcW w:w="956" w:type="dxa"/>
            <w:vAlign w:val="center"/>
          </w:tcPr>
          <w:p w:rsidR="00926A0D" w:rsidRDefault="006023A9">
            <w:pPr>
              <w:jc w:val="center"/>
              <w:rPr>
                <w:noProof/>
                <w:sz w:val="22"/>
                <w:highlight w:val="yellow"/>
              </w:rPr>
            </w:pPr>
            <w:r>
              <w:rPr>
                <w:noProof/>
              </w:rPr>
              <w:t>NO</w:t>
            </w:r>
          </w:p>
        </w:tc>
        <w:tc>
          <w:tcPr>
            <w:tcW w:w="1080" w:type="dxa"/>
            <w:vAlign w:val="center"/>
          </w:tcPr>
          <w:p w:rsidR="00926A0D" w:rsidRDefault="006023A9">
            <w:pPr>
              <w:jc w:val="center"/>
              <w:rPr>
                <w:noProof/>
                <w:sz w:val="22"/>
                <w:highlight w:val="yellow"/>
              </w:rPr>
            </w:pPr>
            <w:r>
              <w:rPr>
                <w:noProof/>
              </w:rPr>
              <w:t>NO</w:t>
            </w:r>
          </w:p>
        </w:tc>
        <w:tc>
          <w:tcPr>
            <w:tcW w:w="956" w:type="dxa"/>
            <w:vAlign w:val="center"/>
          </w:tcPr>
          <w:p w:rsidR="00926A0D" w:rsidRDefault="006023A9">
            <w:pPr>
              <w:jc w:val="center"/>
              <w:rPr>
                <w:noProof/>
                <w:sz w:val="22"/>
                <w:highlight w:val="yellow"/>
              </w:rPr>
            </w:pPr>
            <w:r>
              <w:rPr>
                <w:noProof/>
              </w:rPr>
              <w:t>NO</w:t>
            </w:r>
          </w:p>
        </w:tc>
        <w:tc>
          <w:tcPr>
            <w:tcW w:w="1448" w:type="dxa"/>
            <w:vAlign w:val="center"/>
          </w:tcPr>
          <w:p w:rsidR="00926A0D" w:rsidRDefault="006023A9">
            <w:pPr>
              <w:jc w:val="center"/>
              <w:rPr>
                <w:noProof/>
                <w:sz w:val="22"/>
                <w:highlight w:val="yellow"/>
              </w:rPr>
            </w:pPr>
            <w:r>
              <w:rPr>
                <w:noProof/>
              </w:rPr>
              <w:t>NO</w:t>
            </w:r>
          </w:p>
        </w:tc>
      </w:tr>
      <w:tr w:rsidR="00926A0D">
        <w:tc>
          <w:tcPr>
            <w:tcW w:w="1080" w:type="dxa"/>
            <w:vAlign w:val="center"/>
          </w:tcPr>
          <w:p w:rsidR="00926A0D" w:rsidRDefault="006023A9">
            <w:pPr>
              <w:jc w:val="center"/>
              <w:rPr>
                <w:noProof/>
                <w:sz w:val="22"/>
              </w:rPr>
            </w:pPr>
            <w:r>
              <w:rPr>
                <w:noProof/>
                <w:sz w:val="22"/>
              </w:rPr>
              <w:t>2</w:t>
            </w:r>
          </w:p>
        </w:tc>
        <w:tc>
          <w:tcPr>
            <w:tcW w:w="3960" w:type="dxa"/>
            <w:vAlign w:val="center"/>
          </w:tcPr>
          <w:p w:rsidR="00926A0D" w:rsidRDefault="006023A9">
            <w:pPr>
              <w:rPr>
                <w:noProof/>
              </w:rPr>
            </w:pPr>
            <w:r>
              <w:rPr>
                <w:noProof/>
              </w:rPr>
              <w:t>34.02.01</w:t>
            </w:r>
          </w:p>
          <w:p w:rsidR="00926A0D" w:rsidRDefault="006023A9">
            <w:r>
              <w:rPr>
                <w:noProof/>
              </w:rPr>
              <w:t>Reduction of GHG emissions (mitigation)</w:t>
            </w:r>
          </w:p>
        </w:tc>
        <w:tc>
          <w:tcPr>
            <w:tcW w:w="1080" w:type="dxa"/>
            <w:vAlign w:val="center"/>
          </w:tcPr>
          <w:p w:rsidR="00926A0D" w:rsidRDefault="006023A9">
            <w:pPr>
              <w:pStyle w:val="Default"/>
              <w:jc w:val="center"/>
            </w:pPr>
            <w:r>
              <w:rPr>
                <w:noProof/>
                <w:color w:val="auto"/>
              </w:rPr>
              <w:t>Diff</w:t>
            </w:r>
          </w:p>
        </w:tc>
        <w:tc>
          <w:tcPr>
            <w:tcW w:w="956" w:type="dxa"/>
            <w:vAlign w:val="center"/>
          </w:tcPr>
          <w:p w:rsidR="00926A0D" w:rsidRDefault="006023A9">
            <w:pPr>
              <w:jc w:val="center"/>
              <w:rPr>
                <w:noProof/>
                <w:sz w:val="22"/>
                <w:highlight w:val="yellow"/>
              </w:rPr>
            </w:pPr>
            <w:r>
              <w:rPr>
                <w:noProof/>
              </w:rPr>
              <w:t>NO</w:t>
            </w:r>
          </w:p>
        </w:tc>
        <w:tc>
          <w:tcPr>
            <w:tcW w:w="1080" w:type="dxa"/>
            <w:vAlign w:val="center"/>
          </w:tcPr>
          <w:p w:rsidR="00926A0D" w:rsidRDefault="006023A9">
            <w:pPr>
              <w:jc w:val="center"/>
              <w:rPr>
                <w:noProof/>
                <w:sz w:val="22"/>
                <w:highlight w:val="yellow"/>
              </w:rPr>
            </w:pPr>
            <w:r>
              <w:rPr>
                <w:noProof/>
              </w:rPr>
              <w:t>NO</w:t>
            </w:r>
          </w:p>
        </w:tc>
        <w:tc>
          <w:tcPr>
            <w:tcW w:w="956" w:type="dxa"/>
            <w:vAlign w:val="center"/>
          </w:tcPr>
          <w:p w:rsidR="00926A0D" w:rsidRDefault="006023A9">
            <w:pPr>
              <w:jc w:val="center"/>
              <w:rPr>
                <w:noProof/>
                <w:sz w:val="22"/>
                <w:highlight w:val="yellow"/>
              </w:rPr>
            </w:pPr>
            <w:r>
              <w:rPr>
                <w:noProof/>
              </w:rPr>
              <w:t>NO</w:t>
            </w:r>
          </w:p>
        </w:tc>
        <w:tc>
          <w:tcPr>
            <w:tcW w:w="1448" w:type="dxa"/>
            <w:vAlign w:val="center"/>
          </w:tcPr>
          <w:p w:rsidR="00926A0D" w:rsidRDefault="006023A9">
            <w:pPr>
              <w:jc w:val="center"/>
              <w:rPr>
                <w:noProof/>
                <w:sz w:val="22"/>
                <w:highlight w:val="yellow"/>
              </w:rPr>
            </w:pPr>
            <w:r>
              <w:rPr>
                <w:noProof/>
              </w:rPr>
              <w:t>NO</w:t>
            </w:r>
          </w:p>
        </w:tc>
      </w:tr>
      <w:tr w:rsidR="00926A0D">
        <w:tc>
          <w:tcPr>
            <w:tcW w:w="1080" w:type="dxa"/>
            <w:vAlign w:val="center"/>
          </w:tcPr>
          <w:p w:rsidR="00926A0D" w:rsidRDefault="00926A0D">
            <w:pPr>
              <w:jc w:val="center"/>
              <w:rPr>
                <w:noProof/>
                <w:sz w:val="22"/>
              </w:rPr>
            </w:pPr>
          </w:p>
        </w:tc>
        <w:tc>
          <w:tcPr>
            <w:tcW w:w="3960" w:type="dxa"/>
            <w:vAlign w:val="center"/>
          </w:tcPr>
          <w:p w:rsidR="00926A0D" w:rsidRDefault="00926A0D"/>
        </w:tc>
        <w:tc>
          <w:tcPr>
            <w:tcW w:w="1080" w:type="dxa"/>
            <w:vAlign w:val="center"/>
          </w:tcPr>
          <w:p w:rsidR="00926A0D" w:rsidRDefault="00926A0D">
            <w:pPr>
              <w:pStyle w:val="Default"/>
              <w:jc w:val="center"/>
            </w:pPr>
          </w:p>
        </w:tc>
        <w:tc>
          <w:tcPr>
            <w:tcW w:w="956" w:type="dxa"/>
            <w:vAlign w:val="center"/>
          </w:tcPr>
          <w:p w:rsidR="00926A0D" w:rsidRDefault="00926A0D">
            <w:pPr>
              <w:jc w:val="center"/>
            </w:pPr>
          </w:p>
        </w:tc>
        <w:tc>
          <w:tcPr>
            <w:tcW w:w="1080" w:type="dxa"/>
            <w:vAlign w:val="center"/>
          </w:tcPr>
          <w:p w:rsidR="00926A0D" w:rsidRDefault="00926A0D">
            <w:pPr>
              <w:jc w:val="center"/>
            </w:pPr>
          </w:p>
        </w:tc>
        <w:tc>
          <w:tcPr>
            <w:tcW w:w="956" w:type="dxa"/>
            <w:vAlign w:val="center"/>
          </w:tcPr>
          <w:p w:rsidR="00926A0D" w:rsidRDefault="00926A0D">
            <w:pPr>
              <w:jc w:val="center"/>
            </w:pPr>
          </w:p>
        </w:tc>
        <w:tc>
          <w:tcPr>
            <w:tcW w:w="1448" w:type="dxa"/>
            <w:vAlign w:val="center"/>
          </w:tcPr>
          <w:p w:rsidR="00926A0D" w:rsidRDefault="00926A0D">
            <w:pPr>
              <w:jc w:val="center"/>
            </w:pPr>
          </w:p>
        </w:tc>
      </w:tr>
    </w:tbl>
    <w:p w:rsidR="00926A0D" w:rsidRDefault="006023A9">
      <w:pPr>
        <w:pStyle w:val="ListBullet1"/>
        <w:rPr>
          <w:noProof/>
        </w:rPr>
      </w:pPr>
      <w:r>
        <w:rPr>
          <w:noProof/>
        </w:rPr>
        <w:t xml:space="preserve">New budget lines requested </w:t>
      </w:r>
    </w:p>
    <w:p w:rsidR="00926A0D" w:rsidRDefault="006023A9">
      <w:pPr>
        <w:pStyle w:val="Text1"/>
        <w:rPr>
          <w:i/>
          <w:noProof/>
          <w:sz w:val="20"/>
        </w:rPr>
      </w:pPr>
      <w:r>
        <w:rPr>
          <w:i/>
          <w:noProof/>
          <w:u w:val="single"/>
        </w:rPr>
        <w:t>In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926A0D">
        <w:tc>
          <w:tcPr>
            <w:tcW w:w="1080" w:type="dxa"/>
            <w:vMerge w:val="restart"/>
            <w:vAlign w:val="center"/>
          </w:tcPr>
          <w:p w:rsidR="00926A0D" w:rsidRDefault="006023A9">
            <w:pPr>
              <w:spacing w:before="60" w:after="60"/>
              <w:jc w:val="center"/>
              <w:rPr>
                <w:noProof/>
                <w:sz w:val="18"/>
                <w:szCs w:val="18"/>
              </w:rPr>
            </w:pPr>
            <w:r>
              <w:rPr>
                <w:noProof/>
                <w:sz w:val="18"/>
              </w:rPr>
              <w:t>Heading of multiannual financial framework</w:t>
            </w:r>
          </w:p>
        </w:tc>
        <w:tc>
          <w:tcPr>
            <w:tcW w:w="3960" w:type="dxa"/>
            <w:vAlign w:val="center"/>
          </w:tcPr>
          <w:p w:rsidR="00926A0D" w:rsidRDefault="006023A9">
            <w:pPr>
              <w:spacing w:before="60" w:after="60"/>
              <w:jc w:val="center"/>
              <w:rPr>
                <w:noProof/>
                <w:sz w:val="22"/>
              </w:rPr>
            </w:pPr>
            <w:r>
              <w:rPr>
                <w:noProof/>
                <w:sz w:val="20"/>
              </w:rPr>
              <w:t>Budget line</w:t>
            </w:r>
          </w:p>
        </w:tc>
        <w:tc>
          <w:tcPr>
            <w:tcW w:w="1080" w:type="dxa"/>
            <w:vAlign w:val="center"/>
          </w:tcPr>
          <w:p w:rsidR="00926A0D" w:rsidRDefault="006023A9">
            <w:pPr>
              <w:spacing w:before="60" w:after="60"/>
              <w:jc w:val="center"/>
              <w:rPr>
                <w:noProof/>
                <w:sz w:val="22"/>
              </w:rPr>
            </w:pPr>
            <w:r>
              <w:rPr>
                <w:noProof/>
                <w:sz w:val="18"/>
              </w:rPr>
              <w:t>Type of</w:t>
            </w:r>
            <w:r>
              <w:rPr>
                <w:noProof/>
                <w:sz w:val="22"/>
              </w:rPr>
              <w:br/>
            </w:r>
            <w:r>
              <w:rPr>
                <w:noProof/>
                <w:sz w:val="18"/>
              </w:rPr>
              <w:t>expenditure</w:t>
            </w:r>
          </w:p>
        </w:tc>
        <w:tc>
          <w:tcPr>
            <w:tcW w:w="4440" w:type="dxa"/>
            <w:gridSpan w:val="4"/>
            <w:vAlign w:val="center"/>
          </w:tcPr>
          <w:p w:rsidR="00926A0D" w:rsidRDefault="006023A9">
            <w:pPr>
              <w:spacing w:before="60" w:after="60"/>
              <w:jc w:val="center"/>
              <w:rPr>
                <w:noProof/>
                <w:sz w:val="22"/>
              </w:rPr>
            </w:pPr>
            <w:r>
              <w:rPr>
                <w:noProof/>
                <w:sz w:val="20"/>
              </w:rPr>
              <w:t xml:space="preserve">Contribution </w:t>
            </w:r>
          </w:p>
        </w:tc>
      </w:tr>
      <w:tr w:rsidR="00926A0D">
        <w:tc>
          <w:tcPr>
            <w:tcW w:w="1080" w:type="dxa"/>
            <w:vMerge/>
            <w:vAlign w:val="center"/>
          </w:tcPr>
          <w:p w:rsidR="00926A0D" w:rsidRDefault="00926A0D">
            <w:pPr>
              <w:jc w:val="center"/>
              <w:rPr>
                <w:noProof/>
                <w:sz w:val="22"/>
              </w:rPr>
            </w:pPr>
          </w:p>
        </w:tc>
        <w:tc>
          <w:tcPr>
            <w:tcW w:w="3960" w:type="dxa"/>
            <w:vAlign w:val="center"/>
          </w:tcPr>
          <w:p w:rsidR="00926A0D" w:rsidRDefault="006023A9">
            <w:pPr>
              <w:rPr>
                <w:noProof/>
                <w:sz w:val="22"/>
              </w:rPr>
            </w:pPr>
            <w:r>
              <w:rPr>
                <w:noProof/>
                <w:sz w:val="20"/>
              </w:rPr>
              <w:t xml:space="preserve">Number </w:t>
            </w:r>
            <w:r>
              <w:rPr>
                <w:noProof/>
                <w:sz w:val="22"/>
              </w:rPr>
              <w:br/>
            </w:r>
            <w:r>
              <w:rPr>
                <w:noProof/>
                <w:sz w:val="20"/>
              </w:rPr>
              <w:t>[Heading………………………………………]</w:t>
            </w:r>
          </w:p>
        </w:tc>
        <w:tc>
          <w:tcPr>
            <w:tcW w:w="1080" w:type="dxa"/>
            <w:vAlign w:val="center"/>
          </w:tcPr>
          <w:p w:rsidR="00926A0D" w:rsidRDefault="006023A9">
            <w:pPr>
              <w:jc w:val="center"/>
              <w:rPr>
                <w:noProof/>
                <w:sz w:val="22"/>
              </w:rPr>
            </w:pPr>
            <w:r>
              <w:rPr>
                <w:noProof/>
                <w:sz w:val="18"/>
              </w:rPr>
              <w:t>Diff./Non-diff.</w:t>
            </w:r>
          </w:p>
        </w:tc>
        <w:tc>
          <w:tcPr>
            <w:tcW w:w="956" w:type="dxa"/>
            <w:vAlign w:val="center"/>
          </w:tcPr>
          <w:p w:rsidR="00926A0D" w:rsidRDefault="006023A9">
            <w:pPr>
              <w:jc w:val="center"/>
              <w:rPr>
                <w:noProof/>
                <w:sz w:val="18"/>
              </w:rPr>
            </w:pPr>
            <w:r>
              <w:rPr>
                <w:noProof/>
                <w:sz w:val="18"/>
              </w:rPr>
              <w:t>from EFTA countries</w:t>
            </w:r>
          </w:p>
        </w:tc>
        <w:tc>
          <w:tcPr>
            <w:tcW w:w="1080" w:type="dxa"/>
            <w:vAlign w:val="center"/>
          </w:tcPr>
          <w:p w:rsidR="00926A0D" w:rsidRDefault="006023A9">
            <w:pPr>
              <w:jc w:val="center"/>
              <w:rPr>
                <w:noProof/>
                <w:sz w:val="18"/>
              </w:rPr>
            </w:pPr>
            <w:r>
              <w:rPr>
                <w:noProof/>
                <w:sz w:val="18"/>
              </w:rPr>
              <w:t>from candidate countries</w:t>
            </w:r>
          </w:p>
        </w:tc>
        <w:tc>
          <w:tcPr>
            <w:tcW w:w="956" w:type="dxa"/>
            <w:vAlign w:val="center"/>
          </w:tcPr>
          <w:p w:rsidR="00926A0D" w:rsidRDefault="006023A9">
            <w:pPr>
              <w:jc w:val="center"/>
              <w:rPr>
                <w:noProof/>
                <w:sz w:val="18"/>
              </w:rPr>
            </w:pPr>
            <w:r>
              <w:rPr>
                <w:noProof/>
                <w:sz w:val="18"/>
              </w:rPr>
              <w:t>from third countries</w:t>
            </w:r>
          </w:p>
        </w:tc>
        <w:tc>
          <w:tcPr>
            <w:tcW w:w="1448" w:type="dxa"/>
            <w:vAlign w:val="center"/>
          </w:tcPr>
          <w:p w:rsidR="00926A0D" w:rsidRDefault="006023A9">
            <w:pPr>
              <w:jc w:val="center"/>
              <w:rPr>
                <w:noProof/>
                <w:sz w:val="22"/>
              </w:rPr>
            </w:pPr>
            <w:r>
              <w:rPr>
                <w:noProof/>
                <w:sz w:val="16"/>
              </w:rPr>
              <w:t xml:space="preserve">within the meaning of Article 21(2)(b) of the Financial Regulation </w:t>
            </w:r>
          </w:p>
        </w:tc>
      </w:tr>
      <w:tr w:rsidR="00926A0D">
        <w:tc>
          <w:tcPr>
            <w:tcW w:w="1080" w:type="dxa"/>
            <w:vAlign w:val="center"/>
          </w:tcPr>
          <w:p w:rsidR="00926A0D" w:rsidRDefault="00926A0D">
            <w:pPr>
              <w:jc w:val="center"/>
              <w:rPr>
                <w:noProof/>
                <w:sz w:val="22"/>
              </w:rPr>
            </w:pPr>
          </w:p>
        </w:tc>
        <w:tc>
          <w:tcPr>
            <w:tcW w:w="3960" w:type="dxa"/>
            <w:vAlign w:val="center"/>
          </w:tcPr>
          <w:p w:rsidR="00926A0D" w:rsidRDefault="006023A9">
            <w:pPr>
              <w:spacing w:before="60"/>
              <w:rPr>
                <w:noProof/>
                <w:sz w:val="22"/>
              </w:rPr>
            </w:pPr>
            <w:r>
              <w:rPr>
                <w:noProof/>
              </w:rPr>
              <w:t>[…]</w:t>
            </w:r>
            <w:r>
              <w:rPr>
                <w:noProof/>
                <w:sz w:val="22"/>
              </w:rPr>
              <w:t>[XX.YY.YY.YY]</w:t>
            </w:r>
          </w:p>
          <w:p w:rsidR="00926A0D" w:rsidRDefault="00926A0D">
            <w:pPr>
              <w:spacing w:after="60"/>
              <w:rPr>
                <w:noProof/>
                <w:sz w:val="22"/>
              </w:rPr>
            </w:pPr>
          </w:p>
        </w:tc>
        <w:tc>
          <w:tcPr>
            <w:tcW w:w="1080" w:type="dxa"/>
            <w:vAlign w:val="center"/>
          </w:tcPr>
          <w:p w:rsidR="00926A0D" w:rsidRDefault="00926A0D">
            <w:pPr>
              <w:jc w:val="center"/>
              <w:rPr>
                <w:noProof/>
                <w:sz w:val="22"/>
              </w:rPr>
            </w:pPr>
          </w:p>
        </w:tc>
        <w:tc>
          <w:tcPr>
            <w:tcW w:w="956" w:type="dxa"/>
            <w:vAlign w:val="center"/>
          </w:tcPr>
          <w:p w:rsidR="00926A0D" w:rsidRDefault="006023A9">
            <w:pPr>
              <w:jc w:val="center"/>
              <w:rPr>
                <w:noProof/>
                <w:sz w:val="22"/>
              </w:rPr>
            </w:pPr>
            <w:r>
              <w:rPr>
                <w:noProof/>
                <w:sz w:val="22"/>
              </w:rPr>
              <w:t>YES/NO</w:t>
            </w:r>
          </w:p>
        </w:tc>
        <w:tc>
          <w:tcPr>
            <w:tcW w:w="1080" w:type="dxa"/>
            <w:vAlign w:val="center"/>
          </w:tcPr>
          <w:p w:rsidR="00926A0D" w:rsidRDefault="006023A9">
            <w:pPr>
              <w:jc w:val="center"/>
              <w:rPr>
                <w:noProof/>
                <w:sz w:val="18"/>
              </w:rPr>
            </w:pPr>
            <w:r>
              <w:rPr>
                <w:noProof/>
                <w:sz w:val="22"/>
              </w:rPr>
              <w:t>YES/NO</w:t>
            </w:r>
          </w:p>
        </w:tc>
        <w:tc>
          <w:tcPr>
            <w:tcW w:w="956" w:type="dxa"/>
            <w:vAlign w:val="center"/>
          </w:tcPr>
          <w:p w:rsidR="00926A0D" w:rsidRDefault="006023A9">
            <w:pPr>
              <w:jc w:val="center"/>
              <w:rPr>
                <w:noProof/>
                <w:sz w:val="18"/>
              </w:rPr>
            </w:pPr>
            <w:r>
              <w:rPr>
                <w:noProof/>
                <w:sz w:val="22"/>
              </w:rPr>
              <w:t>YES/NO</w:t>
            </w:r>
          </w:p>
        </w:tc>
        <w:tc>
          <w:tcPr>
            <w:tcW w:w="1448" w:type="dxa"/>
            <w:vAlign w:val="center"/>
          </w:tcPr>
          <w:p w:rsidR="00926A0D" w:rsidRDefault="006023A9">
            <w:pPr>
              <w:jc w:val="center"/>
              <w:rPr>
                <w:noProof/>
                <w:sz w:val="22"/>
              </w:rPr>
            </w:pPr>
            <w:r>
              <w:rPr>
                <w:noProof/>
                <w:sz w:val="22"/>
              </w:rPr>
              <w:t>YES/NO</w:t>
            </w:r>
          </w:p>
        </w:tc>
      </w:tr>
    </w:tbl>
    <w:p w:rsidR="00926A0D" w:rsidRDefault="00926A0D">
      <w:pPr>
        <w:rPr>
          <w:noProof/>
        </w:rPr>
        <w:sectPr w:rsidR="00926A0D" w:rsidSect="00211F8F">
          <w:pgSz w:w="11907" w:h="16840" w:code="1"/>
          <w:pgMar w:top="1134" w:right="1418" w:bottom="1134" w:left="1418" w:header="709" w:footer="709" w:gutter="0"/>
          <w:cols w:space="708"/>
          <w:docGrid w:linePitch="360"/>
        </w:sectPr>
      </w:pPr>
    </w:p>
    <w:p w:rsidR="00926A0D" w:rsidRDefault="006023A9">
      <w:pPr>
        <w:pStyle w:val="ManualHeading2"/>
        <w:rPr>
          <w:bCs/>
          <w:noProof/>
          <w:szCs w:val="24"/>
        </w:rPr>
      </w:pPr>
      <w:r>
        <w:lastRenderedPageBreak/>
        <w:t>3.2.</w:t>
      </w:r>
      <w:r>
        <w:tab/>
      </w:r>
      <w:r>
        <w:rPr>
          <w:noProof/>
        </w:rPr>
        <w:t xml:space="preserve">Estimated impact on expenditure </w:t>
      </w:r>
    </w:p>
    <w:p w:rsidR="00926A0D" w:rsidRDefault="006023A9">
      <w:pPr>
        <w:pStyle w:val="ManualHeading3"/>
        <w:rPr>
          <w:noProof/>
        </w:rPr>
      </w:pPr>
      <w:r>
        <w:t>3.2.1.</w:t>
      </w:r>
      <w:r>
        <w:tab/>
      </w:r>
      <w:r>
        <w:rPr>
          <w:noProof/>
        </w:rPr>
        <w:t xml:space="preserve">Summary of estimated impact on expenditure </w:t>
      </w:r>
    </w:p>
    <w:p w:rsidR="00926A0D" w:rsidRDefault="006023A9">
      <w:pPr>
        <w:pStyle w:val="Text1"/>
        <w:ind w:left="0"/>
        <w:rPr>
          <w:noProof/>
        </w:rPr>
      </w:pPr>
      <w:r>
        <w:rPr>
          <w:noProof/>
        </w:rPr>
        <w:t xml:space="preserve">The estimated expenditure mentioned in this section will be fully accommodated under the current programmed financial envelope of the budget lines in question until 2020. </w:t>
      </w:r>
    </w:p>
    <w:p w:rsidR="00926A0D" w:rsidRDefault="006023A9">
      <w:pPr>
        <w:jc w:val="right"/>
        <w:rPr>
          <w:noProof/>
          <w:sz w:val="20"/>
        </w:rPr>
      </w:pPr>
      <w:r>
        <w:rPr>
          <w:noProof/>
          <w:sz w:val="20"/>
        </w:rPr>
        <w:t>EUR million (to three decimal places)</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926A0D">
        <w:trPr>
          <w:jc w:val="center"/>
        </w:trPr>
        <w:tc>
          <w:tcPr>
            <w:tcW w:w="4744" w:type="dxa"/>
            <w:shd w:val="thinDiagStripe" w:color="C0C0C0" w:fill="auto"/>
            <w:vAlign w:val="center"/>
          </w:tcPr>
          <w:p w:rsidR="00926A0D" w:rsidRDefault="006023A9">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rsidR="00926A0D" w:rsidRDefault="006023A9">
            <w:pPr>
              <w:spacing w:before="60" w:after="60"/>
              <w:jc w:val="center"/>
              <w:rPr>
                <w:noProof/>
              </w:rPr>
            </w:pPr>
            <w:r>
              <w:rPr>
                <w:noProof/>
                <w:sz w:val="22"/>
              </w:rPr>
              <w:t>Number 1A</w:t>
            </w:r>
          </w:p>
        </w:tc>
        <w:tc>
          <w:tcPr>
            <w:tcW w:w="7817" w:type="dxa"/>
            <w:vAlign w:val="center"/>
          </w:tcPr>
          <w:p w:rsidR="00926A0D" w:rsidRDefault="006023A9">
            <w:pPr>
              <w:spacing w:before="60" w:after="60"/>
              <w:rPr>
                <w:noProof/>
              </w:rPr>
            </w:pPr>
            <w:r>
              <w:rPr>
                <w:noProof/>
                <w:sz w:val="22"/>
              </w:rPr>
              <w:t>Heading 1A - Competitiveness for growth and jobs</w:t>
            </w:r>
          </w:p>
        </w:tc>
      </w:tr>
    </w:tbl>
    <w:p w:rsidR="00926A0D" w:rsidRDefault="00926A0D">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926A0D">
        <w:tc>
          <w:tcPr>
            <w:tcW w:w="3960" w:type="dxa"/>
            <w:vAlign w:val="center"/>
          </w:tcPr>
          <w:p w:rsidR="00926A0D" w:rsidRDefault="006023A9">
            <w:pPr>
              <w:jc w:val="center"/>
              <w:rPr>
                <w:noProof/>
              </w:rPr>
            </w:pPr>
            <w:r>
              <w:rPr>
                <w:noProof/>
                <w:sz w:val="22"/>
              </w:rPr>
              <w:t>DG: &lt;ENER&gt;</w:t>
            </w:r>
          </w:p>
        </w:tc>
        <w:tc>
          <w:tcPr>
            <w:tcW w:w="1560" w:type="dxa"/>
            <w:gridSpan w:val="2"/>
          </w:tcPr>
          <w:p w:rsidR="00926A0D" w:rsidRDefault="00926A0D">
            <w:pPr>
              <w:rPr>
                <w:noProof/>
                <w:sz w:val="20"/>
              </w:rPr>
            </w:pPr>
          </w:p>
        </w:tc>
        <w:tc>
          <w:tcPr>
            <w:tcW w:w="534" w:type="dxa"/>
          </w:tcPr>
          <w:p w:rsidR="00926A0D" w:rsidRDefault="00926A0D">
            <w:pPr>
              <w:jc w:val="center"/>
              <w:rPr>
                <w:noProof/>
                <w:sz w:val="20"/>
              </w:rPr>
            </w:pPr>
          </w:p>
        </w:tc>
        <w:tc>
          <w:tcPr>
            <w:tcW w:w="868" w:type="dxa"/>
            <w:vAlign w:val="center"/>
          </w:tcPr>
          <w:p w:rsidR="00926A0D" w:rsidRDefault="006023A9">
            <w:pPr>
              <w:jc w:val="center"/>
              <w:rPr>
                <w:noProof/>
                <w:sz w:val="20"/>
              </w:rPr>
            </w:pPr>
            <w:r>
              <w:rPr>
                <w:noProof/>
                <w:sz w:val="20"/>
              </w:rPr>
              <w:t>Year</w:t>
            </w:r>
            <w:r>
              <w:rPr>
                <w:noProof/>
                <w:sz w:val="22"/>
              </w:rPr>
              <w:br/>
            </w:r>
            <w:r>
              <w:rPr>
                <w:b/>
                <w:noProof/>
                <w:sz w:val="20"/>
              </w:rPr>
              <w:t>2018</w:t>
            </w:r>
          </w:p>
        </w:tc>
        <w:tc>
          <w:tcPr>
            <w:tcW w:w="868" w:type="dxa"/>
            <w:vAlign w:val="center"/>
          </w:tcPr>
          <w:p w:rsidR="00926A0D" w:rsidRDefault="006023A9">
            <w:pPr>
              <w:jc w:val="center"/>
              <w:rPr>
                <w:noProof/>
                <w:sz w:val="20"/>
              </w:rPr>
            </w:pPr>
            <w:r>
              <w:rPr>
                <w:noProof/>
                <w:sz w:val="20"/>
              </w:rPr>
              <w:t>Year</w:t>
            </w:r>
            <w:r>
              <w:rPr>
                <w:noProof/>
                <w:sz w:val="22"/>
              </w:rPr>
              <w:br/>
            </w:r>
            <w:r>
              <w:rPr>
                <w:b/>
                <w:noProof/>
                <w:sz w:val="20"/>
              </w:rPr>
              <w:t>2019</w:t>
            </w:r>
          </w:p>
        </w:tc>
        <w:tc>
          <w:tcPr>
            <w:tcW w:w="868" w:type="dxa"/>
            <w:vAlign w:val="center"/>
          </w:tcPr>
          <w:p w:rsidR="00926A0D" w:rsidRDefault="006023A9">
            <w:pPr>
              <w:jc w:val="center"/>
              <w:rPr>
                <w:noProof/>
                <w:sz w:val="20"/>
              </w:rPr>
            </w:pPr>
            <w:r>
              <w:rPr>
                <w:noProof/>
                <w:sz w:val="20"/>
              </w:rPr>
              <w:t>Year</w:t>
            </w:r>
            <w:r>
              <w:rPr>
                <w:noProof/>
                <w:sz w:val="22"/>
              </w:rPr>
              <w:br/>
            </w:r>
            <w:r>
              <w:rPr>
                <w:b/>
                <w:noProof/>
                <w:sz w:val="20"/>
              </w:rPr>
              <w:t>2020</w:t>
            </w:r>
          </w:p>
        </w:tc>
        <w:tc>
          <w:tcPr>
            <w:tcW w:w="868" w:type="dxa"/>
            <w:vAlign w:val="center"/>
          </w:tcPr>
          <w:p w:rsidR="00926A0D" w:rsidRDefault="00926A0D">
            <w:pPr>
              <w:jc w:val="center"/>
              <w:rPr>
                <w:noProof/>
                <w:sz w:val="20"/>
              </w:rPr>
            </w:pPr>
          </w:p>
        </w:tc>
        <w:tc>
          <w:tcPr>
            <w:tcW w:w="2604" w:type="dxa"/>
            <w:gridSpan w:val="3"/>
            <w:vAlign w:val="center"/>
          </w:tcPr>
          <w:p w:rsidR="00926A0D" w:rsidRDefault="006023A9">
            <w:pPr>
              <w:jc w:val="center"/>
              <w:rPr>
                <w:b/>
                <w:noProof/>
                <w:sz w:val="18"/>
              </w:rPr>
            </w:pPr>
            <w:r>
              <w:rPr>
                <w:noProof/>
                <w:sz w:val="18"/>
              </w:rPr>
              <w:t>Enter as many years as necessary to show the duration of the impact (see point 1.6)</w:t>
            </w:r>
          </w:p>
        </w:tc>
        <w:tc>
          <w:tcPr>
            <w:tcW w:w="1777" w:type="dxa"/>
            <w:vAlign w:val="center"/>
          </w:tcPr>
          <w:p w:rsidR="00926A0D" w:rsidRDefault="006023A9">
            <w:pPr>
              <w:jc w:val="center"/>
              <w:rPr>
                <w:b/>
                <w:noProof/>
                <w:sz w:val="20"/>
              </w:rPr>
            </w:pPr>
            <w:r>
              <w:rPr>
                <w:b/>
                <w:noProof/>
                <w:sz w:val="20"/>
              </w:rPr>
              <w:t xml:space="preserve">TOTAL 2018+2019+2020 </w:t>
            </w:r>
          </w:p>
        </w:tc>
      </w:tr>
      <w:tr w:rsidR="00926A0D">
        <w:trPr>
          <w:trHeight w:val="213"/>
        </w:trPr>
        <w:tc>
          <w:tcPr>
            <w:tcW w:w="6054" w:type="dxa"/>
            <w:gridSpan w:val="4"/>
            <w:vAlign w:val="center"/>
          </w:tcPr>
          <w:p w:rsidR="00926A0D" w:rsidRDefault="006023A9">
            <w:pPr>
              <w:spacing w:before="20" w:after="20"/>
              <w:rPr>
                <w:noProof/>
                <w:sz w:val="21"/>
              </w:rPr>
            </w:pPr>
            <w:r>
              <w:rPr>
                <w:noProof/>
                <w:sz w:val="21"/>
              </w:rPr>
              <w:sym w:font="Wingdings" w:char="F09F"/>
            </w:r>
            <w:r>
              <w:rPr>
                <w:noProof/>
                <w:sz w:val="21"/>
              </w:rPr>
              <w:t xml:space="preserve"> Operational appropriations </w:t>
            </w:r>
          </w:p>
        </w:tc>
        <w:tc>
          <w:tcPr>
            <w:tcW w:w="868" w:type="dxa"/>
            <w:vAlign w:val="center"/>
          </w:tcPr>
          <w:p w:rsidR="00926A0D" w:rsidRDefault="00926A0D">
            <w:pPr>
              <w:rPr>
                <w:noProof/>
                <w:sz w:val="20"/>
              </w:rPr>
            </w:pPr>
          </w:p>
        </w:tc>
        <w:tc>
          <w:tcPr>
            <w:tcW w:w="868" w:type="dxa"/>
            <w:vAlign w:val="center"/>
          </w:tcPr>
          <w:p w:rsidR="00926A0D" w:rsidRDefault="00926A0D">
            <w:pPr>
              <w:rPr>
                <w:noProof/>
                <w:sz w:val="20"/>
              </w:rPr>
            </w:pPr>
          </w:p>
        </w:tc>
        <w:tc>
          <w:tcPr>
            <w:tcW w:w="868" w:type="dxa"/>
            <w:vAlign w:val="center"/>
          </w:tcPr>
          <w:p w:rsidR="00926A0D" w:rsidRDefault="00926A0D">
            <w:pPr>
              <w:rPr>
                <w:noProof/>
                <w:sz w:val="20"/>
              </w:rPr>
            </w:pPr>
          </w:p>
        </w:tc>
        <w:tc>
          <w:tcPr>
            <w:tcW w:w="868" w:type="dxa"/>
            <w:vAlign w:val="center"/>
          </w:tcPr>
          <w:p w:rsidR="00926A0D" w:rsidRDefault="00926A0D">
            <w:pPr>
              <w:rPr>
                <w:noProof/>
                <w:sz w:val="20"/>
              </w:rPr>
            </w:pPr>
          </w:p>
        </w:tc>
        <w:tc>
          <w:tcPr>
            <w:tcW w:w="868" w:type="dxa"/>
            <w:vAlign w:val="center"/>
          </w:tcPr>
          <w:p w:rsidR="00926A0D" w:rsidRDefault="00926A0D">
            <w:pPr>
              <w:rPr>
                <w:noProof/>
                <w:sz w:val="20"/>
              </w:rPr>
            </w:pPr>
          </w:p>
        </w:tc>
        <w:tc>
          <w:tcPr>
            <w:tcW w:w="868" w:type="dxa"/>
            <w:vAlign w:val="center"/>
          </w:tcPr>
          <w:p w:rsidR="00926A0D" w:rsidRDefault="00926A0D">
            <w:pPr>
              <w:rPr>
                <w:noProof/>
                <w:sz w:val="20"/>
              </w:rPr>
            </w:pPr>
          </w:p>
        </w:tc>
        <w:tc>
          <w:tcPr>
            <w:tcW w:w="868" w:type="dxa"/>
            <w:vAlign w:val="center"/>
          </w:tcPr>
          <w:p w:rsidR="00926A0D" w:rsidRDefault="00926A0D">
            <w:pPr>
              <w:rPr>
                <w:b/>
                <w:noProof/>
                <w:sz w:val="20"/>
              </w:rPr>
            </w:pPr>
          </w:p>
        </w:tc>
        <w:tc>
          <w:tcPr>
            <w:tcW w:w="1777" w:type="dxa"/>
            <w:vAlign w:val="center"/>
          </w:tcPr>
          <w:p w:rsidR="00926A0D" w:rsidRDefault="00926A0D">
            <w:pPr>
              <w:rPr>
                <w:b/>
                <w:noProof/>
                <w:sz w:val="20"/>
              </w:rPr>
            </w:pPr>
          </w:p>
        </w:tc>
      </w:tr>
      <w:tr w:rsidR="00926A0D">
        <w:trPr>
          <w:trHeight w:val="277"/>
        </w:trPr>
        <w:tc>
          <w:tcPr>
            <w:tcW w:w="3960" w:type="dxa"/>
            <w:vMerge w:val="restart"/>
            <w:vAlign w:val="center"/>
          </w:tcPr>
          <w:p w:rsidR="00926A0D" w:rsidRDefault="006023A9">
            <w:pPr>
              <w:rPr>
                <w:noProof/>
              </w:rPr>
            </w:pPr>
            <w:r>
              <w:rPr>
                <w:noProof/>
                <w:sz w:val="20"/>
              </w:rPr>
              <w:t>Number of budget line</w:t>
            </w:r>
          </w:p>
        </w:tc>
        <w:tc>
          <w:tcPr>
            <w:tcW w:w="1440" w:type="dxa"/>
            <w:vAlign w:val="center"/>
          </w:tcPr>
          <w:p w:rsidR="00926A0D" w:rsidRDefault="006023A9">
            <w:pPr>
              <w:spacing w:before="20" w:after="20"/>
              <w:rPr>
                <w:noProof/>
                <w:sz w:val="18"/>
              </w:rPr>
            </w:pPr>
            <w:r>
              <w:rPr>
                <w:noProof/>
                <w:sz w:val="18"/>
              </w:rPr>
              <w:t>Commitments</w:t>
            </w:r>
          </w:p>
        </w:tc>
        <w:tc>
          <w:tcPr>
            <w:tcW w:w="654" w:type="dxa"/>
            <w:gridSpan w:val="2"/>
            <w:vAlign w:val="center"/>
          </w:tcPr>
          <w:p w:rsidR="00926A0D" w:rsidRDefault="006023A9">
            <w:pPr>
              <w:spacing w:before="20" w:after="20"/>
              <w:jc w:val="center"/>
              <w:rPr>
                <w:noProof/>
                <w:sz w:val="14"/>
              </w:rPr>
            </w:pPr>
            <w:r>
              <w:rPr>
                <w:noProof/>
                <w:sz w:val="14"/>
              </w:rPr>
              <w:t>(1)</w:t>
            </w:r>
          </w:p>
        </w:tc>
        <w:tc>
          <w:tcPr>
            <w:tcW w:w="868" w:type="dxa"/>
            <w:vAlign w:val="center"/>
          </w:tcPr>
          <w:p w:rsidR="00926A0D" w:rsidRDefault="006023A9">
            <w:pPr>
              <w:spacing w:before="20" w:after="20"/>
              <w:jc w:val="right"/>
              <w:rPr>
                <w:noProof/>
                <w:sz w:val="20"/>
              </w:rPr>
            </w:pPr>
            <w:r>
              <w:rPr>
                <w:noProof/>
                <w:sz w:val="20"/>
              </w:rPr>
              <w:t>0</w:t>
            </w:r>
          </w:p>
        </w:tc>
        <w:tc>
          <w:tcPr>
            <w:tcW w:w="868" w:type="dxa"/>
            <w:vAlign w:val="center"/>
          </w:tcPr>
          <w:p w:rsidR="00926A0D" w:rsidRDefault="006023A9">
            <w:pPr>
              <w:spacing w:before="20" w:after="20"/>
              <w:jc w:val="right"/>
              <w:rPr>
                <w:noProof/>
                <w:sz w:val="20"/>
              </w:rPr>
            </w:pPr>
            <w:r>
              <w:rPr>
                <w:noProof/>
                <w:sz w:val="20"/>
              </w:rPr>
              <w:t>0.500</w:t>
            </w:r>
          </w:p>
        </w:tc>
        <w:tc>
          <w:tcPr>
            <w:tcW w:w="868" w:type="dxa"/>
            <w:vAlign w:val="center"/>
          </w:tcPr>
          <w:p w:rsidR="00926A0D" w:rsidRDefault="006023A9">
            <w:pPr>
              <w:spacing w:before="20" w:after="20"/>
              <w:jc w:val="right"/>
              <w:rPr>
                <w:noProof/>
                <w:sz w:val="20"/>
              </w:rPr>
            </w:pPr>
            <w:r>
              <w:rPr>
                <w:noProof/>
                <w:sz w:val="20"/>
              </w:rPr>
              <w:t>0.500</w:t>
            </w:r>
          </w:p>
        </w:tc>
        <w:tc>
          <w:tcPr>
            <w:tcW w:w="868" w:type="dxa"/>
            <w:vAlign w:val="center"/>
          </w:tcPr>
          <w:p w:rsidR="00926A0D" w:rsidRDefault="00926A0D">
            <w:pPr>
              <w:spacing w:before="20" w:after="20"/>
              <w:jc w:val="right"/>
              <w:rPr>
                <w:noProof/>
                <w:sz w:val="20"/>
              </w:rPr>
            </w:pPr>
          </w:p>
        </w:tc>
        <w:tc>
          <w:tcPr>
            <w:tcW w:w="868" w:type="dxa"/>
            <w:vAlign w:val="center"/>
          </w:tcPr>
          <w:p w:rsidR="00926A0D" w:rsidRDefault="00926A0D">
            <w:pPr>
              <w:spacing w:before="20" w:after="20"/>
              <w:jc w:val="right"/>
              <w:rPr>
                <w:noProof/>
                <w:sz w:val="20"/>
              </w:rPr>
            </w:pPr>
          </w:p>
        </w:tc>
        <w:tc>
          <w:tcPr>
            <w:tcW w:w="868" w:type="dxa"/>
            <w:vAlign w:val="center"/>
          </w:tcPr>
          <w:p w:rsidR="00926A0D" w:rsidRDefault="00926A0D">
            <w:pPr>
              <w:spacing w:before="20" w:after="20"/>
              <w:jc w:val="right"/>
              <w:rPr>
                <w:noProof/>
                <w:sz w:val="20"/>
              </w:rPr>
            </w:pPr>
          </w:p>
        </w:tc>
        <w:tc>
          <w:tcPr>
            <w:tcW w:w="868" w:type="dxa"/>
            <w:vAlign w:val="center"/>
          </w:tcPr>
          <w:p w:rsidR="00926A0D" w:rsidRDefault="00926A0D">
            <w:pPr>
              <w:spacing w:before="20" w:after="20"/>
              <w:jc w:val="right"/>
              <w:rPr>
                <w:b/>
                <w:noProof/>
                <w:sz w:val="20"/>
              </w:rPr>
            </w:pPr>
          </w:p>
        </w:tc>
        <w:tc>
          <w:tcPr>
            <w:tcW w:w="1777" w:type="dxa"/>
            <w:vAlign w:val="center"/>
          </w:tcPr>
          <w:p w:rsidR="00926A0D" w:rsidRDefault="006023A9">
            <w:pPr>
              <w:spacing w:before="20" w:after="20"/>
              <w:jc w:val="right"/>
              <w:rPr>
                <w:noProof/>
                <w:sz w:val="20"/>
              </w:rPr>
            </w:pPr>
            <w:r>
              <w:rPr>
                <w:noProof/>
                <w:sz w:val="20"/>
              </w:rPr>
              <w:t>1.000</w:t>
            </w:r>
          </w:p>
        </w:tc>
      </w:tr>
      <w:tr w:rsidR="00926A0D">
        <w:tc>
          <w:tcPr>
            <w:tcW w:w="3960" w:type="dxa"/>
            <w:vMerge/>
          </w:tcPr>
          <w:p w:rsidR="00926A0D" w:rsidRDefault="00926A0D">
            <w:pPr>
              <w:jc w:val="center"/>
              <w:rPr>
                <w:noProof/>
                <w:sz w:val="20"/>
              </w:rPr>
            </w:pPr>
          </w:p>
        </w:tc>
        <w:tc>
          <w:tcPr>
            <w:tcW w:w="1440" w:type="dxa"/>
            <w:vAlign w:val="center"/>
          </w:tcPr>
          <w:p w:rsidR="00926A0D" w:rsidRDefault="006023A9">
            <w:pPr>
              <w:spacing w:before="20" w:after="20"/>
              <w:rPr>
                <w:noProof/>
                <w:sz w:val="18"/>
              </w:rPr>
            </w:pPr>
            <w:r>
              <w:rPr>
                <w:noProof/>
                <w:sz w:val="18"/>
              </w:rPr>
              <w:t>Payments</w:t>
            </w:r>
          </w:p>
        </w:tc>
        <w:tc>
          <w:tcPr>
            <w:tcW w:w="654" w:type="dxa"/>
            <w:gridSpan w:val="2"/>
            <w:vAlign w:val="center"/>
          </w:tcPr>
          <w:p w:rsidR="00926A0D" w:rsidRDefault="006023A9">
            <w:pPr>
              <w:spacing w:before="20" w:after="20"/>
              <w:jc w:val="center"/>
              <w:rPr>
                <w:noProof/>
                <w:sz w:val="14"/>
              </w:rPr>
            </w:pPr>
            <w:r>
              <w:rPr>
                <w:noProof/>
                <w:sz w:val="14"/>
              </w:rPr>
              <w:t>(2)</w:t>
            </w:r>
          </w:p>
        </w:tc>
        <w:tc>
          <w:tcPr>
            <w:tcW w:w="868" w:type="dxa"/>
            <w:vAlign w:val="center"/>
          </w:tcPr>
          <w:p w:rsidR="00926A0D" w:rsidRDefault="006023A9">
            <w:pPr>
              <w:spacing w:before="20" w:after="20"/>
              <w:jc w:val="right"/>
              <w:rPr>
                <w:noProof/>
                <w:sz w:val="20"/>
              </w:rPr>
            </w:pPr>
            <w:r>
              <w:rPr>
                <w:noProof/>
                <w:sz w:val="20"/>
              </w:rPr>
              <w:t>0</w:t>
            </w:r>
          </w:p>
        </w:tc>
        <w:tc>
          <w:tcPr>
            <w:tcW w:w="868" w:type="dxa"/>
            <w:vAlign w:val="center"/>
          </w:tcPr>
          <w:p w:rsidR="00926A0D" w:rsidRDefault="006023A9">
            <w:pPr>
              <w:spacing w:before="20" w:after="20"/>
              <w:jc w:val="right"/>
              <w:rPr>
                <w:noProof/>
                <w:sz w:val="20"/>
              </w:rPr>
            </w:pPr>
            <w:r>
              <w:rPr>
                <w:noProof/>
                <w:sz w:val="20"/>
              </w:rPr>
              <w:t>0.150</w:t>
            </w:r>
          </w:p>
        </w:tc>
        <w:tc>
          <w:tcPr>
            <w:tcW w:w="868" w:type="dxa"/>
            <w:vAlign w:val="center"/>
          </w:tcPr>
          <w:p w:rsidR="00926A0D" w:rsidRDefault="006023A9">
            <w:pPr>
              <w:spacing w:before="20" w:after="20"/>
              <w:jc w:val="right"/>
              <w:rPr>
                <w:noProof/>
                <w:sz w:val="20"/>
              </w:rPr>
            </w:pPr>
            <w:r>
              <w:rPr>
                <w:noProof/>
                <w:sz w:val="20"/>
              </w:rPr>
              <w:t>0.350</w:t>
            </w:r>
          </w:p>
        </w:tc>
        <w:tc>
          <w:tcPr>
            <w:tcW w:w="868" w:type="dxa"/>
            <w:vAlign w:val="center"/>
          </w:tcPr>
          <w:p w:rsidR="00926A0D" w:rsidRDefault="00926A0D">
            <w:pPr>
              <w:spacing w:before="20" w:after="20"/>
              <w:jc w:val="right"/>
              <w:rPr>
                <w:noProof/>
                <w:sz w:val="20"/>
              </w:rPr>
            </w:pPr>
          </w:p>
        </w:tc>
        <w:tc>
          <w:tcPr>
            <w:tcW w:w="868" w:type="dxa"/>
            <w:vAlign w:val="center"/>
          </w:tcPr>
          <w:p w:rsidR="00926A0D" w:rsidRDefault="00926A0D">
            <w:pPr>
              <w:spacing w:before="20" w:after="20"/>
              <w:jc w:val="right"/>
              <w:rPr>
                <w:noProof/>
                <w:sz w:val="20"/>
              </w:rPr>
            </w:pPr>
          </w:p>
        </w:tc>
        <w:tc>
          <w:tcPr>
            <w:tcW w:w="868" w:type="dxa"/>
            <w:vAlign w:val="center"/>
          </w:tcPr>
          <w:p w:rsidR="00926A0D" w:rsidRDefault="00926A0D">
            <w:pPr>
              <w:spacing w:before="20" w:after="20"/>
              <w:jc w:val="right"/>
              <w:rPr>
                <w:noProof/>
                <w:sz w:val="20"/>
              </w:rPr>
            </w:pPr>
          </w:p>
        </w:tc>
        <w:tc>
          <w:tcPr>
            <w:tcW w:w="868" w:type="dxa"/>
            <w:vAlign w:val="center"/>
          </w:tcPr>
          <w:p w:rsidR="00926A0D" w:rsidRDefault="00926A0D">
            <w:pPr>
              <w:spacing w:before="20" w:after="20"/>
              <w:jc w:val="right"/>
              <w:rPr>
                <w:b/>
                <w:noProof/>
                <w:sz w:val="20"/>
              </w:rPr>
            </w:pPr>
          </w:p>
        </w:tc>
        <w:tc>
          <w:tcPr>
            <w:tcW w:w="1777" w:type="dxa"/>
            <w:vAlign w:val="center"/>
          </w:tcPr>
          <w:p w:rsidR="00926A0D" w:rsidRDefault="006023A9">
            <w:pPr>
              <w:spacing w:before="20" w:after="20"/>
              <w:jc w:val="right"/>
              <w:rPr>
                <w:noProof/>
                <w:sz w:val="20"/>
              </w:rPr>
            </w:pPr>
            <w:r>
              <w:rPr>
                <w:noProof/>
                <w:sz w:val="20"/>
              </w:rPr>
              <w:t>0.500</w:t>
            </w:r>
          </w:p>
        </w:tc>
      </w:tr>
      <w:tr w:rsidR="00926A0D">
        <w:trPr>
          <w:trHeight w:val="231"/>
        </w:trPr>
        <w:tc>
          <w:tcPr>
            <w:tcW w:w="6054" w:type="dxa"/>
            <w:gridSpan w:val="4"/>
            <w:vAlign w:val="center"/>
          </w:tcPr>
          <w:p w:rsidR="00926A0D" w:rsidRDefault="006023A9">
            <w:pPr>
              <w:spacing w:before="20" w:after="20"/>
              <w:rPr>
                <w:noProof/>
              </w:rPr>
            </w:pPr>
            <w:r>
              <w:rPr>
                <w:noProof/>
                <w:sz w:val="21"/>
              </w:rPr>
              <w:t>Appropriations of an administrative nature financed from the envelope of specific programmes</w:t>
            </w:r>
            <w:r>
              <w:rPr>
                <w:rStyle w:val="FootnoteReference"/>
                <w:noProof/>
                <w:sz w:val="21"/>
              </w:rPr>
              <w:footnoteReference w:id="48"/>
            </w:r>
            <w:r>
              <w:rPr>
                <w:noProof/>
                <w:sz w:val="21"/>
              </w:rPr>
              <w:t xml:space="preserve"> </w:t>
            </w:r>
          </w:p>
          <w:p w:rsidR="00926A0D" w:rsidRDefault="00926A0D">
            <w:pPr>
              <w:spacing w:before="0" w:after="0"/>
              <w:rPr>
                <w:noProof/>
              </w:rPr>
            </w:pPr>
          </w:p>
        </w:tc>
        <w:tc>
          <w:tcPr>
            <w:tcW w:w="868" w:type="dxa"/>
            <w:vAlign w:val="center"/>
          </w:tcPr>
          <w:p w:rsidR="00926A0D" w:rsidRDefault="00926A0D">
            <w:pPr>
              <w:rPr>
                <w:b/>
                <w:noProof/>
                <w:sz w:val="20"/>
              </w:rPr>
            </w:pPr>
          </w:p>
        </w:tc>
        <w:tc>
          <w:tcPr>
            <w:tcW w:w="868" w:type="dxa"/>
            <w:vAlign w:val="center"/>
          </w:tcPr>
          <w:p w:rsidR="00926A0D" w:rsidRDefault="00926A0D">
            <w:pPr>
              <w:rPr>
                <w:b/>
                <w:noProof/>
                <w:sz w:val="20"/>
              </w:rPr>
            </w:pPr>
          </w:p>
        </w:tc>
        <w:tc>
          <w:tcPr>
            <w:tcW w:w="868" w:type="dxa"/>
            <w:vAlign w:val="center"/>
          </w:tcPr>
          <w:p w:rsidR="00926A0D" w:rsidRDefault="00926A0D">
            <w:pPr>
              <w:rPr>
                <w:b/>
                <w:noProof/>
                <w:sz w:val="20"/>
              </w:rPr>
            </w:pPr>
          </w:p>
        </w:tc>
        <w:tc>
          <w:tcPr>
            <w:tcW w:w="868" w:type="dxa"/>
            <w:vAlign w:val="center"/>
          </w:tcPr>
          <w:p w:rsidR="00926A0D" w:rsidRDefault="00926A0D">
            <w:pPr>
              <w:rPr>
                <w:b/>
                <w:noProof/>
                <w:sz w:val="20"/>
              </w:rPr>
            </w:pPr>
          </w:p>
        </w:tc>
        <w:tc>
          <w:tcPr>
            <w:tcW w:w="868" w:type="dxa"/>
            <w:vAlign w:val="center"/>
          </w:tcPr>
          <w:p w:rsidR="00926A0D" w:rsidRDefault="00926A0D">
            <w:pPr>
              <w:rPr>
                <w:b/>
                <w:noProof/>
                <w:sz w:val="20"/>
              </w:rPr>
            </w:pPr>
          </w:p>
        </w:tc>
        <w:tc>
          <w:tcPr>
            <w:tcW w:w="868" w:type="dxa"/>
            <w:vAlign w:val="center"/>
          </w:tcPr>
          <w:p w:rsidR="00926A0D" w:rsidRDefault="00926A0D">
            <w:pPr>
              <w:rPr>
                <w:b/>
                <w:noProof/>
                <w:sz w:val="20"/>
              </w:rPr>
            </w:pPr>
          </w:p>
        </w:tc>
        <w:tc>
          <w:tcPr>
            <w:tcW w:w="868" w:type="dxa"/>
            <w:vAlign w:val="center"/>
          </w:tcPr>
          <w:p w:rsidR="00926A0D" w:rsidRDefault="00926A0D">
            <w:pPr>
              <w:rPr>
                <w:b/>
                <w:noProof/>
                <w:sz w:val="20"/>
              </w:rPr>
            </w:pPr>
          </w:p>
        </w:tc>
        <w:tc>
          <w:tcPr>
            <w:tcW w:w="1777" w:type="dxa"/>
            <w:vAlign w:val="center"/>
          </w:tcPr>
          <w:p w:rsidR="00926A0D" w:rsidRDefault="00926A0D">
            <w:pPr>
              <w:rPr>
                <w:b/>
                <w:noProof/>
                <w:sz w:val="20"/>
              </w:rPr>
            </w:pPr>
          </w:p>
        </w:tc>
      </w:tr>
      <w:tr w:rsidR="00926A0D">
        <w:trPr>
          <w:trHeight w:val="319"/>
        </w:trPr>
        <w:tc>
          <w:tcPr>
            <w:tcW w:w="3960" w:type="dxa"/>
            <w:vAlign w:val="center"/>
          </w:tcPr>
          <w:p w:rsidR="00926A0D" w:rsidRDefault="006023A9">
            <w:pPr>
              <w:spacing w:before="60" w:after="60"/>
              <w:rPr>
                <w:noProof/>
              </w:rPr>
            </w:pPr>
            <w:r>
              <w:rPr>
                <w:noProof/>
                <w:sz w:val="20"/>
              </w:rPr>
              <w:t>Number of budget line</w:t>
            </w:r>
          </w:p>
        </w:tc>
        <w:tc>
          <w:tcPr>
            <w:tcW w:w="1440" w:type="dxa"/>
            <w:vAlign w:val="center"/>
          </w:tcPr>
          <w:p w:rsidR="00926A0D" w:rsidRDefault="00926A0D">
            <w:pPr>
              <w:spacing w:before="40" w:after="40"/>
              <w:jc w:val="right"/>
              <w:rPr>
                <w:noProof/>
                <w:sz w:val="18"/>
              </w:rPr>
            </w:pPr>
          </w:p>
        </w:tc>
        <w:tc>
          <w:tcPr>
            <w:tcW w:w="654" w:type="dxa"/>
            <w:gridSpan w:val="2"/>
            <w:vAlign w:val="center"/>
          </w:tcPr>
          <w:p w:rsidR="00926A0D" w:rsidRDefault="006023A9">
            <w:pPr>
              <w:spacing w:before="40" w:after="40"/>
              <w:jc w:val="center"/>
              <w:rPr>
                <w:noProof/>
                <w:sz w:val="14"/>
              </w:rPr>
            </w:pPr>
            <w:r>
              <w:rPr>
                <w:noProof/>
                <w:sz w:val="14"/>
              </w:rPr>
              <w:t>(3)</w:t>
            </w:r>
          </w:p>
        </w:tc>
        <w:tc>
          <w:tcPr>
            <w:tcW w:w="868" w:type="dxa"/>
            <w:vAlign w:val="center"/>
          </w:tcPr>
          <w:p w:rsidR="00926A0D" w:rsidRDefault="00926A0D">
            <w:pPr>
              <w:spacing w:before="40" w:after="40"/>
              <w:jc w:val="right"/>
              <w:rPr>
                <w:b/>
                <w:noProof/>
                <w:sz w:val="20"/>
              </w:rPr>
            </w:pPr>
          </w:p>
        </w:tc>
        <w:tc>
          <w:tcPr>
            <w:tcW w:w="868" w:type="dxa"/>
            <w:vAlign w:val="center"/>
          </w:tcPr>
          <w:p w:rsidR="00926A0D" w:rsidRDefault="00926A0D">
            <w:pPr>
              <w:spacing w:before="40" w:after="40"/>
              <w:jc w:val="right"/>
              <w:rPr>
                <w:b/>
                <w:noProof/>
                <w:sz w:val="20"/>
              </w:rPr>
            </w:pPr>
          </w:p>
        </w:tc>
        <w:tc>
          <w:tcPr>
            <w:tcW w:w="868" w:type="dxa"/>
            <w:vAlign w:val="center"/>
          </w:tcPr>
          <w:p w:rsidR="00926A0D" w:rsidRDefault="00926A0D">
            <w:pPr>
              <w:spacing w:before="40" w:after="40"/>
              <w:jc w:val="right"/>
              <w:rPr>
                <w:b/>
                <w:noProof/>
                <w:sz w:val="20"/>
              </w:rPr>
            </w:pPr>
          </w:p>
        </w:tc>
        <w:tc>
          <w:tcPr>
            <w:tcW w:w="868" w:type="dxa"/>
            <w:vAlign w:val="center"/>
          </w:tcPr>
          <w:p w:rsidR="00926A0D" w:rsidRDefault="00926A0D">
            <w:pPr>
              <w:spacing w:before="40" w:after="40"/>
              <w:jc w:val="right"/>
              <w:rPr>
                <w:b/>
                <w:noProof/>
                <w:sz w:val="20"/>
              </w:rPr>
            </w:pPr>
          </w:p>
        </w:tc>
        <w:tc>
          <w:tcPr>
            <w:tcW w:w="868" w:type="dxa"/>
            <w:vAlign w:val="center"/>
          </w:tcPr>
          <w:p w:rsidR="00926A0D" w:rsidRDefault="00926A0D">
            <w:pPr>
              <w:spacing w:before="40" w:after="40"/>
              <w:jc w:val="right"/>
              <w:rPr>
                <w:b/>
                <w:noProof/>
                <w:sz w:val="20"/>
              </w:rPr>
            </w:pPr>
          </w:p>
        </w:tc>
        <w:tc>
          <w:tcPr>
            <w:tcW w:w="868" w:type="dxa"/>
            <w:vAlign w:val="center"/>
          </w:tcPr>
          <w:p w:rsidR="00926A0D" w:rsidRDefault="00926A0D">
            <w:pPr>
              <w:spacing w:before="40" w:after="40"/>
              <w:jc w:val="right"/>
              <w:rPr>
                <w:b/>
                <w:noProof/>
                <w:sz w:val="20"/>
              </w:rPr>
            </w:pPr>
          </w:p>
        </w:tc>
        <w:tc>
          <w:tcPr>
            <w:tcW w:w="868" w:type="dxa"/>
            <w:vAlign w:val="center"/>
          </w:tcPr>
          <w:p w:rsidR="00926A0D" w:rsidRDefault="00926A0D">
            <w:pPr>
              <w:spacing w:before="40" w:after="40"/>
              <w:jc w:val="right"/>
              <w:rPr>
                <w:b/>
                <w:noProof/>
                <w:sz w:val="20"/>
              </w:rPr>
            </w:pPr>
          </w:p>
        </w:tc>
        <w:tc>
          <w:tcPr>
            <w:tcW w:w="1777" w:type="dxa"/>
            <w:vAlign w:val="center"/>
          </w:tcPr>
          <w:p w:rsidR="00926A0D" w:rsidRDefault="00926A0D">
            <w:pPr>
              <w:spacing w:before="40" w:after="40"/>
              <w:jc w:val="right"/>
              <w:rPr>
                <w:b/>
                <w:noProof/>
                <w:sz w:val="20"/>
              </w:rPr>
            </w:pPr>
          </w:p>
        </w:tc>
      </w:tr>
      <w:tr w:rsidR="00926A0D">
        <w:tc>
          <w:tcPr>
            <w:tcW w:w="3960" w:type="dxa"/>
            <w:vMerge w:val="restart"/>
            <w:vAlign w:val="center"/>
          </w:tcPr>
          <w:p w:rsidR="00926A0D" w:rsidRDefault="006023A9">
            <w:pPr>
              <w:jc w:val="center"/>
              <w:rPr>
                <w:b/>
                <w:noProof/>
              </w:rPr>
            </w:pPr>
            <w:r>
              <w:rPr>
                <w:b/>
                <w:noProof/>
                <w:sz w:val="22"/>
              </w:rPr>
              <w:t>TOTAL appropriations</w:t>
            </w:r>
            <w:r>
              <w:rPr>
                <w:noProof/>
                <w:sz w:val="22"/>
              </w:rPr>
              <w:br/>
            </w:r>
            <w:r>
              <w:rPr>
                <w:b/>
                <w:noProof/>
                <w:sz w:val="22"/>
              </w:rPr>
              <w:t xml:space="preserve">for DG </w:t>
            </w:r>
            <w:r>
              <w:rPr>
                <w:noProof/>
                <w:sz w:val="22"/>
              </w:rPr>
              <w:t>&lt;ENER&gt;</w:t>
            </w:r>
          </w:p>
        </w:tc>
        <w:tc>
          <w:tcPr>
            <w:tcW w:w="1440" w:type="dxa"/>
            <w:vAlign w:val="center"/>
          </w:tcPr>
          <w:p w:rsidR="00926A0D" w:rsidRDefault="006023A9">
            <w:pPr>
              <w:rPr>
                <w:noProof/>
                <w:sz w:val="18"/>
              </w:rPr>
            </w:pPr>
            <w:r>
              <w:rPr>
                <w:noProof/>
                <w:sz w:val="18"/>
              </w:rPr>
              <w:t>Commitments</w:t>
            </w:r>
          </w:p>
        </w:tc>
        <w:tc>
          <w:tcPr>
            <w:tcW w:w="654" w:type="dxa"/>
            <w:gridSpan w:val="2"/>
            <w:vAlign w:val="center"/>
          </w:tcPr>
          <w:p w:rsidR="00926A0D" w:rsidRDefault="006023A9">
            <w:pPr>
              <w:jc w:val="center"/>
              <w:rPr>
                <w:noProof/>
                <w:sz w:val="14"/>
              </w:rPr>
            </w:pPr>
            <w:r>
              <w:rPr>
                <w:noProof/>
                <w:sz w:val="14"/>
              </w:rPr>
              <w:t>=1+1a +3</w:t>
            </w:r>
          </w:p>
        </w:tc>
        <w:tc>
          <w:tcPr>
            <w:tcW w:w="868" w:type="dxa"/>
            <w:vAlign w:val="center"/>
          </w:tcPr>
          <w:p w:rsidR="00926A0D" w:rsidRDefault="006023A9">
            <w:pPr>
              <w:spacing w:before="20" w:after="20"/>
              <w:jc w:val="right"/>
              <w:rPr>
                <w:noProof/>
                <w:sz w:val="20"/>
              </w:rPr>
            </w:pPr>
            <w:r>
              <w:rPr>
                <w:noProof/>
                <w:sz w:val="20"/>
              </w:rPr>
              <w:t>0</w:t>
            </w:r>
          </w:p>
        </w:tc>
        <w:tc>
          <w:tcPr>
            <w:tcW w:w="868" w:type="dxa"/>
            <w:vAlign w:val="center"/>
          </w:tcPr>
          <w:p w:rsidR="00926A0D" w:rsidRDefault="006023A9">
            <w:pPr>
              <w:spacing w:before="20" w:after="20"/>
              <w:jc w:val="right"/>
              <w:rPr>
                <w:noProof/>
                <w:sz w:val="20"/>
              </w:rPr>
            </w:pPr>
            <w:r>
              <w:rPr>
                <w:noProof/>
                <w:sz w:val="20"/>
              </w:rPr>
              <w:t>0.500</w:t>
            </w:r>
          </w:p>
        </w:tc>
        <w:tc>
          <w:tcPr>
            <w:tcW w:w="868" w:type="dxa"/>
            <w:vAlign w:val="center"/>
          </w:tcPr>
          <w:p w:rsidR="00926A0D" w:rsidRDefault="006023A9">
            <w:pPr>
              <w:spacing w:before="20" w:after="20"/>
              <w:jc w:val="right"/>
              <w:rPr>
                <w:noProof/>
                <w:sz w:val="20"/>
              </w:rPr>
            </w:pPr>
            <w:r>
              <w:rPr>
                <w:noProof/>
                <w:sz w:val="20"/>
              </w:rPr>
              <w:t>0.500</w:t>
            </w:r>
          </w:p>
        </w:tc>
        <w:tc>
          <w:tcPr>
            <w:tcW w:w="868" w:type="dxa"/>
            <w:vAlign w:val="center"/>
          </w:tcPr>
          <w:p w:rsidR="00926A0D" w:rsidRDefault="00926A0D">
            <w:pPr>
              <w:spacing w:before="20" w:after="20"/>
              <w:jc w:val="right"/>
              <w:rPr>
                <w:noProof/>
                <w:sz w:val="20"/>
              </w:rPr>
            </w:pPr>
          </w:p>
        </w:tc>
        <w:tc>
          <w:tcPr>
            <w:tcW w:w="868" w:type="dxa"/>
            <w:vAlign w:val="center"/>
          </w:tcPr>
          <w:p w:rsidR="00926A0D" w:rsidRDefault="00926A0D">
            <w:pPr>
              <w:spacing w:before="20" w:after="20"/>
              <w:jc w:val="right"/>
              <w:rPr>
                <w:noProof/>
                <w:sz w:val="20"/>
              </w:rPr>
            </w:pPr>
          </w:p>
        </w:tc>
        <w:tc>
          <w:tcPr>
            <w:tcW w:w="868" w:type="dxa"/>
            <w:vAlign w:val="center"/>
          </w:tcPr>
          <w:p w:rsidR="00926A0D" w:rsidRDefault="00926A0D">
            <w:pPr>
              <w:spacing w:before="20" w:after="20"/>
              <w:jc w:val="right"/>
              <w:rPr>
                <w:noProof/>
                <w:sz w:val="20"/>
              </w:rPr>
            </w:pPr>
          </w:p>
        </w:tc>
        <w:tc>
          <w:tcPr>
            <w:tcW w:w="868" w:type="dxa"/>
            <w:vAlign w:val="center"/>
          </w:tcPr>
          <w:p w:rsidR="00926A0D" w:rsidRDefault="00926A0D">
            <w:pPr>
              <w:spacing w:before="20" w:after="20"/>
              <w:jc w:val="right"/>
              <w:rPr>
                <w:b/>
                <w:noProof/>
                <w:sz w:val="20"/>
              </w:rPr>
            </w:pPr>
          </w:p>
        </w:tc>
        <w:tc>
          <w:tcPr>
            <w:tcW w:w="1777" w:type="dxa"/>
            <w:vAlign w:val="center"/>
          </w:tcPr>
          <w:p w:rsidR="00926A0D" w:rsidRDefault="006023A9">
            <w:pPr>
              <w:spacing w:before="20" w:after="20"/>
              <w:jc w:val="right"/>
              <w:rPr>
                <w:b/>
                <w:noProof/>
                <w:sz w:val="20"/>
              </w:rPr>
            </w:pPr>
            <w:r>
              <w:rPr>
                <w:noProof/>
                <w:sz w:val="20"/>
              </w:rPr>
              <w:t>1.000</w:t>
            </w:r>
          </w:p>
        </w:tc>
      </w:tr>
      <w:tr w:rsidR="00926A0D">
        <w:tc>
          <w:tcPr>
            <w:tcW w:w="3960" w:type="dxa"/>
            <w:vMerge/>
          </w:tcPr>
          <w:p w:rsidR="00926A0D" w:rsidRDefault="00926A0D">
            <w:pPr>
              <w:rPr>
                <w:noProof/>
                <w:sz w:val="20"/>
              </w:rPr>
            </w:pPr>
          </w:p>
        </w:tc>
        <w:tc>
          <w:tcPr>
            <w:tcW w:w="1440" w:type="dxa"/>
            <w:vAlign w:val="center"/>
          </w:tcPr>
          <w:p w:rsidR="00926A0D" w:rsidRDefault="006023A9">
            <w:pPr>
              <w:rPr>
                <w:noProof/>
                <w:sz w:val="18"/>
              </w:rPr>
            </w:pPr>
            <w:r>
              <w:rPr>
                <w:noProof/>
                <w:sz w:val="18"/>
              </w:rPr>
              <w:t>Payments</w:t>
            </w:r>
          </w:p>
        </w:tc>
        <w:tc>
          <w:tcPr>
            <w:tcW w:w="654" w:type="dxa"/>
            <w:gridSpan w:val="2"/>
            <w:vAlign w:val="center"/>
          </w:tcPr>
          <w:p w:rsidR="00926A0D" w:rsidRDefault="006023A9">
            <w:pPr>
              <w:jc w:val="center"/>
              <w:rPr>
                <w:noProof/>
                <w:sz w:val="14"/>
              </w:rPr>
            </w:pPr>
            <w:r>
              <w:rPr>
                <w:noProof/>
                <w:sz w:val="14"/>
              </w:rPr>
              <w:t>=2+2a</w:t>
            </w:r>
          </w:p>
          <w:p w:rsidR="00926A0D" w:rsidRDefault="006023A9">
            <w:pPr>
              <w:jc w:val="center"/>
              <w:rPr>
                <w:noProof/>
                <w:sz w:val="14"/>
              </w:rPr>
            </w:pPr>
            <w:r>
              <w:rPr>
                <w:noProof/>
                <w:sz w:val="14"/>
              </w:rPr>
              <w:t>+3</w:t>
            </w:r>
          </w:p>
        </w:tc>
        <w:tc>
          <w:tcPr>
            <w:tcW w:w="868" w:type="dxa"/>
            <w:vAlign w:val="center"/>
          </w:tcPr>
          <w:p w:rsidR="00926A0D" w:rsidRDefault="006023A9">
            <w:pPr>
              <w:spacing w:before="20" w:after="20"/>
              <w:jc w:val="right"/>
              <w:rPr>
                <w:noProof/>
                <w:sz w:val="20"/>
              </w:rPr>
            </w:pPr>
            <w:r>
              <w:rPr>
                <w:noProof/>
                <w:sz w:val="20"/>
              </w:rPr>
              <w:t>0</w:t>
            </w:r>
          </w:p>
        </w:tc>
        <w:tc>
          <w:tcPr>
            <w:tcW w:w="868" w:type="dxa"/>
            <w:vAlign w:val="center"/>
          </w:tcPr>
          <w:p w:rsidR="00926A0D" w:rsidRDefault="006023A9">
            <w:pPr>
              <w:spacing w:before="20" w:after="20"/>
              <w:jc w:val="right"/>
              <w:rPr>
                <w:noProof/>
                <w:sz w:val="20"/>
              </w:rPr>
            </w:pPr>
            <w:r>
              <w:rPr>
                <w:noProof/>
                <w:sz w:val="20"/>
              </w:rPr>
              <w:t>0.150</w:t>
            </w:r>
          </w:p>
        </w:tc>
        <w:tc>
          <w:tcPr>
            <w:tcW w:w="868" w:type="dxa"/>
            <w:vAlign w:val="center"/>
          </w:tcPr>
          <w:p w:rsidR="00926A0D" w:rsidRDefault="006023A9">
            <w:pPr>
              <w:spacing w:before="20" w:after="20"/>
              <w:jc w:val="right"/>
              <w:rPr>
                <w:noProof/>
                <w:sz w:val="20"/>
              </w:rPr>
            </w:pPr>
            <w:r>
              <w:rPr>
                <w:noProof/>
                <w:sz w:val="20"/>
              </w:rPr>
              <w:t>0.350</w:t>
            </w:r>
          </w:p>
        </w:tc>
        <w:tc>
          <w:tcPr>
            <w:tcW w:w="868" w:type="dxa"/>
            <w:vAlign w:val="center"/>
          </w:tcPr>
          <w:p w:rsidR="00926A0D" w:rsidRDefault="00926A0D">
            <w:pPr>
              <w:spacing w:before="20" w:after="20"/>
              <w:jc w:val="right"/>
              <w:rPr>
                <w:noProof/>
                <w:sz w:val="20"/>
              </w:rPr>
            </w:pPr>
          </w:p>
        </w:tc>
        <w:tc>
          <w:tcPr>
            <w:tcW w:w="868" w:type="dxa"/>
            <w:vAlign w:val="center"/>
          </w:tcPr>
          <w:p w:rsidR="00926A0D" w:rsidRDefault="00926A0D">
            <w:pPr>
              <w:spacing w:before="20" w:after="20"/>
              <w:jc w:val="right"/>
              <w:rPr>
                <w:noProof/>
                <w:sz w:val="20"/>
              </w:rPr>
            </w:pPr>
          </w:p>
        </w:tc>
        <w:tc>
          <w:tcPr>
            <w:tcW w:w="868" w:type="dxa"/>
            <w:vAlign w:val="center"/>
          </w:tcPr>
          <w:p w:rsidR="00926A0D" w:rsidRDefault="00926A0D">
            <w:pPr>
              <w:spacing w:before="20" w:after="20"/>
              <w:jc w:val="right"/>
              <w:rPr>
                <w:noProof/>
                <w:sz w:val="20"/>
              </w:rPr>
            </w:pPr>
          </w:p>
        </w:tc>
        <w:tc>
          <w:tcPr>
            <w:tcW w:w="868" w:type="dxa"/>
            <w:vAlign w:val="center"/>
          </w:tcPr>
          <w:p w:rsidR="00926A0D" w:rsidRDefault="00926A0D">
            <w:pPr>
              <w:spacing w:before="20" w:after="20"/>
              <w:jc w:val="right"/>
              <w:rPr>
                <w:b/>
                <w:noProof/>
                <w:sz w:val="20"/>
              </w:rPr>
            </w:pPr>
          </w:p>
        </w:tc>
        <w:tc>
          <w:tcPr>
            <w:tcW w:w="1777" w:type="dxa"/>
            <w:vAlign w:val="center"/>
          </w:tcPr>
          <w:p w:rsidR="00926A0D" w:rsidRDefault="006023A9">
            <w:pPr>
              <w:spacing w:before="20" w:after="20"/>
              <w:jc w:val="right"/>
              <w:rPr>
                <w:b/>
                <w:noProof/>
                <w:sz w:val="20"/>
              </w:rPr>
            </w:pPr>
            <w:r>
              <w:rPr>
                <w:noProof/>
                <w:sz w:val="20"/>
              </w:rPr>
              <w:t>0.500</w:t>
            </w:r>
          </w:p>
        </w:tc>
      </w:tr>
    </w:tbl>
    <w:p w:rsidR="00926A0D" w:rsidRDefault="006023A9">
      <w:pPr>
        <w:rPr>
          <w:noProof/>
        </w:rPr>
      </w:pPr>
      <w:r>
        <w:rPr>
          <w:noProof/>
        </w:rPr>
        <w:lastRenderedPageBreak/>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926A0D">
        <w:trPr>
          <w:trHeight w:val="277"/>
        </w:trPr>
        <w:tc>
          <w:tcPr>
            <w:tcW w:w="3960" w:type="dxa"/>
            <w:vMerge w:val="restart"/>
            <w:vAlign w:val="center"/>
          </w:tcPr>
          <w:p w:rsidR="00926A0D" w:rsidRDefault="006023A9">
            <w:pPr>
              <w:spacing w:before="20" w:after="20"/>
              <w:rPr>
                <w:noProof/>
              </w:rPr>
            </w:pPr>
            <w:r>
              <w:rPr>
                <w:noProof/>
                <w:sz w:val="22"/>
              </w:rPr>
              <w:br w:type="page"/>
            </w:r>
            <w:r>
              <w:rPr>
                <w:noProof/>
                <w:sz w:val="21"/>
              </w:rPr>
              <w:sym w:font="Wingdings" w:char="F09F"/>
            </w:r>
            <w:r>
              <w:rPr>
                <w:noProof/>
                <w:sz w:val="21"/>
              </w:rPr>
              <w:t xml:space="preserve"> TOTAL operational appropriations </w:t>
            </w:r>
          </w:p>
        </w:tc>
        <w:tc>
          <w:tcPr>
            <w:tcW w:w="1440" w:type="dxa"/>
            <w:vAlign w:val="center"/>
          </w:tcPr>
          <w:p w:rsidR="00926A0D" w:rsidRDefault="006023A9">
            <w:pPr>
              <w:spacing w:beforeLines="20" w:before="48" w:afterLines="20" w:after="48"/>
              <w:rPr>
                <w:noProof/>
                <w:sz w:val="18"/>
              </w:rPr>
            </w:pPr>
            <w:r>
              <w:rPr>
                <w:noProof/>
                <w:sz w:val="18"/>
              </w:rPr>
              <w:t>Commitments</w:t>
            </w:r>
          </w:p>
        </w:tc>
        <w:tc>
          <w:tcPr>
            <w:tcW w:w="654" w:type="dxa"/>
            <w:vAlign w:val="center"/>
          </w:tcPr>
          <w:p w:rsidR="00926A0D" w:rsidRDefault="006023A9">
            <w:pPr>
              <w:spacing w:beforeLines="20" w:before="48" w:afterLines="20" w:after="48"/>
              <w:jc w:val="center"/>
              <w:rPr>
                <w:noProof/>
                <w:sz w:val="14"/>
              </w:rPr>
            </w:pPr>
            <w:r>
              <w:rPr>
                <w:noProof/>
                <w:sz w:val="14"/>
              </w:rPr>
              <w:t>(4)</w:t>
            </w:r>
          </w:p>
        </w:tc>
        <w:tc>
          <w:tcPr>
            <w:tcW w:w="868" w:type="dxa"/>
            <w:vAlign w:val="center"/>
          </w:tcPr>
          <w:p w:rsidR="00926A0D" w:rsidRDefault="006023A9">
            <w:pPr>
              <w:spacing w:before="20" w:after="20"/>
              <w:jc w:val="right"/>
              <w:rPr>
                <w:noProof/>
                <w:sz w:val="20"/>
              </w:rPr>
            </w:pPr>
            <w:r>
              <w:rPr>
                <w:noProof/>
                <w:sz w:val="20"/>
              </w:rPr>
              <w:t>0</w:t>
            </w:r>
          </w:p>
        </w:tc>
        <w:tc>
          <w:tcPr>
            <w:tcW w:w="868" w:type="dxa"/>
            <w:vAlign w:val="center"/>
          </w:tcPr>
          <w:p w:rsidR="00926A0D" w:rsidRDefault="006023A9">
            <w:pPr>
              <w:spacing w:before="20" w:after="20"/>
              <w:jc w:val="right"/>
              <w:rPr>
                <w:noProof/>
                <w:sz w:val="20"/>
              </w:rPr>
            </w:pPr>
            <w:r>
              <w:rPr>
                <w:noProof/>
                <w:sz w:val="20"/>
              </w:rPr>
              <w:t>0.500</w:t>
            </w:r>
          </w:p>
        </w:tc>
        <w:tc>
          <w:tcPr>
            <w:tcW w:w="868" w:type="dxa"/>
            <w:vAlign w:val="center"/>
          </w:tcPr>
          <w:p w:rsidR="00926A0D" w:rsidRDefault="006023A9">
            <w:pPr>
              <w:spacing w:before="20" w:after="20"/>
              <w:jc w:val="right"/>
              <w:rPr>
                <w:noProof/>
                <w:sz w:val="20"/>
              </w:rPr>
            </w:pPr>
            <w:r>
              <w:rPr>
                <w:noProof/>
                <w:sz w:val="20"/>
              </w:rPr>
              <w:t>0.500</w:t>
            </w:r>
          </w:p>
        </w:tc>
        <w:tc>
          <w:tcPr>
            <w:tcW w:w="868" w:type="dxa"/>
            <w:vAlign w:val="center"/>
          </w:tcPr>
          <w:p w:rsidR="00926A0D" w:rsidRDefault="00926A0D">
            <w:pPr>
              <w:spacing w:before="20" w:after="20"/>
              <w:jc w:val="right"/>
              <w:rPr>
                <w:noProof/>
                <w:sz w:val="20"/>
              </w:rPr>
            </w:pPr>
          </w:p>
        </w:tc>
        <w:tc>
          <w:tcPr>
            <w:tcW w:w="868" w:type="dxa"/>
            <w:vAlign w:val="center"/>
          </w:tcPr>
          <w:p w:rsidR="00926A0D" w:rsidRDefault="00926A0D">
            <w:pPr>
              <w:spacing w:before="20" w:after="20"/>
              <w:jc w:val="right"/>
              <w:rPr>
                <w:noProof/>
                <w:sz w:val="20"/>
              </w:rPr>
            </w:pPr>
          </w:p>
        </w:tc>
        <w:tc>
          <w:tcPr>
            <w:tcW w:w="868" w:type="dxa"/>
            <w:vAlign w:val="center"/>
          </w:tcPr>
          <w:p w:rsidR="00926A0D" w:rsidRDefault="00926A0D">
            <w:pPr>
              <w:spacing w:before="20" w:after="20"/>
              <w:jc w:val="right"/>
              <w:rPr>
                <w:noProof/>
                <w:sz w:val="20"/>
              </w:rPr>
            </w:pPr>
          </w:p>
        </w:tc>
        <w:tc>
          <w:tcPr>
            <w:tcW w:w="868" w:type="dxa"/>
            <w:vAlign w:val="center"/>
          </w:tcPr>
          <w:p w:rsidR="00926A0D" w:rsidRDefault="00926A0D">
            <w:pPr>
              <w:spacing w:before="20" w:after="20"/>
              <w:jc w:val="right"/>
              <w:rPr>
                <w:b/>
                <w:noProof/>
                <w:sz w:val="20"/>
              </w:rPr>
            </w:pPr>
          </w:p>
        </w:tc>
        <w:tc>
          <w:tcPr>
            <w:tcW w:w="1777" w:type="dxa"/>
            <w:vAlign w:val="center"/>
          </w:tcPr>
          <w:p w:rsidR="00926A0D" w:rsidRDefault="006023A9">
            <w:pPr>
              <w:spacing w:before="20" w:after="20"/>
              <w:jc w:val="right"/>
              <w:rPr>
                <w:b/>
                <w:noProof/>
                <w:sz w:val="20"/>
              </w:rPr>
            </w:pPr>
            <w:r>
              <w:rPr>
                <w:noProof/>
                <w:sz w:val="20"/>
              </w:rPr>
              <w:t>1.000</w:t>
            </w:r>
          </w:p>
        </w:tc>
      </w:tr>
      <w:tr w:rsidR="00926A0D">
        <w:tc>
          <w:tcPr>
            <w:tcW w:w="3960" w:type="dxa"/>
            <w:vMerge/>
          </w:tcPr>
          <w:p w:rsidR="00926A0D" w:rsidRDefault="00926A0D">
            <w:pPr>
              <w:jc w:val="center"/>
              <w:rPr>
                <w:noProof/>
                <w:sz w:val="20"/>
              </w:rPr>
            </w:pPr>
          </w:p>
        </w:tc>
        <w:tc>
          <w:tcPr>
            <w:tcW w:w="1440" w:type="dxa"/>
            <w:vAlign w:val="center"/>
          </w:tcPr>
          <w:p w:rsidR="00926A0D" w:rsidRDefault="006023A9">
            <w:pPr>
              <w:spacing w:beforeLines="20" w:before="48" w:afterLines="20" w:after="48"/>
              <w:rPr>
                <w:noProof/>
                <w:sz w:val="18"/>
              </w:rPr>
            </w:pPr>
            <w:r>
              <w:rPr>
                <w:noProof/>
                <w:sz w:val="18"/>
              </w:rPr>
              <w:t>Payments</w:t>
            </w:r>
          </w:p>
        </w:tc>
        <w:tc>
          <w:tcPr>
            <w:tcW w:w="654" w:type="dxa"/>
            <w:vAlign w:val="center"/>
          </w:tcPr>
          <w:p w:rsidR="00926A0D" w:rsidRDefault="006023A9">
            <w:pPr>
              <w:spacing w:beforeLines="20" w:before="48" w:afterLines="20" w:after="48"/>
              <w:jc w:val="center"/>
              <w:rPr>
                <w:noProof/>
                <w:sz w:val="14"/>
              </w:rPr>
            </w:pPr>
            <w:r>
              <w:rPr>
                <w:noProof/>
                <w:sz w:val="14"/>
              </w:rPr>
              <w:t>(5)</w:t>
            </w:r>
          </w:p>
        </w:tc>
        <w:tc>
          <w:tcPr>
            <w:tcW w:w="868" w:type="dxa"/>
            <w:vAlign w:val="center"/>
          </w:tcPr>
          <w:p w:rsidR="00926A0D" w:rsidRDefault="006023A9">
            <w:pPr>
              <w:spacing w:before="20" w:after="20"/>
              <w:jc w:val="right"/>
              <w:rPr>
                <w:noProof/>
                <w:sz w:val="20"/>
              </w:rPr>
            </w:pPr>
            <w:r>
              <w:rPr>
                <w:noProof/>
                <w:sz w:val="20"/>
              </w:rPr>
              <w:t>0</w:t>
            </w:r>
          </w:p>
        </w:tc>
        <w:tc>
          <w:tcPr>
            <w:tcW w:w="868" w:type="dxa"/>
            <w:vAlign w:val="center"/>
          </w:tcPr>
          <w:p w:rsidR="00926A0D" w:rsidRDefault="006023A9">
            <w:pPr>
              <w:spacing w:before="20" w:after="20"/>
              <w:jc w:val="right"/>
              <w:rPr>
                <w:noProof/>
                <w:sz w:val="20"/>
              </w:rPr>
            </w:pPr>
            <w:r>
              <w:rPr>
                <w:noProof/>
                <w:sz w:val="20"/>
              </w:rPr>
              <w:t>0.150</w:t>
            </w:r>
          </w:p>
        </w:tc>
        <w:tc>
          <w:tcPr>
            <w:tcW w:w="868" w:type="dxa"/>
            <w:vAlign w:val="center"/>
          </w:tcPr>
          <w:p w:rsidR="00926A0D" w:rsidRDefault="006023A9">
            <w:pPr>
              <w:spacing w:before="20" w:after="20"/>
              <w:jc w:val="right"/>
              <w:rPr>
                <w:noProof/>
                <w:sz w:val="20"/>
              </w:rPr>
            </w:pPr>
            <w:r>
              <w:rPr>
                <w:noProof/>
                <w:sz w:val="20"/>
              </w:rPr>
              <w:t>0.350</w:t>
            </w:r>
          </w:p>
        </w:tc>
        <w:tc>
          <w:tcPr>
            <w:tcW w:w="868" w:type="dxa"/>
            <w:vAlign w:val="center"/>
          </w:tcPr>
          <w:p w:rsidR="00926A0D" w:rsidRDefault="00926A0D">
            <w:pPr>
              <w:spacing w:before="20" w:after="20"/>
              <w:jc w:val="right"/>
              <w:rPr>
                <w:noProof/>
                <w:sz w:val="20"/>
              </w:rPr>
            </w:pPr>
          </w:p>
        </w:tc>
        <w:tc>
          <w:tcPr>
            <w:tcW w:w="868" w:type="dxa"/>
            <w:vAlign w:val="center"/>
          </w:tcPr>
          <w:p w:rsidR="00926A0D" w:rsidRDefault="00926A0D">
            <w:pPr>
              <w:spacing w:before="20" w:after="20"/>
              <w:jc w:val="right"/>
              <w:rPr>
                <w:noProof/>
                <w:sz w:val="20"/>
              </w:rPr>
            </w:pPr>
          </w:p>
        </w:tc>
        <w:tc>
          <w:tcPr>
            <w:tcW w:w="868" w:type="dxa"/>
            <w:vAlign w:val="center"/>
          </w:tcPr>
          <w:p w:rsidR="00926A0D" w:rsidRDefault="00926A0D">
            <w:pPr>
              <w:spacing w:before="20" w:after="20"/>
              <w:jc w:val="right"/>
              <w:rPr>
                <w:noProof/>
                <w:sz w:val="20"/>
              </w:rPr>
            </w:pPr>
          </w:p>
        </w:tc>
        <w:tc>
          <w:tcPr>
            <w:tcW w:w="868" w:type="dxa"/>
            <w:vAlign w:val="center"/>
          </w:tcPr>
          <w:p w:rsidR="00926A0D" w:rsidRDefault="00926A0D">
            <w:pPr>
              <w:spacing w:before="20" w:after="20"/>
              <w:jc w:val="right"/>
              <w:rPr>
                <w:b/>
                <w:noProof/>
                <w:sz w:val="20"/>
              </w:rPr>
            </w:pPr>
          </w:p>
        </w:tc>
        <w:tc>
          <w:tcPr>
            <w:tcW w:w="1777" w:type="dxa"/>
            <w:vAlign w:val="center"/>
          </w:tcPr>
          <w:p w:rsidR="00926A0D" w:rsidRDefault="006023A9">
            <w:pPr>
              <w:spacing w:before="20" w:after="20"/>
              <w:jc w:val="right"/>
              <w:rPr>
                <w:b/>
                <w:noProof/>
                <w:sz w:val="20"/>
              </w:rPr>
            </w:pPr>
            <w:r>
              <w:rPr>
                <w:noProof/>
                <w:sz w:val="20"/>
              </w:rPr>
              <w:t>0.500</w:t>
            </w:r>
          </w:p>
        </w:tc>
      </w:tr>
      <w:tr w:rsidR="00926A0D">
        <w:trPr>
          <w:trHeight w:val="533"/>
        </w:trPr>
        <w:tc>
          <w:tcPr>
            <w:tcW w:w="5400" w:type="dxa"/>
            <w:gridSpan w:val="2"/>
            <w:vAlign w:val="center"/>
          </w:tcPr>
          <w:p w:rsidR="00926A0D" w:rsidRDefault="006023A9">
            <w:pPr>
              <w:spacing w:beforeLines="20" w:before="48" w:afterLines="20" w:after="48"/>
              <w:rPr>
                <w:noProof/>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rsidR="00926A0D" w:rsidRDefault="006023A9">
            <w:pPr>
              <w:spacing w:beforeLines="20" w:before="48" w:afterLines="20" w:after="48"/>
              <w:jc w:val="center"/>
              <w:rPr>
                <w:noProof/>
                <w:sz w:val="14"/>
              </w:rPr>
            </w:pPr>
            <w:r>
              <w:rPr>
                <w:noProof/>
                <w:sz w:val="14"/>
              </w:rPr>
              <w:t>(6)</w:t>
            </w:r>
          </w:p>
        </w:tc>
        <w:tc>
          <w:tcPr>
            <w:tcW w:w="868" w:type="dxa"/>
            <w:vAlign w:val="center"/>
          </w:tcPr>
          <w:p w:rsidR="00926A0D" w:rsidRDefault="00926A0D">
            <w:pPr>
              <w:spacing w:before="20" w:after="20"/>
              <w:jc w:val="right"/>
              <w:rPr>
                <w:b/>
                <w:noProof/>
                <w:sz w:val="20"/>
              </w:rPr>
            </w:pPr>
          </w:p>
        </w:tc>
        <w:tc>
          <w:tcPr>
            <w:tcW w:w="868" w:type="dxa"/>
            <w:vAlign w:val="center"/>
          </w:tcPr>
          <w:p w:rsidR="00926A0D" w:rsidRDefault="00926A0D">
            <w:pPr>
              <w:spacing w:before="20" w:after="20"/>
              <w:jc w:val="right"/>
              <w:rPr>
                <w:b/>
                <w:noProof/>
                <w:sz w:val="20"/>
              </w:rPr>
            </w:pPr>
          </w:p>
        </w:tc>
        <w:tc>
          <w:tcPr>
            <w:tcW w:w="868" w:type="dxa"/>
            <w:vAlign w:val="center"/>
          </w:tcPr>
          <w:p w:rsidR="00926A0D" w:rsidRDefault="00926A0D">
            <w:pPr>
              <w:spacing w:before="20" w:after="20"/>
              <w:jc w:val="right"/>
              <w:rPr>
                <w:b/>
                <w:noProof/>
                <w:sz w:val="20"/>
              </w:rPr>
            </w:pPr>
          </w:p>
        </w:tc>
        <w:tc>
          <w:tcPr>
            <w:tcW w:w="868" w:type="dxa"/>
            <w:vAlign w:val="center"/>
          </w:tcPr>
          <w:p w:rsidR="00926A0D" w:rsidRDefault="00926A0D">
            <w:pPr>
              <w:spacing w:before="20" w:after="20"/>
              <w:jc w:val="right"/>
              <w:rPr>
                <w:b/>
                <w:noProof/>
                <w:sz w:val="20"/>
              </w:rPr>
            </w:pPr>
          </w:p>
        </w:tc>
        <w:tc>
          <w:tcPr>
            <w:tcW w:w="868" w:type="dxa"/>
            <w:vAlign w:val="center"/>
          </w:tcPr>
          <w:p w:rsidR="00926A0D" w:rsidRDefault="00926A0D">
            <w:pPr>
              <w:spacing w:before="20" w:after="20"/>
              <w:jc w:val="right"/>
              <w:rPr>
                <w:b/>
                <w:noProof/>
                <w:sz w:val="20"/>
              </w:rPr>
            </w:pPr>
          </w:p>
        </w:tc>
        <w:tc>
          <w:tcPr>
            <w:tcW w:w="868" w:type="dxa"/>
            <w:vAlign w:val="center"/>
          </w:tcPr>
          <w:p w:rsidR="00926A0D" w:rsidRDefault="00926A0D">
            <w:pPr>
              <w:spacing w:before="20" w:after="20"/>
              <w:jc w:val="right"/>
              <w:rPr>
                <w:b/>
                <w:noProof/>
                <w:sz w:val="20"/>
              </w:rPr>
            </w:pPr>
          </w:p>
        </w:tc>
        <w:tc>
          <w:tcPr>
            <w:tcW w:w="868" w:type="dxa"/>
            <w:vAlign w:val="center"/>
          </w:tcPr>
          <w:p w:rsidR="00926A0D" w:rsidRDefault="00926A0D">
            <w:pPr>
              <w:spacing w:before="20" w:after="20"/>
              <w:jc w:val="right"/>
              <w:rPr>
                <w:b/>
                <w:noProof/>
                <w:sz w:val="20"/>
              </w:rPr>
            </w:pPr>
          </w:p>
        </w:tc>
        <w:tc>
          <w:tcPr>
            <w:tcW w:w="1777" w:type="dxa"/>
            <w:vAlign w:val="center"/>
          </w:tcPr>
          <w:p w:rsidR="00926A0D" w:rsidRDefault="00926A0D">
            <w:pPr>
              <w:spacing w:before="20" w:after="20"/>
              <w:jc w:val="right"/>
              <w:rPr>
                <w:b/>
                <w:noProof/>
                <w:sz w:val="20"/>
              </w:rPr>
            </w:pPr>
          </w:p>
        </w:tc>
      </w:tr>
      <w:tr w:rsidR="00926A0D">
        <w:tc>
          <w:tcPr>
            <w:tcW w:w="3960" w:type="dxa"/>
            <w:vMerge w:val="restart"/>
            <w:shd w:val="thinDiagStripe" w:color="C0C0C0" w:fill="auto"/>
            <w:vAlign w:val="center"/>
          </w:tcPr>
          <w:p w:rsidR="00926A0D" w:rsidRDefault="006023A9">
            <w:pPr>
              <w:jc w:val="center"/>
              <w:rPr>
                <w:b/>
                <w:noProof/>
              </w:rPr>
            </w:pPr>
            <w:r>
              <w:rPr>
                <w:b/>
                <w:noProof/>
                <w:sz w:val="22"/>
              </w:rPr>
              <w:t xml:space="preserve">TOTAL appropriations </w:t>
            </w:r>
            <w:r>
              <w:rPr>
                <w:noProof/>
                <w:sz w:val="22"/>
              </w:rPr>
              <w:br/>
            </w:r>
            <w:r>
              <w:rPr>
                <w:b/>
                <w:noProof/>
                <w:sz w:val="22"/>
              </w:rPr>
              <w:t>under HEADING &lt;1A.&gt;</w:t>
            </w:r>
            <w:r>
              <w:rPr>
                <w:noProof/>
                <w:sz w:val="22"/>
              </w:rPr>
              <w:br/>
              <w:t>of the multiannual financial framework</w:t>
            </w:r>
          </w:p>
        </w:tc>
        <w:tc>
          <w:tcPr>
            <w:tcW w:w="1440" w:type="dxa"/>
            <w:vAlign w:val="center"/>
          </w:tcPr>
          <w:p w:rsidR="00926A0D" w:rsidRDefault="006023A9">
            <w:pPr>
              <w:rPr>
                <w:noProof/>
                <w:sz w:val="18"/>
              </w:rPr>
            </w:pPr>
            <w:r>
              <w:rPr>
                <w:noProof/>
                <w:sz w:val="18"/>
              </w:rPr>
              <w:t>Commitments</w:t>
            </w:r>
          </w:p>
        </w:tc>
        <w:tc>
          <w:tcPr>
            <w:tcW w:w="654" w:type="dxa"/>
            <w:vAlign w:val="center"/>
          </w:tcPr>
          <w:p w:rsidR="00926A0D" w:rsidRDefault="006023A9">
            <w:pPr>
              <w:jc w:val="center"/>
              <w:rPr>
                <w:noProof/>
                <w:sz w:val="14"/>
              </w:rPr>
            </w:pPr>
            <w:r>
              <w:rPr>
                <w:noProof/>
                <w:sz w:val="14"/>
              </w:rPr>
              <w:t>=4+ 6</w:t>
            </w:r>
          </w:p>
        </w:tc>
        <w:tc>
          <w:tcPr>
            <w:tcW w:w="868" w:type="dxa"/>
            <w:vAlign w:val="center"/>
          </w:tcPr>
          <w:p w:rsidR="00926A0D" w:rsidRDefault="006023A9">
            <w:pPr>
              <w:spacing w:before="20" w:after="20"/>
              <w:jc w:val="right"/>
              <w:rPr>
                <w:noProof/>
                <w:sz w:val="20"/>
              </w:rPr>
            </w:pPr>
            <w:r>
              <w:rPr>
                <w:noProof/>
                <w:sz w:val="20"/>
              </w:rPr>
              <w:t>0</w:t>
            </w:r>
          </w:p>
        </w:tc>
        <w:tc>
          <w:tcPr>
            <w:tcW w:w="868" w:type="dxa"/>
            <w:vAlign w:val="center"/>
          </w:tcPr>
          <w:p w:rsidR="00926A0D" w:rsidRDefault="006023A9">
            <w:pPr>
              <w:spacing w:before="20" w:after="20"/>
              <w:jc w:val="right"/>
              <w:rPr>
                <w:noProof/>
                <w:sz w:val="20"/>
              </w:rPr>
            </w:pPr>
            <w:r>
              <w:rPr>
                <w:noProof/>
                <w:sz w:val="20"/>
              </w:rPr>
              <w:t>0.500</w:t>
            </w:r>
          </w:p>
        </w:tc>
        <w:tc>
          <w:tcPr>
            <w:tcW w:w="868" w:type="dxa"/>
            <w:vAlign w:val="center"/>
          </w:tcPr>
          <w:p w:rsidR="00926A0D" w:rsidRDefault="006023A9">
            <w:pPr>
              <w:spacing w:before="20" w:after="20"/>
              <w:jc w:val="right"/>
              <w:rPr>
                <w:noProof/>
                <w:sz w:val="20"/>
              </w:rPr>
            </w:pPr>
            <w:r>
              <w:rPr>
                <w:noProof/>
                <w:sz w:val="20"/>
              </w:rPr>
              <w:t>0.500</w:t>
            </w:r>
          </w:p>
        </w:tc>
        <w:tc>
          <w:tcPr>
            <w:tcW w:w="868" w:type="dxa"/>
            <w:vAlign w:val="center"/>
          </w:tcPr>
          <w:p w:rsidR="00926A0D" w:rsidRDefault="00926A0D">
            <w:pPr>
              <w:spacing w:before="20" w:after="20"/>
              <w:jc w:val="right"/>
              <w:rPr>
                <w:noProof/>
                <w:sz w:val="20"/>
              </w:rPr>
            </w:pPr>
          </w:p>
        </w:tc>
        <w:tc>
          <w:tcPr>
            <w:tcW w:w="868" w:type="dxa"/>
            <w:vAlign w:val="center"/>
          </w:tcPr>
          <w:p w:rsidR="00926A0D" w:rsidRDefault="00926A0D">
            <w:pPr>
              <w:spacing w:before="20" w:after="20"/>
              <w:jc w:val="right"/>
              <w:rPr>
                <w:noProof/>
                <w:sz w:val="20"/>
              </w:rPr>
            </w:pPr>
          </w:p>
        </w:tc>
        <w:tc>
          <w:tcPr>
            <w:tcW w:w="868" w:type="dxa"/>
            <w:vAlign w:val="center"/>
          </w:tcPr>
          <w:p w:rsidR="00926A0D" w:rsidRDefault="00926A0D">
            <w:pPr>
              <w:spacing w:before="20" w:after="20"/>
              <w:jc w:val="right"/>
              <w:rPr>
                <w:noProof/>
                <w:sz w:val="20"/>
              </w:rPr>
            </w:pPr>
          </w:p>
        </w:tc>
        <w:tc>
          <w:tcPr>
            <w:tcW w:w="868" w:type="dxa"/>
            <w:vAlign w:val="center"/>
          </w:tcPr>
          <w:p w:rsidR="00926A0D" w:rsidRDefault="00926A0D">
            <w:pPr>
              <w:spacing w:before="20" w:after="20"/>
              <w:jc w:val="right"/>
              <w:rPr>
                <w:b/>
                <w:noProof/>
                <w:sz w:val="20"/>
              </w:rPr>
            </w:pPr>
          </w:p>
        </w:tc>
        <w:tc>
          <w:tcPr>
            <w:tcW w:w="1777" w:type="dxa"/>
            <w:vAlign w:val="center"/>
          </w:tcPr>
          <w:p w:rsidR="00926A0D" w:rsidRDefault="006023A9">
            <w:pPr>
              <w:spacing w:before="20" w:after="20"/>
              <w:jc w:val="right"/>
              <w:rPr>
                <w:b/>
                <w:noProof/>
                <w:sz w:val="20"/>
              </w:rPr>
            </w:pPr>
            <w:r>
              <w:rPr>
                <w:noProof/>
                <w:sz w:val="20"/>
              </w:rPr>
              <w:t>1.000</w:t>
            </w:r>
          </w:p>
        </w:tc>
      </w:tr>
      <w:tr w:rsidR="00926A0D">
        <w:tc>
          <w:tcPr>
            <w:tcW w:w="3960" w:type="dxa"/>
            <w:vMerge/>
            <w:shd w:val="thinDiagStripe" w:color="C0C0C0" w:fill="auto"/>
          </w:tcPr>
          <w:p w:rsidR="00926A0D" w:rsidRDefault="00926A0D">
            <w:pPr>
              <w:rPr>
                <w:noProof/>
                <w:sz w:val="20"/>
              </w:rPr>
            </w:pPr>
          </w:p>
        </w:tc>
        <w:tc>
          <w:tcPr>
            <w:tcW w:w="1440" w:type="dxa"/>
            <w:vAlign w:val="center"/>
          </w:tcPr>
          <w:p w:rsidR="00926A0D" w:rsidRDefault="006023A9">
            <w:pPr>
              <w:rPr>
                <w:noProof/>
                <w:sz w:val="18"/>
              </w:rPr>
            </w:pPr>
            <w:r>
              <w:rPr>
                <w:noProof/>
                <w:sz w:val="18"/>
              </w:rPr>
              <w:t>Payments</w:t>
            </w:r>
          </w:p>
        </w:tc>
        <w:tc>
          <w:tcPr>
            <w:tcW w:w="654" w:type="dxa"/>
            <w:vAlign w:val="center"/>
          </w:tcPr>
          <w:p w:rsidR="00926A0D" w:rsidRDefault="006023A9">
            <w:pPr>
              <w:jc w:val="center"/>
              <w:rPr>
                <w:noProof/>
                <w:sz w:val="14"/>
              </w:rPr>
            </w:pPr>
            <w:r>
              <w:rPr>
                <w:noProof/>
                <w:sz w:val="14"/>
              </w:rPr>
              <w:t>=5+ 6</w:t>
            </w:r>
          </w:p>
        </w:tc>
        <w:tc>
          <w:tcPr>
            <w:tcW w:w="868" w:type="dxa"/>
            <w:vAlign w:val="center"/>
          </w:tcPr>
          <w:p w:rsidR="00926A0D" w:rsidRDefault="006023A9">
            <w:pPr>
              <w:spacing w:before="20" w:after="20"/>
              <w:jc w:val="right"/>
              <w:rPr>
                <w:noProof/>
                <w:sz w:val="20"/>
              </w:rPr>
            </w:pPr>
            <w:r>
              <w:rPr>
                <w:noProof/>
                <w:sz w:val="20"/>
              </w:rPr>
              <w:t>0</w:t>
            </w:r>
          </w:p>
        </w:tc>
        <w:tc>
          <w:tcPr>
            <w:tcW w:w="868" w:type="dxa"/>
            <w:vAlign w:val="center"/>
          </w:tcPr>
          <w:p w:rsidR="00926A0D" w:rsidRDefault="006023A9">
            <w:pPr>
              <w:spacing w:before="20" w:after="20"/>
              <w:jc w:val="right"/>
              <w:rPr>
                <w:noProof/>
                <w:sz w:val="20"/>
              </w:rPr>
            </w:pPr>
            <w:r>
              <w:rPr>
                <w:noProof/>
                <w:sz w:val="20"/>
              </w:rPr>
              <w:t>0.150</w:t>
            </w:r>
          </w:p>
        </w:tc>
        <w:tc>
          <w:tcPr>
            <w:tcW w:w="868" w:type="dxa"/>
            <w:vAlign w:val="center"/>
          </w:tcPr>
          <w:p w:rsidR="00926A0D" w:rsidRDefault="006023A9">
            <w:pPr>
              <w:spacing w:before="20" w:after="20"/>
              <w:jc w:val="right"/>
              <w:rPr>
                <w:noProof/>
                <w:sz w:val="20"/>
              </w:rPr>
            </w:pPr>
            <w:r>
              <w:rPr>
                <w:noProof/>
                <w:sz w:val="20"/>
              </w:rPr>
              <w:t>0.350</w:t>
            </w:r>
          </w:p>
        </w:tc>
        <w:tc>
          <w:tcPr>
            <w:tcW w:w="868" w:type="dxa"/>
            <w:vAlign w:val="center"/>
          </w:tcPr>
          <w:p w:rsidR="00926A0D" w:rsidRDefault="00926A0D">
            <w:pPr>
              <w:spacing w:before="20" w:after="20"/>
              <w:jc w:val="right"/>
              <w:rPr>
                <w:noProof/>
                <w:sz w:val="20"/>
              </w:rPr>
            </w:pPr>
          </w:p>
        </w:tc>
        <w:tc>
          <w:tcPr>
            <w:tcW w:w="868" w:type="dxa"/>
            <w:vAlign w:val="center"/>
          </w:tcPr>
          <w:p w:rsidR="00926A0D" w:rsidRDefault="00926A0D">
            <w:pPr>
              <w:spacing w:before="20" w:after="20"/>
              <w:jc w:val="right"/>
              <w:rPr>
                <w:noProof/>
                <w:sz w:val="20"/>
              </w:rPr>
            </w:pPr>
          </w:p>
        </w:tc>
        <w:tc>
          <w:tcPr>
            <w:tcW w:w="868" w:type="dxa"/>
            <w:vAlign w:val="center"/>
          </w:tcPr>
          <w:p w:rsidR="00926A0D" w:rsidRDefault="00926A0D">
            <w:pPr>
              <w:spacing w:before="20" w:after="20"/>
              <w:jc w:val="right"/>
              <w:rPr>
                <w:noProof/>
                <w:sz w:val="20"/>
              </w:rPr>
            </w:pPr>
          </w:p>
        </w:tc>
        <w:tc>
          <w:tcPr>
            <w:tcW w:w="868" w:type="dxa"/>
            <w:vAlign w:val="center"/>
          </w:tcPr>
          <w:p w:rsidR="00926A0D" w:rsidRDefault="00926A0D">
            <w:pPr>
              <w:spacing w:before="20" w:after="20"/>
              <w:jc w:val="right"/>
              <w:rPr>
                <w:b/>
                <w:noProof/>
                <w:sz w:val="20"/>
              </w:rPr>
            </w:pPr>
          </w:p>
        </w:tc>
        <w:tc>
          <w:tcPr>
            <w:tcW w:w="1777" w:type="dxa"/>
            <w:vAlign w:val="center"/>
          </w:tcPr>
          <w:p w:rsidR="00926A0D" w:rsidRDefault="006023A9">
            <w:pPr>
              <w:spacing w:before="20" w:after="20"/>
              <w:jc w:val="right"/>
              <w:rPr>
                <w:b/>
                <w:noProof/>
                <w:sz w:val="20"/>
              </w:rPr>
            </w:pPr>
            <w:r>
              <w:rPr>
                <w:noProof/>
                <w:sz w:val="20"/>
              </w:rPr>
              <w:t>0.500</w:t>
            </w:r>
          </w:p>
        </w:tc>
      </w:tr>
    </w:tbl>
    <w:p w:rsidR="00926A0D" w:rsidRDefault="006023A9">
      <w:pPr>
        <w:jc w:val="right"/>
        <w:rPr>
          <w:noProof/>
          <w:sz w:val="20"/>
        </w:rPr>
      </w:pPr>
      <w:r>
        <w:rPr>
          <w:noProof/>
          <w:sz w:val="20"/>
        </w:rPr>
        <w:t>EUR million (to three decimal places)</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926A0D">
        <w:trPr>
          <w:jc w:val="center"/>
        </w:trPr>
        <w:tc>
          <w:tcPr>
            <w:tcW w:w="4744" w:type="dxa"/>
            <w:shd w:val="thinDiagStripe" w:color="C0C0C0" w:fill="auto"/>
            <w:vAlign w:val="center"/>
          </w:tcPr>
          <w:p w:rsidR="00926A0D" w:rsidRDefault="006023A9">
            <w:pPr>
              <w:spacing w:before="60" w:after="60"/>
              <w:jc w:val="center"/>
              <w:rPr>
                <w:b/>
                <w:noProof/>
                <w:sz w:val="22"/>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rsidR="00926A0D" w:rsidRDefault="006023A9">
            <w:pPr>
              <w:spacing w:before="60" w:after="60"/>
              <w:jc w:val="center"/>
              <w:rPr>
                <w:noProof/>
                <w:sz w:val="22"/>
              </w:rPr>
            </w:pPr>
            <w:r>
              <w:rPr>
                <w:noProof/>
                <w:sz w:val="22"/>
              </w:rPr>
              <w:t>2</w:t>
            </w:r>
          </w:p>
        </w:tc>
        <w:tc>
          <w:tcPr>
            <w:tcW w:w="7817" w:type="dxa"/>
            <w:vAlign w:val="center"/>
          </w:tcPr>
          <w:p w:rsidR="00926A0D" w:rsidRDefault="006023A9">
            <w:pPr>
              <w:spacing w:before="60" w:after="60"/>
              <w:rPr>
                <w:noProof/>
                <w:sz w:val="22"/>
              </w:rPr>
            </w:pPr>
            <w:r>
              <w:rPr>
                <w:noProof/>
                <w:sz w:val="22"/>
              </w:rPr>
              <w:t>Sustainable Growth: Natural Resources</w:t>
            </w:r>
          </w:p>
        </w:tc>
      </w:tr>
    </w:tbl>
    <w:p w:rsidR="00926A0D" w:rsidRDefault="00926A0D">
      <w:pPr>
        <w:rPr>
          <w:noProof/>
          <w:sz w:val="16"/>
        </w:rPr>
      </w:pPr>
    </w:p>
    <w:p w:rsidR="00926A0D" w:rsidRDefault="00926A0D">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926A0D">
        <w:tc>
          <w:tcPr>
            <w:tcW w:w="3960" w:type="dxa"/>
            <w:vAlign w:val="center"/>
          </w:tcPr>
          <w:p w:rsidR="00926A0D" w:rsidRDefault="006023A9">
            <w:pPr>
              <w:jc w:val="center"/>
              <w:rPr>
                <w:noProof/>
                <w:sz w:val="22"/>
              </w:rPr>
            </w:pPr>
            <w:r>
              <w:rPr>
                <w:noProof/>
                <w:sz w:val="22"/>
              </w:rPr>
              <w:t>DG: &lt;</w:t>
            </w:r>
            <w:r>
              <w:rPr>
                <w:noProof/>
              </w:rPr>
              <w:t xml:space="preserve"> CLIMA</w:t>
            </w:r>
            <w:r>
              <w:rPr>
                <w:noProof/>
                <w:sz w:val="22"/>
              </w:rPr>
              <w:t>&gt;</w:t>
            </w:r>
          </w:p>
        </w:tc>
        <w:tc>
          <w:tcPr>
            <w:tcW w:w="1560" w:type="dxa"/>
            <w:gridSpan w:val="2"/>
          </w:tcPr>
          <w:p w:rsidR="00926A0D" w:rsidRDefault="00926A0D">
            <w:pPr>
              <w:rPr>
                <w:noProof/>
                <w:sz w:val="20"/>
              </w:rPr>
            </w:pPr>
          </w:p>
        </w:tc>
        <w:tc>
          <w:tcPr>
            <w:tcW w:w="534" w:type="dxa"/>
          </w:tcPr>
          <w:p w:rsidR="00926A0D" w:rsidRDefault="00926A0D">
            <w:pPr>
              <w:jc w:val="center"/>
              <w:rPr>
                <w:noProof/>
                <w:sz w:val="20"/>
              </w:rPr>
            </w:pPr>
          </w:p>
        </w:tc>
        <w:tc>
          <w:tcPr>
            <w:tcW w:w="868" w:type="dxa"/>
            <w:vAlign w:val="center"/>
          </w:tcPr>
          <w:p w:rsidR="00926A0D" w:rsidRDefault="006023A9">
            <w:pPr>
              <w:jc w:val="center"/>
              <w:rPr>
                <w:noProof/>
                <w:sz w:val="20"/>
              </w:rPr>
            </w:pPr>
            <w:r>
              <w:rPr>
                <w:noProof/>
                <w:sz w:val="20"/>
              </w:rPr>
              <w:t>Year</w:t>
            </w:r>
            <w:r>
              <w:rPr>
                <w:noProof/>
                <w:sz w:val="22"/>
              </w:rPr>
              <w:br/>
            </w:r>
            <w:r>
              <w:rPr>
                <w:b/>
                <w:noProof/>
                <w:sz w:val="20"/>
              </w:rPr>
              <w:t>2018</w:t>
            </w:r>
          </w:p>
        </w:tc>
        <w:tc>
          <w:tcPr>
            <w:tcW w:w="868" w:type="dxa"/>
            <w:vAlign w:val="center"/>
          </w:tcPr>
          <w:p w:rsidR="00926A0D" w:rsidRDefault="006023A9">
            <w:pPr>
              <w:jc w:val="center"/>
              <w:rPr>
                <w:noProof/>
                <w:sz w:val="20"/>
              </w:rPr>
            </w:pPr>
            <w:r>
              <w:rPr>
                <w:noProof/>
                <w:sz w:val="20"/>
              </w:rPr>
              <w:t>Year</w:t>
            </w:r>
            <w:r>
              <w:rPr>
                <w:noProof/>
                <w:sz w:val="22"/>
              </w:rPr>
              <w:br/>
            </w:r>
            <w:r>
              <w:rPr>
                <w:b/>
                <w:noProof/>
                <w:sz w:val="20"/>
              </w:rPr>
              <w:t>2019</w:t>
            </w:r>
          </w:p>
        </w:tc>
        <w:tc>
          <w:tcPr>
            <w:tcW w:w="868" w:type="dxa"/>
            <w:vAlign w:val="center"/>
          </w:tcPr>
          <w:p w:rsidR="00926A0D" w:rsidRDefault="006023A9">
            <w:pPr>
              <w:jc w:val="center"/>
              <w:rPr>
                <w:noProof/>
                <w:sz w:val="20"/>
              </w:rPr>
            </w:pPr>
            <w:r>
              <w:rPr>
                <w:noProof/>
                <w:sz w:val="20"/>
              </w:rPr>
              <w:t>Year</w:t>
            </w:r>
            <w:r>
              <w:rPr>
                <w:noProof/>
                <w:sz w:val="22"/>
              </w:rPr>
              <w:br/>
            </w:r>
            <w:r>
              <w:rPr>
                <w:b/>
                <w:noProof/>
                <w:sz w:val="20"/>
              </w:rPr>
              <w:t>2020</w:t>
            </w:r>
          </w:p>
        </w:tc>
        <w:tc>
          <w:tcPr>
            <w:tcW w:w="868" w:type="dxa"/>
            <w:vAlign w:val="center"/>
          </w:tcPr>
          <w:p w:rsidR="00926A0D" w:rsidRDefault="00926A0D">
            <w:pPr>
              <w:jc w:val="center"/>
              <w:rPr>
                <w:noProof/>
                <w:sz w:val="20"/>
              </w:rPr>
            </w:pPr>
          </w:p>
        </w:tc>
        <w:tc>
          <w:tcPr>
            <w:tcW w:w="2604" w:type="dxa"/>
            <w:gridSpan w:val="3"/>
            <w:vAlign w:val="center"/>
          </w:tcPr>
          <w:p w:rsidR="00926A0D" w:rsidRDefault="00926A0D">
            <w:pPr>
              <w:jc w:val="center"/>
              <w:rPr>
                <w:b/>
                <w:noProof/>
                <w:sz w:val="18"/>
              </w:rPr>
            </w:pPr>
          </w:p>
        </w:tc>
        <w:tc>
          <w:tcPr>
            <w:tcW w:w="1777" w:type="dxa"/>
            <w:vAlign w:val="center"/>
          </w:tcPr>
          <w:p w:rsidR="00926A0D" w:rsidRDefault="006023A9">
            <w:pPr>
              <w:jc w:val="center"/>
              <w:rPr>
                <w:b/>
                <w:noProof/>
                <w:sz w:val="20"/>
              </w:rPr>
            </w:pPr>
            <w:r>
              <w:rPr>
                <w:b/>
                <w:noProof/>
                <w:sz w:val="20"/>
              </w:rPr>
              <w:t>TOTAL</w:t>
            </w:r>
          </w:p>
          <w:p w:rsidR="00926A0D" w:rsidRDefault="006023A9">
            <w:pPr>
              <w:jc w:val="center"/>
              <w:rPr>
                <w:b/>
                <w:noProof/>
                <w:sz w:val="20"/>
              </w:rPr>
            </w:pPr>
            <w:r>
              <w:rPr>
                <w:b/>
                <w:noProof/>
                <w:sz w:val="20"/>
              </w:rPr>
              <w:t xml:space="preserve">2018+2019+2020 </w:t>
            </w:r>
          </w:p>
        </w:tc>
      </w:tr>
      <w:tr w:rsidR="00926A0D">
        <w:trPr>
          <w:trHeight w:val="213"/>
        </w:trPr>
        <w:tc>
          <w:tcPr>
            <w:tcW w:w="6054" w:type="dxa"/>
            <w:gridSpan w:val="4"/>
            <w:vAlign w:val="center"/>
          </w:tcPr>
          <w:p w:rsidR="00926A0D" w:rsidRDefault="006023A9">
            <w:pPr>
              <w:spacing w:before="20" w:after="20"/>
              <w:rPr>
                <w:noProof/>
                <w:sz w:val="21"/>
              </w:rPr>
            </w:pPr>
            <w:r>
              <w:rPr>
                <w:noProof/>
                <w:sz w:val="21"/>
              </w:rPr>
              <w:sym w:font="Wingdings" w:char="F09F"/>
            </w:r>
            <w:r>
              <w:rPr>
                <w:noProof/>
                <w:sz w:val="21"/>
              </w:rPr>
              <w:t xml:space="preserve"> Operational appropriations </w:t>
            </w:r>
          </w:p>
        </w:tc>
        <w:tc>
          <w:tcPr>
            <w:tcW w:w="868" w:type="dxa"/>
            <w:vAlign w:val="center"/>
          </w:tcPr>
          <w:p w:rsidR="00926A0D" w:rsidRDefault="00926A0D">
            <w:pPr>
              <w:rPr>
                <w:noProof/>
                <w:sz w:val="20"/>
              </w:rPr>
            </w:pPr>
          </w:p>
        </w:tc>
        <w:tc>
          <w:tcPr>
            <w:tcW w:w="868" w:type="dxa"/>
            <w:vAlign w:val="center"/>
          </w:tcPr>
          <w:p w:rsidR="00926A0D" w:rsidRDefault="00926A0D">
            <w:pPr>
              <w:rPr>
                <w:noProof/>
                <w:sz w:val="20"/>
              </w:rPr>
            </w:pPr>
          </w:p>
        </w:tc>
        <w:tc>
          <w:tcPr>
            <w:tcW w:w="868" w:type="dxa"/>
            <w:vAlign w:val="center"/>
          </w:tcPr>
          <w:p w:rsidR="00926A0D" w:rsidRDefault="00926A0D">
            <w:pPr>
              <w:rPr>
                <w:noProof/>
                <w:sz w:val="20"/>
              </w:rPr>
            </w:pPr>
          </w:p>
        </w:tc>
        <w:tc>
          <w:tcPr>
            <w:tcW w:w="868" w:type="dxa"/>
            <w:vAlign w:val="center"/>
          </w:tcPr>
          <w:p w:rsidR="00926A0D" w:rsidRDefault="00926A0D">
            <w:pPr>
              <w:rPr>
                <w:noProof/>
                <w:sz w:val="20"/>
              </w:rPr>
            </w:pPr>
          </w:p>
        </w:tc>
        <w:tc>
          <w:tcPr>
            <w:tcW w:w="868" w:type="dxa"/>
            <w:vAlign w:val="center"/>
          </w:tcPr>
          <w:p w:rsidR="00926A0D" w:rsidRDefault="00926A0D">
            <w:pPr>
              <w:rPr>
                <w:noProof/>
                <w:sz w:val="20"/>
              </w:rPr>
            </w:pPr>
          </w:p>
        </w:tc>
        <w:tc>
          <w:tcPr>
            <w:tcW w:w="868" w:type="dxa"/>
            <w:vAlign w:val="center"/>
          </w:tcPr>
          <w:p w:rsidR="00926A0D" w:rsidRDefault="00926A0D">
            <w:pPr>
              <w:rPr>
                <w:noProof/>
                <w:sz w:val="20"/>
              </w:rPr>
            </w:pPr>
          </w:p>
        </w:tc>
        <w:tc>
          <w:tcPr>
            <w:tcW w:w="868" w:type="dxa"/>
            <w:vAlign w:val="center"/>
          </w:tcPr>
          <w:p w:rsidR="00926A0D" w:rsidRDefault="00926A0D">
            <w:pPr>
              <w:rPr>
                <w:b/>
                <w:noProof/>
                <w:sz w:val="20"/>
              </w:rPr>
            </w:pPr>
          </w:p>
        </w:tc>
        <w:tc>
          <w:tcPr>
            <w:tcW w:w="1777" w:type="dxa"/>
            <w:vAlign w:val="center"/>
          </w:tcPr>
          <w:p w:rsidR="00926A0D" w:rsidRDefault="00926A0D">
            <w:pPr>
              <w:rPr>
                <w:b/>
                <w:noProof/>
                <w:sz w:val="20"/>
              </w:rPr>
            </w:pPr>
          </w:p>
        </w:tc>
      </w:tr>
      <w:tr w:rsidR="00926A0D">
        <w:trPr>
          <w:trHeight w:val="360"/>
        </w:trPr>
        <w:tc>
          <w:tcPr>
            <w:tcW w:w="3960" w:type="dxa"/>
            <w:vMerge w:val="restart"/>
            <w:vAlign w:val="center"/>
          </w:tcPr>
          <w:p w:rsidR="00926A0D" w:rsidRDefault="006023A9">
            <w:pPr>
              <w:rPr>
                <w:noProof/>
                <w:sz w:val="22"/>
              </w:rPr>
            </w:pPr>
            <w:r>
              <w:rPr>
                <w:noProof/>
                <w:sz w:val="20"/>
              </w:rPr>
              <w:t>budget line 34 02 01</w:t>
            </w:r>
          </w:p>
        </w:tc>
        <w:tc>
          <w:tcPr>
            <w:tcW w:w="1440" w:type="dxa"/>
            <w:vAlign w:val="center"/>
          </w:tcPr>
          <w:p w:rsidR="00926A0D" w:rsidRDefault="006023A9">
            <w:pPr>
              <w:spacing w:before="20" w:after="20"/>
              <w:rPr>
                <w:noProof/>
                <w:sz w:val="18"/>
              </w:rPr>
            </w:pPr>
            <w:r>
              <w:rPr>
                <w:noProof/>
                <w:sz w:val="18"/>
              </w:rPr>
              <w:t>Commitments</w:t>
            </w:r>
          </w:p>
        </w:tc>
        <w:tc>
          <w:tcPr>
            <w:tcW w:w="654" w:type="dxa"/>
            <w:gridSpan w:val="2"/>
            <w:vAlign w:val="center"/>
          </w:tcPr>
          <w:p w:rsidR="00926A0D" w:rsidRDefault="006023A9">
            <w:pPr>
              <w:spacing w:before="20" w:after="20"/>
              <w:jc w:val="center"/>
              <w:rPr>
                <w:noProof/>
                <w:sz w:val="14"/>
              </w:rPr>
            </w:pPr>
            <w:r>
              <w:rPr>
                <w:noProof/>
                <w:sz w:val="14"/>
              </w:rPr>
              <w:t>(1a)</w:t>
            </w:r>
          </w:p>
        </w:tc>
        <w:tc>
          <w:tcPr>
            <w:tcW w:w="868" w:type="dxa"/>
            <w:vAlign w:val="center"/>
          </w:tcPr>
          <w:p w:rsidR="00926A0D" w:rsidRDefault="006023A9">
            <w:pPr>
              <w:spacing w:before="20" w:after="20"/>
              <w:jc w:val="right"/>
              <w:rPr>
                <w:noProof/>
                <w:sz w:val="20"/>
              </w:rPr>
            </w:pPr>
            <w:r>
              <w:rPr>
                <w:noProof/>
                <w:sz w:val="20"/>
              </w:rPr>
              <w:t>0</w:t>
            </w:r>
          </w:p>
        </w:tc>
        <w:tc>
          <w:tcPr>
            <w:tcW w:w="868" w:type="dxa"/>
          </w:tcPr>
          <w:p w:rsidR="00926A0D" w:rsidRDefault="006023A9">
            <w:pPr>
              <w:spacing w:before="20" w:after="20"/>
              <w:jc w:val="right"/>
              <w:rPr>
                <w:noProof/>
                <w:sz w:val="20"/>
              </w:rPr>
            </w:pPr>
            <w:r>
              <w:rPr>
                <w:noProof/>
                <w:sz w:val="20"/>
              </w:rPr>
              <w:t>0.500</w:t>
            </w:r>
          </w:p>
        </w:tc>
        <w:tc>
          <w:tcPr>
            <w:tcW w:w="868" w:type="dxa"/>
          </w:tcPr>
          <w:p w:rsidR="00926A0D" w:rsidRDefault="006023A9" w:rsidP="0043450B">
            <w:pPr>
              <w:spacing w:before="20" w:after="20"/>
              <w:jc w:val="right"/>
              <w:rPr>
                <w:noProof/>
                <w:sz w:val="20"/>
              </w:rPr>
            </w:pPr>
            <w:r>
              <w:rPr>
                <w:noProof/>
                <w:sz w:val="20"/>
              </w:rPr>
              <w:t>0</w:t>
            </w:r>
            <w:r w:rsidR="0043450B">
              <w:rPr>
                <w:noProof/>
                <w:sz w:val="20"/>
              </w:rPr>
              <w:t>.</w:t>
            </w:r>
            <w:r>
              <w:rPr>
                <w:noProof/>
                <w:sz w:val="20"/>
              </w:rPr>
              <w:t>500</w:t>
            </w:r>
          </w:p>
        </w:tc>
        <w:tc>
          <w:tcPr>
            <w:tcW w:w="868" w:type="dxa"/>
          </w:tcPr>
          <w:p w:rsidR="00926A0D" w:rsidRDefault="00926A0D">
            <w:pPr>
              <w:spacing w:before="20" w:after="20"/>
              <w:jc w:val="right"/>
              <w:rPr>
                <w:noProof/>
                <w:sz w:val="20"/>
              </w:rPr>
            </w:pPr>
          </w:p>
        </w:tc>
        <w:tc>
          <w:tcPr>
            <w:tcW w:w="868" w:type="dxa"/>
            <w:shd w:val="clear" w:color="auto" w:fill="auto"/>
            <w:vAlign w:val="center"/>
          </w:tcPr>
          <w:p w:rsidR="00926A0D" w:rsidRDefault="00926A0D">
            <w:pPr>
              <w:spacing w:before="20" w:after="20"/>
              <w:jc w:val="right"/>
              <w:rPr>
                <w:noProof/>
                <w:sz w:val="20"/>
              </w:rPr>
            </w:pPr>
          </w:p>
        </w:tc>
        <w:tc>
          <w:tcPr>
            <w:tcW w:w="868" w:type="dxa"/>
            <w:shd w:val="clear" w:color="auto" w:fill="auto"/>
            <w:vAlign w:val="center"/>
          </w:tcPr>
          <w:p w:rsidR="00926A0D" w:rsidRDefault="00926A0D">
            <w:pPr>
              <w:spacing w:before="20" w:after="20"/>
              <w:jc w:val="right"/>
              <w:rPr>
                <w:noProof/>
                <w:sz w:val="20"/>
              </w:rPr>
            </w:pPr>
          </w:p>
        </w:tc>
        <w:tc>
          <w:tcPr>
            <w:tcW w:w="868" w:type="dxa"/>
            <w:shd w:val="clear" w:color="auto" w:fill="auto"/>
            <w:vAlign w:val="center"/>
          </w:tcPr>
          <w:p w:rsidR="00926A0D" w:rsidRDefault="00926A0D">
            <w:pPr>
              <w:spacing w:before="20" w:after="20"/>
              <w:jc w:val="right"/>
              <w:rPr>
                <w:noProof/>
                <w:sz w:val="20"/>
              </w:rPr>
            </w:pPr>
          </w:p>
        </w:tc>
        <w:tc>
          <w:tcPr>
            <w:tcW w:w="1777" w:type="dxa"/>
            <w:shd w:val="clear" w:color="auto" w:fill="auto"/>
            <w:vAlign w:val="center"/>
          </w:tcPr>
          <w:p w:rsidR="00926A0D" w:rsidRDefault="006023A9">
            <w:pPr>
              <w:spacing w:before="20" w:after="20"/>
              <w:jc w:val="right"/>
              <w:rPr>
                <w:noProof/>
                <w:sz w:val="18"/>
              </w:rPr>
            </w:pPr>
            <w:r>
              <w:rPr>
                <w:noProof/>
                <w:sz w:val="20"/>
              </w:rPr>
              <w:t>1.000</w:t>
            </w:r>
          </w:p>
        </w:tc>
      </w:tr>
      <w:tr w:rsidR="00926A0D">
        <w:tc>
          <w:tcPr>
            <w:tcW w:w="3960" w:type="dxa"/>
            <w:vMerge/>
          </w:tcPr>
          <w:p w:rsidR="00926A0D" w:rsidRDefault="00926A0D">
            <w:pPr>
              <w:jc w:val="center"/>
              <w:rPr>
                <w:noProof/>
                <w:sz w:val="20"/>
              </w:rPr>
            </w:pPr>
          </w:p>
        </w:tc>
        <w:tc>
          <w:tcPr>
            <w:tcW w:w="1440" w:type="dxa"/>
            <w:vAlign w:val="center"/>
          </w:tcPr>
          <w:p w:rsidR="00926A0D" w:rsidRDefault="006023A9">
            <w:pPr>
              <w:spacing w:before="20" w:after="20"/>
              <w:rPr>
                <w:noProof/>
                <w:sz w:val="18"/>
              </w:rPr>
            </w:pPr>
            <w:r>
              <w:rPr>
                <w:noProof/>
                <w:sz w:val="18"/>
              </w:rPr>
              <w:t>Payments</w:t>
            </w:r>
          </w:p>
        </w:tc>
        <w:tc>
          <w:tcPr>
            <w:tcW w:w="654" w:type="dxa"/>
            <w:gridSpan w:val="2"/>
            <w:vAlign w:val="center"/>
          </w:tcPr>
          <w:p w:rsidR="00926A0D" w:rsidRDefault="006023A9">
            <w:pPr>
              <w:spacing w:before="20" w:after="20"/>
              <w:jc w:val="center"/>
              <w:rPr>
                <w:noProof/>
                <w:sz w:val="14"/>
              </w:rPr>
            </w:pPr>
            <w:r>
              <w:rPr>
                <w:noProof/>
                <w:sz w:val="14"/>
              </w:rPr>
              <w:t>(2a)</w:t>
            </w:r>
          </w:p>
        </w:tc>
        <w:tc>
          <w:tcPr>
            <w:tcW w:w="868" w:type="dxa"/>
            <w:vAlign w:val="center"/>
          </w:tcPr>
          <w:p w:rsidR="00926A0D" w:rsidRDefault="006023A9">
            <w:pPr>
              <w:spacing w:before="20" w:after="20"/>
              <w:jc w:val="right"/>
              <w:rPr>
                <w:noProof/>
                <w:sz w:val="20"/>
              </w:rPr>
            </w:pPr>
            <w:r>
              <w:rPr>
                <w:noProof/>
                <w:sz w:val="20"/>
              </w:rPr>
              <w:t>0</w:t>
            </w:r>
          </w:p>
        </w:tc>
        <w:tc>
          <w:tcPr>
            <w:tcW w:w="868" w:type="dxa"/>
          </w:tcPr>
          <w:p w:rsidR="00926A0D" w:rsidRDefault="006023A9">
            <w:pPr>
              <w:spacing w:before="20" w:after="20"/>
              <w:jc w:val="right"/>
              <w:rPr>
                <w:noProof/>
                <w:sz w:val="20"/>
              </w:rPr>
            </w:pPr>
            <w:r>
              <w:rPr>
                <w:noProof/>
                <w:sz w:val="20"/>
              </w:rPr>
              <w:t>0.150</w:t>
            </w:r>
          </w:p>
        </w:tc>
        <w:tc>
          <w:tcPr>
            <w:tcW w:w="868" w:type="dxa"/>
          </w:tcPr>
          <w:p w:rsidR="00926A0D" w:rsidRDefault="006023A9">
            <w:pPr>
              <w:spacing w:before="20" w:after="20"/>
              <w:jc w:val="right"/>
              <w:rPr>
                <w:noProof/>
                <w:sz w:val="20"/>
              </w:rPr>
            </w:pPr>
            <w:r>
              <w:rPr>
                <w:noProof/>
                <w:sz w:val="20"/>
              </w:rPr>
              <w:t>0.350</w:t>
            </w:r>
          </w:p>
        </w:tc>
        <w:tc>
          <w:tcPr>
            <w:tcW w:w="868" w:type="dxa"/>
          </w:tcPr>
          <w:p w:rsidR="00926A0D" w:rsidRDefault="00926A0D">
            <w:pPr>
              <w:spacing w:before="20" w:after="20"/>
              <w:jc w:val="right"/>
              <w:rPr>
                <w:noProof/>
                <w:sz w:val="20"/>
              </w:rPr>
            </w:pPr>
          </w:p>
        </w:tc>
        <w:tc>
          <w:tcPr>
            <w:tcW w:w="868" w:type="dxa"/>
            <w:shd w:val="clear" w:color="auto" w:fill="auto"/>
            <w:vAlign w:val="center"/>
          </w:tcPr>
          <w:p w:rsidR="00926A0D" w:rsidRDefault="00926A0D">
            <w:pPr>
              <w:spacing w:before="20" w:after="20"/>
              <w:jc w:val="right"/>
              <w:rPr>
                <w:noProof/>
                <w:sz w:val="20"/>
              </w:rPr>
            </w:pPr>
          </w:p>
        </w:tc>
        <w:tc>
          <w:tcPr>
            <w:tcW w:w="868" w:type="dxa"/>
            <w:shd w:val="clear" w:color="auto" w:fill="auto"/>
            <w:vAlign w:val="center"/>
          </w:tcPr>
          <w:p w:rsidR="00926A0D" w:rsidRDefault="00926A0D">
            <w:pPr>
              <w:spacing w:before="20" w:after="20"/>
              <w:jc w:val="right"/>
              <w:rPr>
                <w:noProof/>
                <w:sz w:val="20"/>
              </w:rPr>
            </w:pPr>
          </w:p>
        </w:tc>
        <w:tc>
          <w:tcPr>
            <w:tcW w:w="868" w:type="dxa"/>
            <w:shd w:val="clear" w:color="auto" w:fill="auto"/>
            <w:vAlign w:val="center"/>
          </w:tcPr>
          <w:p w:rsidR="00926A0D" w:rsidRDefault="00926A0D">
            <w:pPr>
              <w:spacing w:before="20" w:after="20"/>
              <w:jc w:val="right"/>
              <w:rPr>
                <w:noProof/>
                <w:sz w:val="20"/>
              </w:rPr>
            </w:pPr>
          </w:p>
        </w:tc>
        <w:tc>
          <w:tcPr>
            <w:tcW w:w="1777" w:type="dxa"/>
            <w:shd w:val="clear" w:color="auto" w:fill="auto"/>
            <w:vAlign w:val="center"/>
          </w:tcPr>
          <w:p w:rsidR="00926A0D" w:rsidRDefault="006023A9">
            <w:pPr>
              <w:spacing w:before="20" w:after="20"/>
              <w:jc w:val="right"/>
              <w:rPr>
                <w:noProof/>
                <w:sz w:val="18"/>
              </w:rPr>
            </w:pPr>
            <w:r>
              <w:rPr>
                <w:noProof/>
                <w:sz w:val="20"/>
              </w:rPr>
              <w:t>0.500</w:t>
            </w:r>
          </w:p>
        </w:tc>
      </w:tr>
      <w:tr w:rsidR="00926A0D">
        <w:tc>
          <w:tcPr>
            <w:tcW w:w="3960" w:type="dxa"/>
            <w:vMerge w:val="restart"/>
          </w:tcPr>
          <w:p w:rsidR="00926A0D" w:rsidRDefault="00926A0D">
            <w:pPr>
              <w:jc w:val="left"/>
              <w:rPr>
                <w:noProof/>
                <w:sz w:val="20"/>
              </w:rPr>
            </w:pPr>
          </w:p>
        </w:tc>
        <w:tc>
          <w:tcPr>
            <w:tcW w:w="1440" w:type="dxa"/>
            <w:vAlign w:val="center"/>
          </w:tcPr>
          <w:p w:rsidR="00926A0D" w:rsidRDefault="00926A0D">
            <w:pPr>
              <w:spacing w:before="20" w:after="20"/>
              <w:rPr>
                <w:noProof/>
                <w:sz w:val="18"/>
              </w:rPr>
            </w:pPr>
          </w:p>
        </w:tc>
        <w:tc>
          <w:tcPr>
            <w:tcW w:w="654" w:type="dxa"/>
            <w:gridSpan w:val="2"/>
            <w:vAlign w:val="center"/>
          </w:tcPr>
          <w:p w:rsidR="00926A0D" w:rsidRDefault="00926A0D">
            <w:pPr>
              <w:spacing w:before="20" w:after="20"/>
              <w:jc w:val="center"/>
              <w:rPr>
                <w:noProof/>
                <w:sz w:val="14"/>
              </w:rPr>
            </w:pPr>
          </w:p>
        </w:tc>
        <w:tc>
          <w:tcPr>
            <w:tcW w:w="868" w:type="dxa"/>
            <w:vAlign w:val="center"/>
          </w:tcPr>
          <w:p w:rsidR="00926A0D" w:rsidRDefault="00926A0D">
            <w:pPr>
              <w:spacing w:before="20" w:after="20"/>
              <w:jc w:val="right"/>
              <w:rPr>
                <w:noProof/>
                <w:sz w:val="20"/>
              </w:rPr>
            </w:pPr>
          </w:p>
        </w:tc>
        <w:tc>
          <w:tcPr>
            <w:tcW w:w="868" w:type="dxa"/>
            <w:vAlign w:val="center"/>
          </w:tcPr>
          <w:p w:rsidR="00926A0D" w:rsidRDefault="00926A0D">
            <w:pPr>
              <w:spacing w:before="20" w:after="20"/>
              <w:jc w:val="right"/>
              <w:rPr>
                <w:noProof/>
                <w:sz w:val="20"/>
              </w:rPr>
            </w:pPr>
          </w:p>
        </w:tc>
        <w:tc>
          <w:tcPr>
            <w:tcW w:w="868" w:type="dxa"/>
            <w:vAlign w:val="center"/>
          </w:tcPr>
          <w:p w:rsidR="00926A0D" w:rsidRDefault="00926A0D">
            <w:pPr>
              <w:spacing w:before="20" w:after="20"/>
              <w:jc w:val="right"/>
              <w:rPr>
                <w:noProof/>
                <w:sz w:val="20"/>
              </w:rPr>
            </w:pPr>
          </w:p>
        </w:tc>
        <w:tc>
          <w:tcPr>
            <w:tcW w:w="868" w:type="dxa"/>
            <w:vAlign w:val="center"/>
          </w:tcPr>
          <w:p w:rsidR="00926A0D" w:rsidRDefault="00926A0D">
            <w:pPr>
              <w:spacing w:before="20" w:after="20"/>
              <w:jc w:val="right"/>
              <w:rPr>
                <w:noProof/>
                <w:sz w:val="20"/>
              </w:rPr>
            </w:pPr>
          </w:p>
        </w:tc>
        <w:tc>
          <w:tcPr>
            <w:tcW w:w="868" w:type="dxa"/>
            <w:shd w:val="clear" w:color="auto" w:fill="auto"/>
            <w:vAlign w:val="center"/>
          </w:tcPr>
          <w:p w:rsidR="00926A0D" w:rsidRDefault="00926A0D">
            <w:pPr>
              <w:spacing w:before="20" w:after="20"/>
              <w:jc w:val="right"/>
              <w:rPr>
                <w:noProof/>
                <w:sz w:val="20"/>
              </w:rPr>
            </w:pPr>
          </w:p>
        </w:tc>
        <w:tc>
          <w:tcPr>
            <w:tcW w:w="868" w:type="dxa"/>
            <w:shd w:val="clear" w:color="auto" w:fill="auto"/>
            <w:vAlign w:val="center"/>
          </w:tcPr>
          <w:p w:rsidR="00926A0D" w:rsidRDefault="00926A0D">
            <w:pPr>
              <w:spacing w:before="20" w:after="20"/>
              <w:jc w:val="right"/>
              <w:rPr>
                <w:noProof/>
                <w:sz w:val="20"/>
              </w:rPr>
            </w:pPr>
          </w:p>
        </w:tc>
        <w:tc>
          <w:tcPr>
            <w:tcW w:w="868" w:type="dxa"/>
            <w:shd w:val="clear" w:color="auto" w:fill="auto"/>
            <w:vAlign w:val="center"/>
          </w:tcPr>
          <w:p w:rsidR="00926A0D" w:rsidRDefault="00926A0D">
            <w:pPr>
              <w:spacing w:before="20" w:after="20"/>
              <w:jc w:val="right"/>
              <w:rPr>
                <w:noProof/>
                <w:sz w:val="20"/>
              </w:rPr>
            </w:pPr>
          </w:p>
        </w:tc>
        <w:tc>
          <w:tcPr>
            <w:tcW w:w="1777" w:type="dxa"/>
            <w:shd w:val="clear" w:color="auto" w:fill="auto"/>
            <w:vAlign w:val="center"/>
          </w:tcPr>
          <w:p w:rsidR="00926A0D" w:rsidRDefault="00926A0D">
            <w:pPr>
              <w:spacing w:before="20" w:after="20"/>
              <w:jc w:val="left"/>
              <w:rPr>
                <w:noProof/>
                <w:sz w:val="18"/>
              </w:rPr>
            </w:pPr>
          </w:p>
        </w:tc>
      </w:tr>
      <w:tr w:rsidR="00926A0D">
        <w:tc>
          <w:tcPr>
            <w:tcW w:w="3960" w:type="dxa"/>
            <w:vMerge/>
          </w:tcPr>
          <w:p w:rsidR="00926A0D" w:rsidRDefault="00926A0D">
            <w:pPr>
              <w:jc w:val="center"/>
              <w:rPr>
                <w:noProof/>
                <w:sz w:val="20"/>
              </w:rPr>
            </w:pPr>
          </w:p>
        </w:tc>
        <w:tc>
          <w:tcPr>
            <w:tcW w:w="1440" w:type="dxa"/>
            <w:vAlign w:val="center"/>
          </w:tcPr>
          <w:p w:rsidR="00926A0D" w:rsidRDefault="00926A0D">
            <w:pPr>
              <w:spacing w:before="20" w:after="20"/>
              <w:rPr>
                <w:noProof/>
                <w:sz w:val="18"/>
              </w:rPr>
            </w:pPr>
          </w:p>
        </w:tc>
        <w:tc>
          <w:tcPr>
            <w:tcW w:w="654" w:type="dxa"/>
            <w:gridSpan w:val="2"/>
            <w:vAlign w:val="center"/>
          </w:tcPr>
          <w:p w:rsidR="00926A0D" w:rsidRDefault="00926A0D">
            <w:pPr>
              <w:spacing w:before="20" w:after="20"/>
              <w:jc w:val="center"/>
              <w:rPr>
                <w:noProof/>
                <w:sz w:val="14"/>
              </w:rPr>
            </w:pPr>
          </w:p>
        </w:tc>
        <w:tc>
          <w:tcPr>
            <w:tcW w:w="868" w:type="dxa"/>
            <w:vAlign w:val="center"/>
          </w:tcPr>
          <w:p w:rsidR="00926A0D" w:rsidRDefault="00926A0D">
            <w:pPr>
              <w:spacing w:before="20" w:after="20"/>
              <w:jc w:val="right"/>
              <w:rPr>
                <w:noProof/>
                <w:sz w:val="20"/>
              </w:rPr>
            </w:pPr>
          </w:p>
        </w:tc>
        <w:tc>
          <w:tcPr>
            <w:tcW w:w="868" w:type="dxa"/>
            <w:vAlign w:val="center"/>
          </w:tcPr>
          <w:p w:rsidR="00926A0D" w:rsidRDefault="00926A0D">
            <w:pPr>
              <w:spacing w:before="20" w:after="20"/>
              <w:jc w:val="right"/>
              <w:rPr>
                <w:noProof/>
                <w:sz w:val="20"/>
              </w:rPr>
            </w:pPr>
          </w:p>
        </w:tc>
        <w:tc>
          <w:tcPr>
            <w:tcW w:w="868" w:type="dxa"/>
            <w:vAlign w:val="center"/>
          </w:tcPr>
          <w:p w:rsidR="00926A0D" w:rsidRDefault="00926A0D">
            <w:pPr>
              <w:spacing w:before="20" w:after="20"/>
              <w:jc w:val="right"/>
              <w:rPr>
                <w:noProof/>
                <w:sz w:val="20"/>
              </w:rPr>
            </w:pPr>
          </w:p>
        </w:tc>
        <w:tc>
          <w:tcPr>
            <w:tcW w:w="868" w:type="dxa"/>
            <w:vAlign w:val="center"/>
          </w:tcPr>
          <w:p w:rsidR="00926A0D" w:rsidRDefault="00926A0D">
            <w:pPr>
              <w:spacing w:before="20" w:after="20"/>
              <w:jc w:val="right"/>
              <w:rPr>
                <w:noProof/>
                <w:sz w:val="20"/>
              </w:rPr>
            </w:pPr>
          </w:p>
        </w:tc>
        <w:tc>
          <w:tcPr>
            <w:tcW w:w="868" w:type="dxa"/>
            <w:shd w:val="clear" w:color="auto" w:fill="auto"/>
            <w:vAlign w:val="center"/>
          </w:tcPr>
          <w:p w:rsidR="00926A0D" w:rsidRDefault="00926A0D">
            <w:pPr>
              <w:spacing w:before="20" w:after="20"/>
              <w:jc w:val="right"/>
              <w:rPr>
                <w:noProof/>
                <w:sz w:val="20"/>
              </w:rPr>
            </w:pPr>
          </w:p>
        </w:tc>
        <w:tc>
          <w:tcPr>
            <w:tcW w:w="868" w:type="dxa"/>
            <w:shd w:val="clear" w:color="auto" w:fill="auto"/>
            <w:vAlign w:val="center"/>
          </w:tcPr>
          <w:p w:rsidR="00926A0D" w:rsidRDefault="00926A0D">
            <w:pPr>
              <w:spacing w:before="20" w:after="20"/>
              <w:jc w:val="right"/>
              <w:rPr>
                <w:noProof/>
                <w:sz w:val="20"/>
              </w:rPr>
            </w:pPr>
          </w:p>
        </w:tc>
        <w:tc>
          <w:tcPr>
            <w:tcW w:w="868" w:type="dxa"/>
            <w:shd w:val="clear" w:color="auto" w:fill="auto"/>
            <w:vAlign w:val="center"/>
          </w:tcPr>
          <w:p w:rsidR="00926A0D" w:rsidRDefault="00926A0D">
            <w:pPr>
              <w:spacing w:before="20" w:after="20"/>
              <w:jc w:val="right"/>
              <w:rPr>
                <w:noProof/>
                <w:sz w:val="20"/>
              </w:rPr>
            </w:pPr>
          </w:p>
        </w:tc>
        <w:tc>
          <w:tcPr>
            <w:tcW w:w="1777" w:type="dxa"/>
            <w:shd w:val="clear" w:color="auto" w:fill="auto"/>
            <w:vAlign w:val="center"/>
          </w:tcPr>
          <w:p w:rsidR="00926A0D" w:rsidRDefault="00926A0D">
            <w:pPr>
              <w:spacing w:before="20" w:after="20"/>
              <w:jc w:val="left"/>
              <w:rPr>
                <w:noProof/>
                <w:sz w:val="18"/>
              </w:rPr>
            </w:pPr>
          </w:p>
        </w:tc>
      </w:tr>
      <w:tr w:rsidR="00926A0D">
        <w:trPr>
          <w:trHeight w:val="231"/>
        </w:trPr>
        <w:tc>
          <w:tcPr>
            <w:tcW w:w="6054" w:type="dxa"/>
            <w:gridSpan w:val="4"/>
            <w:vAlign w:val="center"/>
          </w:tcPr>
          <w:p w:rsidR="00926A0D" w:rsidRDefault="006023A9" w:rsidP="0076006B">
            <w:pPr>
              <w:pStyle w:val="ListParagraph"/>
              <w:numPr>
                <w:ilvl w:val="0"/>
                <w:numId w:val="28"/>
              </w:numPr>
              <w:spacing w:before="20" w:after="20"/>
              <w:rPr>
                <w:noProof/>
                <w:sz w:val="22"/>
              </w:rPr>
            </w:pPr>
            <w:r>
              <w:rPr>
                <w:noProof/>
                <w:sz w:val="21"/>
              </w:rPr>
              <w:t>Appropriations of an administrative nature financed from the envelope of specific programmes</w:t>
            </w:r>
            <w:r>
              <w:rPr>
                <w:rStyle w:val="FootnoteReference"/>
                <w:noProof/>
                <w:sz w:val="21"/>
              </w:rPr>
              <w:footnoteReference w:id="49"/>
            </w:r>
            <w:r>
              <w:rPr>
                <w:noProof/>
                <w:sz w:val="21"/>
              </w:rPr>
              <w:t xml:space="preserve"> </w:t>
            </w:r>
          </w:p>
          <w:p w:rsidR="00926A0D" w:rsidRDefault="00926A0D">
            <w:pPr>
              <w:spacing w:before="0" w:after="0"/>
              <w:rPr>
                <w:noProof/>
                <w:sz w:val="22"/>
              </w:rPr>
            </w:pPr>
          </w:p>
        </w:tc>
        <w:tc>
          <w:tcPr>
            <w:tcW w:w="868" w:type="dxa"/>
            <w:vAlign w:val="center"/>
          </w:tcPr>
          <w:p w:rsidR="00926A0D" w:rsidRDefault="00926A0D">
            <w:pPr>
              <w:rPr>
                <w:b/>
                <w:noProof/>
                <w:sz w:val="20"/>
              </w:rPr>
            </w:pPr>
          </w:p>
        </w:tc>
        <w:tc>
          <w:tcPr>
            <w:tcW w:w="868" w:type="dxa"/>
            <w:vAlign w:val="center"/>
          </w:tcPr>
          <w:p w:rsidR="00926A0D" w:rsidRDefault="00926A0D">
            <w:pPr>
              <w:rPr>
                <w:b/>
                <w:noProof/>
                <w:sz w:val="20"/>
              </w:rPr>
            </w:pPr>
          </w:p>
        </w:tc>
        <w:tc>
          <w:tcPr>
            <w:tcW w:w="868" w:type="dxa"/>
            <w:vAlign w:val="center"/>
          </w:tcPr>
          <w:p w:rsidR="00926A0D" w:rsidRDefault="00926A0D">
            <w:pPr>
              <w:rPr>
                <w:b/>
                <w:noProof/>
                <w:sz w:val="20"/>
              </w:rPr>
            </w:pPr>
          </w:p>
        </w:tc>
        <w:tc>
          <w:tcPr>
            <w:tcW w:w="868" w:type="dxa"/>
            <w:vAlign w:val="center"/>
          </w:tcPr>
          <w:p w:rsidR="00926A0D" w:rsidRDefault="00926A0D">
            <w:pPr>
              <w:rPr>
                <w:b/>
                <w:noProof/>
                <w:sz w:val="20"/>
              </w:rPr>
            </w:pPr>
          </w:p>
        </w:tc>
        <w:tc>
          <w:tcPr>
            <w:tcW w:w="868" w:type="dxa"/>
            <w:vAlign w:val="center"/>
          </w:tcPr>
          <w:p w:rsidR="00926A0D" w:rsidRDefault="00926A0D">
            <w:pPr>
              <w:rPr>
                <w:b/>
                <w:noProof/>
                <w:sz w:val="20"/>
              </w:rPr>
            </w:pPr>
          </w:p>
        </w:tc>
        <w:tc>
          <w:tcPr>
            <w:tcW w:w="868" w:type="dxa"/>
            <w:vAlign w:val="center"/>
          </w:tcPr>
          <w:p w:rsidR="00926A0D" w:rsidRDefault="00926A0D">
            <w:pPr>
              <w:rPr>
                <w:b/>
                <w:noProof/>
                <w:sz w:val="20"/>
              </w:rPr>
            </w:pPr>
          </w:p>
        </w:tc>
        <w:tc>
          <w:tcPr>
            <w:tcW w:w="868" w:type="dxa"/>
            <w:vAlign w:val="center"/>
          </w:tcPr>
          <w:p w:rsidR="00926A0D" w:rsidRDefault="00926A0D">
            <w:pPr>
              <w:rPr>
                <w:b/>
                <w:noProof/>
                <w:sz w:val="20"/>
              </w:rPr>
            </w:pPr>
          </w:p>
        </w:tc>
        <w:tc>
          <w:tcPr>
            <w:tcW w:w="1777" w:type="dxa"/>
            <w:vAlign w:val="center"/>
          </w:tcPr>
          <w:p w:rsidR="00926A0D" w:rsidRDefault="00926A0D">
            <w:pPr>
              <w:rPr>
                <w:b/>
                <w:noProof/>
                <w:sz w:val="20"/>
              </w:rPr>
            </w:pPr>
          </w:p>
        </w:tc>
      </w:tr>
      <w:tr w:rsidR="00926A0D">
        <w:trPr>
          <w:trHeight w:val="319"/>
        </w:trPr>
        <w:tc>
          <w:tcPr>
            <w:tcW w:w="3960" w:type="dxa"/>
            <w:vAlign w:val="center"/>
          </w:tcPr>
          <w:p w:rsidR="00926A0D" w:rsidRDefault="00926A0D">
            <w:pPr>
              <w:spacing w:before="60" w:after="60"/>
              <w:rPr>
                <w:noProof/>
                <w:sz w:val="22"/>
              </w:rPr>
            </w:pPr>
          </w:p>
        </w:tc>
        <w:tc>
          <w:tcPr>
            <w:tcW w:w="1440" w:type="dxa"/>
            <w:vAlign w:val="center"/>
          </w:tcPr>
          <w:p w:rsidR="00926A0D" w:rsidRDefault="00926A0D">
            <w:pPr>
              <w:spacing w:before="40" w:after="40"/>
              <w:jc w:val="right"/>
              <w:rPr>
                <w:noProof/>
                <w:sz w:val="18"/>
              </w:rPr>
            </w:pPr>
          </w:p>
        </w:tc>
        <w:tc>
          <w:tcPr>
            <w:tcW w:w="654" w:type="dxa"/>
            <w:gridSpan w:val="2"/>
            <w:vAlign w:val="center"/>
          </w:tcPr>
          <w:p w:rsidR="00926A0D" w:rsidRDefault="00926A0D">
            <w:pPr>
              <w:spacing w:before="40" w:after="40"/>
              <w:jc w:val="center"/>
              <w:rPr>
                <w:noProof/>
                <w:sz w:val="14"/>
              </w:rPr>
            </w:pPr>
          </w:p>
        </w:tc>
        <w:tc>
          <w:tcPr>
            <w:tcW w:w="868" w:type="dxa"/>
            <w:vAlign w:val="center"/>
          </w:tcPr>
          <w:p w:rsidR="00926A0D" w:rsidRDefault="00926A0D">
            <w:pPr>
              <w:spacing w:before="40" w:after="40"/>
              <w:jc w:val="right"/>
              <w:rPr>
                <w:b/>
                <w:noProof/>
                <w:sz w:val="20"/>
              </w:rPr>
            </w:pPr>
          </w:p>
        </w:tc>
        <w:tc>
          <w:tcPr>
            <w:tcW w:w="868" w:type="dxa"/>
            <w:vAlign w:val="center"/>
          </w:tcPr>
          <w:p w:rsidR="00926A0D" w:rsidRDefault="00926A0D">
            <w:pPr>
              <w:spacing w:before="40" w:after="40"/>
              <w:jc w:val="right"/>
              <w:rPr>
                <w:b/>
                <w:noProof/>
                <w:sz w:val="20"/>
              </w:rPr>
            </w:pPr>
          </w:p>
        </w:tc>
        <w:tc>
          <w:tcPr>
            <w:tcW w:w="868" w:type="dxa"/>
            <w:vAlign w:val="center"/>
          </w:tcPr>
          <w:p w:rsidR="00926A0D" w:rsidRDefault="00926A0D">
            <w:pPr>
              <w:spacing w:before="40" w:after="40"/>
              <w:jc w:val="right"/>
              <w:rPr>
                <w:b/>
                <w:noProof/>
                <w:sz w:val="20"/>
              </w:rPr>
            </w:pPr>
          </w:p>
        </w:tc>
        <w:tc>
          <w:tcPr>
            <w:tcW w:w="868" w:type="dxa"/>
            <w:vAlign w:val="center"/>
          </w:tcPr>
          <w:p w:rsidR="00926A0D" w:rsidRDefault="00926A0D">
            <w:pPr>
              <w:spacing w:before="40" w:after="40"/>
              <w:jc w:val="right"/>
              <w:rPr>
                <w:b/>
                <w:noProof/>
                <w:sz w:val="20"/>
              </w:rPr>
            </w:pPr>
          </w:p>
        </w:tc>
        <w:tc>
          <w:tcPr>
            <w:tcW w:w="868" w:type="dxa"/>
            <w:shd w:val="clear" w:color="auto" w:fill="auto"/>
            <w:vAlign w:val="center"/>
          </w:tcPr>
          <w:p w:rsidR="00926A0D" w:rsidRDefault="00926A0D">
            <w:pPr>
              <w:spacing w:before="40" w:after="40"/>
              <w:jc w:val="right"/>
              <w:rPr>
                <w:b/>
                <w:noProof/>
                <w:sz w:val="20"/>
              </w:rPr>
            </w:pPr>
          </w:p>
        </w:tc>
        <w:tc>
          <w:tcPr>
            <w:tcW w:w="868" w:type="dxa"/>
            <w:shd w:val="clear" w:color="auto" w:fill="auto"/>
            <w:vAlign w:val="center"/>
          </w:tcPr>
          <w:p w:rsidR="00926A0D" w:rsidRDefault="00926A0D">
            <w:pPr>
              <w:spacing w:before="40" w:after="40"/>
              <w:jc w:val="right"/>
              <w:rPr>
                <w:b/>
                <w:noProof/>
                <w:sz w:val="20"/>
              </w:rPr>
            </w:pPr>
          </w:p>
        </w:tc>
        <w:tc>
          <w:tcPr>
            <w:tcW w:w="868" w:type="dxa"/>
            <w:shd w:val="clear" w:color="auto" w:fill="auto"/>
            <w:vAlign w:val="center"/>
          </w:tcPr>
          <w:p w:rsidR="00926A0D" w:rsidRDefault="00926A0D">
            <w:pPr>
              <w:spacing w:before="40" w:after="40"/>
              <w:jc w:val="right"/>
              <w:rPr>
                <w:b/>
                <w:noProof/>
                <w:sz w:val="20"/>
              </w:rPr>
            </w:pPr>
          </w:p>
        </w:tc>
        <w:tc>
          <w:tcPr>
            <w:tcW w:w="1777" w:type="dxa"/>
            <w:shd w:val="clear" w:color="auto" w:fill="auto"/>
            <w:vAlign w:val="center"/>
          </w:tcPr>
          <w:p w:rsidR="00926A0D" w:rsidRDefault="00926A0D">
            <w:pPr>
              <w:spacing w:before="20" w:after="20"/>
              <w:jc w:val="left"/>
              <w:rPr>
                <w:b/>
                <w:noProof/>
                <w:sz w:val="18"/>
              </w:rPr>
            </w:pPr>
          </w:p>
        </w:tc>
      </w:tr>
      <w:tr w:rsidR="00926A0D">
        <w:tc>
          <w:tcPr>
            <w:tcW w:w="3960" w:type="dxa"/>
            <w:vMerge w:val="restart"/>
            <w:vAlign w:val="center"/>
          </w:tcPr>
          <w:p w:rsidR="00926A0D" w:rsidRDefault="006023A9">
            <w:pPr>
              <w:jc w:val="center"/>
              <w:rPr>
                <w:b/>
                <w:noProof/>
                <w:sz w:val="22"/>
              </w:rPr>
            </w:pPr>
            <w:r>
              <w:rPr>
                <w:b/>
                <w:noProof/>
                <w:sz w:val="22"/>
              </w:rPr>
              <w:t>TOTAL appropriations</w:t>
            </w:r>
            <w:r>
              <w:rPr>
                <w:noProof/>
                <w:sz w:val="22"/>
              </w:rPr>
              <w:br/>
            </w:r>
            <w:r>
              <w:rPr>
                <w:b/>
                <w:noProof/>
                <w:sz w:val="22"/>
              </w:rPr>
              <w:t xml:space="preserve">for DG </w:t>
            </w:r>
            <w:r>
              <w:rPr>
                <w:noProof/>
                <w:sz w:val="22"/>
              </w:rPr>
              <w:t>&lt;</w:t>
            </w:r>
            <w:r>
              <w:rPr>
                <w:noProof/>
              </w:rPr>
              <w:t xml:space="preserve"> CLIMA</w:t>
            </w:r>
            <w:r>
              <w:rPr>
                <w:noProof/>
                <w:sz w:val="22"/>
              </w:rPr>
              <w:t xml:space="preserve"> &gt;</w:t>
            </w:r>
          </w:p>
        </w:tc>
        <w:tc>
          <w:tcPr>
            <w:tcW w:w="1440" w:type="dxa"/>
            <w:vAlign w:val="center"/>
          </w:tcPr>
          <w:p w:rsidR="00926A0D" w:rsidRDefault="006023A9">
            <w:pPr>
              <w:rPr>
                <w:noProof/>
                <w:sz w:val="18"/>
              </w:rPr>
            </w:pPr>
            <w:r>
              <w:rPr>
                <w:noProof/>
                <w:sz w:val="18"/>
              </w:rPr>
              <w:t>Commitments</w:t>
            </w:r>
          </w:p>
        </w:tc>
        <w:tc>
          <w:tcPr>
            <w:tcW w:w="654" w:type="dxa"/>
            <w:gridSpan w:val="2"/>
            <w:vAlign w:val="center"/>
          </w:tcPr>
          <w:p w:rsidR="00926A0D" w:rsidRDefault="006023A9">
            <w:pPr>
              <w:jc w:val="center"/>
              <w:rPr>
                <w:noProof/>
                <w:sz w:val="14"/>
              </w:rPr>
            </w:pPr>
            <w:r>
              <w:rPr>
                <w:noProof/>
                <w:sz w:val="14"/>
              </w:rPr>
              <w:t>=1a +1b</w:t>
            </w:r>
          </w:p>
        </w:tc>
        <w:tc>
          <w:tcPr>
            <w:tcW w:w="868" w:type="dxa"/>
            <w:vAlign w:val="center"/>
          </w:tcPr>
          <w:p w:rsidR="00926A0D" w:rsidRDefault="006023A9">
            <w:pPr>
              <w:spacing w:before="20" w:after="20"/>
              <w:jc w:val="right"/>
              <w:rPr>
                <w:noProof/>
                <w:sz w:val="20"/>
              </w:rPr>
            </w:pPr>
            <w:r>
              <w:rPr>
                <w:noProof/>
                <w:sz w:val="20"/>
              </w:rPr>
              <w:t>0</w:t>
            </w:r>
          </w:p>
        </w:tc>
        <w:tc>
          <w:tcPr>
            <w:tcW w:w="868" w:type="dxa"/>
            <w:vAlign w:val="center"/>
          </w:tcPr>
          <w:p w:rsidR="00926A0D" w:rsidRDefault="006023A9">
            <w:pPr>
              <w:spacing w:before="20" w:after="20"/>
              <w:jc w:val="right"/>
              <w:rPr>
                <w:noProof/>
                <w:sz w:val="20"/>
              </w:rPr>
            </w:pPr>
            <w:r>
              <w:rPr>
                <w:noProof/>
                <w:sz w:val="20"/>
              </w:rPr>
              <w:t>0.500</w:t>
            </w:r>
          </w:p>
        </w:tc>
        <w:tc>
          <w:tcPr>
            <w:tcW w:w="868" w:type="dxa"/>
            <w:vAlign w:val="center"/>
          </w:tcPr>
          <w:p w:rsidR="00926A0D" w:rsidRDefault="006023A9">
            <w:pPr>
              <w:spacing w:before="20" w:after="20"/>
              <w:jc w:val="right"/>
              <w:rPr>
                <w:noProof/>
                <w:sz w:val="20"/>
              </w:rPr>
            </w:pPr>
            <w:r>
              <w:rPr>
                <w:noProof/>
                <w:sz w:val="20"/>
              </w:rPr>
              <w:t>0.500</w:t>
            </w:r>
          </w:p>
        </w:tc>
        <w:tc>
          <w:tcPr>
            <w:tcW w:w="868" w:type="dxa"/>
            <w:vAlign w:val="center"/>
          </w:tcPr>
          <w:p w:rsidR="00926A0D" w:rsidRDefault="00926A0D">
            <w:pPr>
              <w:spacing w:before="20" w:after="20"/>
              <w:jc w:val="right"/>
              <w:rPr>
                <w:noProof/>
                <w:sz w:val="20"/>
              </w:rPr>
            </w:pPr>
          </w:p>
        </w:tc>
        <w:tc>
          <w:tcPr>
            <w:tcW w:w="868" w:type="dxa"/>
            <w:vAlign w:val="center"/>
          </w:tcPr>
          <w:p w:rsidR="00926A0D" w:rsidRDefault="00926A0D">
            <w:pPr>
              <w:spacing w:before="20" w:after="20"/>
              <w:jc w:val="right"/>
              <w:rPr>
                <w:noProof/>
                <w:sz w:val="20"/>
              </w:rPr>
            </w:pPr>
          </w:p>
        </w:tc>
        <w:tc>
          <w:tcPr>
            <w:tcW w:w="868" w:type="dxa"/>
            <w:vAlign w:val="center"/>
          </w:tcPr>
          <w:p w:rsidR="00926A0D" w:rsidRDefault="00926A0D">
            <w:pPr>
              <w:spacing w:before="20" w:after="20"/>
              <w:jc w:val="right"/>
              <w:rPr>
                <w:noProof/>
                <w:sz w:val="20"/>
              </w:rPr>
            </w:pPr>
          </w:p>
        </w:tc>
        <w:tc>
          <w:tcPr>
            <w:tcW w:w="868" w:type="dxa"/>
            <w:vAlign w:val="center"/>
          </w:tcPr>
          <w:p w:rsidR="00926A0D" w:rsidRDefault="00926A0D">
            <w:pPr>
              <w:spacing w:before="20" w:after="20"/>
              <w:jc w:val="right"/>
              <w:rPr>
                <w:noProof/>
                <w:sz w:val="20"/>
              </w:rPr>
            </w:pPr>
          </w:p>
        </w:tc>
        <w:tc>
          <w:tcPr>
            <w:tcW w:w="1777" w:type="dxa"/>
            <w:vAlign w:val="center"/>
          </w:tcPr>
          <w:p w:rsidR="00926A0D" w:rsidRDefault="006023A9">
            <w:pPr>
              <w:spacing w:before="20" w:after="20"/>
              <w:jc w:val="right"/>
              <w:rPr>
                <w:noProof/>
                <w:sz w:val="18"/>
              </w:rPr>
            </w:pPr>
            <w:r>
              <w:rPr>
                <w:noProof/>
                <w:sz w:val="20"/>
              </w:rPr>
              <w:t>1.000</w:t>
            </w:r>
          </w:p>
        </w:tc>
      </w:tr>
      <w:tr w:rsidR="00926A0D">
        <w:tc>
          <w:tcPr>
            <w:tcW w:w="3960" w:type="dxa"/>
            <w:vMerge/>
          </w:tcPr>
          <w:p w:rsidR="00926A0D" w:rsidRDefault="00926A0D">
            <w:pPr>
              <w:rPr>
                <w:noProof/>
                <w:sz w:val="20"/>
              </w:rPr>
            </w:pPr>
          </w:p>
        </w:tc>
        <w:tc>
          <w:tcPr>
            <w:tcW w:w="1440" w:type="dxa"/>
            <w:vAlign w:val="center"/>
          </w:tcPr>
          <w:p w:rsidR="00926A0D" w:rsidRDefault="006023A9">
            <w:pPr>
              <w:rPr>
                <w:noProof/>
                <w:sz w:val="18"/>
              </w:rPr>
            </w:pPr>
            <w:r>
              <w:rPr>
                <w:noProof/>
                <w:sz w:val="18"/>
              </w:rPr>
              <w:t>Payments</w:t>
            </w:r>
          </w:p>
        </w:tc>
        <w:tc>
          <w:tcPr>
            <w:tcW w:w="654" w:type="dxa"/>
            <w:gridSpan w:val="2"/>
            <w:vAlign w:val="center"/>
          </w:tcPr>
          <w:p w:rsidR="00926A0D" w:rsidRDefault="006023A9">
            <w:pPr>
              <w:jc w:val="center"/>
              <w:rPr>
                <w:noProof/>
                <w:sz w:val="14"/>
              </w:rPr>
            </w:pPr>
            <w:r>
              <w:rPr>
                <w:noProof/>
                <w:sz w:val="14"/>
              </w:rPr>
              <w:t>=2a+ 2b</w:t>
            </w:r>
          </w:p>
          <w:p w:rsidR="00926A0D" w:rsidRDefault="00926A0D">
            <w:pPr>
              <w:jc w:val="center"/>
              <w:rPr>
                <w:noProof/>
                <w:sz w:val="14"/>
              </w:rPr>
            </w:pPr>
          </w:p>
        </w:tc>
        <w:tc>
          <w:tcPr>
            <w:tcW w:w="868" w:type="dxa"/>
            <w:vAlign w:val="center"/>
          </w:tcPr>
          <w:p w:rsidR="00926A0D" w:rsidRDefault="006023A9">
            <w:pPr>
              <w:spacing w:before="20" w:after="20"/>
              <w:jc w:val="right"/>
              <w:rPr>
                <w:noProof/>
                <w:sz w:val="20"/>
              </w:rPr>
            </w:pPr>
            <w:r>
              <w:rPr>
                <w:noProof/>
                <w:sz w:val="20"/>
              </w:rPr>
              <w:t>0</w:t>
            </w:r>
          </w:p>
        </w:tc>
        <w:tc>
          <w:tcPr>
            <w:tcW w:w="868" w:type="dxa"/>
            <w:vAlign w:val="center"/>
          </w:tcPr>
          <w:p w:rsidR="00926A0D" w:rsidRDefault="006023A9">
            <w:pPr>
              <w:spacing w:before="20" w:after="20"/>
              <w:jc w:val="right"/>
              <w:rPr>
                <w:noProof/>
                <w:sz w:val="20"/>
              </w:rPr>
            </w:pPr>
            <w:r>
              <w:rPr>
                <w:noProof/>
                <w:sz w:val="20"/>
              </w:rPr>
              <w:t>0.150</w:t>
            </w:r>
          </w:p>
        </w:tc>
        <w:tc>
          <w:tcPr>
            <w:tcW w:w="868" w:type="dxa"/>
            <w:vAlign w:val="center"/>
          </w:tcPr>
          <w:p w:rsidR="00926A0D" w:rsidRDefault="006023A9">
            <w:pPr>
              <w:spacing w:before="20" w:after="20"/>
              <w:jc w:val="right"/>
              <w:rPr>
                <w:noProof/>
                <w:sz w:val="20"/>
              </w:rPr>
            </w:pPr>
            <w:r>
              <w:rPr>
                <w:noProof/>
                <w:sz w:val="20"/>
              </w:rPr>
              <w:t>0.350</w:t>
            </w:r>
          </w:p>
        </w:tc>
        <w:tc>
          <w:tcPr>
            <w:tcW w:w="868" w:type="dxa"/>
            <w:vAlign w:val="center"/>
          </w:tcPr>
          <w:p w:rsidR="00926A0D" w:rsidRDefault="00926A0D">
            <w:pPr>
              <w:spacing w:before="20" w:after="20"/>
              <w:jc w:val="right"/>
              <w:rPr>
                <w:noProof/>
                <w:sz w:val="20"/>
              </w:rPr>
            </w:pPr>
          </w:p>
        </w:tc>
        <w:tc>
          <w:tcPr>
            <w:tcW w:w="868" w:type="dxa"/>
            <w:vAlign w:val="center"/>
          </w:tcPr>
          <w:p w:rsidR="00926A0D" w:rsidRDefault="00926A0D">
            <w:pPr>
              <w:spacing w:before="20" w:after="20"/>
              <w:jc w:val="right"/>
              <w:rPr>
                <w:noProof/>
                <w:sz w:val="20"/>
              </w:rPr>
            </w:pPr>
          </w:p>
        </w:tc>
        <w:tc>
          <w:tcPr>
            <w:tcW w:w="868" w:type="dxa"/>
            <w:vAlign w:val="center"/>
          </w:tcPr>
          <w:p w:rsidR="00926A0D" w:rsidRDefault="00926A0D">
            <w:pPr>
              <w:spacing w:before="20" w:after="20"/>
              <w:jc w:val="right"/>
              <w:rPr>
                <w:noProof/>
                <w:sz w:val="20"/>
              </w:rPr>
            </w:pPr>
          </w:p>
        </w:tc>
        <w:tc>
          <w:tcPr>
            <w:tcW w:w="868" w:type="dxa"/>
            <w:vAlign w:val="center"/>
          </w:tcPr>
          <w:p w:rsidR="00926A0D" w:rsidRDefault="00926A0D">
            <w:pPr>
              <w:spacing w:before="20" w:after="20"/>
              <w:jc w:val="right"/>
              <w:rPr>
                <w:noProof/>
                <w:sz w:val="20"/>
              </w:rPr>
            </w:pPr>
          </w:p>
        </w:tc>
        <w:tc>
          <w:tcPr>
            <w:tcW w:w="1777" w:type="dxa"/>
            <w:vAlign w:val="center"/>
          </w:tcPr>
          <w:p w:rsidR="00926A0D" w:rsidRDefault="006023A9">
            <w:pPr>
              <w:spacing w:before="20" w:after="20"/>
              <w:jc w:val="right"/>
              <w:rPr>
                <w:noProof/>
                <w:sz w:val="18"/>
              </w:rPr>
            </w:pPr>
            <w:r>
              <w:rPr>
                <w:noProof/>
                <w:sz w:val="20"/>
              </w:rPr>
              <w:t>0.500</w:t>
            </w:r>
          </w:p>
        </w:tc>
      </w:tr>
    </w:tbl>
    <w:p w:rsidR="00926A0D" w:rsidRDefault="006023A9">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926A0D">
        <w:trPr>
          <w:trHeight w:val="277"/>
        </w:trPr>
        <w:tc>
          <w:tcPr>
            <w:tcW w:w="3960" w:type="dxa"/>
            <w:vMerge w:val="restart"/>
            <w:vAlign w:val="center"/>
          </w:tcPr>
          <w:p w:rsidR="00926A0D" w:rsidRDefault="006023A9">
            <w:pPr>
              <w:spacing w:before="20" w:after="20"/>
              <w:rPr>
                <w:noProof/>
                <w:sz w:val="22"/>
              </w:rPr>
            </w:pPr>
            <w:r>
              <w:rPr>
                <w:noProof/>
                <w:sz w:val="22"/>
              </w:rPr>
              <w:br w:type="page"/>
            </w:r>
            <w:r>
              <w:rPr>
                <w:noProof/>
                <w:sz w:val="21"/>
              </w:rPr>
              <w:sym w:font="Wingdings" w:char="F09F"/>
            </w:r>
            <w:r>
              <w:rPr>
                <w:noProof/>
                <w:sz w:val="21"/>
              </w:rPr>
              <w:t xml:space="preserve"> TOTAL operational appropriations </w:t>
            </w:r>
          </w:p>
        </w:tc>
        <w:tc>
          <w:tcPr>
            <w:tcW w:w="1440" w:type="dxa"/>
            <w:vAlign w:val="center"/>
          </w:tcPr>
          <w:p w:rsidR="00926A0D" w:rsidRDefault="006023A9">
            <w:pPr>
              <w:spacing w:beforeLines="20" w:before="48" w:afterLines="20" w:after="48"/>
              <w:rPr>
                <w:noProof/>
                <w:sz w:val="18"/>
              </w:rPr>
            </w:pPr>
            <w:r>
              <w:rPr>
                <w:noProof/>
                <w:sz w:val="18"/>
              </w:rPr>
              <w:t>Commitments</w:t>
            </w:r>
          </w:p>
        </w:tc>
        <w:tc>
          <w:tcPr>
            <w:tcW w:w="654" w:type="dxa"/>
            <w:vAlign w:val="center"/>
          </w:tcPr>
          <w:p w:rsidR="00926A0D" w:rsidRDefault="006023A9">
            <w:pPr>
              <w:spacing w:beforeLines="20" w:before="48" w:afterLines="20" w:after="48"/>
              <w:jc w:val="center"/>
              <w:rPr>
                <w:noProof/>
                <w:sz w:val="14"/>
              </w:rPr>
            </w:pPr>
            <w:r>
              <w:rPr>
                <w:noProof/>
                <w:sz w:val="14"/>
              </w:rPr>
              <w:t>(4a)</w:t>
            </w:r>
          </w:p>
        </w:tc>
        <w:tc>
          <w:tcPr>
            <w:tcW w:w="868" w:type="dxa"/>
            <w:vAlign w:val="center"/>
          </w:tcPr>
          <w:p w:rsidR="00926A0D" w:rsidRDefault="006023A9">
            <w:pPr>
              <w:spacing w:before="20" w:after="20"/>
              <w:jc w:val="center"/>
              <w:rPr>
                <w:noProof/>
                <w:sz w:val="20"/>
              </w:rPr>
            </w:pPr>
            <w:r>
              <w:rPr>
                <w:noProof/>
                <w:sz w:val="20"/>
              </w:rPr>
              <w:t>0</w:t>
            </w:r>
          </w:p>
        </w:tc>
        <w:tc>
          <w:tcPr>
            <w:tcW w:w="868" w:type="dxa"/>
            <w:vAlign w:val="center"/>
          </w:tcPr>
          <w:p w:rsidR="00926A0D" w:rsidRDefault="006023A9">
            <w:pPr>
              <w:spacing w:before="20" w:after="20"/>
              <w:jc w:val="center"/>
              <w:rPr>
                <w:noProof/>
                <w:sz w:val="20"/>
              </w:rPr>
            </w:pPr>
            <w:r>
              <w:rPr>
                <w:noProof/>
                <w:sz w:val="20"/>
              </w:rPr>
              <w:t>0.500</w:t>
            </w:r>
          </w:p>
        </w:tc>
        <w:tc>
          <w:tcPr>
            <w:tcW w:w="868" w:type="dxa"/>
            <w:vAlign w:val="center"/>
          </w:tcPr>
          <w:p w:rsidR="00926A0D" w:rsidRDefault="006023A9">
            <w:pPr>
              <w:spacing w:before="20" w:after="20"/>
              <w:jc w:val="center"/>
              <w:rPr>
                <w:noProof/>
                <w:sz w:val="20"/>
              </w:rPr>
            </w:pPr>
            <w:r>
              <w:rPr>
                <w:noProof/>
                <w:sz w:val="20"/>
              </w:rPr>
              <w:t>0.500</w:t>
            </w:r>
          </w:p>
        </w:tc>
        <w:tc>
          <w:tcPr>
            <w:tcW w:w="868" w:type="dxa"/>
            <w:vAlign w:val="center"/>
          </w:tcPr>
          <w:p w:rsidR="00926A0D" w:rsidRDefault="00926A0D">
            <w:pPr>
              <w:spacing w:before="20" w:after="20"/>
              <w:jc w:val="center"/>
              <w:rPr>
                <w:noProof/>
                <w:sz w:val="20"/>
              </w:rPr>
            </w:pPr>
          </w:p>
        </w:tc>
        <w:tc>
          <w:tcPr>
            <w:tcW w:w="868" w:type="dxa"/>
            <w:vAlign w:val="center"/>
          </w:tcPr>
          <w:p w:rsidR="00926A0D" w:rsidRDefault="00926A0D">
            <w:pPr>
              <w:spacing w:before="20" w:after="20"/>
              <w:jc w:val="right"/>
              <w:rPr>
                <w:noProof/>
                <w:sz w:val="20"/>
              </w:rPr>
            </w:pPr>
          </w:p>
        </w:tc>
        <w:tc>
          <w:tcPr>
            <w:tcW w:w="868" w:type="dxa"/>
            <w:vAlign w:val="center"/>
          </w:tcPr>
          <w:p w:rsidR="00926A0D" w:rsidRDefault="00926A0D">
            <w:pPr>
              <w:spacing w:before="20" w:after="20"/>
              <w:jc w:val="right"/>
              <w:rPr>
                <w:noProof/>
                <w:sz w:val="20"/>
              </w:rPr>
            </w:pPr>
          </w:p>
        </w:tc>
        <w:tc>
          <w:tcPr>
            <w:tcW w:w="868" w:type="dxa"/>
            <w:vAlign w:val="center"/>
          </w:tcPr>
          <w:p w:rsidR="00926A0D" w:rsidRDefault="00926A0D">
            <w:pPr>
              <w:spacing w:before="20" w:after="20"/>
              <w:jc w:val="right"/>
              <w:rPr>
                <w:noProof/>
                <w:sz w:val="20"/>
              </w:rPr>
            </w:pPr>
          </w:p>
        </w:tc>
        <w:tc>
          <w:tcPr>
            <w:tcW w:w="1777" w:type="dxa"/>
            <w:vAlign w:val="center"/>
          </w:tcPr>
          <w:p w:rsidR="00926A0D" w:rsidRDefault="006023A9">
            <w:pPr>
              <w:spacing w:before="20" w:after="20"/>
              <w:jc w:val="right"/>
              <w:rPr>
                <w:noProof/>
                <w:sz w:val="18"/>
              </w:rPr>
            </w:pPr>
            <w:r>
              <w:rPr>
                <w:noProof/>
                <w:sz w:val="20"/>
              </w:rPr>
              <w:t>1.000</w:t>
            </w:r>
          </w:p>
        </w:tc>
      </w:tr>
      <w:tr w:rsidR="00926A0D">
        <w:tc>
          <w:tcPr>
            <w:tcW w:w="3960" w:type="dxa"/>
            <w:vMerge/>
          </w:tcPr>
          <w:p w:rsidR="00926A0D" w:rsidRDefault="00926A0D">
            <w:pPr>
              <w:jc w:val="center"/>
              <w:rPr>
                <w:noProof/>
                <w:sz w:val="20"/>
              </w:rPr>
            </w:pPr>
          </w:p>
        </w:tc>
        <w:tc>
          <w:tcPr>
            <w:tcW w:w="1440" w:type="dxa"/>
            <w:vAlign w:val="center"/>
          </w:tcPr>
          <w:p w:rsidR="00926A0D" w:rsidRDefault="006023A9">
            <w:pPr>
              <w:spacing w:beforeLines="20" w:before="48" w:afterLines="20" w:after="48"/>
              <w:rPr>
                <w:noProof/>
                <w:sz w:val="18"/>
              </w:rPr>
            </w:pPr>
            <w:r>
              <w:rPr>
                <w:noProof/>
                <w:sz w:val="18"/>
              </w:rPr>
              <w:t>Payments</w:t>
            </w:r>
          </w:p>
        </w:tc>
        <w:tc>
          <w:tcPr>
            <w:tcW w:w="654" w:type="dxa"/>
            <w:vAlign w:val="center"/>
          </w:tcPr>
          <w:p w:rsidR="00926A0D" w:rsidRDefault="006023A9">
            <w:pPr>
              <w:spacing w:beforeLines="20" w:before="48" w:afterLines="20" w:after="48"/>
              <w:jc w:val="center"/>
              <w:rPr>
                <w:noProof/>
                <w:sz w:val="14"/>
              </w:rPr>
            </w:pPr>
            <w:r>
              <w:rPr>
                <w:noProof/>
                <w:sz w:val="14"/>
              </w:rPr>
              <w:t>(5a)</w:t>
            </w:r>
          </w:p>
        </w:tc>
        <w:tc>
          <w:tcPr>
            <w:tcW w:w="868" w:type="dxa"/>
            <w:vAlign w:val="center"/>
          </w:tcPr>
          <w:p w:rsidR="00926A0D" w:rsidRDefault="006023A9">
            <w:pPr>
              <w:spacing w:before="20" w:after="20"/>
              <w:jc w:val="center"/>
              <w:rPr>
                <w:noProof/>
                <w:sz w:val="20"/>
              </w:rPr>
            </w:pPr>
            <w:r>
              <w:rPr>
                <w:noProof/>
                <w:sz w:val="20"/>
              </w:rPr>
              <w:t>0</w:t>
            </w:r>
          </w:p>
        </w:tc>
        <w:tc>
          <w:tcPr>
            <w:tcW w:w="868" w:type="dxa"/>
            <w:vAlign w:val="center"/>
          </w:tcPr>
          <w:p w:rsidR="00926A0D" w:rsidRDefault="006023A9">
            <w:pPr>
              <w:spacing w:before="20" w:after="20"/>
              <w:jc w:val="center"/>
              <w:rPr>
                <w:noProof/>
                <w:sz w:val="20"/>
              </w:rPr>
            </w:pPr>
            <w:r>
              <w:rPr>
                <w:noProof/>
                <w:sz w:val="20"/>
              </w:rPr>
              <w:t>0.150</w:t>
            </w:r>
          </w:p>
        </w:tc>
        <w:tc>
          <w:tcPr>
            <w:tcW w:w="868" w:type="dxa"/>
            <w:vAlign w:val="center"/>
          </w:tcPr>
          <w:p w:rsidR="00926A0D" w:rsidRDefault="006023A9">
            <w:pPr>
              <w:spacing w:before="20" w:after="20"/>
              <w:jc w:val="center"/>
              <w:rPr>
                <w:noProof/>
                <w:sz w:val="20"/>
              </w:rPr>
            </w:pPr>
            <w:r>
              <w:rPr>
                <w:noProof/>
                <w:sz w:val="20"/>
              </w:rPr>
              <w:t>0.350</w:t>
            </w:r>
          </w:p>
        </w:tc>
        <w:tc>
          <w:tcPr>
            <w:tcW w:w="868" w:type="dxa"/>
            <w:vAlign w:val="center"/>
          </w:tcPr>
          <w:p w:rsidR="00926A0D" w:rsidRDefault="00926A0D">
            <w:pPr>
              <w:spacing w:before="20" w:after="20"/>
              <w:jc w:val="center"/>
              <w:rPr>
                <w:noProof/>
                <w:sz w:val="20"/>
              </w:rPr>
            </w:pPr>
          </w:p>
        </w:tc>
        <w:tc>
          <w:tcPr>
            <w:tcW w:w="868" w:type="dxa"/>
            <w:vAlign w:val="center"/>
          </w:tcPr>
          <w:p w:rsidR="00926A0D" w:rsidRDefault="00926A0D">
            <w:pPr>
              <w:spacing w:before="20" w:after="20"/>
              <w:jc w:val="right"/>
              <w:rPr>
                <w:noProof/>
                <w:sz w:val="20"/>
              </w:rPr>
            </w:pPr>
          </w:p>
        </w:tc>
        <w:tc>
          <w:tcPr>
            <w:tcW w:w="868" w:type="dxa"/>
            <w:vAlign w:val="center"/>
          </w:tcPr>
          <w:p w:rsidR="00926A0D" w:rsidRDefault="00926A0D">
            <w:pPr>
              <w:spacing w:before="20" w:after="20"/>
              <w:jc w:val="right"/>
              <w:rPr>
                <w:noProof/>
                <w:sz w:val="20"/>
              </w:rPr>
            </w:pPr>
          </w:p>
        </w:tc>
        <w:tc>
          <w:tcPr>
            <w:tcW w:w="868" w:type="dxa"/>
            <w:vAlign w:val="center"/>
          </w:tcPr>
          <w:p w:rsidR="00926A0D" w:rsidRDefault="00926A0D">
            <w:pPr>
              <w:spacing w:before="20" w:after="20"/>
              <w:jc w:val="right"/>
              <w:rPr>
                <w:noProof/>
                <w:sz w:val="20"/>
              </w:rPr>
            </w:pPr>
          </w:p>
        </w:tc>
        <w:tc>
          <w:tcPr>
            <w:tcW w:w="1777" w:type="dxa"/>
            <w:vAlign w:val="center"/>
          </w:tcPr>
          <w:p w:rsidR="00926A0D" w:rsidRDefault="006023A9">
            <w:pPr>
              <w:spacing w:before="20" w:after="20"/>
              <w:jc w:val="right"/>
              <w:rPr>
                <w:noProof/>
                <w:sz w:val="18"/>
              </w:rPr>
            </w:pPr>
            <w:r>
              <w:rPr>
                <w:noProof/>
                <w:sz w:val="20"/>
              </w:rPr>
              <w:t>0.500</w:t>
            </w:r>
          </w:p>
        </w:tc>
      </w:tr>
      <w:tr w:rsidR="00926A0D">
        <w:trPr>
          <w:trHeight w:val="533"/>
        </w:trPr>
        <w:tc>
          <w:tcPr>
            <w:tcW w:w="5400" w:type="dxa"/>
            <w:gridSpan w:val="2"/>
            <w:vAlign w:val="center"/>
          </w:tcPr>
          <w:p w:rsidR="00926A0D" w:rsidRDefault="006023A9">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rsidR="00926A0D" w:rsidRDefault="006023A9">
            <w:pPr>
              <w:spacing w:beforeLines="20" w:before="48" w:afterLines="20" w:after="48"/>
              <w:jc w:val="center"/>
              <w:rPr>
                <w:noProof/>
                <w:sz w:val="14"/>
              </w:rPr>
            </w:pPr>
            <w:r>
              <w:rPr>
                <w:noProof/>
                <w:sz w:val="14"/>
              </w:rPr>
              <w:t>(6a)</w:t>
            </w:r>
          </w:p>
        </w:tc>
        <w:tc>
          <w:tcPr>
            <w:tcW w:w="868" w:type="dxa"/>
            <w:vAlign w:val="center"/>
          </w:tcPr>
          <w:p w:rsidR="00926A0D" w:rsidRDefault="00926A0D">
            <w:pPr>
              <w:spacing w:before="20" w:after="20"/>
              <w:jc w:val="right"/>
              <w:rPr>
                <w:b/>
                <w:noProof/>
                <w:sz w:val="20"/>
              </w:rPr>
            </w:pPr>
          </w:p>
        </w:tc>
        <w:tc>
          <w:tcPr>
            <w:tcW w:w="868" w:type="dxa"/>
            <w:vAlign w:val="center"/>
          </w:tcPr>
          <w:p w:rsidR="00926A0D" w:rsidRDefault="00926A0D">
            <w:pPr>
              <w:spacing w:before="20" w:after="20"/>
              <w:jc w:val="right"/>
              <w:rPr>
                <w:b/>
                <w:noProof/>
                <w:sz w:val="20"/>
              </w:rPr>
            </w:pPr>
          </w:p>
        </w:tc>
        <w:tc>
          <w:tcPr>
            <w:tcW w:w="868" w:type="dxa"/>
            <w:shd w:val="clear" w:color="auto" w:fill="auto"/>
            <w:vAlign w:val="center"/>
          </w:tcPr>
          <w:p w:rsidR="00926A0D" w:rsidRDefault="00926A0D">
            <w:pPr>
              <w:spacing w:before="20" w:after="20"/>
              <w:jc w:val="right"/>
              <w:rPr>
                <w:b/>
                <w:noProof/>
                <w:sz w:val="20"/>
              </w:rPr>
            </w:pPr>
          </w:p>
        </w:tc>
        <w:tc>
          <w:tcPr>
            <w:tcW w:w="868" w:type="dxa"/>
            <w:shd w:val="clear" w:color="auto" w:fill="auto"/>
            <w:vAlign w:val="center"/>
          </w:tcPr>
          <w:p w:rsidR="00926A0D" w:rsidRDefault="00926A0D">
            <w:pPr>
              <w:spacing w:before="20" w:after="20"/>
              <w:jc w:val="right"/>
              <w:rPr>
                <w:b/>
                <w:noProof/>
                <w:sz w:val="20"/>
              </w:rPr>
            </w:pPr>
          </w:p>
        </w:tc>
        <w:tc>
          <w:tcPr>
            <w:tcW w:w="868" w:type="dxa"/>
            <w:shd w:val="clear" w:color="auto" w:fill="auto"/>
            <w:vAlign w:val="center"/>
          </w:tcPr>
          <w:p w:rsidR="00926A0D" w:rsidRDefault="00926A0D">
            <w:pPr>
              <w:spacing w:before="20" w:after="20"/>
              <w:jc w:val="right"/>
              <w:rPr>
                <w:b/>
                <w:noProof/>
                <w:sz w:val="20"/>
              </w:rPr>
            </w:pPr>
          </w:p>
        </w:tc>
        <w:tc>
          <w:tcPr>
            <w:tcW w:w="868" w:type="dxa"/>
            <w:shd w:val="clear" w:color="auto" w:fill="auto"/>
            <w:vAlign w:val="center"/>
          </w:tcPr>
          <w:p w:rsidR="00926A0D" w:rsidRDefault="00926A0D">
            <w:pPr>
              <w:spacing w:before="20" w:after="20"/>
              <w:jc w:val="right"/>
              <w:rPr>
                <w:b/>
                <w:noProof/>
                <w:sz w:val="20"/>
              </w:rPr>
            </w:pPr>
          </w:p>
        </w:tc>
        <w:tc>
          <w:tcPr>
            <w:tcW w:w="868" w:type="dxa"/>
            <w:shd w:val="clear" w:color="auto" w:fill="auto"/>
            <w:vAlign w:val="center"/>
          </w:tcPr>
          <w:p w:rsidR="00926A0D" w:rsidRDefault="00926A0D">
            <w:pPr>
              <w:spacing w:before="20" w:after="20"/>
              <w:jc w:val="right"/>
              <w:rPr>
                <w:b/>
                <w:noProof/>
                <w:sz w:val="20"/>
              </w:rPr>
            </w:pPr>
          </w:p>
        </w:tc>
        <w:tc>
          <w:tcPr>
            <w:tcW w:w="1777" w:type="dxa"/>
            <w:shd w:val="clear" w:color="auto" w:fill="auto"/>
            <w:vAlign w:val="center"/>
          </w:tcPr>
          <w:p w:rsidR="00926A0D" w:rsidRDefault="00926A0D">
            <w:pPr>
              <w:spacing w:before="20" w:after="20"/>
              <w:jc w:val="right"/>
              <w:rPr>
                <w:noProof/>
                <w:sz w:val="18"/>
              </w:rPr>
            </w:pPr>
          </w:p>
        </w:tc>
      </w:tr>
      <w:tr w:rsidR="00926A0D">
        <w:tc>
          <w:tcPr>
            <w:tcW w:w="3960" w:type="dxa"/>
            <w:vMerge w:val="restart"/>
            <w:shd w:val="thinDiagStripe" w:color="C0C0C0" w:fill="auto"/>
          </w:tcPr>
          <w:p w:rsidR="00926A0D" w:rsidRDefault="006023A9">
            <w:pPr>
              <w:jc w:val="center"/>
              <w:rPr>
                <w:b/>
                <w:noProof/>
                <w:sz w:val="22"/>
              </w:rPr>
            </w:pPr>
            <w:r>
              <w:rPr>
                <w:b/>
                <w:noProof/>
                <w:sz w:val="22"/>
              </w:rPr>
              <w:t>TOTAL appropriations</w:t>
            </w:r>
          </w:p>
          <w:p w:rsidR="00926A0D" w:rsidRDefault="006023A9">
            <w:pPr>
              <w:jc w:val="center"/>
              <w:rPr>
                <w:b/>
                <w:noProof/>
                <w:sz w:val="22"/>
              </w:rPr>
            </w:pPr>
            <w:r>
              <w:rPr>
                <w:b/>
                <w:noProof/>
                <w:sz w:val="22"/>
              </w:rPr>
              <w:t>under HEADING &lt;2&gt;</w:t>
            </w:r>
          </w:p>
          <w:p w:rsidR="00926A0D" w:rsidRDefault="006023A9">
            <w:pPr>
              <w:jc w:val="center"/>
              <w:rPr>
                <w:noProof/>
                <w:sz w:val="20"/>
              </w:rPr>
            </w:pPr>
            <w:r>
              <w:rPr>
                <w:noProof/>
                <w:sz w:val="20"/>
              </w:rPr>
              <w:t>of the multiannual financial framework</w:t>
            </w:r>
          </w:p>
        </w:tc>
        <w:tc>
          <w:tcPr>
            <w:tcW w:w="1440" w:type="dxa"/>
          </w:tcPr>
          <w:p w:rsidR="00926A0D" w:rsidRDefault="006023A9">
            <w:pPr>
              <w:rPr>
                <w:noProof/>
                <w:sz w:val="18"/>
                <w:szCs w:val="18"/>
              </w:rPr>
            </w:pPr>
            <w:r>
              <w:rPr>
                <w:noProof/>
                <w:sz w:val="18"/>
                <w:szCs w:val="18"/>
              </w:rPr>
              <w:t>Commitments</w:t>
            </w:r>
          </w:p>
        </w:tc>
        <w:tc>
          <w:tcPr>
            <w:tcW w:w="654" w:type="dxa"/>
            <w:vAlign w:val="center"/>
          </w:tcPr>
          <w:p w:rsidR="00926A0D" w:rsidRDefault="00926A0D">
            <w:pPr>
              <w:jc w:val="center"/>
              <w:rPr>
                <w:noProof/>
                <w:sz w:val="14"/>
              </w:rPr>
            </w:pPr>
          </w:p>
        </w:tc>
        <w:tc>
          <w:tcPr>
            <w:tcW w:w="868" w:type="dxa"/>
            <w:vAlign w:val="center"/>
          </w:tcPr>
          <w:p w:rsidR="00926A0D" w:rsidRDefault="006023A9">
            <w:pPr>
              <w:spacing w:before="20" w:after="20"/>
              <w:jc w:val="right"/>
              <w:rPr>
                <w:noProof/>
                <w:sz w:val="20"/>
              </w:rPr>
            </w:pPr>
            <w:r>
              <w:rPr>
                <w:noProof/>
                <w:sz w:val="20"/>
              </w:rPr>
              <w:t>0</w:t>
            </w:r>
          </w:p>
        </w:tc>
        <w:tc>
          <w:tcPr>
            <w:tcW w:w="868" w:type="dxa"/>
            <w:vAlign w:val="center"/>
          </w:tcPr>
          <w:p w:rsidR="00926A0D" w:rsidRDefault="006023A9">
            <w:pPr>
              <w:spacing w:before="20" w:after="20"/>
              <w:jc w:val="right"/>
              <w:rPr>
                <w:noProof/>
                <w:sz w:val="20"/>
              </w:rPr>
            </w:pPr>
            <w:r>
              <w:rPr>
                <w:noProof/>
                <w:sz w:val="20"/>
              </w:rPr>
              <w:t>0.500</w:t>
            </w:r>
          </w:p>
        </w:tc>
        <w:tc>
          <w:tcPr>
            <w:tcW w:w="868" w:type="dxa"/>
            <w:shd w:val="clear" w:color="auto" w:fill="auto"/>
            <w:vAlign w:val="center"/>
          </w:tcPr>
          <w:p w:rsidR="00926A0D" w:rsidRDefault="006023A9">
            <w:pPr>
              <w:spacing w:before="20" w:after="20"/>
              <w:jc w:val="right"/>
              <w:rPr>
                <w:noProof/>
                <w:sz w:val="20"/>
              </w:rPr>
            </w:pPr>
            <w:r>
              <w:rPr>
                <w:noProof/>
                <w:sz w:val="20"/>
              </w:rPr>
              <w:t>0500</w:t>
            </w:r>
          </w:p>
        </w:tc>
        <w:tc>
          <w:tcPr>
            <w:tcW w:w="868" w:type="dxa"/>
            <w:shd w:val="clear" w:color="auto" w:fill="auto"/>
            <w:vAlign w:val="center"/>
          </w:tcPr>
          <w:p w:rsidR="00926A0D" w:rsidRDefault="00926A0D">
            <w:pPr>
              <w:spacing w:before="20" w:after="20"/>
              <w:jc w:val="right"/>
              <w:rPr>
                <w:noProof/>
                <w:sz w:val="20"/>
              </w:rPr>
            </w:pPr>
          </w:p>
        </w:tc>
        <w:tc>
          <w:tcPr>
            <w:tcW w:w="868" w:type="dxa"/>
            <w:shd w:val="clear" w:color="auto" w:fill="auto"/>
            <w:vAlign w:val="center"/>
          </w:tcPr>
          <w:p w:rsidR="00926A0D" w:rsidRDefault="00926A0D">
            <w:pPr>
              <w:spacing w:before="20" w:after="20"/>
              <w:jc w:val="right"/>
              <w:rPr>
                <w:noProof/>
                <w:sz w:val="20"/>
              </w:rPr>
            </w:pPr>
          </w:p>
        </w:tc>
        <w:tc>
          <w:tcPr>
            <w:tcW w:w="868" w:type="dxa"/>
            <w:shd w:val="clear" w:color="auto" w:fill="auto"/>
            <w:vAlign w:val="center"/>
          </w:tcPr>
          <w:p w:rsidR="00926A0D" w:rsidRDefault="00926A0D">
            <w:pPr>
              <w:spacing w:before="20" w:after="20"/>
              <w:jc w:val="right"/>
              <w:rPr>
                <w:noProof/>
                <w:sz w:val="20"/>
              </w:rPr>
            </w:pPr>
          </w:p>
        </w:tc>
        <w:tc>
          <w:tcPr>
            <w:tcW w:w="868" w:type="dxa"/>
            <w:shd w:val="clear" w:color="auto" w:fill="auto"/>
            <w:vAlign w:val="center"/>
          </w:tcPr>
          <w:p w:rsidR="00926A0D" w:rsidRDefault="00926A0D">
            <w:pPr>
              <w:spacing w:before="20" w:after="20"/>
              <w:jc w:val="right"/>
              <w:rPr>
                <w:noProof/>
                <w:sz w:val="20"/>
              </w:rPr>
            </w:pPr>
          </w:p>
        </w:tc>
        <w:tc>
          <w:tcPr>
            <w:tcW w:w="1777" w:type="dxa"/>
            <w:shd w:val="clear" w:color="auto" w:fill="auto"/>
            <w:vAlign w:val="center"/>
          </w:tcPr>
          <w:p w:rsidR="00926A0D" w:rsidRDefault="006023A9">
            <w:pPr>
              <w:spacing w:before="20" w:after="20"/>
              <w:jc w:val="right"/>
              <w:rPr>
                <w:noProof/>
                <w:sz w:val="18"/>
              </w:rPr>
            </w:pPr>
            <w:r>
              <w:rPr>
                <w:noProof/>
                <w:sz w:val="20"/>
              </w:rPr>
              <w:t>1.000</w:t>
            </w:r>
          </w:p>
        </w:tc>
      </w:tr>
      <w:tr w:rsidR="00926A0D">
        <w:tc>
          <w:tcPr>
            <w:tcW w:w="3960" w:type="dxa"/>
            <w:vMerge/>
            <w:shd w:val="thinDiagStripe" w:color="C0C0C0" w:fill="auto"/>
          </w:tcPr>
          <w:p w:rsidR="00926A0D" w:rsidRDefault="00926A0D">
            <w:pPr>
              <w:rPr>
                <w:noProof/>
                <w:sz w:val="20"/>
              </w:rPr>
            </w:pPr>
          </w:p>
        </w:tc>
        <w:tc>
          <w:tcPr>
            <w:tcW w:w="1440" w:type="dxa"/>
          </w:tcPr>
          <w:p w:rsidR="00926A0D" w:rsidRDefault="006023A9">
            <w:pPr>
              <w:rPr>
                <w:noProof/>
                <w:sz w:val="18"/>
                <w:szCs w:val="18"/>
              </w:rPr>
            </w:pPr>
            <w:r>
              <w:rPr>
                <w:noProof/>
                <w:sz w:val="18"/>
                <w:szCs w:val="18"/>
              </w:rPr>
              <w:t>Payments</w:t>
            </w:r>
          </w:p>
        </w:tc>
        <w:tc>
          <w:tcPr>
            <w:tcW w:w="654" w:type="dxa"/>
            <w:vAlign w:val="center"/>
          </w:tcPr>
          <w:p w:rsidR="00926A0D" w:rsidRDefault="00926A0D">
            <w:pPr>
              <w:jc w:val="center"/>
              <w:rPr>
                <w:noProof/>
                <w:sz w:val="14"/>
              </w:rPr>
            </w:pPr>
          </w:p>
        </w:tc>
        <w:tc>
          <w:tcPr>
            <w:tcW w:w="868" w:type="dxa"/>
            <w:vAlign w:val="center"/>
          </w:tcPr>
          <w:p w:rsidR="00926A0D" w:rsidRDefault="006023A9">
            <w:pPr>
              <w:spacing w:before="20" w:after="20"/>
              <w:jc w:val="right"/>
              <w:rPr>
                <w:noProof/>
                <w:sz w:val="20"/>
              </w:rPr>
            </w:pPr>
            <w:r>
              <w:rPr>
                <w:noProof/>
                <w:sz w:val="20"/>
              </w:rPr>
              <w:t>0</w:t>
            </w:r>
          </w:p>
        </w:tc>
        <w:tc>
          <w:tcPr>
            <w:tcW w:w="868" w:type="dxa"/>
            <w:vAlign w:val="center"/>
          </w:tcPr>
          <w:p w:rsidR="00926A0D" w:rsidRDefault="006023A9">
            <w:pPr>
              <w:spacing w:before="20" w:after="20"/>
              <w:jc w:val="right"/>
              <w:rPr>
                <w:noProof/>
                <w:sz w:val="20"/>
              </w:rPr>
            </w:pPr>
            <w:r>
              <w:rPr>
                <w:noProof/>
                <w:sz w:val="20"/>
              </w:rPr>
              <w:t>0.150</w:t>
            </w:r>
          </w:p>
        </w:tc>
        <w:tc>
          <w:tcPr>
            <w:tcW w:w="868" w:type="dxa"/>
            <w:shd w:val="clear" w:color="auto" w:fill="auto"/>
            <w:vAlign w:val="center"/>
          </w:tcPr>
          <w:p w:rsidR="00926A0D" w:rsidRDefault="006023A9">
            <w:pPr>
              <w:spacing w:before="20" w:after="20"/>
              <w:jc w:val="right"/>
              <w:rPr>
                <w:noProof/>
                <w:sz w:val="20"/>
              </w:rPr>
            </w:pPr>
            <w:r>
              <w:rPr>
                <w:noProof/>
                <w:sz w:val="20"/>
              </w:rPr>
              <w:t>0.350</w:t>
            </w:r>
          </w:p>
        </w:tc>
        <w:tc>
          <w:tcPr>
            <w:tcW w:w="868" w:type="dxa"/>
            <w:shd w:val="clear" w:color="auto" w:fill="auto"/>
            <w:vAlign w:val="center"/>
          </w:tcPr>
          <w:p w:rsidR="00926A0D" w:rsidRDefault="00926A0D">
            <w:pPr>
              <w:spacing w:before="20" w:after="20"/>
              <w:jc w:val="right"/>
              <w:rPr>
                <w:noProof/>
                <w:sz w:val="20"/>
              </w:rPr>
            </w:pPr>
          </w:p>
        </w:tc>
        <w:tc>
          <w:tcPr>
            <w:tcW w:w="868" w:type="dxa"/>
            <w:shd w:val="clear" w:color="auto" w:fill="auto"/>
            <w:vAlign w:val="center"/>
          </w:tcPr>
          <w:p w:rsidR="00926A0D" w:rsidRDefault="00926A0D">
            <w:pPr>
              <w:spacing w:before="20" w:after="20"/>
              <w:jc w:val="right"/>
              <w:rPr>
                <w:noProof/>
                <w:sz w:val="20"/>
              </w:rPr>
            </w:pPr>
          </w:p>
        </w:tc>
        <w:tc>
          <w:tcPr>
            <w:tcW w:w="868" w:type="dxa"/>
            <w:shd w:val="clear" w:color="auto" w:fill="auto"/>
            <w:vAlign w:val="center"/>
          </w:tcPr>
          <w:p w:rsidR="00926A0D" w:rsidRDefault="00926A0D">
            <w:pPr>
              <w:spacing w:before="20" w:after="20"/>
              <w:jc w:val="right"/>
              <w:rPr>
                <w:noProof/>
                <w:sz w:val="20"/>
              </w:rPr>
            </w:pPr>
          </w:p>
        </w:tc>
        <w:tc>
          <w:tcPr>
            <w:tcW w:w="868" w:type="dxa"/>
            <w:shd w:val="clear" w:color="auto" w:fill="auto"/>
            <w:vAlign w:val="center"/>
          </w:tcPr>
          <w:p w:rsidR="00926A0D" w:rsidRDefault="00926A0D">
            <w:pPr>
              <w:spacing w:before="20" w:after="20"/>
              <w:jc w:val="right"/>
              <w:rPr>
                <w:noProof/>
                <w:sz w:val="20"/>
              </w:rPr>
            </w:pPr>
          </w:p>
        </w:tc>
        <w:tc>
          <w:tcPr>
            <w:tcW w:w="1777" w:type="dxa"/>
            <w:shd w:val="clear" w:color="auto" w:fill="auto"/>
            <w:vAlign w:val="center"/>
          </w:tcPr>
          <w:p w:rsidR="00926A0D" w:rsidRDefault="006023A9">
            <w:pPr>
              <w:spacing w:before="20" w:after="20"/>
              <w:jc w:val="right"/>
              <w:rPr>
                <w:noProof/>
                <w:sz w:val="18"/>
              </w:rPr>
            </w:pPr>
            <w:r>
              <w:rPr>
                <w:noProof/>
                <w:sz w:val="20"/>
              </w:rPr>
              <w:t>0.500</w:t>
            </w:r>
          </w:p>
        </w:tc>
      </w:tr>
    </w:tbl>
    <w:p w:rsidR="00926A0D" w:rsidRDefault="006023A9">
      <w:pPr>
        <w:spacing w:after="40"/>
        <w:rPr>
          <w:b/>
          <w:noProof/>
          <w:sz w:val="22"/>
          <w:u w:val="single"/>
        </w:rPr>
      </w:pPr>
      <w:r>
        <w:rPr>
          <w:b/>
          <w:noProof/>
          <w:sz w:val="22"/>
          <w:u w:val="single"/>
        </w:rPr>
        <w:t>If more than one heading is affected by the proposal / 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926A0D">
        <w:trPr>
          <w:trHeight w:val="277"/>
        </w:trPr>
        <w:tc>
          <w:tcPr>
            <w:tcW w:w="3960" w:type="dxa"/>
            <w:vMerge w:val="restart"/>
            <w:tcBorders>
              <w:top w:val="single" w:sz="4" w:space="0" w:color="FF0000"/>
              <w:left w:val="single" w:sz="4" w:space="0" w:color="auto"/>
              <w:bottom w:val="single" w:sz="4" w:space="0" w:color="FF0000"/>
            </w:tcBorders>
            <w:vAlign w:val="center"/>
          </w:tcPr>
          <w:p w:rsidR="00926A0D" w:rsidRDefault="006023A9">
            <w:pPr>
              <w:spacing w:before="20" w:after="20"/>
              <w:rPr>
                <w:noProof/>
                <w:sz w:val="22"/>
              </w:rPr>
            </w:pPr>
            <w:r>
              <w:rPr>
                <w:noProof/>
                <w:sz w:val="21"/>
              </w:rPr>
              <w:sym w:font="Wingdings" w:char="F09F"/>
            </w:r>
            <w:r>
              <w:rPr>
                <w:noProof/>
                <w:sz w:val="21"/>
              </w:rPr>
              <w:t xml:space="preserve"> TOTAL operational appropriations </w:t>
            </w:r>
          </w:p>
        </w:tc>
        <w:tc>
          <w:tcPr>
            <w:tcW w:w="1440" w:type="dxa"/>
            <w:tcBorders>
              <w:top w:val="single" w:sz="4" w:space="0" w:color="FF0000"/>
            </w:tcBorders>
            <w:vAlign w:val="center"/>
          </w:tcPr>
          <w:p w:rsidR="00926A0D" w:rsidRDefault="006023A9">
            <w:pPr>
              <w:spacing w:beforeLines="20" w:before="48" w:afterLines="20" w:after="48"/>
              <w:rPr>
                <w:noProof/>
                <w:sz w:val="18"/>
              </w:rPr>
            </w:pPr>
            <w:r>
              <w:rPr>
                <w:noProof/>
                <w:sz w:val="18"/>
              </w:rPr>
              <w:t>Commitments</w:t>
            </w:r>
          </w:p>
        </w:tc>
        <w:tc>
          <w:tcPr>
            <w:tcW w:w="654" w:type="dxa"/>
            <w:tcBorders>
              <w:top w:val="single" w:sz="4" w:space="0" w:color="FF0000"/>
            </w:tcBorders>
            <w:vAlign w:val="center"/>
          </w:tcPr>
          <w:p w:rsidR="00926A0D" w:rsidRDefault="006023A9">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rsidR="00926A0D" w:rsidRDefault="006023A9">
            <w:pPr>
              <w:spacing w:before="20" w:after="20"/>
              <w:jc w:val="right"/>
              <w:rPr>
                <w:noProof/>
                <w:sz w:val="20"/>
              </w:rPr>
            </w:pPr>
            <w:r>
              <w:rPr>
                <w:noProof/>
                <w:sz w:val="20"/>
              </w:rPr>
              <w:t>0</w:t>
            </w:r>
          </w:p>
        </w:tc>
        <w:tc>
          <w:tcPr>
            <w:tcW w:w="868" w:type="dxa"/>
            <w:tcBorders>
              <w:top w:val="single" w:sz="4" w:space="0" w:color="FF0000"/>
            </w:tcBorders>
            <w:vAlign w:val="center"/>
          </w:tcPr>
          <w:p w:rsidR="00926A0D" w:rsidRDefault="006023A9">
            <w:pPr>
              <w:spacing w:before="20" w:after="20"/>
              <w:jc w:val="right"/>
              <w:rPr>
                <w:noProof/>
                <w:sz w:val="20"/>
              </w:rPr>
            </w:pPr>
            <w:r>
              <w:rPr>
                <w:noProof/>
                <w:sz w:val="20"/>
              </w:rPr>
              <w:t>1.000</w:t>
            </w:r>
          </w:p>
        </w:tc>
        <w:tc>
          <w:tcPr>
            <w:tcW w:w="868" w:type="dxa"/>
            <w:tcBorders>
              <w:top w:val="single" w:sz="4" w:space="0" w:color="FF0000"/>
            </w:tcBorders>
            <w:vAlign w:val="center"/>
          </w:tcPr>
          <w:p w:rsidR="00926A0D" w:rsidRDefault="006023A9">
            <w:pPr>
              <w:spacing w:before="20" w:after="20"/>
              <w:jc w:val="right"/>
              <w:rPr>
                <w:noProof/>
                <w:sz w:val="20"/>
              </w:rPr>
            </w:pPr>
            <w:r>
              <w:rPr>
                <w:noProof/>
                <w:sz w:val="20"/>
              </w:rPr>
              <w:t>1.000</w:t>
            </w:r>
          </w:p>
        </w:tc>
        <w:tc>
          <w:tcPr>
            <w:tcW w:w="868" w:type="dxa"/>
            <w:tcBorders>
              <w:top w:val="single" w:sz="4" w:space="0" w:color="FF0000"/>
            </w:tcBorders>
            <w:vAlign w:val="center"/>
          </w:tcPr>
          <w:p w:rsidR="00926A0D" w:rsidRDefault="00926A0D">
            <w:pPr>
              <w:spacing w:before="20" w:after="20"/>
              <w:jc w:val="right"/>
              <w:rPr>
                <w:noProof/>
                <w:sz w:val="20"/>
              </w:rPr>
            </w:pPr>
          </w:p>
        </w:tc>
        <w:tc>
          <w:tcPr>
            <w:tcW w:w="868" w:type="dxa"/>
            <w:tcBorders>
              <w:top w:val="single" w:sz="4" w:space="0" w:color="FF0000"/>
            </w:tcBorders>
            <w:vAlign w:val="center"/>
          </w:tcPr>
          <w:p w:rsidR="00926A0D" w:rsidRDefault="00926A0D">
            <w:pPr>
              <w:spacing w:before="20" w:after="20"/>
              <w:jc w:val="right"/>
              <w:rPr>
                <w:noProof/>
                <w:sz w:val="20"/>
              </w:rPr>
            </w:pPr>
          </w:p>
        </w:tc>
        <w:tc>
          <w:tcPr>
            <w:tcW w:w="868" w:type="dxa"/>
            <w:tcBorders>
              <w:top w:val="single" w:sz="4" w:space="0" w:color="FF0000"/>
            </w:tcBorders>
            <w:vAlign w:val="center"/>
          </w:tcPr>
          <w:p w:rsidR="00926A0D" w:rsidRDefault="00926A0D">
            <w:pPr>
              <w:spacing w:before="20" w:after="20"/>
              <w:jc w:val="right"/>
              <w:rPr>
                <w:noProof/>
                <w:sz w:val="20"/>
              </w:rPr>
            </w:pPr>
          </w:p>
        </w:tc>
        <w:tc>
          <w:tcPr>
            <w:tcW w:w="868" w:type="dxa"/>
            <w:tcBorders>
              <w:top w:val="single" w:sz="4" w:space="0" w:color="FF0000"/>
            </w:tcBorders>
            <w:vAlign w:val="center"/>
          </w:tcPr>
          <w:p w:rsidR="00926A0D" w:rsidRDefault="00926A0D">
            <w:pPr>
              <w:spacing w:before="20" w:after="20"/>
              <w:jc w:val="right"/>
              <w:rPr>
                <w:b/>
                <w:noProof/>
                <w:sz w:val="20"/>
              </w:rPr>
            </w:pPr>
          </w:p>
        </w:tc>
        <w:tc>
          <w:tcPr>
            <w:tcW w:w="1777" w:type="dxa"/>
            <w:tcBorders>
              <w:top w:val="single" w:sz="4" w:space="0" w:color="FF0000"/>
              <w:right w:val="single" w:sz="4" w:space="0" w:color="auto"/>
            </w:tcBorders>
            <w:vAlign w:val="center"/>
          </w:tcPr>
          <w:p w:rsidR="00926A0D" w:rsidRDefault="006023A9">
            <w:pPr>
              <w:spacing w:before="20" w:after="20"/>
              <w:jc w:val="right"/>
              <w:rPr>
                <w:noProof/>
                <w:sz w:val="20"/>
              </w:rPr>
            </w:pPr>
            <w:r>
              <w:rPr>
                <w:noProof/>
                <w:sz w:val="20"/>
              </w:rPr>
              <w:t>2.000</w:t>
            </w:r>
          </w:p>
        </w:tc>
      </w:tr>
      <w:tr w:rsidR="00926A0D">
        <w:tc>
          <w:tcPr>
            <w:tcW w:w="3960" w:type="dxa"/>
            <w:vMerge/>
            <w:tcBorders>
              <w:top w:val="single" w:sz="4" w:space="0" w:color="FF0000"/>
              <w:left w:val="single" w:sz="4" w:space="0" w:color="auto"/>
              <w:bottom w:val="single" w:sz="4" w:space="0" w:color="FF0000"/>
            </w:tcBorders>
          </w:tcPr>
          <w:p w:rsidR="00926A0D" w:rsidRDefault="00926A0D">
            <w:pPr>
              <w:jc w:val="center"/>
              <w:rPr>
                <w:noProof/>
                <w:sz w:val="20"/>
              </w:rPr>
            </w:pPr>
          </w:p>
        </w:tc>
        <w:tc>
          <w:tcPr>
            <w:tcW w:w="1440" w:type="dxa"/>
            <w:vAlign w:val="center"/>
          </w:tcPr>
          <w:p w:rsidR="00926A0D" w:rsidRDefault="006023A9">
            <w:pPr>
              <w:spacing w:beforeLines="20" w:before="48" w:afterLines="20" w:after="48"/>
              <w:rPr>
                <w:noProof/>
                <w:sz w:val="18"/>
              </w:rPr>
            </w:pPr>
            <w:r>
              <w:rPr>
                <w:noProof/>
                <w:sz w:val="18"/>
              </w:rPr>
              <w:t>Payments</w:t>
            </w:r>
          </w:p>
        </w:tc>
        <w:tc>
          <w:tcPr>
            <w:tcW w:w="654" w:type="dxa"/>
            <w:vAlign w:val="center"/>
          </w:tcPr>
          <w:p w:rsidR="00926A0D" w:rsidRDefault="006023A9">
            <w:pPr>
              <w:spacing w:beforeLines="20" w:before="48" w:afterLines="20" w:after="48"/>
              <w:jc w:val="center"/>
              <w:rPr>
                <w:noProof/>
                <w:sz w:val="14"/>
              </w:rPr>
            </w:pPr>
            <w:r>
              <w:rPr>
                <w:noProof/>
                <w:sz w:val="14"/>
              </w:rPr>
              <w:t>(5)</w:t>
            </w:r>
          </w:p>
        </w:tc>
        <w:tc>
          <w:tcPr>
            <w:tcW w:w="868" w:type="dxa"/>
            <w:vAlign w:val="center"/>
          </w:tcPr>
          <w:p w:rsidR="00926A0D" w:rsidRDefault="006023A9">
            <w:pPr>
              <w:spacing w:before="20" w:after="20"/>
              <w:jc w:val="right"/>
              <w:rPr>
                <w:noProof/>
                <w:sz w:val="20"/>
              </w:rPr>
            </w:pPr>
            <w:r>
              <w:rPr>
                <w:noProof/>
                <w:sz w:val="20"/>
              </w:rPr>
              <w:t>0</w:t>
            </w:r>
          </w:p>
        </w:tc>
        <w:tc>
          <w:tcPr>
            <w:tcW w:w="868" w:type="dxa"/>
            <w:vAlign w:val="center"/>
          </w:tcPr>
          <w:p w:rsidR="00926A0D" w:rsidRDefault="006023A9">
            <w:pPr>
              <w:spacing w:before="20" w:after="20"/>
              <w:jc w:val="right"/>
              <w:rPr>
                <w:noProof/>
                <w:sz w:val="20"/>
              </w:rPr>
            </w:pPr>
            <w:r>
              <w:rPr>
                <w:noProof/>
                <w:sz w:val="20"/>
              </w:rPr>
              <w:t>0.300</w:t>
            </w:r>
          </w:p>
        </w:tc>
        <w:tc>
          <w:tcPr>
            <w:tcW w:w="868" w:type="dxa"/>
            <w:vAlign w:val="center"/>
          </w:tcPr>
          <w:p w:rsidR="00926A0D" w:rsidRDefault="006023A9">
            <w:pPr>
              <w:spacing w:before="20" w:after="20"/>
              <w:jc w:val="right"/>
              <w:rPr>
                <w:noProof/>
                <w:sz w:val="20"/>
              </w:rPr>
            </w:pPr>
            <w:r>
              <w:rPr>
                <w:noProof/>
                <w:sz w:val="20"/>
              </w:rPr>
              <w:t>0.700</w:t>
            </w:r>
          </w:p>
        </w:tc>
        <w:tc>
          <w:tcPr>
            <w:tcW w:w="868" w:type="dxa"/>
            <w:vAlign w:val="center"/>
          </w:tcPr>
          <w:p w:rsidR="00926A0D" w:rsidRDefault="00926A0D">
            <w:pPr>
              <w:spacing w:before="20" w:after="20"/>
              <w:jc w:val="right"/>
              <w:rPr>
                <w:noProof/>
                <w:sz w:val="20"/>
              </w:rPr>
            </w:pPr>
          </w:p>
        </w:tc>
        <w:tc>
          <w:tcPr>
            <w:tcW w:w="868" w:type="dxa"/>
            <w:vAlign w:val="center"/>
          </w:tcPr>
          <w:p w:rsidR="00926A0D" w:rsidRDefault="00926A0D">
            <w:pPr>
              <w:spacing w:before="20" w:after="20"/>
              <w:jc w:val="right"/>
              <w:rPr>
                <w:noProof/>
                <w:sz w:val="20"/>
              </w:rPr>
            </w:pPr>
          </w:p>
        </w:tc>
        <w:tc>
          <w:tcPr>
            <w:tcW w:w="868" w:type="dxa"/>
            <w:vAlign w:val="center"/>
          </w:tcPr>
          <w:p w:rsidR="00926A0D" w:rsidRDefault="00926A0D">
            <w:pPr>
              <w:spacing w:before="20" w:after="20"/>
              <w:jc w:val="right"/>
              <w:rPr>
                <w:noProof/>
                <w:sz w:val="20"/>
              </w:rPr>
            </w:pPr>
          </w:p>
        </w:tc>
        <w:tc>
          <w:tcPr>
            <w:tcW w:w="868" w:type="dxa"/>
            <w:vAlign w:val="center"/>
          </w:tcPr>
          <w:p w:rsidR="00926A0D" w:rsidRDefault="00926A0D">
            <w:pPr>
              <w:spacing w:before="20" w:after="20"/>
              <w:jc w:val="right"/>
              <w:rPr>
                <w:b/>
                <w:noProof/>
                <w:sz w:val="20"/>
              </w:rPr>
            </w:pPr>
          </w:p>
        </w:tc>
        <w:tc>
          <w:tcPr>
            <w:tcW w:w="1777" w:type="dxa"/>
            <w:tcBorders>
              <w:right w:val="single" w:sz="4" w:space="0" w:color="auto"/>
            </w:tcBorders>
            <w:vAlign w:val="center"/>
          </w:tcPr>
          <w:p w:rsidR="00926A0D" w:rsidRDefault="006023A9">
            <w:pPr>
              <w:spacing w:before="20" w:after="20"/>
              <w:jc w:val="right"/>
              <w:rPr>
                <w:noProof/>
                <w:sz w:val="20"/>
              </w:rPr>
            </w:pPr>
            <w:r>
              <w:rPr>
                <w:noProof/>
                <w:sz w:val="20"/>
              </w:rPr>
              <w:t>1.000</w:t>
            </w:r>
          </w:p>
        </w:tc>
      </w:tr>
      <w:tr w:rsidR="00926A0D">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926A0D" w:rsidRDefault="006023A9">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rsidR="00926A0D" w:rsidRDefault="006023A9">
            <w:pPr>
              <w:spacing w:beforeLines="20" w:before="48" w:afterLines="20" w:after="48"/>
              <w:jc w:val="center"/>
              <w:rPr>
                <w:noProof/>
                <w:sz w:val="14"/>
              </w:rPr>
            </w:pPr>
            <w:r>
              <w:rPr>
                <w:noProof/>
                <w:sz w:val="14"/>
              </w:rPr>
              <w:t>(6)</w:t>
            </w:r>
          </w:p>
        </w:tc>
        <w:tc>
          <w:tcPr>
            <w:tcW w:w="868" w:type="dxa"/>
            <w:vAlign w:val="center"/>
          </w:tcPr>
          <w:p w:rsidR="00926A0D" w:rsidRDefault="00926A0D">
            <w:pPr>
              <w:spacing w:before="20" w:after="20"/>
              <w:jc w:val="right"/>
              <w:rPr>
                <w:b/>
                <w:noProof/>
                <w:sz w:val="20"/>
              </w:rPr>
            </w:pPr>
          </w:p>
        </w:tc>
        <w:tc>
          <w:tcPr>
            <w:tcW w:w="868" w:type="dxa"/>
            <w:vAlign w:val="center"/>
          </w:tcPr>
          <w:p w:rsidR="00926A0D" w:rsidRDefault="00926A0D">
            <w:pPr>
              <w:spacing w:before="20" w:after="20"/>
              <w:jc w:val="right"/>
              <w:rPr>
                <w:b/>
                <w:noProof/>
                <w:sz w:val="20"/>
              </w:rPr>
            </w:pPr>
          </w:p>
        </w:tc>
        <w:tc>
          <w:tcPr>
            <w:tcW w:w="868" w:type="dxa"/>
            <w:vAlign w:val="center"/>
          </w:tcPr>
          <w:p w:rsidR="00926A0D" w:rsidRDefault="00926A0D">
            <w:pPr>
              <w:spacing w:before="20" w:after="20"/>
              <w:jc w:val="right"/>
              <w:rPr>
                <w:b/>
                <w:noProof/>
                <w:sz w:val="20"/>
              </w:rPr>
            </w:pPr>
          </w:p>
        </w:tc>
        <w:tc>
          <w:tcPr>
            <w:tcW w:w="868" w:type="dxa"/>
            <w:vAlign w:val="center"/>
          </w:tcPr>
          <w:p w:rsidR="00926A0D" w:rsidRDefault="00926A0D">
            <w:pPr>
              <w:spacing w:before="20" w:after="20"/>
              <w:jc w:val="right"/>
              <w:rPr>
                <w:b/>
                <w:noProof/>
                <w:sz w:val="20"/>
              </w:rPr>
            </w:pPr>
          </w:p>
        </w:tc>
        <w:tc>
          <w:tcPr>
            <w:tcW w:w="868" w:type="dxa"/>
            <w:vAlign w:val="center"/>
          </w:tcPr>
          <w:p w:rsidR="00926A0D" w:rsidRDefault="00926A0D">
            <w:pPr>
              <w:spacing w:before="20" w:after="20"/>
              <w:jc w:val="right"/>
              <w:rPr>
                <w:b/>
                <w:noProof/>
                <w:sz w:val="20"/>
              </w:rPr>
            </w:pPr>
          </w:p>
        </w:tc>
        <w:tc>
          <w:tcPr>
            <w:tcW w:w="868" w:type="dxa"/>
            <w:vAlign w:val="center"/>
          </w:tcPr>
          <w:p w:rsidR="00926A0D" w:rsidRDefault="00926A0D">
            <w:pPr>
              <w:spacing w:before="20" w:after="20"/>
              <w:jc w:val="right"/>
              <w:rPr>
                <w:b/>
                <w:noProof/>
                <w:sz w:val="20"/>
              </w:rPr>
            </w:pPr>
          </w:p>
        </w:tc>
        <w:tc>
          <w:tcPr>
            <w:tcW w:w="868" w:type="dxa"/>
            <w:vAlign w:val="center"/>
          </w:tcPr>
          <w:p w:rsidR="00926A0D" w:rsidRDefault="00926A0D">
            <w:pPr>
              <w:spacing w:before="20" w:after="20"/>
              <w:jc w:val="right"/>
              <w:rPr>
                <w:b/>
                <w:noProof/>
                <w:sz w:val="20"/>
              </w:rPr>
            </w:pPr>
          </w:p>
        </w:tc>
        <w:tc>
          <w:tcPr>
            <w:tcW w:w="1777" w:type="dxa"/>
            <w:vAlign w:val="center"/>
          </w:tcPr>
          <w:p w:rsidR="00926A0D" w:rsidRDefault="00926A0D">
            <w:pPr>
              <w:spacing w:before="20" w:after="20"/>
              <w:jc w:val="right"/>
              <w:rPr>
                <w:b/>
                <w:noProof/>
                <w:sz w:val="20"/>
              </w:rPr>
            </w:pPr>
          </w:p>
        </w:tc>
      </w:tr>
      <w:tr w:rsidR="00926A0D">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926A0D" w:rsidRDefault="006023A9">
            <w:pPr>
              <w:jc w:val="center"/>
              <w:rPr>
                <w:b/>
                <w:noProof/>
                <w:sz w:val="22"/>
              </w:rPr>
            </w:pPr>
            <w:r>
              <w:rPr>
                <w:b/>
                <w:noProof/>
                <w:sz w:val="22"/>
              </w:rPr>
              <w:t xml:space="preserve">TOTAL appropriations </w:t>
            </w:r>
            <w:r>
              <w:rPr>
                <w:noProof/>
                <w:sz w:val="22"/>
              </w:rPr>
              <w:br/>
            </w:r>
            <w:r>
              <w:rPr>
                <w:b/>
                <w:noProof/>
                <w:sz w:val="22"/>
              </w:rPr>
              <w:t>under HEADINGS 1 to 4</w:t>
            </w:r>
            <w:r>
              <w:rPr>
                <w:noProof/>
                <w:sz w:val="22"/>
              </w:rPr>
              <w:br/>
              <w:t>of the multiannual financial framework</w:t>
            </w:r>
            <w:r>
              <w:rPr>
                <w:noProof/>
                <w:sz w:val="22"/>
              </w:rPr>
              <w:br/>
            </w:r>
            <w:r>
              <w:rPr>
                <w:noProof/>
                <w:sz w:val="20"/>
              </w:rPr>
              <w:t>(Reference amount)</w:t>
            </w:r>
          </w:p>
        </w:tc>
        <w:tc>
          <w:tcPr>
            <w:tcW w:w="1440" w:type="dxa"/>
            <w:vAlign w:val="center"/>
          </w:tcPr>
          <w:p w:rsidR="00926A0D" w:rsidRDefault="006023A9">
            <w:pPr>
              <w:rPr>
                <w:noProof/>
                <w:sz w:val="18"/>
              </w:rPr>
            </w:pPr>
            <w:r>
              <w:rPr>
                <w:noProof/>
                <w:sz w:val="18"/>
              </w:rPr>
              <w:t>Commitments</w:t>
            </w:r>
          </w:p>
        </w:tc>
        <w:tc>
          <w:tcPr>
            <w:tcW w:w="654" w:type="dxa"/>
            <w:vAlign w:val="center"/>
          </w:tcPr>
          <w:p w:rsidR="00926A0D" w:rsidRDefault="006023A9">
            <w:pPr>
              <w:jc w:val="center"/>
              <w:rPr>
                <w:noProof/>
                <w:sz w:val="14"/>
              </w:rPr>
            </w:pPr>
            <w:r>
              <w:rPr>
                <w:noProof/>
                <w:sz w:val="14"/>
              </w:rPr>
              <w:t>=4+ 6</w:t>
            </w:r>
          </w:p>
        </w:tc>
        <w:tc>
          <w:tcPr>
            <w:tcW w:w="868" w:type="dxa"/>
            <w:vAlign w:val="center"/>
          </w:tcPr>
          <w:p w:rsidR="00926A0D" w:rsidRDefault="006023A9">
            <w:pPr>
              <w:spacing w:before="20" w:after="20"/>
              <w:jc w:val="center"/>
              <w:rPr>
                <w:noProof/>
                <w:sz w:val="20"/>
              </w:rPr>
            </w:pPr>
            <w:r>
              <w:rPr>
                <w:noProof/>
                <w:sz w:val="20"/>
              </w:rPr>
              <w:t>0</w:t>
            </w:r>
          </w:p>
        </w:tc>
        <w:tc>
          <w:tcPr>
            <w:tcW w:w="868" w:type="dxa"/>
            <w:vAlign w:val="center"/>
          </w:tcPr>
          <w:p w:rsidR="00926A0D" w:rsidRDefault="006023A9">
            <w:pPr>
              <w:spacing w:before="20" w:after="20"/>
              <w:jc w:val="center"/>
              <w:rPr>
                <w:noProof/>
                <w:sz w:val="20"/>
              </w:rPr>
            </w:pPr>
            <w:r>
              <w:rPr>
                <w:noProof/>
                <w:sz w:val="20"/>
              </w:rPr>
              <w:t>1.000</w:t>
            </w:r>
          </w:p>
        </w:tc>
        <w:tc>
          <w:tcPr>
            <w:tcW w:w="868" w:type="dxa"/>
            <w:shd w:val="clear" w:color="auto" w:fill="auto"/>
            <w:vAlign w:val="center"/>
          </w:tcPr>
          <w:p w:rsidR="00926A0D" w:rsidRDefault="006023A9">
            <w:pPr>
              <w:spacing w:before="20" w:after="20"/>
              <w:jc w:val="center"/>
              <w:rPr>
                <w:noProof/>
                <w:sz w:val="20"/>
              </w:rPr>
            </w:pPr>
            <w:r>
              <w:rPr>
                <w:noProof/>
                <w:sz w:val="20"/>
              </w:rPr>
              <w:t>1.000</w:t>
            </w:r>
          </w:p>
        </w:tc>
        <w:tc>
          <w:tcPr>
            <w:tcW w:w="868" w:type="dxa"/>
            <w:shd w:val="clear" w:color="auto" w:fill="auto"/>
            <w:vAlign w:val="center"/>
          </w:tcPr>
          <w:p w:rsidR="00926A0D" w:rsidRDefault="00926A0D">
            <w:pPr>
              <w:spacing w:before="20" w:after="20"/>
              <w:jc w:val="center"/>
              <w:rPr>
                <w:noProof/>
                <w:sz w:val="20"/>
              </w:rPr>
            </w:pPr>
          </w:p>
        </w:tc>
        <w:tc>
          <w:tcPr>
            <w:tcW w:w="868" w:type="dxa"/>
            <w:shd w:val="clear" w:color="auto" w:fill="auto"/>
            <w:vAlign w:val="center"/>
          </w:tcPr>
          <w:p w:rsidR="00926A0D" w:rsidRDefault="00926A0D">
            <w:pPr>
              <w:spacing w:before="20" w:after="20"/>
              <w:jc w:val="center"/>
              <w:rPr>
                <w:noProof/>
                <w:sz w:val="20"/>
              </w:rPr>
            </w:pPr>
          </w:p>
        </w:tc>
        <w:tc>
          <w:tcPr>
            <w:tcW w:w="868" w:type="dxa"/>
            <w:shd w:val="clear" w:color="auto" w:fill="auto"/>
            <w:vAlign w:val="center"/>
          </w:tcPr>
          <w:p w:rsidR="00926A0D" w:rsidRDefault="00926A0D">
            <w:pPr>
              <w:spacing w:before="20" w:after="20"/>
              <w:jc w:val="center"/>
              <w:rPr>
                <w:noProof/>
                <w:sz w:val="20"/>
              </w:rPr>
            </w:pPr>
          </w:p>
        </w:tc>
        <w:tc>
          <w:tcPr>
            <w:tcW w:w="868" w:type="dxa"/>
            <w:shd w:val="clear" w:color="auto" w:fill="auto"/>
            <w:vAlign w:val="center"/>
          </w:tcPr>
          <w:p w:rsidR="00926A0D" w:rsidRDefault="00926A0D">
            <w:pPr>
              <w:spacing w:before="20" w:after="20"/>
              <w:jc w:val="center"/>
              <w:rPr>
                <w:noProof/>
                <w:sz w:val="20"/>
              </w:rPr>
            </w:pPr>
          </w:p>
        </w:tc>
        <w:tc>
          <w:tcPr>
            <w:tcW w:w="1777" w:type="dxa"/>
            <w:tcBorders>
              <w:right w:val="single" w:sz="4" w:space="0" w:color="auto"/>
            </w:tcBorders>
            <w:shd w:val="clear" w:color="auto" w:fill="auto"/>
            <w:vAlign w:val="center"/>
          </w:tcPr>
          <w:p w:rsidR="00926A0D" w:rsidRDefault="006023A9">
            <w:pPr>
              <w:spacing w:before="20" w:after="20"/>
              <w:jc w:val="right"/>
              <w:rPr>
                <w:noProof/>
                <w:sz w:val="18"/>
              </w:rPr>
            </w:pPr>
            <w:r>
              <w:rPr>
                <w:noProof/>
                <w:sz w:val="20"/>
              </w:rPr>
              <w:t>2.000</w:t>
            </w:r>
          </w:p>
        </w:tc>
      </w:tr>
      <w:tr w:rsidR="00926A0D">
        <w:tc>
          <w:tcPr>
            <w:tcW w:w="3960" w:type="dxa"/>
            <w:vMerge/>
            <w:tcBorders>
              <w:top w:val="single" w:sz="4" w:space="0" w:color="FF0000"/>
              <w:left w:val="single" w:sz="4" w:space="0" w:color="auto"/>
              <w:bottom w:val="single" w:sz="4" w:space="0" w:color="FF0000"/>
            </w:tcBorders>
            <w:shd w:val="thinDiagStripe" w:color="C0C0C0" w:fill="auto"/>
          </w:tcPr>
          <w:p w:rsidR="00926A0D" w:rsidRDefault="00926A0D">
            <w:pPr>
              <w:rPr>
                <w:noProof/>
                <w:sz w:val="20"/>
              </w:rPr>
            </w:pPr>
          </w:p>
        </w:tc>
        <w:tc>
          <w:tcPr>
            <w:tcW w:w="1440" w:type="dxa"/>
            <w:tcBorders>
              <w:bottom w:val="single" w:sz="4" w:space="0" w:color="FF0000"/>
            </w:tcBorders>
            <w:vAlign w:val="center"/>
          </w:tcPr>
          <w:p w:rsidR="00926A0D" w:rsidRDefault="006023A9">
            <w:pPr>
              <w:rPr>
                <w:noProof/>
                <w:sz w:val="18"/>
              </w:rPr>
            </w:pPr>
            <w:r>
              <w:rPr>
                <w:noProof/>
                <w:sz w:val="18"/>
              </w:rPr>
              <w:t>Payments</w:t>
            </w:r>
          </w:p>
        </w:tc>
        <w:tc>
          <w:tcPr>
            <w:tcW w:w="654" w:type="dxa"/>
            <w:tcBorders>
              <w:bottom w:val="single" w:sz="4" w:space="0" w:color="FF0000"/>
            </w:tcBorders>
            <w:vAlign w:val="center"/>
          </w:tcPr>
          <w:p w:rsidR="00926A0D" w:rsidRDefault="006023A9">
            <w:pPr>
              <w:jc w:val="center"/>
              <w:rPr>
                <w:noProof/>
                <w:sz w:val="14"/>
              </w:rPr>
            </w:pPr>
            <w:r>
              <w:rPr>
                <w:noProof/>
                <w:sz w:val="14"/>
              </w:rPr>
              <w:t>=5+ 6</w:t>
            </w:r>
          </w:p>
        </w:tc>
        <w:tc>
          <w:tcPr>
            <w:tcW w:w="868" w:type="dxa"/>
            <w:tcBorders>
              <w:bottom w:val="single" w:sz="4" w:space="0" w:color="FF0000"/>
            </w:tcBorders>
            <w:vAlign w:val="center"/>
          </w:tcPr>
          <w:p w:rsidR="00926A0D" w:rsidRDefault="006023A9">
            <w:pPr>
              <w:spacing w:before="20" w:after="20"/>
              <w:jc w:val="center"/>
              <w:rPr>
                <w:noProof/>
                <w:sz w:val="20"/>
              </w:rPr>
            </w:pPr>
            <w:r>
              <w:rPr>
                <w:noProof/>
                <w:sz w:val="20"/>
              </w:rPr>
              <w:t>0</w:t>
            </w:r>
          </w:p>
        </w:tc>
        <w:tc>
          <w:tcPr>
            <w:tcW w:w="868" w:type="dxa"/>
            <w:tcBorders>
              <w:bottom w:val="single" w:sz="4" w:space="0" w:color="FF0000"/>
            </w:tcBorders>
            <w:vAlign w:val="center"/>
          </w:tcPr>
          <w:p w:rsidR="00926A0D" w:rsidRDefault="006023A9">
            <w:pPr>
              <w:spacing w:before="20" w:after="20"/>
              <w:jc w:val="center"/>
              <w:rPr>
                <w:noProof/>
                <w:sz w:val="20"/>
              </w:rPr>
            </w:pPr>
            <w:r>
              <w:rPr>
                <w:noProof/>
                <w:sz w:val="20"/>
              </w:rPr>
              <w:t>0.300</w:t>
            </w:r>
          </w:p>
        </w:tc>
        <w:tc>
          <w:tcPr>
            <w:tcW w:w="868" w:type="dxa"/>
            <w:tcBorders>
              <w:bottom w:val="single" w:sz="4" w:space="0" w:color="FF0000"/>
            </w:tcBorders>
            <w:shd w:val="clear" w:color="auto" w:fill="auto"/>
            <w:vAlign w:val="center"/>
          </w:tcPr>
          <w:p w:rsidR="00926A0D" w:rsidRDefault="006023A9">
            <w:pPr>
              <w:spacing w:before="20" w:after="20"/>
              <w:jc w:val="center"/>
              <w:rPr>
                <w:noProof/>
                <w:sz w:val="20"/>
              </w:rPr>
            </w:pPr>
            <w:r>
              <w:rPr>
                <w:noProof/>
                <w:sz w:val="20"/>
              </w:rPr>
              <w:t>0.700</w:t>
            </w:r>
          </w:p>
        </w:tc>
        <w:tc>
          <w:tcPr>
            <w:tcW w:w="868" w:type="dxa"/>
            <w:tcBorders>
              <w:bottom w:val="single" w:sz="4" w:space="0" w:color="FF0000"/>
            </w:tcBorders>
            <w:shd w:val="clear" w:color="auto" w:fill="auto"/>
            <w:vAlign w:val="center"/>
          </w:tcPr>
          <w:p w:rsidR="00926A0D" w:rsidRDefault="00926A0D">
            <w:pPr>
              <w:spacing w:before="20" w:after="20"/>
              <w:jc w:val="center"/>
              <w:rPr>
                <w:noProof/>
                <w:sz w:val="20"/>
              </w:rPr>
            </w:pPr>
          </w:p>
        </w:tc>
        <w:tc>
          <w:tcPr>
            <w:tcW w:w="868" w:type="dxa"/>
            <w:tcBorders>
              <w:bottom w:val="single" w:sz="4" w:space="0" w:color="FF0000"/>
            </w:tcBorders>
            <w:shd w:val="clear" w:color="auto" w:fill="auto"/>
            <w:vAlign w:val="center"/>
          </w:tcPr>
          <w:p w:rsidR="00926A0D" w:rsidRDefault="00926A0D">
            <w:pPr>
              <w:spacing w:before="20" w:after="20"/>
              <w:jc w:val="center"/>
              <w:rPr>
                <w:noProof/>
                <w:sz w:val="20"/>
              </w:rPr>
            </w:pPr>
          </w:p>
        </w:tc>
        <w:tc>
          <w:tcPr>
            <w:tcW w:w="868" w:type="dxa"/>
            <w:tcBorders>
              <w:bottom w:val="single" w:sz="4" w:space="0" w:color="FF0000"/>
            </w:tcBorders>
            <w:shd w:val="clear" w:color="auto" w:fill="auto"/>
            <w:vAlign w:val="center"/>
          </w:tcPr>
          <w:p w:rsidR="00926A0D" w:rsidRDefault="00926A0D">
            <w:pPr>
              <w:spacing w:before="20" w:after="20"/>
              <w:jc w:val="center"/>
              <w:rPr>
                <w:noProof/>
                <w:sz w:val="20"/>
              </w:rPr>
            </w:pPr>
          </w:p>
        </w:tc>
        <w:tc>
          <w:tcPr>
            <w:tcW w:w="868" w:type="dxa"/>
            <w:tcBorders>
              <w:bottom w:val="single" w:sz="4" w:space="0" w:color="FF0000"/>
            </w:tcBorders>
            <w:shd w:val="clear" w:color="auto" w:fill="auto"/>
            <w:vAlign w:val="center"/>
          </w:tcPr>
          <w:p w:rsidR="00926A0D" w:rsidRDefault="00926A0D">
            <w:pPr>
              <w:spacing w:before="20" w:after="20"/>
              <w:jc w:val="center"/>
              <w:rPr>
                <w:noProof/>
                <w:sz w:val="20"/>
              </w:rPr>
            </w:pPr>
          </w:p>
        </w:tc>
        <w:tc>
          <w:tcPr>
            <w:tcW w:w="1777" w:type="dxa"/>
            <w:tcBorders>
              <w:bottom w:val="single" w:sz="4" w:space="0" w:color="FF0000"/>
              <w:right w:val="single" w:sz="4" w:space="0" w:color="auto"/>
            </w:tcBorders>
            <w:shd w:val="clear" w:color="auto" w:fill="auto"/>
            <w:vAlign w:val="center"/>
          </w:tcPr>
          <w:p w:rsidR="00926A0D" w:rsidRDefault="006023A9">
            <w:pPr>
              <w:spacing w:before="20" w:after="20"/>
              <w:jc w:val="right"/>
              <w:rPr>
                <w:noProof/>
                <w:sz w:val="18"/>
              </w:rPr>
            </w:pPr>
            <w:r>
              <w:rPr>
                <w:noProof/>
                <w:sz w:val="18"/>
              </w:rPr>
              <w:t>1.000</w:t>
            </w:r>
          </w:p>
        </w:tc>
      </w:tr>
    </w:tbl>
    <w:p w:rsidR="00926A0D" w:rsidRDefault="00926A0D">
      <w:pPr>
        <w:rPr>
          <w:noProof/>
        </w:rPr>
      </w:pPr>
    </w:p>
    <w:p w:rsidR="00926A0D" w:rsidRDefault="00926A0D">
      <w:pPr>
        <w:rPr>
          <w:noProof/>
        </w:rPr>
      </w:pP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926A0D">
        <w:trPr>
          <w:jc w:val="center"/>
        </w:trPr>
        <w:tc>
          <w:tcPr>
            <w:tcW w:w="4744" w:type="dxa"/>
            <w:shd w:val="thinDiagStripe" w:color="C0C0C0" w:fill="auto"/>
            <w:vAlign w:val="center"/>
          </w:tcPr>
          <w:p w:rsidR="00926A0D" w:rsidRDefault="006023A9">
            <w:pPr>
              <w:spacing w:before="60" w:after="60"/>
              <w:jc w:val="center"/>
              <w:rPr>
                <w:b/>
                <w:noProof/>
                <w:sz w:val="22"/>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rsidR="00926A0D" w:rsidRDefault="006023A9">
            <w:pPr>
              <w:spacing w:before="60" w:after="60"/>
              <w:jc w:val="center"/>
              <w:rPr>
                <w:noProof/>
                <w:sz w:val="22"/>
              </w:rPr>
            </w:pPr>
            <w:r>
              <w:rPr>
                <w:b/>
                <w:noProof/>
                <w:sz w:val="22"/>
              </w:rPr>
              <w:t>5</w:t>
            </w:r>
          </w:p>
        </w:tc>
        <w:tc>
          <w:tcPr>
            <w:tcW w:w="7817" w:type="dxa"/>
            <w:vAlign w:val="center"/>
          </w:tcPr>
          <w:p w:rsidR="00926A0D" w:rsidRDefault="006023A9">
            <w:pPr>
              <w:spacing w:before="60" w:after="60"/>
              <w:rPr>
                <w:noProof/>
                <w:sz w:val="22"/>
              </w:rPr>
            </w:pPr>
            <w:r>
              <w:rPr>
                <w:noProof/>
                <w:sz w:val="22"/>
              </w:rPr>
              <w:t>‘Administrative expenditure’</w:t>
            </w:r>
          </w:p>
        </w:tc>
      </w:tr>
    </w:tbl>
    <w:p w:rsidR="00926A0D" w:rsidRDefault="006023A9">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926A0D">
        <w:tc>
          <w:tcPr>
            <w:tcW w:w="3960" w:type="dxa"/>
            <w:tcBorders>
              <w:top w:val="nil"/>
              <w:left w:val="nil"/>
              <w:right w:val="nil"/>
            </w:tcBorders>
            <w:vAlign w:val="center"/>
          </w:tcPr>
          <w:p w:rsidR="00926A0D" w:rsidRDefault="00926A0D">
            <w:pPr>
              <w:jc w:val="center"/>
              <w:rPr>
                <w:noProof/>
                <w:sz w:val="22"/>
              </w:rPr>
            </w:pPr>
          </w:p>
        </w:tc>
        <w:tc>
          <w:tcPr>
            <w:tcW w:w="1560" w:type="dxa"/>
            <w:tcBorders>
              <w:top w:val="nil"/>
              <w:left w:val="nil"/>
              <w:right w:val="nil"/>
            </w:tcBorders>
          </w:tcPr>
          <w:p w:rsidR="00926A0D" w:rsidRDefault="00926A0D">
            <w:pPr>
              <w:rPr>
                <w:noProof/>
                <w:sz w:val="20"/>
              </w:rPr>
            </w:pPr>
          </w:p>
        </w:tc>
        <w:tc>
          <w:tcPr>
            <w:tcW w:w="534" w:type="dxa"/>
            <w:tcBorders>
              <w:top w:val="nil"/>
              <w:left w:val="nil"/>
            </w:tcBorders>
          </w:tcPr>
          <w:p w:rsidR="00926A0D" w:rsidRDefault="00926A0D">
            <w:pPr>
              <w:jc w:val="center"/>
              <w:rPr>
                <w:noProof/>
                <w:sz w:val="20"/>
              </w:rPr>
            </w:pPr>
          </w:p>
        </w:tc>
        <w:tc>
          <w:tcPr>
            <w:tcW w:w="868" w:type="dxa"/>
            <w:vAlign w:val="center"/>
          </w:tcPr>
          <w:p w:rsidR="00926A0D" w:rsidRDefault="006023A9">
            <w:pPr>
              <w:jc w:val="center"/>
              <w:rPr>
                <w:noProof/>
                <w:sz w:val="20"/>
              </w:rPr>
            </w:pPr>
            <w:r>
              <w:rPr>
                <w:noProof/>
                <w:sz w:val="20"/>
              </w:rPr>
              <w:t>Year</w:t>
            </w:r>
            <w:r>
              <w:rPr>
                <w:noProof/>
                <w:sz w:val="22"/>
              </w:rPr>
              <w:br/>
            </w:r>
            <w:r>
              <w:rPr>
                <w:b/>
                <w:noProof/>
                <w:sz w:val="20"/>
              </w:rPr>
              <w:t>2018</w:t>
            </w:r>
          </w:p>
        </w:tc>
        <w:tc>
          <w:tcPr>
            <w:tcW w:w="868" w:type="dxa"/>
            <w:vAlign w:val="center"/>
          </w:tcPr>
          <w:p w:rsidR="00926A0D" w:rsidRDefault="006023A9">
            <w:pPr>
              <w:jc w:val="center"/>
              <w:rPr>
                <w:noProof/>
                <w:sz w:val="20"/>
              </w:rPr>
            </w:pPr>
            <w:r>
              <w:rPr>
                <w:noProof/>
                <w:sz w:val="20"/>
              </w:rPr>
              <w:t>Year</w:t>
            </w:r>
            <w:r>
              <w:rPr>
                <w:noProof/>
                <w:sz w:val="22"/>
              </w:rPr>
              <w:br/>
            </w:r>
            <w:r>
              <w:rPr>
                <w:b/>
                <w:noProof/>
                <w:sz w:val="20"/>
              </w:rPr>
              <w:t>2019</w:t>
            </w:r>
          </w:p>
        </w:tc>
        <w:tc>
          <w:tcPr>
            <w:tcW w:w="868" w:type="dxa"/>
            <w:vAlign w:val="center"/>
          </w:tcPr>
          <w:p w:rsidR="00926A0D" w:rsidRDefault="006023A9">
            <w:pPr>
              <w:jc w:val="center"/>
              <w:rPr>
                <w:noProof/>
                <w:sz w:val="20"/>
              </w:rPr>
            </w:pPr>
            <w:r>
              <w:rPr>
                <w:noProof/>
                <w:sz w:val="20"/>
              </w:rPr>
              <w:t>Year</w:t>
            </w:r>
            <w:r>
              <w:rPr>
                <w:noProof/>
                <w:sz w:val="22"/>
              </w:rPr>
              <w:br/>
            </w:r>
            <w:r>
              <w:rPr>
                <w:b/>
                <w:noProof/>
                <w:sz w:val="20"/>
              </w:rPr>
              <w:t>2020</w:t>
            </w:r>
          </w:p>
        </w:tc>
        <w:tc>
          <w:tcPr>
            <w:tcW w:w="868" w:type="dxa"/>
            <w:vAlign w:val="center"/>
          </w:tcPr>
          <w:p w:rsidR="00926A0D" w:rsidRDefault="00926A0D">
            <w:pPr>
              <w:jc w:val="center"/>
              <w:rPr>
                <w:noProof/>
                <w:sz w:val="20"/>
              </w:rPr>
            </w:pPr>
          </w:p>
        </w:tc>
        <w:tc>
          <w:tcPr>
            <w:tcW w:w="2604" w:type="dxa"/>
            <w:gridSpan w:val="3"/>
            <w:vAlign w:val="center"/>
          </w:tcPr>
          <w:p w:rsidR="00926A0D" w:rsidRDefault="00926A0D">
            <w:pPr>
              <w:jc w:val="center"/>
              <w:rPr>
                <w:b/>
                <w:noProof/>
                <w:sz w:val="18"/>
              </w:rPr>
            </w:pPr>
          </w:p>
        </w:tc>
        <w:tc>
          <w:tcPr>
            <w:tcW w:w="1777" w:type="dxa"/>
            <w:vAlign w:val="center"/>
          </w:tcPr>
          <w:p w:rsidR="00926A0D" w:rsidRDefault="006023A9">
            <w:pPr>
              <w:jc w:val="center"/>
              <w:rPr>
                <w:b/>
                <w:noProof/>
                <w:sz w:val="20"/>
              </w:rPr>
            </w:pPr>
            <w:r>
              <w:rPr>
                <w:b/>
                <w:noProof/>
                <w:sz w:val="20"/>
              </w:rPr>
              <w:t>TOTAL</w:t>
            </w:r>
          </w:p>
          <w:p w:rsidR="00926A0D" w:rsidRDefault="006023A9">
            <w:pPr>
              <w:jc w:val="center"/>
              <w:rPr>
                <w:b/>
                <w:noProof/>
                <w:sz w:val="20"/>
              </w:rPr>
            </w:pPr>
            <w:r>
              <w:rPr>
                <w:b/>
                <w:noProof/>
                <w:sz w:val="20"/>
              </w:rPr>
              <w:t xml:space="preserve">2018+2019+2020 </w:t>
            </w:r>
          </w:p>
        </w:tc>
      </w:tr>
      <w:tr w:rsidR="00926A0D">
        <w:trPr>
          <w:gridAfter w:val="10"/>
          <w:wAfter w:w="9947" w:type="dxa"/>
        </w:trPr>
        <w:tc>
          <w:tcPr>
            <w:tcW w:w="3960" w:type="dxa"/>
            <w:vAlign w:val="center"/>
          </w:tcPr>
          <w:p w:rsidR="00926A0D" w:rsidRDefault="006023A9">
            <w:pPr>
              <w:spacing w:before="60" w:after="60"/>
              <w:jc w:val="center"/>
              <w:rPr>
                <w:noProof/>
                <w:sz w:val="22"/>
              </w:rPr>
            </w:pPr>
            <w:r>
              <w:rPr>
                <w:noProof/>
                <w:sz w:val="22"/>
              </w:rPr>
              <w:t>DG: &lt;ENER, CLIMA&gt;</w:t>
            </w:r>
          </w:p>
        </w:tc>
      </w:tr>
      <w:tr w:rsidR="00926A0D">
        <w:trPr>
          <w:trHeight w:val="313"/>
        </w:trPr>
        <w:tc>
          <w:tcPr>
            <w:tcW w:w="6054" w:type="dxa"/>
            <w:gridSpan w:val="3"/>
            <w:vAlign w:val="center"/>
          </w:tcPr>
          <w:p w:rsidR="00926A0D" w:rsidRDefault="006023A9">
            <w:pPr>
              <w:spacing w:before="20" w:after="20"/>
              <w:rPr>
                <w:noProof/>
                <w:sz w:val="22"/>
              </w:rPr>
            </w:pPr>
            <w:r>
              <w:rPr>
                <w:noProof/>
                <w:sz w:val="22"/>
              </w:rPr>
              <w:sym w:font="Wingdings" w:char="F09F"/>
            </w:r>
            <w:r>
              <w:rPr>
                <w:noProof/>
                <w:sz w:val="22"/>
              </w:rPr>
              <w:t xml:space="preserve"> Human resources </w:t>
            </w:r>
          </w:p>
        </w:tc>
        <w:tc>
          <w:tcPr>
            <w:tcW w:w="868" w:type="dxa"/>
            <w:vAlign w:val="center"/>
          </w:tcPr>
          <w:p w:rsidR="00926A0D" w:rsidRDefault="006023A9">
            <w:pPr>
              <w:spacing w:before="20" w:after="20"/>
              <w:jc w:val="right"/>
              <w:rPr>
                <w:noProof/>
                <w:sz w:val="20"/>
              </w:rPr>
            </w:pPr>
            <w:r>
              <w:rPr>
                <w:noProof/>
                <w:sz w:val="20"/>
              </w:rPr>
              <w:t>2.356</w:t>
            </w:r>
          </w:p>
        </w:tc>
        <w:tc>
          <w:tcPr>
            <w:tcW w:w="868" w:type="dxa"/>
            <w:vAlign w:val="center"/>
          </w:tcPr>
          <w:p w:rsidR="00926A0D" w:rsidRDefault="006023A9">
            <w:pPr>
              <w:spacing w:before="20" w:after="20"/>
              <w:jc w:val="right"/>
              <w:rPr>
                <w:noProof/>
                <w:sz w:val="20"/>
              </w:rPr>
            </w:pPr>
            <w:r>
              <w:rPr>
                <w:noProof/>
                <w:sz w:val="20"/>
              </w:rPr>
              <w:t>2.356</w:t>
            </w:r>
          </w:p>
        </w:tc>
        <w:tc>
          <w:tcPr>
            <w:tcW w:w="868" w:type="dxa"/>
            <w:vAlign w:val="center"/>
          </w:tcPr>
          <w:p w:rsidR="00926A0D" w:rsidRDefault="006023A9">
            <w:pPr>
              <w:spacing w:before="20" w:after="20"/>
              <w:jc w:val="right"/>
              <w:rPr>
                <w:noProof/>
                <w:sz w:val="20"/>
              </w:rPr>
            </w:pPr>
            <w:r>
              <w:rPr>
                <w:noProof/>
                <w:sz w:val="20"/>
              </w:rPr>
              <w:t>2.356</w:t>
            </w:r>
          </w:p>
        </w:tc>
        <w:tc>
          <w:tcPr>
            <w:tcW w:w="868" w:type="dxa"/>
            <w:vAlign w:val="center"/>
          </w:tcPr>
          <w:p w:rsidR="00926A0D" w:rsidRDefault="00926A0D">
            <w:pPr>
              <w:spacing w:before="20" w:after="20"/>
              <w:jc w:val="right"/>
              <w:rPr>
                <w:noProof/>
                <w:sz w:val="20"/>
              </w:rPr>
            </w:pPr>
          </w:p>
        </w:tc>
        <w:tc>
          <w:tcPr>
            <w:tcW w:w="868" w:type="dxa"/>
            <w:vAlign w:val="center"/>
          </w:tcPr>
          <w:p w:rsidR="00926A0D" w:rsidRDefault="00926A0D">
            <w:pPr>
              <w:spacing w:before="20" w:after="20"/>
              <w:jc w:val="right"/>
              <w:rPr>
                <w:noProof/>
                <w:sz w:val="20"/>
              </w:rPr>
            </w:pPr>
          </w:p>
        </w:tc>
        <w:tc>
          <w:tcPr>
            <w:tcW w:w="868" w:type="dxa"/>
            <w:vAlign w:val="center"/>
          </w:tcPr>
          <w:p w:rsidR="00926A0D" w:rsidRDefault="00926A0D">
            <w:pPr>
              <w:spacing w:before="20" w:after="20"/>
              <w:jc w:val="right"/>
              <w:rPr>
                <w:noProof/>
                <w:sz w:val="20"/>
              </w:rPr>
            </w:pPr>
          </w:p>
        </w:tc>
        <w:tc>
          <w:tcPr>
            <w:tcW w:w="868" w:type="dxa"/>
            <w:vAlign w:val="center"/>
          </w:tcPr>
          <w:p w:rsidR="00926A0D" w:rsidRDefault="00926A0D">
            <w:pPr>
              <w:spacing w:before="20" w:after="20"/>
              <w:jc w:val="right"/>
              <w:rPr>
                <w:noProof/>
                <w:sz w:val="20"/>
              </w:rPr>
            </w:pPr>
          </w:p>
        </w:tc>
        <w:tc>
          <w:tcPr>
            <w:tcW w:w="1777" w:type="dxa"/>
            <w:vAlign w:val="center"/>
          </w:tcPr>
          <w:p w:rsidR="00926A0D" w:rsidRDefault="006023A9">
            <w:pPr>
              <w:spacing w:before="20" w:after="20"/>
              <w:jc w:val="right"/>
              <w:rPr>
                <w:noProof/>
                <w:sz w:val="20"/>
              </w:rPr>
            </w:pPr>
            <w:r>
              <w:rPr>
                <w:noProof/>
                <w:sz w:val="18"/>
              </w:rPr>
              <w:t>7</w:t>
            </w:r>
            <w:r>
              <w:rPr>
                <w:noProof/>
                <w:sz w:val="20"/>
              </w:rPr>
              <w:t>.068</w:t>
            </w:r>
          </w:p>
        </w:tc>
      </w:tr>
      <w:tr w:rsidR="00926A0D">
        <w:trPr>
          <w:trHeight w:val="351"/>
        </w:trPr>
        <w:tc>
          <w:tcPr>
            <w:tcW w:w="6054" w:type="dxa"/>
            <w:gridSpan w:val="3"/>
            <w:vAlign w:val="center"/>
          </w:tcPr>
          <w:p w:rsidR="00926A0D" w:rsidRDefault="006023A9">
            <w:pPr>
              <w:spacing w:before="20" w:after="20"/>
              <w:rPr>
                <w:noProof/>
                <w:sz w:val="22"/>
              </w:rPr>
            </w:pPr>
            <w:r>
              <w:rPr>
                <w:noProof/>
                <w:sz w:val="22"/>
              </w:rPr>
              <w:sym w:font="Wingdings" w:char="F09F"/>
            </w:r>
            <w:r>
              <w:rPr>
                <w:noProof/>
                <w:sz w:val="22"/>
              </w:rPr>
              <w:t xml:space="preserve"> Other administrative expenditure </w:t>
            </w:r>
          </w:p>
        </w:tc>
        <w:tc>
          <w:tcPr>
            <w:tcW w:w="868" w:type="dxa"/>
            <w:vAlign w:val="center"/>
          </w:tcPr>
          <w:p w:rsidR="00926A0D" w:rsidRDefault="006023A9">
            <w:pPr>
              <w:spacing w:before="20" w:after="20"/>
              <w:jc w:val="right"/>
              <w:rPr>
                <w:b/>
                <w:noProof/>
                <w:sz w:val="20"/>
              </w:rPr>
            </w:pPr>
            <w:r>
              <w:rPr>
                <w:b/>
                <w:noProof/>
                <w:sz w:val="20"/>
              </w:rPr>
              <w:t>0.280</w:t>
            </w:r>
          </w:p>
        </w:tc>
        <w:tc>
          <w:tcPr>
            <w:tcW w:w="868" w:type="dxa"/>
            <w:vAlign w:val="center"/>
          </w:tcPr>
          <w:p w:rsidR="00926A0D" w:rsidRDefault="006023A9">
            <w:pPr>
              <w:spacing w:before="20" w:after="20"/>
              <w:jc w:val="right"/>
              <w:rPr>
                <w:b/>
                <w:noProof/>
                <w:sz w:val="20"/>
              </w:rPr>
            </w:pPr>
            <w:r>
              <w:rPr>
                <w:b/>
                <w:noProof/>
                <w:sz w:val="20"/>
              </w:rPr>
              <w:t>0.280</w:t>
            </w:r>
          </w:p>
        </w:tc>
        <w:tc>
          <w:tcPr>
            <w:tcW w:w="868" w:type="dxa"/>
            <w:vAlign w:val="center"/>
          </w:tcPr>
          <w:p w:rsidR="00926A0D" w:rsidRDefault="006023A9">
            <w:pPr>
              <w:spacing w:before="20" w:after="20"/>
              <w:jc w:val="right"/>
              <w:rPr>
                <w:b/>
                <w:noProof/>
                <w:sz w:val="20"/>
              </w:rPr>
            </w:pPr>
            <w:r>
              <w:rPr>
                <w:b/>
                <w:noProof/>
                <w:sz w:val="20"/>
              </w:rPr>
              <w:t>0.280</w:t>
            </w:r>
          </w:p>
        </w:tc>
        <w:tc>
          <w:tcPr>
            <w:tcW w:w="868" w:type="dxa"/>
            <w:vAlign w:val="center"/>
          </w:tcPr>
          <w:p w:rsidR="00926A0D" w:rsidRDefault="00926A0D">
            <w:pPr>
              <w:spacing w:before="20" w:after="20"/>
              <w:jc w:val="right"/>
              <w:rPr>
                <w:b/>
                <w:noProof/>
                <w:sz w:val="20"/>
              </w:rPr>
            </w:pPr>
          </w:p>
        </w:tc>
        <w:tc>
          <w:tcPr>
            <w:tcW w:w="868" w:type="dxa"/>
            <w:vAlign w:val="center"/>
          </w:tcPr>
          <w:p w:rsidR="00926A0D" w:rsidRDefault="00926A0D">
            <w:pPr>
              <w:spacing w:before="20" w:after="20"/>
              <w:jc w:val="right"/>
              <w:rPr>
                <w:b/>
                <w:noProof/>
                <w:sz w:val="20"/>
              </w:rPr>
            </w:pPr>
          </w:p>
        </w:tc>
        <w:tc>
          <w:tcPr>
            <w:tcW w:w="868" w:type="dxa"/>
            <w:vAlign w:val="center"/>
          </w:tcPr>
          <w:p w:rsidR="00926A0D" w:rsidRDefault="00926A0D">
            <w:pPr>
              <w:spacing w:before="20" w:after="20"/>
              <w:jc w:val="right"/>
              <w:rPr>
                <w:b/>
                <w:noProof/>
                <w:sz w:val="20"/>
              </w:rPr>
            </w:pPr>
          </w:p>
        </w:tc>
        <w:tc>
          <w:tcPr>
            <w:tcW w:w="868" w:type="dxa"/>
            <w:vAlign w:val="center"/>
          </w:tcPr>
          <w:p w:rsidR="00926A0D" w:rsidRDefault="00926A0D">
            <w:pPr>
              <w:spacing w:before="20" w:after="20"/>
              <w:jc w:val="right"/>
              <w:rPr>
                <w:b/>
                <w:noProof/>
                <w:sz w:val="20"/>
              </w:rPr>
            </w:pPr>
          </w:p>
        </w:tc>
        <w:tc>
          <w:tcPr>
            <w:tcW w:w="1777" w:type="dxa"/>
            <w:vAlign w:val="center"/>
          </w:tcPr>
          <w:p w:rsidR="00926A0D" w:rsidRDefault="006023A9">
            <w:pPr>
              <w:spacing w:before="20" w:after="20"/>
              <w:jc w:val="right"/>
              <w:rPr>
                <w:noProof/>
                <w:sz w:val="20"/>
              </w:rPr>
            </w:pPr>
            <w:r>
              <w:rPr>
                <w:noProof/>
                <w:sz w:val="20"/>
              </w:rPr>
              <w:t>0.840</w:t>
            </w:r>
          </w:p>
        </w:tc>
      </w:tr>
      <w:tr w:rsidR="00926A0D">
        <w:tc>
          <w:tcPr>
            <w:tcW w:w="3960" w:type="dxa"/>
            <w:vAlign w:val="center"/>
          </w:tcPr>
          <w:p w:rsidR="00926A0D" w:rsidRDefault="006023A9">
            <w:pPr>
              <w:jc w:val="center"/>
              <w:rPr>
                <w:b/>
                <w:noProof/>
                <w:sz w:val="22"/>
              </w:rPr>
            </w:pPr>
            <w:r>
              <w:rPr>
                <w:b/>
                <w:noProof/>
                <w:sz w:val="22"/>
              </w:rPr>
              <w:t xml:space="preserve">TOTAL DG </w:t>
            </w:r>
            <w:r>
              <w:rPr>
                <w:noProof/>
                <w:sz w:val="22"/>
              </w:rPr>
              <w:t>&lt;ENER, CLIMA&gt;</w:t>
            </w:r>
          </w:p>
        </w:tc>
        <w:tc>
          <w:tcPr>
            <w:tcW w:w="2094" w:type="dxa"/>
            <w:gridSpan w:val="2"/>
            <w:vAlign w:val="center"/>
          </w:tcPr>
          <w:p w:rsidR="00926A0D" w:rsidRDefault="006023A9">
            <w:pPr>
              <w:rPr>
                <w:noProof/>
                <w:sz w:val="14"/>
              </w:rPr>
            </w:pPr>
            <w:r>
              <w:rPr>
                <w:noProof/>
                <w:sz w:val="18"/>
              </w:rPr>
              <w:t xml:space="preserve">Appropriations </w:t>
            </w:r>
          </w:p>
        </w:tc>
        <w:tc>
          <w:tcPr>
            <w:tcW w:w="868" w:type="dxa"/>
            <w:vAlign w:val="center"/>
          </w:tcPr>
          <w:p w:rsidR="00926A0D" w:rsidRDefault="006023A9">
            <w:pPr>
              <w:spacing w:before="20" w:after="20"/>
              <w:jc w:val="right"/>
              <w:rPr>
                <w:noProof/>
                <w:sz w:val="20"/>
              </w:rPr>
            </w:pPr>
            <w:r>
              <w:rPr>
                <w:noProof/>
                <w:sz w:val="20"/>
              </w:rPr>
              <w:t>2.636</w:t>
            </w:r>
          </w:p>
        </w:tc>
        <w:tc>
          <w:tcPr>
            <w:tcW w:w="868" w:type="dxa"/>
            <w:vAlign w:val="center"/>
          </w:tcPr>
          <w:p w:rsidR="00926A0D" w:rsidRDefault="006023A9">
            <w:pPr>
              <w:spacing w:before="20" w:after="20"/>
              <w:jc w:val="right"/>
              <w:rPr>
                <w:noProof/>
                <w:sz w:val="20"/>
              </w:rPr>
            </w:pPr>
            <w:r>
              <w:rPr>
                <w:noProof/>
                <w:sz w:val="20"/>
              </w:rPr>
              <w:t>2.636</w:t>
            </w:r>
          </w:p>
        </w:tc>
        <w:tc>
          <w:tcPr>
            <w:tcW w:w="868" w:type="dxa"/>
            <w:vAlign w:val="center"/>
          </w:tcPr>
          <w:p w:rsidR="00926A0D" w:rsidRDefault="006023A9">
            <w:pPr>
              <w:spacing w:before="20" w:after="20"/>
              <w:jc w:val="right"/>
              <w:rPr>
                <w:noProof/>
                <w:sz w:val="20"/>
              </w:rPr>
            </w:pPr>
            <w:r>
              <w:rPr>
                <w:noProof/>
                <w:sz w:val="20"/>
              </w:rPr>
              <w:t>2.636</w:t>
            </w:r>
          </w:p>
        </w:tc>
        <w:tc>
          <w:tcPr>
            <w:tcW w:w="868" w:type="dxa"/>
            <w:vAlign w:val="center"/>
          </w:tcPr>
          <w:p w:rsidR="00926A0D" w:rsidRDefault="00926A0D">
            <w:pPr>
              <w:spacing w:before="20" w:after="20"/>
              <w:jc w:val="right"/>
              <w:rPr>
                <w:noProof/>
                <w:sz w:val="20"/>
              </w:rPr>
            </w:pPr>
          </w:p>
        </w:tc>
        <w:tc>
          <w:tcPr>
            <w:tcW w:w="868" w:type="dxa"/>
            <w:vAlign w:val="center"/>
          </w:tcPr>
          <w:p w:rsidR="00926A0D" w:rsidRDefault="00926A0D">
            <w:pPr>
              <w:spacing w:before="20" w:after="20"/>
              <w:jc w:val="right"/>
              <w:rPr>
                <w:noProof/>
                <w:sz w:val="20"/>
              </w:rPr>
            </w:pPr>
          </w:p>
        </w:tc>
        <w:tc>
          <w:tcPr>
            <w:tcW w:w="868" w:type="dxa"/>
            <w:vAlign w:val="center"/>
          </w:tcPr>
          <w:p w:rsidR="00926A0D" w:rsidRDefault="00926A0D">
            <w:pPr>
              <w:spacing w:before="20" w:after="20"/>
              <w:jc w:val="right"/>
              <w:rPr>
                <w:noProof/>
                <w:sz w:val="20"/>
              </w:rPr>
            </w:pPr>
          </w:p>
        </w:tc>
        <w:tc>
          <w:tcPr>
            <w:tcW w:w="868" w:type="dxa"/>
            <w:vAlign w:val="center"/>
          </w:tcPr>
          <w:p w:rsidR="00926A0D" w:rsidRDefault="00926A0D">
            <w:pPr>
              <w:spacing w:before="20" w:after="20"/>
              <w:jc w:val="right"/>
              <w:rPr>
                <w:noProof/>
                <w:sz w:val="20"/>
              </w:rPr>
            </w:pPr>
          </w:p>
        </w:tc>
        <w:tc>
          <w:tcPr>
            <w:tcW w:w="1777" w:type="dxa"/>
            <w:vAlign w:val="center"/>
          </w:tcPr>
          <w:p w:rsidR="00926A0D" w:rsidRDefault="006023A9">
            <w:pPr>
              <w:spacing w:before="20" w:after="20"/>
              <w:jc w:val="right"/>
              <w:rPr>
                <w:b/>
                <w:noProof/>
                <w:sz w:val="20"/>
              </w:rPr>
            </w:pPr>
            <w:r>
              <w:rPr>
                <w:noProof/>
                <w:sz w:val="18"/>
              </w:rPr>
              <w:t>7</w:t>
            </w:r>
            <w:r>
              <w:rPr>
                <w:noProof/>
                <w:sz w:val="20"/>
              </w:rPr>
              <w:t>.908</w:t>
            </w:r>
          </w:p>
        </w:tc>
      </w:tr>
    </w:tbl>
    <w:p w:rsidR="00926A0D" w:rsidRDefault="00926A0D">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926A0D">
        <w:tc>
          <w:tcPr>
            <w:tcW w:w="3960" w:type="dxa"/>
            <w:shd w:val="thinDiagStripe" w:color="C0C0C0" w:fill="auto"/>
            <w:vAlign w:val="center"/>
          </w:tcPr>
          <w:p w:rsidR="00926A0D" w:rsidRDefault="006023A9">
            <w:pPr>
              <w:jc w:val="center"/>
              <w:rPr>
                <w:b/>
                <w:noProof/>
                <w:sz w:val="22"/>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rsidR="00926A0D" w:rsidRDefault="006023A9">
            <w:pPr>
              <w:spacing w:before="40" w:after="40"/>
              <w:rPr>
                <w:noProof/>
                <w:sz w:val="22"/>
              </w:rPr>
            </w:pPr>
            <w:r>
              <w:rPr>
                <w:noProof/>
                <w:sz w:val="18"/>
              </w:rPr>
              <w:t>(Total commitments = Total payments)</w:t>
            </w:r>
          </w:p>
        </w:tc>
        <w:tc>
          <w:tcPr>
            <w:tcW w:w="868" w:type="dxa"/>
            <w:vAlign w:val="center"/>
          </w:tcPr>
          <w:p w:rsidR="00926A0D" w:rsidRDefault="006023A9">
            <w:pPr>
              <w:spacing w:before="20" w:after="20"/>
              <w:jc w:val="right"/>
              <w:rPr>
                <w:noProof/>
                <w:sz w:val="20"/>
              </w:rPr>
            </w:pPr>
            <w:r>
              <w:rPr>
                <w:noProof/>
                <w:sz w:val="20"/>
              </w:rPr>
              <w:t>2.636</w:t>
            </w:r>
          </w:p>
        </w:tc>
        <w:tc>
          <w:tcPr>
            <w:tcW w:w="868" w:type="dxa"/>
            <w:vAlign w:val="center"/>
          </w:tcPr>
          <w:p w:rsidR="00926A0D" w:rsidRDefault="006023A9">
            <w:pPr>
              <w:spacing w:before="20" w:after="20"/>
              <w:jc w:val="right"/>
              <w:rPr>
                <w:noProof/>
                <w:sz w:val="20"/>
              </w:rPr>
            </w:pPr>
            <w:r>
              <w:rPr>
                <w:noProof/>
                <w:sz w:val="20"/>
              </w:rPr>
              <w:t>2.636</w:t>
            </w:r>
          </w:p>
        </w:tc>
        <w:tc>
          <w:tcPr>
            <w:tcW w:w="868" w:type="dxa"/>
            <w:vAlign w:val="center"/>
          </w:tcPr>
          <w:p w:rsidR="00926A0D" w:rsidRDefault="006023A9">
            <w:pPr>
              <w:spacing w:before="20" w:after="20"/>
              <w:jc w:val="right"/>
              <w:rPr>
                <w:noProof/>
                <w:sz w:val="20"/>
              </w:rPr>
            </w:pPr>
            <w:r>
              <w:rPr>
                <w:noProof/>
                <w:sz w:val="20"/>
              </w:rPr>
              <w:t>2.636</w:t>
            </w:r>
          </w:p>
        </w:tc>
        <w:tc>
          <w:tcPr>
            <w:tcW w:w="868" w:type="dxa"/>
            <w:vAlign w:val="center"/>
          </w:tcPr>
          <w:p w:rsidR="00926A0D" w:rsidRDefault="00926A0D">
            <w:pPr>
              <w:spacing w:before="20" w:after="20"/>
              <w:jc w:val="right"/>
              <w:rPr>
                <w:noProof/>
                <w:sz w:val="20"/>
              </w:rPr>
            </w:pPr>
          </w:p>
        </w:tc>
        <w:tc>
          <w:tcPr>
            <w:tcW w:w="868" w:type="dxa"/>
            <w:vAlign w:val="center"/>
          </w:tcPr>
          <w:p w:rsidR="00926A0D" w:rsidRDefault="00926A0D">
            <w:pPr>
              <w:spacing w:before="20" w:after="20"/>
              <w:jc w:val="right"/>
              <w:rPr>
                <w:noProof/>
                <w:sz w:val="20"/>
              </w:rPr>
            </w:pPr>
          </w:p>
        </w:tc>
        <w:tc>
          <w:tcPr>
            <w:tcW w:w="868" w:type="dxa"/>
            <w:vAlign w:val="center"/>
          </w:tcPr>
          <w:p w:rsidR="00926A0D" w:rsidRDefault="00926A0D">
            <w:pPr>
              <w:spacing w:before="20" w:after="20"/>
              <w:jc w:val="right"/>
              <w:rPr>
                <w:noProof/>
                <w:sz w:val="20"/>
              </w:rPr>
            </w:pPr>
          </w:p>
        </w:tc>
        <w:tc>
          <w:tcPr>
            <w:tcW w:w="868" w:type="dxa"/>
            <w:vAlign w:val="center"/>
          </w:tcPr>
          <w:p w:rsidR="00926A0D" w:rsidRDefault="00926A0D">
            <w:pPr>
              <w:spacing w:before="20" w:after="20"/>
              <w:jc w:val="right"/>
              <w:rPr>
                <w:noProof/>
                <w:sz w:val="20"/>
              </w:rPr>
            </w:pPr>
          </w:p>
        </w:tc>
        <w:tc>
          <w:tcPr>
            <w:tcW w:w="1777" w:type="dxa"/>
            <w:vAlign w:val="center"/>
          </w:tcPr>
          <w:p w:rsidR="00926A0D" w:rsidRDefault="006023A9">
            <w:pPr>
              <w:spacing w:before="20" w:after="20"/>
              <w:jc w:val="right"/>
              <w:rPr>
                <w:b/>
                <w:noProof/>
                <w:sz w:val="20"/>
              </w:rPr>
            </w:pPr>
            <w:r>
              <w:rPr>
                <w:noProof/>
                <w:sz w:val="18"/>
              </w:rPr>
              <w:t>7</w:t>
            </w:r>
            <w:r>
              <w:rPr>
                <w:noProof/>
                <w:sz w:val="20"/>
              </w:rPr>
              <w:t>.908</w:t>
            </w:r>
          </w:p>
        </w:tc>
      </w:tr>
    </w:tbl>
    <w:p w:rsidR="00926A0D" w:rsidRDefault="006023A9">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926A0D">
        <w:tc>
          <w:tcPr>
            <w:tcW w:w="3960" w:type="dxa"/>
            <w:tcBorders>
              <w:top w:val="nil"/>
              <w:left w:val="nil"/>
              <w:right w:val="nil"/>
            </w:tcBorders>
            <w:vAlign w:val="center"/>
          </w:tcPr>
          <w:p w:rsidR="00926A0D" w:rsidRDefault="00926A0D">
            <w:pPr>
              <w:jc w:val="center"/>
              <w:rPr>
                <w:noProof/>
                <w:sz w:val="22"/>
              </w:rPr>
            </w:pPr>
          </w:p>
        </w:tc>
        <w:tc>
          <w:tcPr>
            <w:tcW w:w="1560" w:type="dxa"/>
            <w:tcBorders>
              <w:top w:val="nil"/>
              <w:left w:val="nil"/>
              <w:right w:val="nil"/>
            </w:tcBorders>
          </w:tcPr>
          <w:p w:rsidR="00926A0D" w:rsidRDefault="00926A0D">
            <w:pPr>
              <w:rPr>
                <w:noProof/>
                <w:sz w:val="20"/>
              </w:rPr>
            </w:pPr>
          </w:p>
        </w:tc>
        <w:tc>
          <w:tcPr>
            <w:tcW w:w="534" w:type="dxa"/>
            <w:tcBorders>
              <w:top w:val="nil"/>
              <w:left w:val="nil"/>
            </w:tcBorders>
          </w:tcPr>
          <w:p w:rsidR="00926A0D" w:rsidRDefault="00926A0D">
            <w:pPr>
              <w:jc w:val="center"/>
              <w:rPr>
                <w:noProof/>
                <w:sz w:val="20"/>
              </w:rPr>
            </w:pPr>
          </w:p>
        </w:tc>
        <w:tc>
          <w:tcPr>
            <w:tcW w:w="868" w:type="dxa"/>
            <w:vAlign w:val="center"/>
          </w:tcPr>
          <w:p w:rsidR="00926A0D" w:rsidRDefault="006023A9">
            <w:pPr>
              <w:jc w:val="center"/>
              <w:rPr>
                <w:noProof/>
                <w:sz w:val="20"/>
              </w:rPr>
            </w:pPr>
            <w:r>
              <w:rPr>
                <w:noProof/>
                <w:sz w:val="20"/>
              </w:rPr>
              <w:t>Year</w:t>
            </w:r>
            <w:r>
              <w:rPr>
                <w:noProof/>
                <w:sz w:val="22"/>
              </w:rPr>
              <w:br/>
            </w:r>
            <w:r>
              <w:rPr>
                <w:b/>
                <w:noProof/>
                <w:sz w:val="20"/>
              </w:rPr>
              <w:t>2018</w:t>
            </w:r>
          </w:p>
        </w:tc>
        <w:tc>
          <w:tcPr>
            <w:tcW w:w="868" w:type="dxa"/>
            <w:vAlign w:val="center"/>
          </w:tcPr>
          <w:p w:rsidR="00926A0D" w:rsidRDefault="006023A9">
            <w:pPr>
              <w:jc w:val="center"/>
              <w:rPr>
                <w:noProof/>
                <w:sz w:val="20"/>
              </w:rPr>
            </w:pPr>
            <w:r>
              <w:rPr>
                <w:noProof/>
                <w:sz w:val="20"/>
              </w:rPr>
              <w:t>Year</w:t>
            </w:r>
            <w:r>
              <w:rPr>
                <w:noProof/>
                <w:sz w:val="22"/>
              </w:rPr>
              <w:br/>
            </w:r>
            <w:r>
              <w:rPr>
                <w:b/>
                <w:noProof/>
                <w:sz w:val="20"/>
              </w:rPr>
              <w:t>2019</w:t>
            </w:r>
          </w:p>
        </w:tc>
        <w:tc>
          <w:tcPr>
            <w:tcW w:w="868" w:type="dxa"/>
            <w:vAlign w:val="center"/>
          </w:tcPr>
          <w:p w:rsidR="00926A0D" w:rsidRDefault="006023A9">
            <w:pPr>
              <w:jc w:val="center"/>
              <w:rPr>
                <w:noProof/>
                <w:sz w:val="20"/>
              </w:rPr>
            </w:pPr>
            <w:r>
              <w:rPr>
                <w:noProof/>
                <w:sz w:val="20"/>
              </w:rPr>
              <w:t>Year</w:t>
            </w:r>
            <w:r>
              <w:rPr>
                <w:noProof/>
                <w:sz w:val="22"/>
              </w:rPr>
              <w:br/>
            </w:r>
            <w:r>
              <w:rPr>
                <w:b/>
                <w:noProof/>
                <w:sz w:val="20"/>
              </w:rPr>
              <w:t>2020</w:t>
            </w:r>
          </w:p>
        </w:tc>
        <w:tc>
          <w:tcPr>
            <w:tcW w:w="868" w:type="dxa"/>
            <w:vAlign w:val="center"/>
          </w:tcPr>
          <w:p w:rsidR="00926A0D" w:rsidRDefault="00926A0D">
            <w:pPr>
              <w:jc w:val="center"/>
              <w:rPr>
                <w:noProof/>
                <w:sz w:val="20"/>
              </w:rPr>
            </w:pPr>
          </w:p>
        </w:tc>
        <w:tc>
          <w:tcPr>
            <w:tcW w:w="2604" w:type="dxa"/>
            <w:gridSpan w:val="3"/>
            <w:vAlign w:val="center"/>
          </w:tcPr>
          <w:p w:rsidR="00926A0D" w:rsidRDefault="00926A0D">
            <w:pPr>
              <w:jc w:val="center"/>
              <w:rPr>
                <w:b/>
                <w:noProof/>
                <w:sz w:val="18"/>
              </w:rPr>
            </w:pPr>
          </w:p>
        </w:tc>
        <w:tc>
          <w:tcPr>
            <w:tcW w:w="1777" w:type="dxa"/>
            <w:vAlign w:val="center"/>
          </w:tcPr>
          <w:p w:rsidR="00926A0D" w:rsidRDefault="006023A9">
            <w:pPr>
              <w:jc w:val="center"/>
              <w:rPr>
                <w:b/>
                <w:noProof/>
                <w:sz w:val="20"/>
              </w:rPr>
            </w:pPr>
            <w:r>
              <w:rPr>
                <w:b/>
                <w:noProof/>
                <w:sz w:val="20"/>
              </w:rPr>
              <w:t>TOTAL</w:t>
            </w:r>
          </w:p>
          <w:p w:rsidR="00926A0D" w:rsidRDefault="006023A9">
            <w:pPr>
              <w:jc w:val="center"/>
              <w:rPr>
                <w:b/>
                <w:noProof/>
                <w:sz w:val="20"/>
              </w:rPr>
            </w:pPr>
            <w:r>
              <w:rPr>
                <w:b/>
                <w:noProof/>
                <w:sz w:val="20"/>
              </w:rPr>
              <w:t>2018+2019+2020)</w:t>
            </w:r>
          </w:p>
        </w:tc>
      </w:tr>
      <w:tr w:rsidR="00926A0D">
        <w:tc>
          <w:tcPr>
            <w:tcW w:w="3960" w:type="dxa"/>
            <w:vMerge w:val="restart"/>
            <w:shd w:val="clear" w:color="auto" w:fill="C0C0C0"/>
            <w:vAlign w:val="center"/>
          </w:tcPr>
          <w:p w:rsidR="00926A0D" w:rsidRDefault="006023A9">
            <w:pPr>
              <w:jc w:val="center"/>
              <w:rPr>
                <w:b/>
                <w:noProof/>
                <w:sz w:val="22"/>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rsidR="00926A0D" w:rsidRDefault="006023A9">
            <w:pPr>
              <w:rPr>
                <w:noProof/>
                <w:sz w:val="14"/>
              </w:rPr>
            </w:pPr>
            <w:r>
              <w:rPr>
                <w:noProof/>
                <w:sz w:val="18"/>
              </w:rPr>
              <w:t>Commitments</w:t>
            </w:r>
          </w:p>
        </w:tc>
        <w:tc>
          <w:tcPr>
            <w:tcW w:w="868" w:type="dxa"/>
            <w:vAlign w:val="center"/>
          </w:tcPr>
          <w:p w:rsidR="00926A0D" w:rsidRDefault="006023A9">
            <w:pPr>
              <w:spacing w:before="20" w:after="20"/>
              <w:jc w:val="right"/>
              <w:rPr>
                <w:noProof/>
                <w:sz w:val="20"/>
              </w:rPr>
            </w:pPr>
            <w:r>
              <w:rPr>
                <w:noProof/>
                <w:sz w:val="20"/>
              </w:rPr>
              <w:t>2.636</w:t>
            </w:r>
          </w:p>
        </w:tc>
        <w:tc>
          <w:tcPr>
            <w:tcW w:w="868" w:type="dxa"/>
            <w:vAlign w:val="center"/>
          </w:tcPr>
          <w:p w:rsidR="00926A0D" w:rsidRDefault="006023A9">
            <w:pPr>
              <w:spacing w:before="20" w:after="20"/>
              <w:jc w:val="right"/>
              <w:rPr>
                <w:noProof/>
                <w:sz w:val="20"/>
              </w:rPr>
            </w:pPr>
            <w:r>
              <w:rPr>
                <w:noProof/>
                <w:sz w:val="20"/>
              </w:rPr>
              <w:t>3.636</w:t>
            </w:r>
          </w:p>
        </w:tc>
        <w:tc>
          <w:tcPr>
            <w:tcW w:w="868" w:type="dxa"/>
            <w:vAlign w:val="center"/>
          </w:tcPr>
          <w:p w:rsidR="00926A0D" w:rsidRDefault="006023A9">
            <w:pPr>
              <w:spacing w:before="20" w:after="20"/>
              <w:jc w:val="right"/>
              <w:rPr>
                <w:noProof/>
                <w:sz w:val="20"/>
              </w:rPr>
            </w:pPr>
            <w:r>
              <w:rPr>
                <w:noProof/>
                <w:sz w:val="20"/>
              </w:rPr>
              <w:t>3.636</w:t>
            </w:r>
          </w:p>
        </w:tc>
        <w:tc>
          <w:tcPr>
            <w:tcW w:w="868" w:type="dxa"/>
            <w:vAlign w:val="center"/>
          </w:tcPr>
          <w:p w:rsidR="00926A0D" w:rsidRDefault="00926A0D">
            <w:pPr>
              <w:spacing w:before="20" w:after="20"/>
              <w:jc w:val="right"/>
              <w:rPr>
                <w:noProof/>
                <w:sz w:val="20"/>
              </w:rPr>
            </w:pPr>
          </w:p>
        </w:tc>
        <w:tc>
          <w:tcPr>
            <w:tcW w:w="868" w:type="dxa"/>
            <w:shd w:val="clear" w:color="auto" w:fill="auto"/>
            <w:vAlign w:val="center"/>
          </w:tcPr>
          <w:p w:rsidR="00926A0D" w:rsidRDefault="00926A0D">
            <w:pPr>
              <w:spacing w:before="20" w:after="20"/>
              <w:jc w:val="right"/>
              <w:rPr>
                <w:noProof/>
                <w:sz w:val="20"/>
              </w:rPr>
            </w:pPr>
          </w:p>
        </w:tc>
        <w:tc>
          <w:tcPr>
            <w:tcW w:w="868" w:type="dxa"/>
            <w:shd w:val="clear" w:color="auto" w:fill="auto"/>
            <w:vAlign w:val="center"/>
          </w:tcPr>
          <w:p w:rsidR="00926A0D" w:rsidRDefault="00926A0D">
            <w:pPr>
              <w:spacing w:before="20" w:after="20"/>
              <w:jc w:val="right"/>
              <w:rPr>
                <w:noProof/>
                <w:sz w:val="20"/>
              </w:rPr>
            </w:pPr>
          </w:p>
        </w:tc>
        <w:tc>
          <w:tcPr>
            <w:tcW w:w="868" w:type="dxa"/>
            <w:shd w:val="clear" w:color="auto" w:fill="auto"/>
            <w:vAlign w:val="center"/>
          </w:tcPr>
          <w:p w:rsidR="00926A0D" w:rsidRDefault="00926A0D">
            <w:pPr>
              <w:spacing w:before="20" w:after="20"/>
              <w:jc w:val="right"/>
              <w:rPr>
                <w:noProof/>
                <w:sz w:val="20"/>
              </w:rPr>
            </w:pPr>
          </w:p>
        </w:tc>
        <w:tc>
          <w:tcPr>
            <w:tcW w:w="1777" w:type="dxa"/>
            <w:vAlign w:val="center"/>
          </w:tcPr>
          <w:p w:rsidR="00926A0D" w:rsidRDefault="006023A9">
            <w:pPr>
              <w:spacing w:before="20" w:after="20"/>
              <w:jc w:val="right"/>
              <w:rPr>
                <w:b/>
                <w:noProof/>
                <w:sz w:val="20"/>
              </w:rPr>
            </w:pPr>
            <w:r>
              <w:rPr>
                <w:b/>
                <w:noProof/>
                <w:sz w:val="18"/>
              </w:rPr>
              <w:t>9.908</w:t>
            </w:r>
          </w:p>
        </w:tc>
      </w:tr>
      <w:tr w:rsidR="00926A0D">
        <w:tc>
          <w:tcPr>
            <w:tcW w:w="3960" w:type="dxa"/>
            <w:vMerge/>
            <w:shd w:val="clear" w:color="auto" w:fill="C0C0C0"/>
          </w:tcPr>
          <w:p w:rsidR="00926A0D" w:rsidRDefault="00926A0D">
            <w:pPr>
              <w:rPr>
                <w:noProof/>
                <w:sz w:val="20"/>
              </w:rPr>
            </w:pPr>
          </w:p>
        </w:tc>
        <w:tc>
          <w:tcPr>
            <w:tcW w:w="2094" w:type="dxa"/>
            <w:gridSpan w:val="2"/>
            <w:vAlign w:val="center"/>
          </w:tcPr>
          <w:p w:rsidR="00926A0D" w:rsidRDefault="006023A9">
            <w:pPr>
              <w:rPr>
                <w:noProof/>
                <w:sz w:val="14"/>
              </w:rPr>
            </w:pPr>
            <w:r>
              <w:rPr>
                <w:noProof/>
                <w:sz w:val="18"/>
              </w:rPr>
              <w:t>Payments</w:t>
            </w:r>
          </w:p>
        </w:tc>
        <w:tc>
          <w:tcPr>
            <w:tcW w:w="868" w:type="dxa"/>
            <w:vAlign w:val="center"/>
          </w:tcPr>
          <w:p w:rsidR="00926A0D" w:rsidRDefault="006023A9">
            <w:pPr>
              <w:spacing w:before="20" w:after="20"/>
              <w:jc w:val="right"/>
              <w:rPr>
                <w:noProof/>
                <w:sz w:val="20"/>
              </w:rPr>
            </w:pPr>
            <w:r>
              <w:rPr>
                <w:noProof/>
                <w:sz w:val="20"/>
              </w:rPr>
              <w:t>2.636</w:t>
            </w:r>
          </w:p>
        </w:tc>
        <w:tc>
          <w:tcPr>
            <w:tcW w:w="868" w:type="dxa"/>
            <w:vAlign w:val="center"/>
          </w:tcPr>
          <w:p w:rsidR="00926A0D" w:rsidRDefault="006023A9">
            <w:pPr>
              <w:spacing w:before="20" w:after="20"/>
              <w:jc w:val="right"/>
              <w:rPr>
                <w:noProof/>
                <w:sz w:val="20"/>
              </w:rPr>
            </w:pPr>
            <w:r>
              <w:rPr>
                <w:noProof/>
                <w:sz w:val="20"/>
              </w:rPr>
              <w:t>2.936</w:t>
            </w:r>
          </w:p>
        </w:tc>
        <w:tc>
          <w:tcPr>
            <w:tcW w:w="868" w:type="dxa"/>
            <w:vAlign w:val="center"/>
          </w:tcPr>
          <w:p w:rsidR="00926A0D" w:rsidRDefault="006023A9">
            <w:pPr>
              <w:spacing w:before="20" w:after="20"/>
              <w:jc w:val="right"/>
              <w:rPr>
                <w:noProof/>
                <w:sz w:val="20"/>
              </w:rPr>
            </w:pPr>
            <w:r>
              <w:rPr>
                <w:noProof/>
                <w:sz w:val="20"/>
              </w:rPr>
              <w:t>3.336</w:t>
            </w:r>
          </w:p>
        </w:tc>
        <w:tc>
          <w:tcPr>
            <w:tcW w:w="868" w:type="dxa"/>
            <w:vAlign w:val="center"/>
          </w:tcPr>
          <w:p w:rsidR="00926A0D" w:rsidRDefault="00926A0D">
            <w:pPr>
              <w:spacing w:before="20" w:after="20"/>
              <w:jc w:val="right"/>
              <w:rPr>
                <w:noProof/>
                <w:sz w:val="20"/>
              </w:rPr>
            </w:pPr>
          </w:p>
        </w:tc>
        <w:tc>
          <w:tcPr>
            <w:tcW w:w="868" w:type="dxa"/>
            <w:shd w:val="clear" w:color="auto" w:fill="auto"/>
            <w:vAlign w:val="center"/>
          </w:tcPr>
          <w:p w:rsidR="00926A0D" w:rsidRDefault="00926A0D">
            <w:pPr>
              <w:spacing w:before="20" w:after="20"/>
              <w:jc w:val="right"/>
              <w:rPr>
                <w:noProof/>
                <w:sz w:val="20"/>
              </w:rPr>
            </w:pPr>
          </w:p>
        </w:tc>
        <w:tc>
          <w:tcPr>
            <w:tcW w:w="868" w:type="dxa"/>
            <w:shd w:val="clear" w:color="auto" w:fill="auto"/>
            <w:vAlign w:val="center"/>
          </w:tcPr>
          <w:p w:rsidR="00926A0D" w:rsidRDefault="00926A0D">
            <w:pPr>
              <w:spacing w:before="20" w:after="20"/>
              <w:jc w:val="right"/>
              <w:rPr>
                <w:noProof/>
                <w:sz w:val="20"/>
              </w:rPr>
            </w:pPr>
          </w:p>
        </w:tc>
        <w:tc>
          <w:tcPr>
            <w:tcW w:w="868" w:type="dxa"/>
            <w:shd w:val="clear" w:color="auto" w:fill="auto"/>
            <w:vAlign w:val="center"/>
          </w:tcPr>
          <w:p w:rsidR="00926A0D" w:rsidRDefault="00926A0D">
            <w:pPr>
              <w:spacing w:before="20" w:after="20"/>
              <w:jc w:val="right"/>
              <w:rPr>
                <w:noProof/>
                <w:sz w:val="20"/>
              </w:rPr>
            </w:pPr>
          </w:p>
        </w:tc>
        <w:tc>
          <w:tcPr>
            <w:tcW w:w="1777" w:type="dxa"/>
            <w:vAlign w:val="center"/>
          </w:tcPr>
          <w:p w:rsidR="00926A0D" w:rsidRDefault="006023A9">
            <w:pPr>
              <w:spacing w:before="20" w:after="20"/>
              <w:jc w:val="right"/>
              <w:rPr>
                <w:b/>
                <w:noProof/>
                <w:sz w:val="20"/>
              </w:rPr>
            </w:pPr>
            <w:r>
              <w:rPr>
                <w:b/>
                <w:noProof/>
                <w:sz w:val="18"/>
              </w:rPr>
              <w:t>8.908</w:t>
            </w:r>
          </w:p>
        </w:tc>
      </w:tr>
    </w:tbl>
    <w:p w:rsidR="00926A0D" w:rsidRDefault="00926A0D">
      <w:pPr>
        <w:rPr>
          <w:noProof/>
        </w:rPr>
        <w:sectPr w:rsidR="00926A0D" w:rsidSect="00211F8F">
          <w:headerReference w:type="default" r:id="rId21"/>
          <w:footerReference w:type="default" r:id="rId22"/>
          <w:headerReference w:type="first" r:id="rId23"/>
          <w:footerReference w:type="first" r:id="rId24"/>
          <w:pgSz w:w="16840" w:h="11907" w:orient="landscape" w:code="9"/>
          <w:pgMar w:top="1134" w:right="1418" w:bottom="1134" w:left="1418" w:header="709" w:footer="709" w:gutter="0"/>
          <w:cols w:space="708"/>
          <w:docGrid w:linePitch="360"/>
        </w:sectPr>
      </w:pPr>
    </w:p>
    <w:p w:rsidR="00926A0D" w:rsidRDefault="006023A9">
      <w:pPr>
        <w:pStyle w:val="ManualHeading3"/>
        <w:rPr>
          <w:bCs/>
          <w:noProof/>
          <w:szCs w:val="24"/>
        </w:rPr>
      </w:pPr>
      <w:r>
        <w:lastRenderedPageBreak/>
        <w:t>3.2.2.</w:t>
      </w:r>
      <w:r>
        <w:tab/>
      </w:r>
      <w:r>
        <w:rPr>
          <w:noProof/>
        </w:rPr>
        <w:t xml:space="preserve">Estimated impact on operational appropriations </w:t>
      </w:r>
    </w:p>
    <w:p w:rsidR="00926A0D" w:rsidRDefault="006023A9">
      <w:pPr>
        <w:pStyle w:val="ListDash1"/>
        <w:rPr>
          <w:noProof/>
        </w:rPr>
      </w:pPr>
      <w:r>
        <w:rPr>
          <w:noProof/>
        </w:rPr>
        <w:sym w:font="Wingdings" w:char="F0A8"/>
      </w:r>
      <w:r>
        <w:rPr>
          <w:noProof/>
        </w:rPr>
        <w:tab/>
        <w:t xml:space="preserve">The proposal/initiative does not require the use of operational appropriations </w:t>
      </w:r>
    </w:p>
    <w:p w:rsidR="00926A0D" w:rsidRDefault="006023A9">
      <w:pPr>
        <w:pStyle w:val="ListDash1"/>
        <w:rPr>
          <w:noProof/>
        </w:rPr>
      </w:pPr>
      <w:r>
        <w:rPr>
          <w:noProof/>
        </w:rPr>
        <w:sym w:font="Wingdings" w:char="F0FE"/>
      </w:r>
      <w:r>
        <w:rPr>
          <w:noProof/>
        </w:rPr>
        <w:tab/>
        <w:t>The proposal/initiative requires the use of operational appropriations, as explained below:</w:t>
      </w:r>
    </w:p>
    <w:p w:rsidR="00926A0D" w:rsidRDefault="006023A9">
      <w:pPr>
        <w:jc w:val="right"/>
        <w:rPr>
          <w:noProof/>
          <w:sz w:val="20"/>
        </w:rPr>
      </w:pPr>
      <w:r>
        <w:rPr>
          <w:noProof/>
          <w:sz w:val="20"/>
        </w:rPr>
        <w:t>Commitment appropriations in EUR million (to three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926A0D">
        <w:trPr>
          <w:jc w:val="center"/>
        </w:trPr>
        <w:tc>
          <w:tcPr>
            <w:tcW w:w="1423" w:type="dxa"/>
            <w:vMerge w:val="restart"/>
            <w:vAlign w:val="center"/>
          </w:tcPr>
          <w:p w:rsidR="00926A0D" w:rsidRDefault="006023A9">
            <w:pPr>
              <w:ind w:right="-29"/>
              <w:jc w:val="center"/>
              <w:rPr>
                <w:b/>
                <w:noProof/>
                <w:sz w:val="18"/>
                <w:szCs w:val="18"/>
              </w:rPr>
            </w:pPr>
            <w:r>
              <w:rPr>
                <w:b/>
                <w:noProof/>
                <w:sz w:val="18"/>
              </w:rPr>
              <w:t xml:space="preserve">Indicate objectives and outputs </w:t>
            </w:r>
          </w:p>
          <w:p w:rsidR="00926A0D" w:rsidRDefault="00926A0D">
            <w:pPr>
              <w:ind w:right="-29"/>
              <w:jc w:val="center"/>
              <w:rPr>
                <w:b/>
                <w:noProof/>
                <w:sz w:val="18"/>
                <w:szCs w:val="18"/>
              </w:rPr>
            </w:pPr>
          </w:p>
          <w:p w:rsidR="00926A0D" w:rsidRDefault="006023A9">
            <w:pPr>
              <w:ind w:right="-29"/>
              <w:jc w:val="center"/>
              <w:rPr>
                <w:noProof/>
                <w:sz w:val="18"/>
                <w:szCs w:val="18"/>
              </w:rPr>
            </w:pPr>
            <w:r>
              <w:rPr>
                <w:noProof/>
                <w:sz w:val="18"/>
              </w:rPr>
              <w:sym w:font="Wingdings" w:char="F0F2"/>
            </w:r>
          </w:p>
        </w:tc>
        <w:tc>
          <w:tcPr>
            <w:tcW w:w="720" w:type="dxa"/>
            <w:vAlign w:val="center"/>
          </w:tcPr>
          <w:p w:rsidR="00926A0D" w:rsidRDefault="00926A0D">
            <w:pPr>
              <w:ind w:right="-29"/>
              <w:jc w:val="center"/>
              <w:rPr>
                <w:noProof/>
                <w:sz w:val="18"/>
                <w:szCs w:val="18"/>
              </w:rPr>
            </w:pPr>
          </w:p>
        </w:tc>
        <w:tc>
          <w:tcPr>
            <w:tcW w:w="701" w:type="dxa"/>
            <w:vAlign w:val="center"/>
          </w:tcPr>
          <w:p w:rsidR="00926A0D" w:rsidRDefault="00926A0D">
            <w:pPr>
              <w:ind w:right="-29"/>
              <w:jc w:val="center"/>
              <w:rPr>
                <w:noProof/>
                <w:sz w:val="18"/>
                <w:szCs w:val="18"/>
              </w:rPr>
            </w:pPr>
          </w:p>
        </w:tc>
        <w:tc>
          <w:tcPr>
            <w:tcW w:w="1224" w:type="dxa"/>
            <w:gridSpan w:val="2"/>
            <w:tcBorders>
              <w:left w:val="nil"/>
            </w:tcBorders>
            <w:vAlign w:val="center"/>
          </w:tcPr>
          <w:p w:rsidR="00926A0D" w:rsidRDefault="006023A9">
            <w:pPr>
              <w:ind w:right="-29"/>
              <w:jc w:val="center"/>
              <w:rPr>
                <w:noProof/>
                <w:sz w:val="18"/>
                <w:szCs w:val="18"/>
              </w:rPr>
            </w:pPr>
            <w:r>
              <w:rPr>
                <w:noProof/>
                <w:sz w:val="20"/>
              </w:rPr>
              <w:t>Year</w:t>
            </w:r>
            <w:r>
              <w:rPr>
                <w:noProof/>
                <w:sz w:val="22"/>
              </w:rPr>
              <w:br/>
            </w:r>
            <w:r>
              <w:rPr>
                <w:b/>
                <w:noProof/>
                <w:sz w:val="20"/>
              </w:rPr>
              <w:t>2018</w:t>
            </w:r>
          </w:p>
        </w:tc>
        <w:tc>
          <w:tcPr>
            <w:tcW w:w="1260" w:type="dxa"/>
            <w:gridSpan w:val="2"/>
            <w:vAlign w:val="center"/>
          </w:tcPr>
          <w:p w:rsidR="00926A0D" w:rsidRDefault="006023A9">
            <w:pPr>
              <w:ind w:right="-29"/>
              <w:jc w:val="center"/>
              <w:rPr>
                <w:noProof/>
                <w:sz w:val="18"/>
                <w:szCs w:val="18"/>
              </w:rPr>
            </w:pPr>
            <w:r>
              <w:rPr>
                <w:noProof/>
                <w:sz w:val="20"/>
              </w:rPr>
              <w:t>Year</w:t>
            </w:r>
            <w:r>
              <w:rPr>
                <w:noProof/>
                <w:sz w:val="22"/>
              </w:rPr>
              <w:br/>
            </w:r>
            <w:r>
              <w:rPr>
                <w:b/>
                <w:noProof/>
                <w:sz w:val="20"/>
              </w:rPr>
              <w:t>2019</w:t>
            </w:r>
          </w:p>
        </w:tc>
        <w:tc>
          <w:tcPr>
            <w:tcW w:w="1440" w:type="dxa"/>
            <w:gridSpan w:val="2"/>
            <w:vAlign w:val="center"/>
          </w:tcPr>
          <w:p w:rsidR="00926A0D" w:rsidRDefault="006023A9">
            <w:pPr>
              <w:ind w:right="-29"/>
              <w:jc w:val="center"/>
              <w:rPr>
                <w:noProof/>
                <w:sz w:val="18"/>
                <w:szCs w:val="18"/>
              </w:rPr>
            </w:pPr>
            <w:r>
              <w:rPr>
                <w:noProof/>
                <w:sz w:val="20"/>
              </w:rPr>
              <w:t>Year</w:t>
            </w:r>
            <w:r>
              <w:rPr>
                <w:noProof/>
                <w:sz w:val="22"/>
              </w:rPr>
              <w:br/>
            </w:r>
            <w:r>
              <w:rPr>
                <w:b/>
                <w:noProof/>
                <w:sz w:val="20"/>
              </w:rPr>
              <w:t>2020</w:t>
            </w:r>
          </w:p>
        </w:tc>
        <w:tc>
          <w:tcPr>
            <w:tcW w:w="1620" w:type="dxa"/>
            <w:gridSpan w:val="3"/>
            <w:vAlign w:val="center"/>
          </w:tcPr>
          <w:p w:rsidR="00926A0D" w:rsidRDefault="00926A0D">
            <w:pPr>
              <w:ind w:right="-29"/>
              <w:jc w:val="center"/>
              <w:rPr>
                <w:noProof/>
                <w:sz w:val="18"/>
                <w:szCs w:val="18"/>
              </w:rPr>
            </w:pPr>
          </w:p>
        </w:tc>
        <w:tc>
          <w:tcPr>
            <w:tcW w:w="3600" w:type="dxa"/>
            <w:gridSpan w:val="6"/>
            <w:vAlign w:val="center"/>
          </w:tcPr>
          <w:p w:rsidR="00926A0D" w:rsidRDefault="006023A9">
            <w:pPr>
              <w:jc w:val="center"/>
              <w:rPr>
                <w:noProof/>
                <w:sz w:val="18"/>
                <w:szCs w:val="18"/>
              </w:rPr>
            </w:pPr>
            <w:r>
              <w:rPr>
                <w:noProof/>
                <w:sz w:val="18"/>
              </w:rPr>
              <w:t>Enter as many years as necessary to show the duration of the impact (see point 1.6)</w:t>
            </w:r>
          </w:p>
        </w:tc>
        <w:tc>
          <w:tcPr>
            <w:tcW w:w="1620" w:type="dxa"/>
            <w:gridSpan w:val="2"/>
            <w:tcBorders>
              <w:left w:val="nil"/>
              <w:bottom w:val="nil"/>
            </w:tcBorders>
            <w:vAlign w:val="center"/>
          </w:tcPr>
          <w:p w:rsidR="00926A0D" w:rsidRDefault="006023A9">
            <w:pPr>
              <w:ind w:right="-29"/>
              <w:jc w:val="center"/>
              <w:rPr>
                <w:b/>
                <w:noProof/>
                <w:sz w:val="18"/>
              </w:rPr>
            </w:pPr>
            <w:r>
              <w:rPr>
                <w:b/>
                <w:noProof/>
                <w:sz w:val="18"/>
              </w:rPr>
              <w:t>TOTAL</w:t>
            </w:r>
          </w:p>
          <w:p w:rsidR="00926A0D" w:rsidRDefault="006023A9">
            <w:pPr>
              <w:ind w:right="-29"/>
              <w:jc w:val="center"/>
              <w:rPr>
                <w:noProof/>
                <w:sz w:val="18"/>
                <w:szCs w:val="18"/>
              </w:rPr>
            </w:pPr>
            <w:r>
              <w:rPr>
                <w:b/>
                <w:noProof/>
                <w:sz w:val="20"/>
              </w:rPr>
              <w:t xml:space="preserve">2018+2019+2020 </w:t>
            </w:r>
          </w:p>
        </w:tc>
      </w:tr>
      <w:tr w:rsidR="00926A0D">
        <w:trPr>
          <w:jc w:val="center"/>
        </w:trPr>
        <w:tc>
          <w:tcPr>
            <w:tcW w:w="1423" w:type="dxa"/>
            <w:vMerge/>
            <w:vAlign w:val="center"/>
          </w:tcPr>
          <w:p w:rsidR="00926A0D" w:rsidRDefault="00926A0D">
            <w:pPr>
              <w:ind w:right="-29"/>
              <w:jc w:val="center"/>
              <w:rPr>
                <w:noProof/>
                <w:sz w:val="18"/>
                <w:szCs w:val="18"/>
              </w:rPr>
            </w:pPr>
          </w:p>
        </w:tc>
        <w:tc>
          <w:tcPr>
            <w:tcW w:w="12185" w:type="dxa"/>
            <w:gridSpan w:val="19"/>
            <w:vAlign w:val="center"/>
          </w:tcPr>
          <w:p w:rsidR="00926A0D" w:rsidRDefault="006023A9">
            <w:pPr>
              <w:spacing w:before="60" w:after="60"/>
              <w:ind w:right="-29"/>
              <w:jc w:val="center"/>
              <w:rPr>
                <w:noProof/>
                <w:sz w:val="18"/>
                <w:szCs w:val="18"/>
              </w:rPr>
            </w:pPr>
            <w:r>
              <w:rPr>
                <w:b/>
                <w:noProof/>
                <w:sz w:val="18"/>
              </w:rPr>
              <w:t>OUTPUTS</w:t>
            </w:r>
          </w:p>
        </w:tc>
      </w:tr>
      <w:tr w:rsidR="00926A0D">
        <w:trPr>
          <w:cantSplit/>
          <w:trHeight w:val="1134"/>
          <w:jc w:val="center"/>
        </w:trPr>
        <w:tc>
          <w:tcPr>
            <w:tcW w:w="1423" w:type="dxa"/>
            <w:vMerge/>
            <w:vAlign w:val="center"/>
          </w:tcPr>
          <w:p w:rsidR="00926A0D" w:rsidRDefault="00926A0D">
            <w:pPr>
              <w:rPr>
                <w:noProof/>
                <w:sz w:val="18"/>
                <w:szCs w:val="18"/>
              </w:rPr>
            </w:pPr>
          </w:p>
        </w:tc>
        <w:tc>
          <w:tcPr>
            <w:tcW w:w="720" w:type="dxa"/>
            <w:vAlign w:val="center"/>
          </w:tcPr>
          <w:p w:rsidR="00926A0D" w:rsidRDefault="006023A9">
            <w:pPr>
              <w:jc w:val="center"/>
              <w:rPr>
                <w:noProof/>
                <w:sz w:val="18"/>
                <w:szCs w:val="18"/>
              </w:rPr>
            </w:pPr>
            <w:r>
              <w:rPr>
                <w:noProof/>
                <w:sz w:val="18"/>
              </w:rPr>
              <w:t>Type</w:t>
            </w:r>
            <w:r>
              <w:rPr>
                <w:rStyle w:val="FootnoteReference"/>
                <w:noProof/>
                <w:sz w:val="18"/>
              </w:rPr>
              <w:footnoteReference w:id="50"/>
            </w:r>
          </w:p>
          <w:p w:rsidR="00926A0D" w:rsidRDefault="00926A0D">
            <w:pPr>
              <w:spacing w:before="0" w:after="0"/>
              <w:jc w:val="center"/>
              <w:rPr>
                <w:noProof/>
                <w:sz w:val="18"/>
                <w:szCs w:val="18"/>
              </w:rPr>
            </w:pPr>
          </w:p>
        </w:tc>
        <w:tc>
          <w:tcPr>
            <w:tcW w:w="701" w:type="dxa"/>
            <w:vAlign w:val="center"/>
          </w:tcPr>
          <w:p w:rsidR="00926A0D" w:rsidRDefault="006023A9">
            <w:pPr>
              <w:jc w:val="center"/>
              <w:rPr>
                <w:noProof/>
                <w:sz w:val="18"/>
                <w:szCs w:val="18"/>
              </w:rPr>
            </w:pPr>
            <w:r>
              <w:rPr>
                <w:noProof/>
                <w:sz w:val="18"/>
              </w:rPr>
              <w:t>Average cost</w:t>
            </w:r>
          </w:p>
        </w:tc>
        <w:tc>
          <w:tcPr>
            <w:tcW w:w="504" w:type="dxa"/>
            <w:tcBorders>
              <w:left w:val="nil"/>
              <w:right w:val="dashSmallGap" w:sz="4" w:space="0" w:color="auto"/>
            </w:tcBorders>
            <w:shd w:val="pct10" w:color="auto" w:fill="auto"/>
            <w:textDirection w:val="btLr"/>
            <w:vAlign w:val="center"/>
          </w:tcPr>
          <w:p w:rsidR="00926A0D" w:rsidRDefault="006023A9">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926A0D" w:rsidRDefault="006023A9">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926A0D" w:rsidRDefault="006023A9">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926A0D" w:rsidRDefault="006023A9">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rsidR="00926A0D" w:rsidRDefault="006023A9">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926A0D" w:rsidRDefault="006023A9">
            <w:pPr>
              <w:jc w:val="center"/>
              <w:rPr>
                <w:noProof/>
                <w:sz w:val="18"/>
                <w:szCs w:val="18"/>
              </w:rPr>
            </w:pPr>
            <w:r>
              <w:rPr>
                <w:noProof/>
                <w:sz w:val="18"/>
              </w:rPr>
              <w:t>Cost</w:t>
            </w:r>
          </w:p>
        </w:tc>
        <w:tc>
          <w:tcPr>
            <w:tcW w:w="900" w:type="dxa"/>
            <w:tcBorders>
              <w:right w:val="dashSmallGap" w:sz="4" w:space="0" w:color="auto"/>
            </w:tcBorders>
            <w:shd w:val="pct10" w:color="auto" w:fill="auto"/>
            <w:textDirection w:val="btLr"/>
            <w:vAlign w:val="center"/>
          </w:tcPr>
          <w:p w:rsidR="00926A0D" w:rsidRDefault="006023A9">
            <w:pPr>
              <w:ind w:left="113" w:right="113"/>
              <w:jc w:val="center"/>
              <w:rPr>
                <w:noProof/>
                <w:sz w:val="18"/>
                <w:szCs w:val="18"/>
              </w:rPr>
            </w:pPr>
            <w:r>
              <w:rPr>
                <w:noProof/>
                <w:sz w:val="18"/>
              </w:rPr>
              <w:t>No</w:t>
            </w:r>
          </w:p>
        </w:tc>
        <w:tc>
          <w:tcPr>
            <w:tcW w:w="720" w:type="dxa"/>
            <w:gridSpan w:val="2"/>
            <w:tcBorders>
              <w:left w:val="dashSmallGap" w:sz="4" w:space="0" w:color="auto"/>
            </w:tcBorders>
            <w:shd w:val="pct10" w:color="auto" w:fill="auto"/>
            <w:vAlign w:val="center"/>
          </w:tcPr>
          <w:p w:rsidR="00926A0D" w:rsidRDefault="006023A9">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926A0D" w:rsidRDefault="006023A9">
            <w:pPr>
              <w:ind w:left="113" w:right="113"/>
              <w:jc w:val="center"/>
              <w:rPr>
                <w:noProof/>
                <w:sz w:val="18"/>
                <w:szCs w:val="18"/>
              </w:rPr>
            </w:pPr>
            <w:r>
              <w:rPr>
                <w:noProof/>
                <w:sz w:val="18"/>
              </w:rPr>
              <w:t>No</w:t>
            </w:r>
          </w:p>
        </w:tc>
        <w:tc>
          <w:tcPr>
            <w:tcW w:w="648" w:type="dxa"/>
            <w:tcBorders>
              <w:left w:val="dashSmallGap" w:sz="4" w:space="0" w:color="auto"/>
            </w:tcBorders>
            <w:shd w:val="pct10" w:color="auto" w:fill="auto"/>
            <w:vAlign w:val="center"/>
          </w:tcPr>
          <w:p w:rsidR="00926A0D" w:rsidRDefault="006023A9">
            <w:pPr>
              <w:jc w:val="center"/>
              <w:rPr>
                <w:noProof/>
                <w:sz w:val="18"/>
                <w:szCs w:val="18"/>
              </w:rPr>
            </w:pPr>
            <w:r>
              <w:rPr>
                <w:noProof/>
                <w:sz w:val="18"/>
              </w:rPr>
              <w:t>Cost</w:t>
            </w:r>
          </w:p>
        </w:tc>
        <w:tc>
          <w:tcPr>
            <w:tcW w:w="432" w:type="dxa"/>
            <w:tcBorders>
              <w:right w:val="dashSmallGap" w:sz="4" w:space="0" w:color="auto"/>
            </w:tcBorders>
            <w:shd w:val="pct10" w:color="auto" w:fill="auto"/>
            <w:textDirection w:val="btLr"/>
            <w:vAlign w:val="center"/>
          </w:tcPr>
          <w:p w:rsidR="00926A0D" w:rsidRDefault="006023A9">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926A0D" w:rsidRDefault="006023A9">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926A0D" w:rsidRDefault="006023A9">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926A0D" w:rsidRDefault="006023A9">
            <w:pPr>
              <w:jc w:val="center"/>
              <w:rPr>
                <w:noProof/>
                <w:sz w:val="18"/>
                <w:szCs w:val="18"/>
              </w:rPr>
            </w:pPr>
            <w:r>
              <w:rPr>
                <w:noProof/>
                <w:sz w:val="18"/>
              </w:rPr>
              <w:t>Cost</w:t>
            </w:r>
          </w:p>
        </w:tc>
        <w:tc>
          <w:tcPr>
            <w:tcW w:w="720" w:type="dxa"/>
            <w:tcBorders>
              <w:right w:val="dashSmallGap" w:sz="4" w:space="0" w:color="auto"/>
            </w:tcBorders>
            <w:shd w:val="pct10" w:color="auto" w:fill="auto"/>
            <w:vAlign w:val="center"/>
          </w:tcPr>
          <w:p w:rsidR="00926A0D" w:rsidRDefault="006023A9">
            <w:pPr>
              <w:jc w:val="center"/>
              <w:rPr>
                <w:noProof/>
                <w:sz w:val="18"/>
                <w:szCs w:val="18"/>
              </w:rPr>
            </w:pPr>
            <w:r>
              <w:rPr>
                <w:noProof/>
                <w:sz w:val="18"/>
              </w:rPr>
              <w:t>Total No</w:t>
            </w:r>
          </w:p>
        </w:tc>
        <w:tc>
          <w:tcPr>
            <w:tcW w:w="900" w:type="dxa"/>
            <w:tcBorders>
              <w:left w:val="dashSmallGap" w:sz="4" w:space="0" w:color="auto"/>
            </w:tcBorders>
            <w:shd w:val="pct10" w:color="auto" w:fill="auto"/>
            <w:vAlign w:val="center"/>
          </w:tcPr>
          <w:p w:rsidR="00926A0D" w:rsidRDefault="006023A9">
            <w:pPr>
              <w:jc w:val="center"/>
              <w:rPr>
                <w:noProof/>
                <w:sz w:val="18"/>
                <w:szCs w:val="18"/>
              </w:rPr>
            </w:pPr>
            <w:r>
              <w:rPr>
                <w:noProof/>
                <w:sz w:val="18"/>
              </w:rPr>
              <w:t>Total cost</w:t>
            </w:r>
          </w:p>
        </w:tc>
      </w:tr>
      <w:tr w:rsidR="00926A0D">
        <w:trPr>
          <w:jc w:val="center"/>
        </w:trPr>
        <w:tc>
          <w:tcPr>
            <w:tcW w:w="2844" w:type="dxa"/>
            <w:gridSpan w:val="3"/>
            <w:vAlign w:val="center"/>
          </w:tcPr>
          <w:p w:rsidR="00926A0D" w:rsidRDefault="006023A9">
            <w:pPr>
              <w:spacing w:before="60" w:after="60"/>
              <w:ind w:right="-29"/>
              <w:jc w:val="center"/>
              <w:rPr>
                <w:noProof/>
                <w:sz w:val="18"/>
                <w:szCs w:val="18"/>
              </w:rPr>
            </w:pPr>
            <w:r>
              <w:rPr>
                <w:noProof/>
                <w:sz w:val="18"/>
              </w:rPr>
              <w:t>SPECIFIC OBJECTIVE No 1</w:t>
            </w:r>
            <w:r>
              <w:rPr>
                <w:rStyle w:val="FootnoteReference"/>
                <w:noProof/>
                <w:sz w:val="18"/>
              </w:rPr>
              <w:footnoteReference w:id="51"/>
            </w:r>
            <w:r>
              <w:rPr>
                <w:noProof/>
                <w:sz w:val="18"/>
              </w:rPr>
              <w:t>…</w:t>
            </w:r>
          </w:p>
        </w:tc>
        <w:tc>
          <w:tcPr>
            <w:tcW w:w="504" w:type="dxa"/>
            <w:tcBorders>
              <w:top w:val="nil"/>
              <w:left w:val="nil"/>
              <w:bottom w:val="nil"/>
              <w:right w:val="nil"/>
            </w:tcBorders>
          </w:tcPr>
          <w:p w:rsidR="00926A0D" w:rsidRDefault="00926A0D">
            <w:pPr>
              <w:spacing w:before="60" w:after="60"/>
              <w:ind w:right="-29"/>
              <w:jc w:val="center"/>
              <w:rPr>
                <w:noProof/>
                <w:sz w:val="18"/>
                <w:szCs w:val="18"/>
              </w:rPr>
            </w:pPr>
          </w:p>
        </w:tc>
        <w:tc>
          <w:tcPr>
            <w:tcW w:w="720" w:type="dxa"/>
            <w:tcBorders>
              <w:top w:val="nil"/>
              <w:left w:val="nil"/>
              <w:bottom w:val="nil"/>
              <w:right w:val="nil"/>
            </w:tcBorders>
          </w:tcPr>
          <w:p w:rsidR="00926A0D" w:rsidRDefault="00926A0D">
            <w:pPr>
              <w:spacing w:before="60" w:after="60"/>
              <w:ind w:right="-29"/>
              <w:jc w:val="center"/>
              <w:rPr>
                <w:noProof/>
                <w:sz w:val="18"/>
                <w:szCs w:val="18"/>
              </w:rPr>
            </w:pPr>
          </w:p>
        </w:tc>
        <w:tc>
          <w:tcPr>
            <w:tcW w:w="540" w:type="dxa"/>
            <w:tcBorders>
              <w:top w:val="nil"/>
              <w:left w:val="nil"/>
              <w:bottom w:val="nil"/>
              <w:right w:val="nil"/>
            </w:tcBorders>
          </w:tcPr>
          <w:p w:rsidR="00926A0D" w:rsidRDefault="00926A0D">
            <w:pPr>
              <w:spacing w:before="60" w:after="60"/>
              <w:ind w:right="-29"/>
              <w:jc w:val="center"/>
              <w:rPr>
                <w:noProof/>
                <w:sz w:val="18"/>
                <w:szCs w:val="18"/>
              </w:rPr>
            </w:pPr>
          </w:p>
        </w:tc>
        <w:tc>
          <w:tcPr>
            <w:tcW w:w="720" w:type="dxa"/>
            <w:tcBorders>
              <w:top w:val="nil"/>
              <w:left w:val="nil"/>
              <w:bottom w:val="nil"/>
              <w:right w:val="nil"/>
            </w:tcBorders>
          </w:tcPr>
          <w:p w:rsidR="00926A0D" w:rsidRDefault="00926A0D">
            <w:pPr>
              <w:spacing w:before="60" w:after="60"/>
              <w:ind w:right="-29"/>
              <w:jc w:val="center"/>
              <w:rPr>
                <w:noProof/>
                <w:sz w:val="18"/>
                <w:szCs w:val="18"/>
              </w:rPr>
            </w:pPr>
          </w:p>
        </w:tc>
        <w:tc>
          <w:tcPr>
            <w:tcW w:w="720" w:type="dxa"/>
            <w:tcBorders>
              <w:top w:val="nil"/>
              <w:left w:val="nil"/>
              <w:bottom w:val="nil"/>
              <w:right w:val="nil"/>
            </w:tcBorders>
          </w:tcPr>
          <w:p w:rsidR="00926A0D" w:rsidRDefault="00926A0D">
            <w:pPr>
              <w:spacing w:before="60" w:after="60"/>
              <w:ind w:right="-29"/>
              <w:jc w:val="center"/>
              <w:rPr>
                <w:noProof/>
                <w:sz w:val="18"/>
                <w:szCs w:val="18"/>
              </w:rPr>
            </w:pPr>
          </w:p>
        </w:tc>
        <w:tc>
          <w:tcPr>
            <w:tcW w:w="720" w:type="dxa"/>
            <w:tcBorders>
              <w:top w:val="nil"/>
              <w:left w:val="nil"/>
              <w:bottom w:val="nil"/>
              <w:right w:val="nil"/>
            </w:tcBorders>
          </w:tcPr>
          <w:p w:rsidR="00926A0D" w:rsidRDefault="00926A0D">
            <w:pPr>
              <w:spacing w:before="60" w:after="60"/>
              <w:ind w:right="-29"/>
              <w:jc w:val="center"/>
              <w:rPr>
                <w:noProof/>
                <w:sz w:val="18"/>
                <w:szCs w:val="18"/>
              </w:rPr>
            </w:pPr>
          </w:p>
        </w:tc>
        <w:tc>
          <w:tcPr>
            <w:tcW w:w="900" w:type="dxa"/>
            <w:tcBorders>
              <w:top w:val="nil"/>
              <w:left w:val="nil"/>
              <w:bottom w:val="nil"/>
              <w:right w:val="nil"/>
            </w:tcBorders>
          </w:tcPr>
          <w:p w:rsidR="00926A0D" w:rsidRDefault="00926A0D">
            <w:pPr>
              <w:spacing w:before="60" w:after="60"/>
              <w:ind w:right="-29"/>
              <w:jc w:val="center"/>
              <w:rPr>
                <w:noProof/>
                <w:sz w:val="18"/>
                <w:szCs w:val="18"/>
              </w:rPr>
            </w:pPr>
          </w:p>
        </w:tc>
        <w:tc>
          <w:tcPr>
            <w:tcW w:w="720" w:type="dxa"/>
            <w:gridSpan w:val="2"/>
            <w:tcBorders>
              <w:top w:val="nil"/>
              <w:left w:val="nil"/>
              <w:bottom w:val="nil"/>
              <w:right w:val="nil"/>
            </w:tcBorders>
          </w:tcPr>
          <w:p w:rsidR="00926A0D" w:rsidRDefault="00926A0D">
            <w:pPr>
              <w:spacing w:before="60" w:after="60"/>
              <w:ind w:right="-29"/>
              <w:jc w:val="center"/>
              <w:rPr>
                <w:noProof/>
                <w:sz w:val="18"/>
                <w:szCs w:val="18"/>
              </w:rPr>
            </w:pPr>
          </w:p>
        </w:tc>
        <w:tc>
          <w:tcPr>
            <w:tcW w:w="540" w:type="dxa"/>
            <w:tcBorders>
              <w:top w:val="nil"/>
              <w:left w:val="nil"/>
              <w:bottom w:val="nil"/>
              <w:right w:val="nil"/>
            </w:tcBorders>
          </w:tcPr>
          <w:p w:rsidR="00926A0D" w:rsidRDefault="00926A0D">
            <w:pPr>
              <w:spacing w:before="60" w:after="60"/>
              <w:ind w:right="-29"/>
              <w:jc w:val="center"/>
              <w:rPr>
                <w:noProof/>
                <w:sz w:val="18"/>
                <w:szCs w:val="18"/>
              </w:rPr>
            </w:pPr>
          </w:p>
        </w:tc>
        <w:tc>
          <w:tcPr>
            <w:tcW w:w="648" w:type="dxa"/>
            <w:tcBorders>
              <w:top w:val="nil"/>
              <w:left w:val="nil"/>
              <w:bottom w:val="nil"/>
              <w:right w:val="nil"/>
            </w:tcBorders>
          </w:tcPr>
          <w:p w:rsidR="00926A0D" w:rsidRDefault="00926A0D">
            <w:pPr>
              <w:spacing w:before="60" w:after="60"/>
              <w:ind w:right="-29"/>
              <w:jc w:val="center"/>
              <w:rPr>
                <w:noProof/>
                <w:sz w:val="18"/>
                <w:szCs w:val="18"/>
              </w:rPr>
            </w:pPr>
          </w:p>
        </w:tc>
        <w:tc>
          <w:tcPr>
            <w:tcW w:w="432" w:type="dxa"/>
            <w:tcBorders>
              <w:top w:val="nil"/>
              <w:left w:val="nil"/>
              <w:bottom w:val="nil"/>
              <w:right w:val="nil"/>
            </w:tcBorders>
          </w:tcPr>
          <w:p w:rsidR="00926A0D" w:rsidRDefault="00926A0D">
            <w:pPr>
              <w:spacing w:before="60" w:after="60"/>
              <w:ind w:right="-29"/>
              <w:jc w:val="center"/>
              <w:rPr>
                <w:noProof/>
                <w:sz w:val="18"/>
                <w:szCs w:val="18"/>
              </w:rPr>
            </w:pPr>
          </w:p>
        </w:tc>
        <w:tc>
          <w:tcPr>
            <w:tcW w:w="720" w:type="dxa"/>
            <w:tcBorders>
              <w:top w:val="nil"/>
              <w:left w:val="nil"/>
              <w:bottom w:val="nil"/>
              <w:right w:val="nil"/>
            </w:tcBorders>
          </w:tcPr>
          <w:p w:rsidR="00926A0D" w:rsidRDefault="00926A0D">
            <w:pPr>
              <w:spacing w:before="60" w:after="60"/>
              <w:ind w:right="-29"/>
              <w:jc w:val="center"/>
              <w:rPr>
                <w:noProof/>
                <w:sz w:val="18"/>
                <w:szCs w:val="18"/>
              </w:rPr>
            </w:pPr>
          </w:p>
        </w:tc>
        <w:tc>
          <w:tcPr>
            <w:tcW w:w="540" w:type="dxa"/>
            <w:tcBorders>
              <w:top w:val="nil"/>
              <w:left w:val="nil"/>
              <w:bottom w:val="nil"/>
              <w:right w:val="nil"/>
            </w:tcBorders>
          </w:tcPr>
          <w:p w:rsidR="00926A0D" w:rsidRDefault="00926A0D">
            <w:pPr>
              <w:spacing w:before="60" w:after="60"/>
              <w:ind w:right="-29"/>
              <w:jc w:val="center"/>
              <w:rPr>
                <w:noProof/>
                <w:sz w:val="18"/>
                <w:szCs w:val="18"/>
              </w:rPr>
            </w:pPr>
          </w:p>
        </w:tc>
        <w:tc>
          <w:tcPr>
            <w:tcW w:w="720" w:type="dxa"/>
            <w:tcBorders>
              <w:top w:val="nil"/>
              <w:left w:val="nil"/>
              <w:bottom w:val="nil"/>
              <w:right w:val="nil"/>
            </w:tcBorders>
          </w:tcPr>
          <w:p w:rsidR="00926A0D" w:rsidRDefault="00926A0D">
            <w:pPr>
              <w:spacing w:before="60" w:after="60"/>
              <w:ind w:right="-29"/>
              <w:jc w:val="center"/>
              <w:rPr>
                <w:noProof/>
                <w:sz w:val="18"/>
                <w:szCs w:val="18"/>
              </w:rPr>
            </w:pPr>
          </w:p>
        </w:tc>
        <w:tc>
          <w:tcPr>
            <w:tcW w:w="720" w:type="dxa"/>
            <w:tcBorders>
              <w:top w:val="nil"/>
              <w:left w:val="nil"/>
              <w:bottom w:val="nil"/>
              <w:right w:val="nil"/>
            </w:tcBorders>
          </w:tcPr>
          <w:p w:rsidR="00926A0D" w:rsidRDefault="00926A0D">
            <w:pPr>
              <w:spacing w:before="60" w:after="60"/>
              <w:ind w:right="-29"/>
              <w:jc w:val="center"/>
              <w:rPr>
                <w:noProof/>
                <w:sz w:val="18"/>
                <w:szCs w:val="18"/>
              </w:rPr>
            </w:pPr>
          </w:p>
        </w:tc>
        <w:tc>
          <w:tcPr>
            <w:tcW w:w="900" w:type="dxa"/>
            <w:tcBorders>
              <w:top w:val="nil"/>
              <w:left w:val="nil"/>
              <w:bottom w:val="nil"/>
              <w:right w:val="nil"/>
            </w:tcBorders>
          </w:tcPr>
          <w:p w:rsidR="00926A0D" w:rsidRDefault="00926A0D">
            <w:pPr>
              <w:spacing w:before="60" w:after="60"/>
              <w:ind w:right="-29"/>
              <w:jc w:val="center"/>
              <w:rPr>
                <w:noProof/>
                <w:sz w:val="18"/>
                <w:szCs w:val="18"/>
              </w:rPr>
            </w:pPr>
          </w:p>
        </w:tc>
      </w:tr>
      <w:tr w:rsidR="00926A0D">
        <w:trPr>
          <w:trHeight w:hRule="exact" w:val="1370"/>
          <w:jc w:val="center"/>
        </w:trPr>
        <w:tc>
          <w:tcPr>
            <w:tcW w:w="1423" w:type="dxa"/>
          </w:tcPr>
          <w:p w:rsidR="00926A0D" w:rsidRDefault="006023A9">
            <w:pPr>
              <w:ind w:right="-29"/>
              <w:jc w:val="center"/>
              <w:rPr>
                <w:noProof/>
                <w:sz w:val="18"/>
                <w:szCs w:val="18"/>
              </w:rPr>
            </w:pPr>
            <w:r>
              <w:rPr>
                <w:noProof/>
                <w:sz w:val="18"/>
              </w:rPr>
              <w:t>- Technical assistance for Commission monitoring of Member States' progress</w:t>
            </w:r>
            <w:r>
              <w:rPr>
                <w:rStyle w:val="FootnoteReference"/>
                <w:noProof/>
                <w:sz w:val="18"/>
              </w:rPr>
              <w:footnoteReference w:id="52"/>
            </w:r>
            <w:r>
              <w:rPr>
                <w:noProof/>
                <w:sz w:val="18"/>
              </w:rPr>
              <w:t xml:space="preserve"> </w:t>
            </w:r>
          </w:p>
        </w:tc>
        <w:tc>
          <w:tcPr>
            <w:tcW w:w="720" w:type="dxa"/>
          </w:tcPr>
          <w:p w:rsidR="00926A0D" w:rsidRDefault="00926A0D">
            <w:pPr>
              <w:ind w:right="-29"/>
              <w:jc w:val="center"/>
              <w:rPr>
                <w:noProof/>
                <w:sz w:val="18"/>
                <w:szCs w:val="18"/>
              </w:rPr>
            </w:pPr>
          </w:p>
        </w:tc>
        <w:tc>
          <w:tcPr>
            <w:tcW w:w="701" w:type="dxa"/>
          </w:tcPr>
          <w:p w:rsidR="00926A0D" w:rsidRDefault="00926A0D">
            <w:pPr>
              <w:ind w:right="-29"/>
              <w:jc w:val="center"/>
              <w:rPr>
                <w:noProof/>
                <w:sz w:val="18"/>
                <w:szCs w:val="18"/>
              </w:rPr>
            </w:pPr>
          </w:p>
        </w:tc>
        <w:tc>
          <w:tcPr>
            <w:tcW w:w="504" w:type="dxa"/>
            <w:tcBorders>
              <w:right w:val="dashSmallGap" w:sz="4" w:space="0" w:color="auto"/>
            </w:tcBorders>
          </w:tcPr>
          <w:p w:rsidR="00926A0D" w:rsidRDefault="00926A0D">
            <w:pPr>
              <w:ind w:right="-29"/>
              <w:jc w:val="center"/>
              <w:rPr>
                <w:noProof/>
                <w:sz w:val="18"/>
                <w:szCs w:val="18"/>
              </w:rPr>
            </w:pPr>
          </w:p>
        </w:tc>
        <w:tc>
          <w:tcPr>
            <w:tcW w:w="720" w:type="dxa"/>
            <w:tcBorders>
              <w:left w:val="dashSmallGap" w:sz="4" w:space="0" w:color="auto"/>
            </w:tcBorders>
          </w:tcPr>
          <w:p w:rsidR="00926A0D" w:rsidRDefault="006023A9">
            <w:pPr>
              <w:ind w:right="-29"/>
              <w:jc w:val="center"/>
              <w:rPr>
                <w:noProof/>
                <w:sz w:val="18"/>
                <w:szCs w:val="18"/>
              </w:rPr>
            </w:pPr>
            <w:r>
              <w:rPr>
                <w:noProof/>
                <w:sz w:val="18"/>
                <w:szCs w:val="18"/>
              </w:rPr>
              <w:t>0</w:t>
            </w:r>
          </w:p>
        </w:tc>
        <w:tc>
          <w:tcPr>
            <w:tcW w:w="540" w:type="dxa"/>
            <w:tcBorders>
              <w:right w:val="dashSmallGap" w:sz="4" w:space="0" w:color="auto"/>
            </w:tcBorders>
          </w:tcPr>
          <w:p w:rsidR="00926A0D" w:rsidRDefault="00926A0D">
            <w:pPr>
              <w:ind w:right="-29"/>
              <w:jc w:val="center"/>
              <w:rPr>
                <w:noProof/>
                <w:sz w:val="18"/>
              </w:rPr>
            </w:pPr>
          </w:p>
        </w:tc>
        <w:tc>
          <w:tcPr>
            <w:tcW w:w="720" w:type="dxa"/>
            <w:tcBorders>
              <w:left w:val="dashSmallGap" w:sz="4" w:space="0" w:color="auto"/>
            </w:tcBorders>
          </w:tcPr>
          <w:p w:rsidR="00926A0D" w:rsidRDefault="006023A9">
            <w:pPr>
              <w:ind w:right="-29"/>
              <w:jc w:val="center"/>
              <w:rPr>
                <w:noProof/>
                <w:sz w:val="18"/>
              </w:rPr>
            </w:pPr>
            <w:r>
              <w:rPr>
                <w:noProof/>
                <w:sz w:val="18"/>
              </w:rPr>
              <w:t>0.250</w:t>
            </w:r>
          </w:p>
        </w:tc>
        <w:tc>
          <w:tcPr>
            <w:tcW w:w="720" w:type="dxa"/>
            <w:tcBorders>
              <w:right w:val="dashSmallGap" w:sz="4" w:space="0" w:color="auto"/>
            </w:tcBorders>
          </w:tcPr>
          <w:p w:rsidR="00926A0D" w:rsidRDefault="00926A0D">
            <w:pPr>
              <w:ind w:right="-29"/>
              <w:jc w:val="center"/>
              <w:rPr>
                <w:noProof/>
                <w:sz w:val="18"/>
                <w:szCs w:val="18"/>
              </w:rPr>
            </w:pPr>
          </w:p>
        </w:tc>
        <w:tc>
          <w:tcPr>
            <w:tcW w:w="720" w:type="dxa"/>
            <w:tcBorders>
              <w:left w:val="dashSmallGap" w:sz="4" w:space="0" w:color="auto"/>
            </w:tcBorders>
          </w:tcPr>
          <w:p w:rsidR="00926A0D" w:rsidRDefault="006023A9">
            <w:pPr>
              <w:ind w:right="-29"/>
              <w:jc w:val="center"/>
              <w:rPr>
                <w:noProof/>
                <w:sz w:val="18"/>
                <w:szCs w:val="18"/>
              </w:rPr>
            </w:pPr>
            <w:r>
              <w:rPr>
                <w:noProof/>
                <w:sz w:val="18"/>
                <w:szCs w:val="18"/>
              </w:rPr>
              <w:t>0.440</w:t>
            </w:r>
          </w:p>
        </w:tc>
        <w:tc>
          <w:tcPr>
            <w:tcW w:w="900" w:type="dxa"/>
            <w:tcBorders>
              <w:right w:val="dashSmallGap" w:sz="4" w:space="0" w:color="auto"/>
            </w:tcBorders>
          </w:tcPr>
          <w:p w:rsidR="00926A0D" w:rsidRDefault="00926A0D">
            <w:pPr>
              <w:ind w:right="-29"/>
              <w:jc w:val="center"/>
              <w:rPr>
                <w:noProof/>
                <w:sz w:val="18"/>
                <w:szCs w:val="18"/>
              </w:rPr>
            </w:pPr>
          </w:p>
        </w:tc>
        <w:tc>
          <w:tcPr>
            <w:tcW w:w="720" w:type="dxa"/>
            <w:gridSpan w:val="2"/>
            <w:tcBorders>
              <w:left w:val="dashSmallGap" w:sz="4" w:space="0" w:color="auto"/>
            </w:tcBorders>
          </w:tcPr>
          <w:p w:rsidR="00926A0D" w:rsidRDefault="00926A0D">
            <w:pPr>
              <w:ind w:right="-29"/>
              <w:jc w:val="center"/>
              <w:rPr>
                <w:noProof/>
                <w:sz w:val="18"/>
                <w:szCs w:val="18"/>
              </w:rPr>
            </w:pPr>
          </w:p>
        </w:tc>
        <w:tc>
          <w:tcPr>
            <w:tcW w:w="540" w:type="dxa"/>
            <w:tcBorders>
              <w:right w:val="dashSmallGap" w:sz="4" w:space="0" w:color="auto"/>
            </w:tcBorders>
          </w:tcPr>
          <w:p w:rsidR="00926A0D" w:rsidRDefault="00926A0D">
            <w:pPr>
              <w:ind w:right="-29"/>
              <w:jc w:val="center"/>
              <w:rPr>
                <w:noProof/>
                <w:sz w:val="18"/>
                <w:szCs w:val="18"/>
              </w:rPr>
            </w:pPr>
          </w:p>
        </w:tc>
        <w:tc>
          <w:tcPr>
            <w:tcW w:w="648" w:type="dxa"/>
            <w:tcBorders>
              <w:left w:val="dashSmallGap" w:sz="4" w:space="0" w:color="auto"/>
            </w:tcBorders>
          </w:tcPr>
          <w:p w:rsidR="00926A0D" w:rsidRDefault="00926A0D">
            <w:pPr>
              <w:ind w:right="-29"/>
              <w:jc w:val="center"/>
              <w:rPr>
                <w:noProof/>
                <w:sz w:val="18"/>
                <w:szCs w:val="18"/>
              </w:rPr>
            </w:pPr>
          </w:p>
        </w:tc>
        <w:tc>
          <w:tcPr>
            <w:tcW w:w="432" w:type="dxa"/>
            <w:tcBorders>
              <w:right w:val="dashSmallGap" w:sz="4" w:space="0" w:color="auto"/>
            </w:tcBorders>
          </w:tcPr>
          <w:p w:rsidR="00926A0D" w:rsidRDefault="00926A0D">
            <w:pPr>
              <w:ind w:right="-29"/>
              <w:jc w:val="center"/>
              <w:rPr>
                <w:noProof/>
                <w:sz w:val="18"/>
                <w:szCs w:val="18"/>
              </w:rPr>
            </w:pPr>
          </w:p>
        </w:tc>
        <w:tc>
          <w:tcPr>
            <w:tcW w:w="720" w:type="dxa"/>
            <w:tcBorders>
              <w:left w:val="dashSmallGap" w:sz="4" w:space="0" w:color="auto"/>
            </w:tcBorders>
          </w:tcPr>
          <w:p w:rsidR="00926A0D" w:rsidRDefault="00926A0D">
            <w:pPr>
              <w:ind w:right="-29"/>
              <w:jc w:val="center"/>
              <w:rPr>
                <w:noProof/>
                <w:sz w:val="18"/>
                <w:szCs w:val="18"/>
              </w:rPr>
            </w:pPr>
          </w:p>
        </w:tc>
        <w:tc>
          <w:tcPr>
            <w:tcW w:w="540" w:type="dxa"/>
            <w:tcBorders>
              <w:right w:val="dashSmallGap" w:sz="4" w:space="0" w:color="auto"/>
            </w:tcBorders>
          </w:tcPr>
          <w:p w:rsidR="00926A0D" w:rsidRDefault="00926A0D">
            <w:pPr>
              <w:ind w:right="-29"/>
              <w:jc w:val="center"/>
              <w:rPr>
                <w:noProof/>
                <w:sz w:val="18"/>
                <w:szCs w:val="18"/>
              </w:rPr>
            </w:pPr>
          </w:p>
        </w:tc>
        <w:tc>
          <w:tcPr>
            <w:tcW w:w="720" w:type="dxa"/>
            <w:tcBorders>
              <w:left w:val="dashSmallGap" w:sz="4" w:space="0" w:color="auto"/>
            </w:tcBorders>
          </w:tcPr>
          <w:p w:rsidR="00926A0D" w:rsidRDefault="00926A0D">
            <w:pPr>
              <w:ind w:right="-29"/>
              <w:jc w:val="center"/>
              <w:rPr>
                <w:noProof/>
                <w:sz w:val="18"/>
                <w:szCs w:val="18"/>
              </w:rPr>
            </w:pPr>
          </w:p>
        </w:tc>
        <w:tc>
          <w:tcPr>
            <w:tcW w:w="1620" w:type="dxa"/>
            <w:gridSpan w:val="2"/>
          </w:tcPr>
          <w:p w:rsidR="00926A0D" w:rsidRDefault="006023A9">
            <w:pPr>
              <w:ind w:right="-29"/>
              <w:jc w:val="center"/>
              <w:rPr>
                <w:noProof/>
                <w:sz w:val="18"/>
                <w:szCs w:val="18"/>
              </w:rPr>
            </w:pPr>
            <w:r>
              <w:rPr>
                <w:noProof/>
                <w:sz w:val="18"/>
                <w:szCs w:val="18"/>
              </w:rPr>
              <w:t>0.690</w:t>
            </w:r>
          </w:p>
        </w:tc>
      </w:tr>
      <w:tr w:rsidR="00926A0D">
        <w:trPr>
          <w:trHeight w:hRule="exact" w:val="843"/>
          <w:jc w:val="center"/>
        </w:trPr>
        <w:tc>
          <w:tcPr>
            <w:tcW w:w="1423" w:type="dxa"/>
          </w:tcPr>
          <w:p w:rsidR="00926A0D" w:rsidRDefault="006023A9">
            <w:pPr>
              <w:ind w:right="-29"/>
              <w:jc w:val="center"/>
              <w:rPr>
                <w:noProof/>
                <w:sz w:val="18"/>
                <w:szCs w:val="18"/>
              </w:rPr>
            </w:pPr>
            <w:r>
              <w:rPr>
                <w:noProof/>
                <w:sz w:val="18"/>
              </w:rPr>
              <w:t>- Database development and operation</w:t>
            </w:r>
          </w:p>
        </w:tc>
        <w:tc>
          <w:tcPr>
            <w:tcW w:w="720" w:type="dxa"/>
          </w:tcPr>
          <w:p w:rsidR="00926A0D" w:rsidRDefault="00926A0D">
            <w:pPr>
              <w:ind w:right="-29"/>
              <w:jc w:val="center"/>
              <w:rPr>
                <w:noProof/>
                <w:sz w:val="18"/>
                <w:szCs w:val="18"/>
              </w:rPr>
            </w:pPr>
          </w:p>
        </w:tc>
        <w:tc>
          <w:tcPr>
            <w:tcW w:w="701" w:type="dxa"/>
          </w:tcPr>
          <w:p w:rsidR="00926A0D" w:rsidRDefault="00926A0D">
            <w:pPr>
              <w:ind w:right="-29"/>
              <w:jc w:val="center"/>
              <w:rPr>
                <w:noProof/>
                <w:sz w:val="18"/>
                <w:szCs w:val="18"/>
              </w:rPr>
            </w:pPr>
          </w:p>
        </w:tc>
        <w:tc>
          <w:tcPr>
            <w:tcW w:w="504" w:type="dxa"/>
            <w:tcBorders>
              <w:right w:val="dashSmallGap" w:sz="4" w:space="0" w:color="auto"/>
            </w:tcBorders>
          </w:tcPr>
          <w:p w:rsidR="00926A0D" w:rsidRDefault="00926A0D">
            <w:pPr>
              <w:ind w:right="-29"/>
              <w:jc w:val="center"/>
              <w:rPr>
                <w:noProof/>
                <w:sz w:val="18"/>
                <w:szCs w:val="18"/>
              </w:rPr>
            </w:pPr>
          </w:p>
        </w:tc>
        <w:tc>
          <w:tcPr>
            <w:tcW w:w="720" w:type="dxa"/>
            <w:tcBorders>
              <w:left w:val="dashSmallGap" w:sz="4" w:space="0" w:color="auto"/>
            </w:tcBorders>
          </w:tcPr>
          <w:p w:rsidR="00926A0D" w:rsidRDefault="006023A9">
            <w:pPr>
              <w:ind w:right="-29"/>
              <w:jc w:val="center"/>
              <w:rPr>
                <w:noProof/>
                <w:sz w:val="18"/>
                <w:szCs w:val="18"/>
              </w:rPr>
            </w:pPr>
            <w:r>
              <w:rPr>
                <w:noProof/>
                <w:sz w:val="18"/>
                <w:szCs w:val="18"/>
              </w:rPr>
              <w:t>0</w:t>
            </w:r>
          </w:p>
        </w:tc>
        <w:tc>
          <w:tcPr>
            <w:tcW w:w="540" w:type="dxa"/>
            <w:tcBorders>
              <w:right w:val="dashSmallGap" w:sz="4" w:space="0" w:color="auto"/>
            </w:tcBorders>
          </w:tcPr>
          <w:p w:rsidR="00926A0D" w:rsidRDefault="00926A0D">
            <w:pPr>
              <w:ind w:right="-29"/>
              <w:jc w:val="center"/>
              <w:rPr>
                <w:noProof/>
                <w:sz w:val="18"/>
              </w:rPr>
            </w:pPr>
          </w:p>
        </w:tc>
        <w:tc>
          <w:tcPr>
            <w:tcW w:w="720" w:type="dxa"/>
            <w:tcBorders>
              <w:left w:val="dashSmallGap" w:sz="4" w:space="0" w:color="auto"/>
            </w:tcBorders>
          </w:tcPr>
          <w:p w:rsidR="00926A0D" w:rsidRDefault="006023A9">
            <w:pPr>
              <w:ind w:right="-29"/>
              <w:jc w:val="center"/>
              <w:rPr>
                <w:noProof/>
                <w:sz w:val="18"/>
              </w:rPr>
            </w:pPr>
            <w:r>
              <w:rPr>
                <w:noProof/>
                <w:sz w:val="18"/>
              </w:rPr>
              <w:t>0.250</w:t>
            </w:r>
          </w:p>
        </w:tc>
        <w:tc>
          <w:tcPr>
            <w:tcW w:w="720" w:type="dxa"/>
            <w:tcBorders>
              <w:right w:val="dashSmallGap" w:sz="4" w:space="0" w:color="auto"/>
            </w:tcBorders>
          </w:tcPr>
          <w:p w:rsidR="00926A0D" w:rsidRDefault="00926A0D">
            <w:pPr>
              <w:ind w:right="-29"/>
              <w:jc w:val="center"/>
              <w:rPr>
                <w:noProof/>
                <w:sz w:val="18"/>
                <w:szCs w:val="18"/>
              </w:rPr>
            </w:pPr>
          </w:p>
        </w:tc>
        <w:tc>
          <w:tcPr>
            <w:tcW w:w="720" w:type="dxa"/>
            <w:tcBorders>
              <w:left w:val="dashSmallGap" w:sz="4" w:space="0" w:color="auto"/>
            </w:tcBorders>
          </w:tcPr>
          <w:p w:rsidR="00926A0D" w:rsidRDefault="006023A9">
            <w:pPr>
              <w:ind w:right="-29"/>
              <w:jc w:val="center"/>
              <w:rPr>
                <w:noProof/>
                <w:sz w:val="18"/>
                <w:szCs w:val="18"/>
              </w:rPr>
            </w:pPr>
            <w:r>
              <w:rPr>
                <w:noProof/>
                <w:sz w:val="18"/>
                <w:szCs w:val="18"/>
              </w:rPr>
              <w:t>0.060</w:t>
            </w:r>
          </w:p>
        </w:tc>
        <w:tc>
          <w:tcPr>
            <w:tcW w:w="900" w:type="dxa"/>
            <w:tcBorders>
              <w:right w:val="dashSmallGap" w:sz="4" w:space="0" w:color="auto"/>
            </w:tcBorders>
          </w:tcPr>
          <w:p w:rsidR="00926A0D" w:rsidRDefault="00926A0D">
            <w:pPr>
              <w:ind w:right="-29"/>
              <w:jc w:val="center"/>
              <w:rPr>
                <w:noProof/>
                <w:sz w:val="18"/>
                <w:szCs w:val="18"/>
              </w:rPr>
            </w:pPr>
          </w:p>
        </w:tc>
        <w:tc>
          <w:tcPr>
            <w:tcW w:w="720" w:type="dxa"/>
            <w:gridSpan w:val="2"/>
            <w:tcBorders>
              <w:left w:val="dashSmallGap" w:sz="4" w:space="0" w:color="auto"/>
            </w:tcBorders>
          </w:tcPr>
          <w:p w:rsidR="00926A0D" w:rsidRDefault="00926A0D">
            <w:pPr>
              <w:ind w:right="-29"/>
              <w:jc w:val="center"/>
              <w:rPr>
                <w:noProof/>
                <w:sz w:val="18"/>
                <w:szCs w:val="18"/>
              </w:rPr>
            </w:pPr>
          </w:p>
        </w:tc>
        <w:tc>
          <w:tcPr>
            <w:tcW w:w="540" w:type="dxa"/>
            <w:tcBorders>
              <w:right w:val="dashSmallGap" w:sz="4" w:space="0" w:color="auto"/>
            </w:tcBorders>
          </w:tcPr>
          <w:p w:rsidR="00926A0D" w:rsidRDefault="00926A0D">
            <w:pPr>
              <w:ind w:right="-29"/>
              <w:jc w:val="center"/>
              <w:rPr>
                <w:noProof/>
                <w:sz w:val="18"/>
                <w:szCs w:val="18"/>
              </w:rPr>
            </w:pPr>
          </w:p>
        </w:tc>
        <w:tc>
          <w:tcPr>
            <w:tcW w:w="648" w:type="dxa"/>
            <w:tcBorders>
              <w:left w:val="dashSmallGap" w:sz="4" w:space="0" w:color="auto"/>
            </w:tcBorders>
          </w:tcPr>
          <w:p w:rsidR="00926A0D" w:rsidRDefault="00926A0D">
            <w:pPr>
              <w:ind w:right="-29"/>
              <w:jc w:val="center"/>
              <w:rPr>
                <w:noProof/>
                <w:sz w:val="18"/>
                <w:szCs w:val="18"/>
              </w:rPr>
            </w:pPr>
          </w:p>
        </w:tc>
        <w:tc>
          <w:tcPr>
            <w:tcW w:w="432" w:type="dxa"/>
            <w:tcBorders>
              <w:right w:val="dashSmallGap" w:sz="4" w:space="0" w:color="auto"/>
            </w:tcBorders>
          </w:tcPr>
          <w:p w:rsidR="00926A0D" w:rsidRDefault="00926A0D">
            <w:pPr>
              <w:ind w:right="-29"/>
              <w:jc w:val="center"/>
              <w:rPr>
                <w:noProof/>
                <w:sz w:val="18"/>
                <w:szCs w:val="18"/>
              </w:rPr>
            </w:pPr>
          </w:p>
        </w:tc>
        <w:tc>
          <w:tcPr>
            <w:tcW w:w="720" w:type="dxa"/>
            <w:tcBorders>
              <w:left w:val="dashSmallGap" w:sz="4" w:space="0" w:color="auto"/>
            </w:tcBorders>
          </w:tcPr>
          <w:p w:rsidR="00926A0D" w:rsidRDefault="00926A0D">
            <w:pPr>
              <w:ind w:right="-29"/>
              <w:jc w:val="center"/>
              <w:rPr>
                <w:noProof/>
                <w:sz w:val="18"/>
                <w:szCs w:val="18"/>
              </w:rPr>
            </w:pPr>
          </w:p>
        </w:tc>
        <w:tc>
          <w:tcPr>
            <w:tcW w:w="540" w:type="dxa"/>
            <w:tcBorders>
              <w:right w:val="dashSmallGap" w:sz="4" w:space="0" w:color="auto"/>
            </w:tcBorders>
          </w:tcPr>
          <w:p w:rsidR="00926A0D" w:rsidRDefault="00926A0D">
            <w:pPr>
              <w:ind w:right="-29"/>
              <w:jc w:val="center"/>
              <w:rPr>
                <w:noProof/>
                <w:sz w:val="18"/>
                <w:szCs w:val="18"/>
              </w:rPr>
            </w:pPr>
          </w:p>
        </w:tc>
        <w:tc>
          <w:tcPr>
            <w:tcW w:w="720" w:type="dxa"/>
            <w:tcBorders>
              <w:left w:val="dashSmallGap" w:sz="4" w:space="0" w:color="auto"/>
            </w:tcBorders>
          </w:tcPr>
          <w:p w:rsidR="00926A0D" w:rsidRDefault="00926A0D">
            <w:pPr>
              <w:ind w:right="-29"/>
              <w:jc w:val="center"/>
              <w:rPr>
                <w:noProof/>
                <w:sz w:val="18"/>
                <w:szCs w:val="18"/>
              </w:rPr>
            </w:pPr>
          </w:p>
        </w:tc>
        <w:tc>
          <w:tcPr>
            <w:tcW w:w="1620" w:type="dxa"/>
            <w:gridSpan w:val="2"/>
          </w:tcPr>
          <w:p w:rsidR="00926A0D" w:rsidRDefault="006023A9">
            <w:pPr>
              <w:ind w:right="-29"/>
              <w:jc w:val="center"/>
              <w:rPr>
                <w:noProof/>
                <w:sz w:val="18"/>
                <w:szCs w:val="18"/>
              </w:rPr>
            </w:pPr>
            <w:r>
              <w:rPr>
                <w:noProof/>
                <w:sz w:val="18"/>
                <w:szCs w:val="18"/>
              </w:rPr>
              <w:t>0.310</w:t>
            </w:r>
          </w:p>
        </w:tc>
      </w:tr>
      <w:tr w:rsidR="00926A0D">
        <w:trPr>
          <w:trHeight w:hRule="exact" w:val="997"/>
          <w:jc w:val="center"/>
        </w:trPr>
        <w:tc>
          <w:tcPr>
            <w:tcW w:w="1423" w:type="dxa"/>
          </w:tcPr>
          <w:p w:rsidR="00926A0D" w:rsidRDefault="006023A9">
            <w:pPr>
              <w:ind w:right="-29"/>
              <w:jc w:val="center"/>
              <w:rPr>
                <w:noProof/>
                <w:sz w:val="18"/>
                <w:szCs w:val="18"/>
              </w:rPr>
            </w:pPr>
            <w:r>
              <w:rPr>
                <w:noProof/>
                <w:sz w:val="18"/>
                <w:szCs w:val="18"/>
              </w:rPr>
              <w:t>- Service contract in support of CLIMA mo,nitoring</w:t>
            </w:r>
          </w:p>
        </w:tc>
        <w:tc>
          <w:tcPr>
            <w:tcW w:w="720" w:type="dxa"/>
          </w:tcPr>
          <w:p w:rsidR="00926A0D" w:rsidRDefault="006023A9">
            <w:pPr>
              <w:ind w:right="-29"/>
              <w:jc w:val="center"/>
              <w:rPr>
                <w:noProof/>
                <w:sz w:val="18"/>
                <w:szCs w:val="18"/>
              </w:rPr>
            </w:pPr>
            <w:r>
              <w:rPr>
                <w:noProof/>
                <w:sz w:val="18"/>
                <w:szCs w:val="18"/>
              </w:rPr>
              <w:t>SER</w:t>
            </w:r>
          </w:p>
        </w:tc>
        <w:tc>
          <w:tcPr>
            <w:tcW w:w="701" w:type="dxa"/>
          </w:tcPr>
          <w:p w:rsidR="00926A0D" w:rsidRDefault="00926A0D">
            <w:pPr>
              <w:ind w:right="-29"/>
              <w:jc w:val="center"/>
              <w:rPr>
                <w:noProof/>
                <w:sz w:val="18"/>
                <w:szCs w:val="18"/>
              </w:rPr>
            </w:pPr>
          </w:p>
        </w:tc>
        <w:tc>
          <w:tcPr>
            <w:tcW w:w="504" w:type="dxa"/>
          </w:tcPr>
          <w:p w:rsidR="00926A0D" w:rsidRDefault="00926A0D">
            <w:pPr>
              <w:ind w:right="-29"/>
              <w:jc w:val="center"/>
              <w:rPr>
                <w:noProof/>
                <w:sz w:val="18"/>
                <w:szCs w:val="18"/>
              </w:rPr>
            </w:pPr>
          </w:p>
        </w:tc>
        <w:tc>
          <w:tcPr>
            <w:tcW w:w="720" w:type="dxa"/>
          </w:tcPr>
          <w:p w:rsidR="00926A0D" w:rsidRDefault="00926A0D">
            <w:pPr>
              <w:ind w:right="-29"/>
              <w:jc w:val="center"/>
              <w:rPr>
                <w:noProof/>
                <w:sz w:val="18"/>
                <w:szCs w:val="18"/>
              </w:rPr>
            </w:pPr>
          </w:p>
        </w:tc>
        <w:tc>
          <w:tcPr>
            <w:tcW w:w="540" w:type="dxa"/>
          </w:tcPr>
          <w:p w:rsidR="00926A0D" w:rsidRDefault="006023A9">
            <w:pPr>
              <w:ind w:right="-29"/>
              <w:jc w:val="center"/>
              <w:rPr>
                <w:noProof/>
                <w:sz w:val="18"/>
              </w:rPr>
            </w:pPr>
            <w:r>
              <w:rPr>
                <w:noProof/>
                <w:sz w:val="18"/>
              </w:rPr>
              <w:t>1</w:t>
            </w:r>
          </w:p>
        </w:tc>
        <w:tc>
          <w:tcPr>
            <w:tcW w:w="720" w:type="dxa"/>
          </w:tcPr>
          <w:p w:rsidR="00926A0D" w:rsidRDefault="006023A9">
            <w:pPr>
              <w:ind w:right="-29"/>
              <w:jc w:val="center"/>
              <w:rPr>
                <w:noProof/>
                <w:sz w:val="18"/>
              </w:rPr>
            </w:pPr>
            <w:r>
              <w:rPr>
                <w:noProof/>
                <w:sz w:val="18"/>
              </w:rPr>
              <w:t>0.500</w:t>
            </w:r>
          </w:p>
        </w:tc>
        <w:tc>
          <w:tcPr>
            <w:tcW w:w="720" w:type="dxa"/>
          </w:tcPr>
          <w:p w:rsidR="00926A0D" w:rsidRDefault="006023A9">
            <w:pPr>
              <w:ind w:right="-29"/>
              <w:jc w:val="center"/>
              <w:rPr>
                <w:noProof/>
                <w:sz w:val="18"/>
                <w:szCs w:val="18"/>
              </w:rPr>
            </w:pPr>
            <w:r>
              <w:rPr>
                <w:noProof/>
                <w:sz w:val="18"/>
                <w:szCs w:val="18"/>
              </w:rPr>
              <w:t>1</w:t>
            </w:r>
          </w:p>
        </w:tc>
        <w:tc>
          <w:tcPr>
            <w:tcW w:w="720" w:type="dxa"/>
          </w:tcPr>
          <w:p w:rsidR="00926A0D" w:rsidRDefault="006023A9">
            <w:pPr>
              <w:ind w:right="-29"/>
              <w:jc w:val="center"/>
              <w:rPr>
                <w:noProof/>
                <w:sz w:val="18"/>
                <w:szCs w:val="18"/>
              </w:rPr>
            </w:pPr>
            <w:r>
              <w:rPr>
                <w:noProof/>
                <w:sz w:val="18"/>
                <w:szCs w:val="18"/>
              </w:rPr>
              <w:t>0.500</w:t>
            </w:r>
          </w:p>
        </w:tc>
        <w:tc>
          <w:tcPr>
            <w:tcW w:w="900" w:type="dxa"/>
          </w:tcPr>
          <w:p w:rsidR="00926A0D" w:rsidRDefault="00926A0D">
            <w:pPr>
              <w:ind w:right="-29"/>
              <w:jc w:val="center"/>
              <w:rPr>
                <w:noProof/>
                <w:sz w:val="18"/>
                <w:szCs w:val="18"/>
              </w:rPr>
            </w:pPr>
          </w:p>
        </w:tc>
        <w:tc>
          <w:tcPr>
            <w:tcW w:w="720" w:type="dxa"/>
            <w:gridSpan w:val="2"/>
          </w:tcPr>
          <w:p w:rsidR="00926A0D" w:rsidRDefault="00926A0D">
            <w:pPr>
              <w:ind w:right="-29"/>
              <w:jc w:val="center"/>
              <w:rPr>
                <w:noProof/>
                <w:sz w:val="18"/>
                <w:szCs w:val="18"/>
              </w:rPr>
            </w:pPr>
          </w:p>
        </w:tc>
        <w:tc>
          <w:tcPr>
            <w:tcW w:w="540" w:type="dxa"/>
          </w:tcPr>
          <w:p w:rsidR="00926A0D" w:rsidRDefault="00926A0D">
            <w:pPr>
              <w:ind w:right="-29"/>
              <w:jc w:val="center"/>
              <w:rPr>
                <w:noProof/>
                <w:sz w:val="18"/>
                <w:szCs w:val="18"/>
              </w:rPr>
            </w:pPr>
          </w:p>
        </w:tc>
        <w:tc>
          <w:tcPr>
            <w:tcW w:w="648" w:type="dxa"/>
            <w:shd w:val="clear" w:color="auto" w:fill="auto"/>
          </w:tcPr>
          <w:p w:rsidR="00926A0D" w:rsidRDefault="00926A0D">
            <w:pPr>
              <w:ind w:right="-29"/>
              <w:jc w:val="center"/>
              <w:rPr>
                <w:noProof/>
                <w:sz w:val="18"/>
                <w:szCs w:val="18"/>
              </w:rPr>
            </w:pPr>
          </w:p>
        </w:tc>
        <w:tc>
          <w:tcPr>
            <w:tcW w:w="432" w:type="dxa"/>
            <w:shd w:val="clear" w:color="auto" w:fill="auto"/>
          </w:tcPr>
          <w:p w:rsidR="00926A0D" w:rsidRDefault="00926A0D">
            <w:pPr>
              <w:ind w:right="-29"/>
              <w:jc w:val="center"/>
              <w:rPr>
                <w:noProof/>
                <w:sz w:val="18"/>
                <w:szCs w:val="18"/>
              </w:rPr>
            </w:pPr>
          </w:p>
        </w:tc>
        <w:tc>
          <w:tcPr>
            <w:tcW w:w="720" w:type="dxa"/>
            <w:shd w:val="clear" w:color="auto" w:fill="auto"/>
          </w:tcPr>
          <w:p w:rsidR="00926A0D" w:rsidRDefault="00926A0D">
            <w:pPr>
              <w:ind w:right="-29"/>
              <w:jc w:val="center"/>
              <w:rPr>
                <w:noProof/>
                <w:sz w:val="18"/>
                <w:szCs w:val="18"/>
              </w:rPr>
            </w:pPr>
          </w:p>
        </w:tc>
        <w:tc>
          <w:tcPr>
            <w:tcW w:w="540" w:type="dxa"/>
            <w:shd w:val="clear" w:color="auto" w:fill="auto"/>
          </w:tcPr>
          <w:p w:rsidR="00926A0D" w:rsidRDefault="00926A0D">
            <w:pPr>
              <w:ind w:right="-29"/>
              <w:jc w:val="center"/>
              <w:rPr>
                <w:noProof/>
                <w:sz w:val="18"/>
                <w:szCs w:val="18"/>
              </w:rPr>
            </w:pPr>
          </w:p>
        </w:tc>
        <w:tc>
          <w:tcPr>
            <w:tcW w:w="720" w:type="dxa"/>
            <w:shd w:val="clear" w:color="auto" w:fill="auto"/>
          </w:tcPr>
          <w:p w:rsidR="00926A0D" w:rsidRDefault="00926A0D">
            <w:pPr>
              <w:ind w:right="-29"/>
              <w:jc w:val="center"/>
              <w:rPr>
                <w:noProof/>
                <w:sz w:val="18"/>
                <w:szCs w:val="18"/>
              </w:rPr>
            </w:pPr>
          </w:p>
        </w:tc>
        <w:tc>
          <w:tcPr>
            <w:tcW w:w="1620" w:type="dxa"/>
            <w:gridSpan w:val="2"/>
            <w:shd w:val="clear" w:color="auto" w:fill="auto"/>
          </w:tcPr>
          <w:p w:rsidR="00926A0D" w:rsidRDefault="006023A9">
            <w:pPr>
              <w:ind w:right="-29"/>
              <w:jc w:val="center"/>
              <w:rPr>
                <w:noProof/>
                <w:sz w:val="18"/>
                <w:szCs w:val="18"/>
              </w:rPr>
            </w:pPr>
            <w:r>
              <w:rPr>
                <w:noProof/>
                <w:sz w:val="18"/>
                <w:szCs w:val="18"/>
              </w:rPr>
              <w:t>1.000</w:t>
            </w:r>
          </w:p>
        </w:tc>
      </w:tr>
      <w:tr w:rsidR="00926A0D">
        <w:trPr>
          <w:trHeight w:hRule="exact" w:val="997"/>
          <w:jc w:val="center"/>
        </w:trPr>
        <w:tc>
          <w:tcPr>
            <w:tcW w:w="1423" w:type="dxa"/>
          </w:tcPr>
          <w:p w:rsidR="00926A0D" w:rsidRDefault="00926A0D">
            <w:pPr>
              <w:ind w:right="-29"/>
              <w:jc w:val="center"/>
              <w:rPr>
                <w:noProof/>
                <w:sz w:val="18"/>
                <w:szCs w:val="18"/>
              </w:rPr>
            </w:pPr>
          </w:p>
        </w:tc>
        <w:tc>
          <w:tcPr>
            <w:tcW w:w="720" w:type="dxa"/>
          </w:tcPr>
          <w:p w:rsidR="00926A0D" w:rsidRDefault="00926A0D">
            <w:pPr>
              <w:ind w:right="-29"/>
              <w:jc w:val="center"/>
              <w:rPr>
                <w:noProof/>
                <w:sz w:val="18"/>
                <w:szCs w:val="18"/>
              </w:rPr>
            </w:pPr>
          </w:p>
        </w:tc>
        <w:tc>
          <w:tcPr>
            <w:tcW w:w="701" w:type="dxa"/>
          </w:tcPr>
          <w:p w:rsidR="00926A0D" w:rsidRDefault="00926A0D">
            <w:pPr>
              <w:ind w:right="-29"/>
              <w:jc w:val="center"/>
              <w:rPr>
                <w:noProof/>
                <w:sz w:val="18"/>
                <w:szCs w:val="18"/>
              </w:rPr>
            </w:pPr>
          </w:p>
        </w:tc>
        <w:tc>
          <w:tcPr>
            <w:tcW w:w="504" w:type="dxa"/>
          </w:tcPr>
          <w:p w:rsidR="00926A0D" w:rsidRDefault="00926A0D">
            <w:pPr>
              <w:ind w:right="-29"/>
              <w:jc w:val="center"/>
              <w:rPr>
                <w:noProof/>
                <w:sz w:val="18"/>
                <w:szCs w:val="18"/>
              </w:rPr>
            </w:pPr>
          </w:p>
        </w:tc>
        <w:tc>
          <w:tcPr>
            <w:tcW w:w="720" w:type="dxa"/>
          </w:tcPr>
          <w:p w:rsidR="00926A0D" w:rsidRDefault="00926A0D">
            <w:pPr>
              <w:ind w:right="-29"/>
              <w:jc w:val="center"/>
              <w:rPr>
                <w:noProof/>
                <w:sz w:val="18"/>
                <w:szCs w:val="18"/>
              </w:rPr>
            </w:pPr>
          </w:p>
        </w:tc>
        <w:tc>
          <w:tcPr>
            <w:tcW w:w="540" w:type="dxa"/>
          </w:tcPr>
          <w:p w:rsidR="00926A0D" w:rsidRDefault="00926A0D">
            <w:pPr>
              <w:ind w:right="-29"/>
              <w:jc w:val="center"/>
              <w:rPr>
                <w:noProof/>
                <w:sz w:val="18"/>
              </w:rPr>
            </w:pPr>
          </w:p>
        </w:tc>
        <w:tc>
          <w:tcPr>
            <w:tcW w:w="720" w:type="dxa"/>
          </w:tcPr>
          <w:p w:rsidR="00926A0D" w:rsidRDefault="00926A0D">
            <w:pPr>
              <w:ind w:right="-29"/>
              <w:jc w:val="center"/>
              <w:rPr>
                <w:noProof/>
                <w:sz w:val="18"/>
              </w:rPr>
            </w:pPr>
          </w:p>
        </w:tc>
        <w:tc>
          <w:tcPr>
            <w:tcW w:w="720" w:type="dxa"/>
          </w:tcPr>
          <w:p w:rsidR="00926A0D" w:rsidRDefault="00926A0D">
            <w:pPr>
              <w:ind w:right="-29"/>
              <w:jc w:val="center"/>
              <w:rPr>
                <w:noProof/>
                <w:sz w:val="18"/>
                <w:szCs w:val="18"/>
              </w:rPr>
            </w:pPr>
          </w:p>
        </w:tc>
        <w:tc>
          <w:tcPr>
            <w:tcW w:w="720" w:type="dxa"/>
          </w:tcPr>
          <w:p w:rsidR="00926A0D" w:rsidRDefault="00926A0D">
            <w:pPr>
              <w:ind w:right="-29"/>
              <w:jc w:val="center"/>
              <w:rPr>
                <w:noProof/>
                <w:sz w:val="18"/>
                <w:szCs w:val="18"/>
              </w:rPr>
            </w:pPr>
          </w:p>
        </w:tc>
        <w:tc>
          <w:tcPr>
            <w:tcW w:w="900" w:type="dxa"/>
          </w:tcPr>
          <w:p w:rsidR="00926A0D" w:rsidRDefault="00926A0D">
            <w:pPr>
              <w:ind w:right="-29"/>
              <w:jc w:val="center"/>
              <w:rPr>
                <w:noProof/>
                <w:sz w:val="18"/>
                <w:szCs w:val="18"/>
              </w:rPr>
            </w:pPr>
          </w:p>
        </w:tc>
        <w:tc>
          <w:tcPr>
            <w:tcW w:w="720" w:type="dxa"/>
            <w:gridSpan w:val="2"/>
          </w:tcPr>
          <w:p w:rsidR="00926A0D" w:rsidRDefault="00926A0D">
            <w:pPr>
              <w:ind w:right="-29"/>
              <w:jc w:val="center"/>
              <w:rPr>
                <w:noProof/>
                <w:sz w:val="18"/>
                <w:szCs w:val="18"/>
              </w:rPr>
            </w:pPr>
          </w:p>
        </w:tc>
        <w:tc>
          <w:tcPr>
            <w:tcW w:w="540" w:type="dxa"/>
          </w:tcPr>
          <w:p w:rsidR="00926A0D" w:rsidRDefault="00926A0D">
            <w:pPr>
              <w:ind w:right="-29"/>
              <w:jc w:val="center"/>
              <w:rPr>
                <w:noProof/>
                <w:sz w:val="18"/>
                <w:szCs w:val="18"/>
              </w:rPr>
            </w:pPr>
          </w:p>
        </w:tc>
        <w:tc>
          <w:tcPr>
            <w:tcW w:w="648" w:type="dxa"/>
            <w:shd w:val="clear" w:color="auto" w:fill="auto"/>
          </w:tcPr>
          <w:p w:rsidR="00926A0D" w:rsidRDefault="00926A0D">
            <w:pPr>
              <w:ind w:right="-29"/>
              <w:jc w:val="center"/>
              <w:rPr>
                <w:noProof/>
                <w:sz w:val="18"/>
                <w:szCs w:val="18"/>
              </w:rPr>
            </w:pPr>
          </w:p>
        </w:tc>
        <w:tc>
          <w:tcPr>
            <w:tcW w:w="432" w:type="dxa"/>
            <w:shd w:val="clear" w:color="auto" w:fill="auto"/>
          </w:tcPr>
          <w:p w:rsidR="00926A0D" w:rsidRDefault="00926A0D">
            <w:pPr>
              <w:ind w:right="-29"/>
              <w:jc w:val="center"/>
              <w:rPr>
                <w:noProof/>
                <w:sz w:val="18"/>
                <w:szCs w:val="18"/>
              </w:rPr>
            </w:pPr>
          </w:p>
        </w:tc>
        <w:tc>
          <w:tcPr>
            <w:tcW w:w="720" w:type="dxa"/>
            <w:shd w:val="clear" w:color="auto" w:fill="auto"/>
          </w:tcPr>
          <w:p w:rsidR="00926A0D" w:rsidRDefault="00926A0D">
            <w:pPr>
              <w:ind w:right="-29"/>
              <w:jc w:val="center"/>
              <w:rPr>
                <w:noProof/>
                <w:sz w:val="18"/>
                <w:szCs w:val="18"/>
              </w:rPr>
            </w:pPr>
          </w:p>
        </w:tc>
        <w:tc>
          <w:tcPr>
            <w:tcW w:w="540" w:type="dxa"/>
            <w:shd w:val="clear" w:color="auto" w:fill="auto"/>
          </w:tcPr>
          <w:p w:rsidR="00926A0D" w:rsidRDefault="00926A0D">
            <w:pPr>
              <w:ind w:right="-29"/>
              <w:jc w:val="center"/>
              <w:rPr>
                <w:noProof/>
                <w:sz w:val="18"/>
                <w:szCs w:val="18"/>
              </w:rPr>
            </w:pPr>
          </w:p>
        </w:tc>
        <w:tc>
          <w:tcPr>
            <w:tcW w:w="720" w:type="dxa"/>
            <w:shd w:val="clear" w:color="auto" w:fill="auto"/>
          </w:tcPr>
          <w:p w:rsidR="00926A0D" w:rsidRDefault="00926A0D">
            <w:pPr>
              <w:ind w:right="-29"/>
              <w:jc w:val="center"/>
              <w:rPr>
                <w:noProof/>
                <w:sz w:val="18"/>
                <w:szCs w:val="18"/>
              </w:rPr>
            </w:pPr>
          </w:p>
        </w:tc>
        <w:tc>
          <w:tcPr>
            <w:tcW w:w="1620" w:type="dxa"/>
            <w:gridSpan w:val="2"/>
            <w:shd w:val="clear" w:color="auto" w:fill="auto"/>
          </w:tcPr>
          <w:p w:rsidR="00926A0D" w:rsidRDefault="00926A0D">
            <w:pPr>
              <w:ind w:right="-29"/>
              <w:jc w:val="center"/>
              <w:rPr>
                <w:noProof/>
                <w:sz w:val="18"/>
                <w:szCs w:val="18"/>
              </w:rPr>
            </w:pPr>
          </w:p>
        </w:tc>
      </w:tr>
      <w:tr w:rsidR="00926A0D">
        <w:trPr>
          <w:jc w:val="center"/>
        </w:trPr>
        <w:tc>
          <w:tcPr>
            <w:tcW w:w="2844" w:type="dxa"/>
            <w:gridSpan w:val="3"/>
            <w:tcBorders>
              <w:bottom w:val="single" w:sz="12" w:space="0" w:color="auto"/>
            </w:tcBorders>
            <w:vAlign w:val="center"/>
          </w:tcPr>
          <w:p w:rsidR="00926A0D" w:rsidRDefault="006023A9">
            <w:pPr>
              <w:ind w:right="-29"/>
              <w:jc w:val="center"/>
              <w:rPr>
                <w:noProof/>
                <w:sz w:val="18"/>
                <w:szCs w:val="18"/>
              </w:rPr>
            </w:pPr>
            <w:r>
              <w:rPr>
                <w:noProof/>
                <w:sz w:val="18"/>
              </w:rPr>
              <w:t>Subtotal for specific objective No 1</w:t>
            </w:r>
          </w:p>
        </w:tc>
        <w:tc>
          <w:tcPr>
            <w:tcW w:w="504" w:type="dxa"/>
            <w:tcBorders>
              <w:bottom w:val="single" w:sz="12" w:space="0" w:color="auto"/>
            </w:tcBorders>
          </w:tcPr>
          <w:p w:rsidR="00926A0D" w:rsidRDefault="00926A0D">
            <w:pPr>
              <w:ind w:right="-29"/>
              <w:jc w:val="center"/>
              <w:rPr>
                <w:noProof/>
                <w:sz w:val="18"/>
                <w:szCs w:val="18"/>
              </w:rPr>
            </w:pPr>
          </w:p>
        </w:tc>
        <w:tc>
          <w:tcPr>
            <w:tcW w:w="720" w:type="dxa"/>
            <w:tcBorders>
              <w:bottom w:val="single" w:sz="12" w:space="0" w:color="auto"/>
            </w:tcBorders>
          </w:tcPr>
          <w:p w:rsidR="00926A0D" w:rsidRDefault="006023A9">
            <w:pPr>
              <w:ind w:right="-29"/>
              <w:jc w:val="center"/>
              <w:rPr>
                <w:noProof/>
                <w:sz w:val="18"/>
                <w:szCs w:val="18"/>
              </w:rPr>
            </w:pPr>
            <w:r>
              <w:rPr>
                <w:noProof/>
                <w:sz w:val="18"/>
                <w:szCs w:val="18"/>
              </w:rPr>
              <w:t>0</w:t>
            </w:r>
          </w:p>
        </w:tc>
        <w:tc>
          <w:tcPr>
            <w:tcW w:w="540" w:type="dxa"/>
            <w:tcBorders>
              <w:bottom w:val="single" w:sz="12" w:space="0" w:color="auto"/>
            </w:tcBorders>
          </w:tcPr>
          <w:p w:rsidR="00926A0D" w:rsidRDefault="00926A0D">
            <w:pPr>
              <w:ind w:right="-29"/>
              <w:jc w:val="center"/>
              <w:rPr>
                <w:noProof/>
                <w:sz w:val="18"/>
              </w:rPr>
            </w:pPr>
          </w:p>
        </w:tc>
        <w:tc>
          <w:tcPr>
            <w:tcW w:w="720" w:type="dxa"/>
            <w:tcBorders>
              <w:bottom w:val="single" w:sz="12" w:space="0" w:color="auto"/>
            </w:tcBorders>
          </w:tcPr>
          <w:p w:rsidR="00926A0D" w:rsidRDefault="006023A9">
            <w:pPr>
              <w:ind w:right="-29"/>
              <w:jc w:val="center"/>
              <w:rPr>
                <w:noProof/>
                <w:sz w:val="18"/>
              </w:rPr>
            </w:pPr>
            <w:r>
              <w:rPr>
                <w:noProof/>
                <w:sz w:val="18"/>
              </w:rPr>
              <w:t>1.000</w:t>
            </w:r>
          </w:p>
        </w:tc>
        <w:tc>
          <w:tcPr>
            <w:tcW w:w="720" w:type="dxa"/>
            <w:tcBorders>
              <w:bottom w:val="single" w:sz="12" w:space="0" w:color="auto"/>
            </w:tcBorders>
          </w:tcPr>
          <w:p w:rsidR="00926A0D" w:rsidRDefault="00926A0D">
            <w:pPr>
              <w:ind w:right="-29"/>
              <w:jc w:val="center"/>
              <w:rPr>
                <w:noProof/>
                <w:sz w:val="18"/>
                <w:szCs w:val="18"/>
              </w:rPr>
            </w:pPr>
          </w:p>
        </w:tc>
        <w:tc>
          <w:tcPr>
            <w:tcW w:w="720" w:type="dxa"/>
            <w:tcBorders>
              <w:bottom w:val="single" w:sz="12" w:space="0" w:color="auto"/>
            </w:tcBorders>
          </w:tcPr>
          <w:p w:rsidR="00926A0D" w:rsidRDefault="006023A9">
            <w:pPr>
              <w:ind w:right="-29"/>
              <w:jc w:val="center"/>
              <w:rPr>
                <w:noProof/>
                <w:sz w:val="18"/>
                <w:szCs w:val="18"/>
              </w:rPr>
            </w:pPr>
            <w:r>
              <w:rPr>
                <w:noProof/>
                <w:sz w:val="18"/>
              </w:rPr>
              <w:t>1.000</w:t>
            </w:r>
          </w:p>
        </w:tc>
        <w:tc>
          <w:tcPr>
            <w:tcW w:w="900" w:type="dxa"/>
            <w:tcBorders>
              <w:bottom w:val="single" w:sz="12" w:space="0" w:color="auto"/>
            </w:tcBorders>
          </w:tcPr>
          <w:p w:rsidR="00926A0D" w:rsidRDefault="00926A0D">
            <w:pPr>
              <w:ind w:right="-29"/>
              <w:jc w:val="center"/>
              <w:rPr>
                <w:noProof/>
                <w:sz w:val="18"/>
                <w:szCs w:val="18"/>
              </w:rPr>
            </w:pPr>
          </w:p>
        </w:tc>
        <w:tc>
          <w:tcPr>
            <w:tcW w:w="720" w:type="dxa"/>
            <w:gridSpan w:val="2"/>
            <w:tcBorders>
              <w:bottom w:val="single" w:sz="12" w:space="0" w:color="auto"/>
            </w:tcBorders>
          </w:tcPr>
          <w:p w:rsidR="00926A0D" w:rsidRDefault="00926A0D">
            <w:pPr>
              <w:ind w:right="-29"/>
              <w:jc w:val="center"/>
              <w:rPr>
                <w:noProof/>
                <w:sz w:val="18"/>
                <w:szCs w:val="18"/>
              </w:rPr>
            </w:pPr>
          </w:p>
        </w:tc>
        <w:tc>
          <w:tcPr>
            <w:tcW w:w="540" w:type="dxa"/>
            <w:tcBorders>
              <w:bottom w:val="single" w:sz="12" w:space="0" w:color="auto"/>
            </w:tcBorders>
          </w:tcPr>
          <w:p w:rsidR="00926A0D" w:rsidRDefault="00926A0D">
            <w:pPr>
              <w:ind w:right="-29"/>
              <w:jc w:val="center"/>
              <w:rPr>
                <w:noProof/>
                <w:sz w:val="18"/>
                <w:szCs w:val="18"/>
              </w:rPr>
            </w:pPr>
          </w:p>
        </w:tc>
        <w:tc>
          <w:tcPr>
            <w:tcW w:w="648" w:type="dxa"/>
            <w:tcBorders>
              <w:bottom w:val="single" w:sz="12" w:space="0" w:color="auto"/>
            </w:tcBorders>
            <w:shd w:val="clear" w:color="auto" w:fill="auto"/>
          </w:tcPr>
          <w:p w:rsidR="00926A0D" w:rsidRDefault="00926A0D">
            <w:pPr>
              <w:ind w:right="-29"/>
              <w:jc w:val="center"/>
              <w:rPr>
                <w:noProof/>
                <w:sz w:val="18"/>
                <w:szCs w:val="18"/>
              </w:rPr>
            </w:pPr>
          </w:p>
        </w:tc>
        <w:tc>
          <w:tcPr>
            <w:tcW w:w="432" w:type="dxa"/>
            <w:tcBorders>
              <w:bottom w:val="single" w:sz="12" w:space="0" w:color="auto"/>
            </w:tcBorders>
            <w:shd w:val="clear" w:color="auto" w:fill="auto"/>
          </w:tcPr>
          <w:p w:rsidR="00926A0D" w:rsidRDefault="00926A0D">
            <w:pPr>
              <w:ind w:right="-29"/>
              <w:jc w:val="center"/>
              <w:rPr>
                <w:noProof/>
                <w:sz w:val="18"/>
                <w:szCs w:val="18"/>
              </w:rPr>
            </w:pPr>
          </w:p>
        </w:tc>
        <w:tc>
          <w:tcPr>
            <w:tcW w:w="720" w:type="dxa"/>
            <w:tcBorders>
              <w:bottom w:val="single" w:sz="12" w:space="0" w:color="auto"/>
            </w:tcBorders>
            <w:shd w:val="clear" w:color="auto" w:fill="auto"/>
          </w:tcPr>
          <w:p w:rsidR="00926A0D" w:rsidRDefault="00926A0D">
            <w:pPr>
              <w:ind w:right="-29"/>
              <w:jc w:val="center"/>
              <w:rPr>
                <w:noProof/>
                <w:sz w:val="18"/>
                <w:szCs w:val="18"/>
              </w:rPr>
            </w:pPr>
          </w:p>
        </w:tc>
        <w:tc>
          <w:tcPr>
            <w:tcW w:w="540" w:type="dxa"/>
            <w:tcBorders>
              <w:bottom w:val="single" w:sz="12" w:space="0" w:color="auto"/>
            </w:tcBorders>
            <w:shd w:val="clear" w:color="auto" w:fill="auto"/>
          </w:tcPr>
          <w:p w:rsidR="00926A0D" w:rsidRDefault="00926A0D">
            <w:pPr>
              <w:ind w:right="-29"/>
              <w:jc w:val="center"/>
              <w:rPr>
                <w:noProof/>
                <w:sz w:val="18"/>
                <w:szCs w:val="18"/>
              </w:rPr>
            </w:pPr>
          </w:p>
        </w:tc>
        <w:tc>
          <w:tcPr>
            <w:tcW w:w="720" w:type="dxa"/>
            <w:tcBorders>
              <w:bottom w:val="single" w:sz="12" w:space="0" w:color="auto"/>
            </w:tcBorders>
            <w:shd w:val="clear" w:color="auto" w:fill="auto"/>
          </w:tcPr>
          <w:p w:rsidR="00926A0D" w:rsidRDefault="00926A0D">
            <w:pPr>
              <w:ind w:right="-29"/>
              <w:jc w:val="center"/>
              <w:rPr>
                <w:noProof/>
                <w:sz w:val="18"/>
                <w:szCs w:val="18"/>
              </w:rPr>
            </w:pPr>
          </w:p>
        </w:tc>
        <w:tc>
          <w:tcPr>
            <w:tcW w:w="1620" w:type="dxa"/>
            <w:gridSpan w:val="2"/>
            <w:tcBorders>
              <w:bottom w:val="single" w:sz="12" w:space="0" w:color="auto"/>
            </w:tcBorders>
            <w:shd w:val="clear" w:color="auto" w:fill="auto"/>
          </w:tcPr>
          <w:p w:rsidR="00926A0D" w:rsidRDefault="006023A9">
            <w:pPr>
              <w:ind w:right="-29"/>
              <w:jc w:val="center"/>
              <w:rPr>
                <w:noProof/>
                <w:sz w:val="18"/>
                <w:szCs w:val="18"/>
              </w:rPr>
            </w:pPr>
            <w:r>
              <w:rPr>
                <w:noProof/>
                <w:sz w:val="18"/>
                <w:szCs w:val="18"/>
              </w:rPr>
              <w:t>2.000</w:t>
            </w:r>
          </w:p>
        </w:tc>
      </w:tr>
      <w:tr w:rsidR="00926A0D">
        <w:trPr>
          <w:jc w:val="center"/>
        </w:trPr>
        <w:tc>
          <w:tcPr>
            <w:tcW w:w="2844" w:type="dxa"/>
            <w:gridSpan w:val="3"/>
            <w:vAlign w:val="center"/>
          </w:tcPr>
          <w:p w:rsidR="00926A0D" w:rsidRDefault="006023A9">
            <w:pPr>
              <w:spacing w:before="60" w:after="60"/>
              <w:ind w:right="-29"/>
              <w:jc w:val="center"/>
              <w:rPr>
                <w:noProof/>
                <w:sz w:val="18"/>
                <w:szCs w:val="18"/>
              </w:rPr>
            </w:pPr>
            <w:r>
              <w:rPr>
                <w:noProof/>
                <w:sz w:val="18"/>
              </w:rPr>
              <w:t>SPECIFIC OBJECTIVE No 2 ...</w:t>
            </w:r>
          </w:p>
        </w:tc>
        <w:tc>
          <w:tcPr>
            <w:tcW w:w="504" w:type="dxa"/>
            <w:tcBorders>
              <w:top w:val="nil"/>
              <w:left w:val="nil"/>
              <w:bottom w:val="nil"/>
              <w:right w:val="nil"/>
            </w:tcBorders>
          </w:tcPr>
          <w:p w:rsidR="00926A0D" w:rsidRDefault="00926A0D">
            <w:pPr>
              <w:spacing w:before="60" w:after="60"/>
              <w:ind w:right="-29"/>
              <w:jc w:val="center"/>
              <w:rPr>
                <w:noProof/>
                <w:sz w:val="18"/>
                <w:szCs w:val="18"/>
              </w:rPr>
            </w:pPr>
          </w:p>
        </w:tc>
        <w:tc>
          <w:tcPr>
            <w:tcW w:w="720" w:type="dxa"/>
            <w:tcBorders>
              <w:top w:val="nil"/>
              <w:left w:val="nil"/>
              <w:bottom w:val="nil"/>
              <w:right w:val="nil"/>
            </w:tcBorders>
          </w:tcPr>
          <w:p w:rsidR="00926A0D" w:rsidRDefault="00926A0D">
            <w:pPr>
              <w:spacing w:before="60" w:after="60"/>
              <w:ind w:right="-29"/>
              <w:jc w:val="center"/>
              <w:rPr>
                <w:noProof/>
                <w:sz w:val="18"/>
                <w:szCs w:val="18"/>
              </w:rPr>
            </w:pPr>
          </w:p>
        </w:tc>
        <w:tc>
          <w:tcPr>
            <w:tcW w:w="540" w:type="dxa"/>
            <w:tcBorders>
              <w:top w:val="nil"/>
              <w:left w:val="nil"/>
              <w:bottom w:val="nil"/>
              <w:right w:val="nil"/>
            </w:tcBorders>
          </w:tcPr>
          <w:p w:rsidR="00926A0D" w:rsidRDefault="00926A0D">
            <w:pPr>
              <w:spacing w:before="60" w:after="60"/>
              <w:ind w:right="-29"/>
              <w:jc w:val="center"/>
              <w:rPr>
                <w:noProof/>
                <w:sz w:val="18"/>
                <w:szCs w:val="18"/>
              </w:rPr>
            </w:pPr>
          </w:p>
        </w:tc>
        <w:tc>
          <w:tcPr>
            <w:tcW w:w="720" w:type="dxa"/>
            <w:tcBorders>
              <w:top w:val="nil"/>
              <w:left w:val="nil"/>
              <w:bottom w:val="nil"/>
              <w:right w:val="nil"/>
            </w:tcBorders>
          </w:tcPr>
          <w:p w:rsidR="00926A0D" w:rsidRDefault="00926A0D">
            <w:pPr>
              <w:spacing w:before="60" w:after="60"/>
              <w:ind w:right="-29"/>
              <w:jc w:val="center"/>
              <w:rPr>
                <w:noProof/>
                <w:sz w:val="18"/>
                <w:szCs w:val="18"/>
              </w:rPr>
            </w:pPr>
          </w:p>
        </w:tc>
        <w:tc>
          <w:tcPr>
            <w:tcW w:w="720" w:type="dxa"/>
            <w:tcBorders>
              <w:top w:val="nil"/>
              <w:left w:val="nil"/>
              <w:bottom w:val="nil"/>
              <w:right w:val="nil"/>
            </w:tcBorders>
          </w:tcPr>
          <w:p w:rsidR="00926A0D" w:rsidRDefault="00926A0D">
            <w:pPr>
              <w:spacing w:before="60" w:after="60"/>
              <w:ind w:right="-29"/>
              <w:jc w:val="center"/>
              <w:rPr>
                <w:noProof/>
                <w:sz w:val="18"/>
                <w:szCs w:val="18"/>
              </w:rPr>
            </w:pPr>
          </w:p>
        </w:tc>
        <w:tc>
          <w:tcPr>
            <w:tcW w:w="720" w:type="dxa"/>
            <w:tcBorders>
              <w:top w:val="nil"/>
              <w:left w:val="nil"/>
              <w:bottom w:val="nil"/>
              <w:right w:val="nil"/>
            </w:tcBorders>
          </w:tcPr>
          <w:p w:rsidR="00926A0D" w:rsidRDefault="00926A0D">
            <w:pPr>
              <w:spacing w:before="60" w:after="60"/>
              <w:ind w:right="-29"/>
              <w:jc w:val="center"/>
              <w:rPr>
                <w:noProof/>
                <w:sz w:val="18"/>
                <w:szCs w:val="18"/>
              </w:rPr>
            </w:pPr>
          </w:p>
        </w:tc>
        <w:tc>
          <w:tcPr>
            <w:tcW w:w="900" w:type="dxa"/>
            <w:tcBorders>
              <w:top w:val="nil"/>
              <w:left w:val="nil"/>
              <w:bottom w:val="nil"/>
              <w:right w:val="nil"/>
            </w:tcBorders>
          </w:tcPr>
          <w:p w:rsidR="00926A0D" w:rsidRDefault="00926A0D">
            <w:pPr>
              <w:spacing w:before="60" w:after="60"/>
              <w:ind w:right="-29"/>
              <w:jc w:val="center"/>
              <w:rPr>
                <w:noProof/>
                <w:sz w:val="18"/>
                <w:szCs w:val="18"/>
              </w:rPr>
            </w:pPr>
          </w:p>
        </w:tc>
        <w:tc>
          <w:tcPr>
            <w:tcW w:w="720" w:type="dxa"/>
            <w:gridSpan w:val="2"/>
            <w:tcBorders>
              <w:top w:val="nil"/>
              <w:left w:val="nil"/>
              <w:bottom w:val="nil"/>
              <w:right w:val="nil"/>
            </w:tcBorders>
          </w:tcPr>
          <w:p w:rsidR="00926A0D" w:rsidRDefault="00926A0D">
            <w:pPr>
              <w:spacing w:before="60" w:after="60"/>
              <w:ind w:right="-29"/>
              <w:jc w:val="center"/>
              <w:rPr>
                <w:noProof/>
                <w:sz w:val="18"/>
                <w:szCs w:val="18"/>
              </w:rPr>
            </w:pPr>
          </w:p>
        </w:tc>
        <w:tc>
          <w:tcPr>
            <w:tcW w:w="540" w:type="dxa"/>
            <w:tcBorders>
              <w:top w:val="nil"/>
              <w:left w:val="nil"/>
              <w:bottom w:val="nil"/>
              <w:right w:val="nil"/>
            </w:tcBorders>
          </w:tcPr>
          <w:p w:rsidR="00926A0D" w:rsidRDefault="00926A0D">
            <w:pPr>
              <w:spacing w:before="60" w:after="60"/>
              <w:ind w:right="-29"/>
              <w:jc w:val="center"/>
              <w:rPr>
                <w:noProof/>
                <w:sz w:val="18"/>
                <w:szCs w:val="18"/>
              </w:rPr>
            </w:pPr>
          </w:p>
        </w:tc>
        <w:tc>
          <w:tcPr>
            <w:tcW w:w="648" w:type="dxa"/>
            <w:tcBorders>
              <w:top w:val="nil"/>
              <w:left w:val="nil"/>
              <w:bottom w:val="nil"/>
              <w:right w:val="nil"/>
            </w:tcBorders>
            <w:shd w:val="clear" w:color="auto" w:fill="auto"/>
          </w:tcPr>
          <w:p w:rsidR="00926A0D" w:rsidRDefault="00926A0D">
            <w:pPr>
              <w:spacing w:before="60" w:after="60"/>
              <w:ind w:right="-29"/>
              <w:jc w:val="center"/>
              <w:rPr>
                <w:noProof/>
                <w:sz w:val="18"/>
                <w:szCs w:val="18"/>
              </w:rPr>
            </w:pPr>
          </w:p>
        </w:tc>
        <w:tc>
          <w:tcPr>
            <w:tcW w:w="432" w:type="dxa"/>
            <w:tcBorders>
              <w:top w:val="nil"/>
              <w:left w:val="nil"/>
              <w:bottom w:val="nil"/>
              <w:right w:val="nil"/>
            </w:tcBorders>
            <w:shd w:val="clear" w:color="auto" w:fill="auto"/>
          </w:tcPr>
          <w:p w:rsidR="00926A0D" w:rsidRDefault="00926A0D">
            <w:pPr>
              <w:spacing w:before="60" w:after="60"/>
              <w:ind w:right="-29"/>
              <w:jc w:val="center"/>
              <w:rPr>
                <w:noProof/>
                <w:sz w:val="18"/>
                <w:szCs w:val="18"/>
              </w:rPr>
            </w:pPr>
          </w:p>
        </w:tc>
        <w:tc>
          <w:tcPr>
            <w:tcW w:w="720" w:type="dxa"/>
            <w:tcBorders>
              <w:top w:val="nil"/>
              <w:left w:val="nil"/>
              <w:bottom w:val="nil"/>
              <w:right w:val="nil"/>
            </w:tcBorders>
            <w:shd w:val="clear" w:color="auto" w:fill="auto"/>
          </w:tcPr>
          <w:p w:rsidR="00926A0D" w:rsidRDefault="00926A0D">
            <w:pPr>
              <w:spacing w:before="60" w:after="60"/>
              <w:ind w:right="-29"/>
              <w:jc w:val="center"/>
              <w:rPr>
                <w:noProof/>
                <w:sz w:val="18"/>
                <w:szCs w:val="18"/>
              </w:rPr>
            </w:pPr>
          </w:p>
        </w:tc>
        <w:tc>
          <w:tcPr>
            <w:tcW w:w="540" w:type="dxa"/>
            <w:tcBorders>
              <w:top w:val="nil"/>
              <w:left w:val="nil"/>
              <w:bottom w:val="nil"/>
              <w:right w:val="nil"/>
            </w:tcBorders>
            <w:shd w:val="clear" w:color="auto" w:fill="auto"/>
          </w:tcPr>
          <w:p w:rsidR="00926A0D" w:rsidRDefault="00926A0D">
            <w:pPr>
              <w:spacing w:before="60" w:after="60"/>
              <w:ind w:right="-29"/>
              <w:jc w:val="center"/>
              <w:rPr>
                <w:noProof/>
                <w:sz w:val="18"/>
                <w:szCs w:val="18"/>
              </w:rPr>
            </w:pPr>
          </w:p>
        </w:tc>
        <w:tc>
          <w:tcPr>
            <w:tcW w:w="720" w:type="dxa"/>
            <w:tcBorders>
              <w:top w:val="nil"/>
              <w:left w:val="nil"/>
              <w:bottom w:val="nil"/>
              <w:right w:val="nil"/>
            </w:tcBorders>
            <w:shd w:val="clear" w:color="auto" w:fill="auto"/>
          </w:tcPr>
          <w:p w:rsidR="00926A0D" w:rsidRDefault="00926A0D">
            <w:pPr>
              <w:spacing w:before="60" w:after="60"/>
              <w:ind w:right="-29"/>
              <w:jc w:val="center"/>
              <w:rPr>
                <w:noProof/>
                <w:sz w:val="18"/>
                <w:szCs w:val="18"/>
              </w:rPr>
            </w:pPr>
          </w:p>
        </w:tc>
        <w:tc>
          <w:tcPr>
            <w:tcW w:w="720" w:type="dxa"/>
            <w:tcBorders>
              <w:top w:val="nil"/>
              <w:left w:val="nil"/>
              <w:bottom w:val="nil"/>
              <w:right w:val="nil"/>
            </w:tcBorders>
            <w:shd w:val="clear" w:color="auto" w:fill="auto"/>
          </w:tcPr>
          <w:p w:rsidR="00926A0D" w:rsidRDefault="00926A0D">
            <w:pPr>
              <w:spacing w:before="60" w:after="60"/>
              <w:ind w:right="-29"/>
              <w:jc w:val="center"/>
              <w:rPr>
                <w:noProof/>
                <w:sz w:val="18"/>
                <w:szCs w:val="18"/>
              </w:rPr>
            </w:pPr>
          </w:p>
        </w:tc>
        <w:tc>
          <w:tcPr>
            <w:tcW w:w="900" w:type="dxa"/>
            <w:tcBorders>
              <w:top w:val="nil"/>
              <w:left w:val="nil"/>
              <w:bottom w:val="nil"/>
              <w:right w:val="nil"/>
            </w:tcBorders>
          </w:tcPr>
          <w:p w:rsidR="00926A0D" w:rsidRDefault="00926A0D">
            <w:pPr>
              <w:spacing w:before="60" w:after="60"/>
              <w:ind w:right="-29"/>
              <w:jc w:val="center"/>
              <w:rPr>
                <w:noProof/>
                <w:sz w:val="18"/>
                <w:szCs w:val="18"/>
              </w:rPr>
            </w:pPr>
          </w:p>
        </w:tc>
      </w:tr>
      <w:tr w:rsidR="00926A0D">
        <w:trPr>
          <w:trHeight w:hRule="exact" w:val="369"/>
          <w:jc w:val="center"/>
        </w:trPr>
        <w:tc>
          <w:tcPr>
            <w:tcW w:w="1423" w:type="dxa"/>
          </w:tcPr>
          <w:p w:rsidR="00926A0D" w:rsidRDefault="006023A9">
            <w:pPr>
              <w:ind w:right="-29"/>
              <w:jc w:val="center"/>
              <w:rPr>
                <w:noProof/>
                <w:sz w:val="18"/>
                <w:szCs w:val="18"/>
              </w:rPr>
            </w:pPr>
            <w:r>
              <w:rPr>
                <w:noProof/>
                <w:sz w:val="18"/>
              </w:rPr>
              <w:t>- Output</w:t>
            </w:r>
          </w:p>
        </w:tc>
        <w:tc>
          <w:tcPr>
            <w:tcW w:w="720" w:type="dxa"/>
          </w:tcPr>
          <w:p w:rsidR="00926A0D" w:rsidRDefault="00926A0D">
            <w:pPr>
              <w:ind w:right="-29"/>
              <w:jc w:val="center"/>
              <w:rPr>
                <w:noProof/>
                <w:sz w:val="18"/>
                <w:szCs w:val="18"/>
              </w:rPr>
            </w:pPr>
          </w:p>
        </w:tc>
        <w:tc>
          <w:tcPr>
            <w:tcW w:w="701" w:type="dxa"/>
          </w:tcPr>
          <w:p w:rsidR="00926A0D" w:rsidRDefault="00926A0D">
            <w:pPr>
              <w:ind w:right="-29"/>
              <w:jc w:val="center"/>
              <w:rPr>
                <w:noProof/>
                <w:sz w:val="18"/>
                <w:szCs w:val="18"/>
              </w:rPr>
            </w:pPr>
          </w:p>
        </w:tc>
        <w:tc>
          <w:tcPr>
            <w:tcW w:w="504" w:type="dxa"/>
          </w:tcPr>
          <w:p w:rsidR="00926A0D" w:rsidRDefault="00926A0D">
            <w:pPr>
              <w:ind w:right="-29"/>
              <w:jc w:val="center"/>
              <w:rPr>
                <w:noProof/>
                <w:sz w:val="18"/>
                <w:szCs w:val="18"/>
              </w:rPr>
            </w:pPr>
          </w:p>
        </w:tc>
        <w:tc>
          <w:tcPr>
            <w:tcW w:w="720" w:type="dxa"/>
          </w:tcPr>
          <w:p w:rsidR="00926A0D" w:rsidRDefault="00926A0D">
            <w:pPr>
              <w:ind w:right="-29"/>
              <w:jc w:val="center"/>
              <w:rPr>
                <w:noProof/>
                <w:sz w:val="18"/>
                <w:szCs w:val="18"/>
              </w:rPr>
            </w:pPr>
          </w:p>
        </w:tc>
        <w:tc>
          <w:tcPr>
            <w:tcW w:w="540" w:type="dxa"/>
          </w:tcPr>
          <w:p w:rsidR="00926A0D" w:rsidRDefault="00926A0D">
            <w:pPr>
              <w:ind w:right="-29"/>
              <w:jc w:val="center"/>
              <w:rPr>
                <w:noProof/>
                <w:sz w:val="18"/>
                <w:szCs w:val="18"/>
              </w:rPr>
            </w:pPr>
          </w:p>
        </w:tc>
        <w:tc>
          <w:tcPr>
            <w:tcW w:w="720" w:type="dxa"/>
          </w:tcPr>
          <w:p w:rsidR="00926A0D" w:rsidRDefault="00926A0D">
            <w:pPr>
              <w:ind w:right="-29"/>
              <w:jc w:val="center"/>
              <w:rPr>
                <w:noProof/>
                <w:sz w:val="18"/>
                <w:szCs w:val="18"/>
              </w:rPr>
            </w:pPr>
          </w:p>
        </w:tc>
        <w:tc>
          <w:tcPr>
            <w:tcW w:w="720" w:type="dxa"/>
          </w:tcPr>
          <w:p w:rsidR="00926A0D" w:rsidRDefault="00926A0D">
            <w:pPr>
              <w:ind w:right="-29"/>
              <w:jc w:val="center"/>
              <w:rPr>
                <w:noProof/>
                <w:sz w:val="18"/>
                <w:szCs w:val="18"/>
              </w:rPr>
            </w:pPr>
          </w:p>
        </w:tc>
        <w:tc>
          <w:tcPr>
            <w:tcW w:w="720" w:type="dxa"/>
          </w:tcPr>
          <w:p w:rsidR="00926A0D" w:rsidRDefault="00926A0D">
            <w:pPr>
              <w:ind w:right="-29"/>
              <w:jc w:val="center"/>
              <w:rPr>
                <w:noProof/>
                <w:sz w:val="18"/>
                <w:szCs w:val="18"/>
              </w:rPr>
            </w:pPr>
          </w:p>
        </w:tc>
        <w:tc>
          <w:tcPr>
            <w:tcW w:w="900" w:type="dxa"/>
          </w:tcPr>
          <w:p w:rsidR="00926A0D" w:rsidRDefault="00926A0D">
            <w:pPr>
              <w:ind w:right="-29"/>
              <w:jc w:val="center"/>
              <w:rPr>
                <w:noProof/>
                <w:sz w:val="18"/>
                <w:szCs w:val="18"/>
              </w:rPr>
            </w:pPr>
          </w:p>
        </w:tc>
        <w:tc>
          <w:tcPr>
            <w:tcW w:w="720" w:type="dxa"/>
            <w:gridSpan w:val="2"/>
          </w:tcPr>
          <w:p w:rsidR="00926A0D" w:rsidRDefault="00926A0D">
            <w:pPr>
              <w:ind w:right="-29"/>
              <w:jc w:val="center"/>
              <w:rPr>
                <w:noProof/>
                <w:sz w:val="18"/>
                <w:szCs w:val="18"/>
              </w:rPr>
            </w:pPr>
          </w:p>
        </w:tc>
        <w:tc>
          <w:tcPr>
            <w:tcW w:w="540" w:type="dxa"/>
          </w:tcPr>
          <w:p w:rsidR="00926A0D" w:rsidRDefault="00926A0D">
            <w:pPr>
              <w:ind w:right="-29"/>
              <w:jc w:val="center"/>
              <w:rPr>
                <w:noProof/>
                <w:sz w:val="18"/>
                <w:szCs w:val="18"/>
              </w:rPr>
            </w:pPr>
          </w:p>
        </w:tc>
        <w:tc>
          <w:tcPr>
            <w:tcW w:w="648" w:type="dxa"/>
            <w:shd w:val="clear" w:color="auto" w:fill="auto"/>
          </w:tcPr>
          <w:p w:rsidR="00926A0D" w:rsidRDefault="00926A0D">
            <w:pPr>
              <w:ind w:right="-29"/>
              <w:jc w:val="center"/>
              <w:rPr>
                <w:noProof/>
                <w:sz w:val="18"/>
                <w:szCs w:val="18"/>
              </w:rPr>
            </w:pPr>
          </w:p>
        </w:tc>
        <w:tc>
          <w:tcPr>
            <w:tcW w:w="432" w:type="dxa"/>
            <w:shd w:val="clear" w:color="auto" w:fill="auto"/>
          </w:tcPr>
          <w:p w:rsidR="00926A0D" w:rsidRDefault="00926A0D">
            <w:pPr>
              <w:ind w:right="-29"/>
              <w:jc w:val="center"/>
              <w:rPr>
                <w:noProof/>
                <w:sz w:val="18"/>
                <w:szCs w:val="18"/>
              </w:rPr>
            </w:pPr>
          </w:p>
        </w:tc>
        <w:tc>
          <w:tcPr>
            <w:tcW w:w="720" w:type="dxa"/>
            <w:shd w:val="clear" w:color="auto" w:fill="auto"/>
          </w:tcPr>
          <w:p w:rsidR="00926A0D" w:rsidRDefault="00926A0D">
            <w:pPr>
              <w:ind w:right="-29"/>
              <w:jc w:val="center"/>
              <w:rPr>
                <w:noProof/>
                <w:sz w:val="18"/>
                <w:szCs w:val="18"/>
              </w:rPr>
            </w:pPr>
          </w:p>
        </w:tc>
        <w:tc>
          <w:tcPr>
            <w:tcW w:w="540" w:type="dxa"/>
            <w:shd w:val="clear" w:color="auto" w:fill="auto"/>
          </w:tcPr>
          <w:p w:rsidR="00926A0D" w:rsidRDefault="00926A0D">
            <w:pPr>
              <w:ind w:right="-29"/>
              <w:jc w:val="center"/>
              <w:rPr>
                <w:noProof/>
                <w:sz w:val="18"/>
                <w:szCs w:val="18"/>
              </w:rPr>
            </w:pPr>
          </w:p>
        </w:tc>
        <w:tc>
          <w:tcPr>
            <w:tcW w:w="720" w:type="dxa"/>
            <w:shd w:val="clear" w:color="auto" w:fill="auto"/>
          </w:tcPr>
          <w:p w:rsidR="00926A0D" w:rsidRDefault="00926A0D">
            <w:pPr>
              <w:ind w:right="-29"/>
              <w:jc w:val="center"/>
              <w:rPr>
                <w:noProof/>
                <w:sz w:val="18"/>
                <w:szCs w:val="18"/>
              </w:rPr>
            </w:pPr>
          </w:p>
        </w:tc>
        <w:tc>
          <w:tcPr>
            <w:tcW w:w="720" w:type="dxa"/>
            <w:shd w:val="clear" w:color="auto" w:fill="auto"/>
          </w:tcPr>
          <w:p w:rsidR="00926A0D" w:rsidRDefault="00926A0D">
            <w:pPr>
              <w:ind w:right="-29"/>
              <w:jc w:val="center"/>
              <w:rPr>
                <w:noProof/>
                <w:sz w:val="18"/>
                <w:szCs w:val="18"/>
              </w:rPr>
            </w:pPr>
          </w:p>
        </w:tc>
        <w:tc>
          <w:tcPr>
            <w:tcW w:w="900" w:type="dxa"/>
          </w:tcPr>
          <w:p w:rsidR="00926A0D" w:rsidRDefault="00926A0D">
            <w:pPr>
              <w:ind w:right="-29"/>
              <w:jc w:val="center"/>
              <w:rPr>
                <w:noProof/>
                <w:sz w:val="18"/>
                <w:szCs w:val="18"/>
              </w:rPr>
            </w:pPr>
          </w:p>
        </w:tc>
      </w:tr>
      <w:tr w:rsidR="00926A0D">
        <w:trPr>
          <w:jc w:val="center"/>
        </w:trPr>
        <w:tc>
          <w:tcPr>
            <w:tcW w:w="2844" w:type="dxa"/>
            <w:gridSpan w:val="3"/>
            <w:tcBorders>
              <w:bottom w:val="single" w:sz="12" w:space="0" w:color="auto"/>
            </w:tcBorders>
            <w:vAlign w:val="center"/>
          </w:tcPr>
          <w:p w:rsidR="00926A0D" w:rsidRDefault="006023A9">
            <w:pPr>
              <w:jc w:val="center"/>
              <w:rPr>
                <w:noProof/>
                <w:sz w:val="18"/>
                <w:szCs w:val="18"/>
              </w:rPr>
            </w:pPr>
            <w:r>
              <w:rPr>
                <w:noProof/>
                <w:sz w:val="18"/>
              </w:rPr>
              <w:t>Subtotal for specific objective No 2</w:t>
            </w:r>
          </w:p>
        </w:tc>
        <w:tc>
          <w:tcPr>
            <w:tcW w:w="504" w:type="dxa"/>
            <w:tcBorders>
              <w:bottom w:val="single" w:sz="12" w:space="0" w:color="auto"/>
            </w:tcBorders>
          </w:tcPr>
          <w:p w:rsidR="00926A0D" w:rsidRDefault="00926A0D">
            <w:pPr>
              <w:ind w:right="-29"/>
              <w:jc w:val="center"/>
              <w:rPr>
                <w:noProof/>
                <w:sz w:val="18"/>
                <w:szCs w:val="18"/>
              </w:rPr>
            </w:pPr>
          </w:p>
        </w:tc>
        <w:tc>
          <w:tcPr>
            <w:tcW w:w="720" w:type="dxa"/>
            <w:tcBorders>
              <w:bottom w:val="single" w:sz="12" w:space="0" w:color="auto"/>
            </w:tcBorders>
          </w:tcPr>
          <w:p w:rsidR="00926A0D" w:rsidRDefault="00926A0D">
            <w:pPr>
              <w:ind w:right="-29"/>
              <w:jc w:val="center"/>
              <w:rPr>
                <w:noProof/>
                <w:sz w:val="18"/>
                <w:szCs w:val="18"/>
              </w:rPr>
            </w:pPr>
          </w:p>
        </w:tc>
        <w:tc>
          <w:tcPr>
            <w:tcW w:w="540" w:type="dxa"/>
            <w:tcBorders>
              <w:bottom w:val="single" w:sz="12" w:space="0" w:color="auto"/>
            </w:tcBorders>
          </w:tcPr>
          <w:p w:rsidR="00926A0D" w:rsidRDefault="00926A0D">
            <w:pPr>
              <w:ind w:right="-29"/>
              <w:jc w:val="center"/>
              <w:rPr>
                <w:noProof/>
                <w:sz w:val="18"/>
                <w:szCs w:val="18"/>
              </w:rPr>
            </w:pPr>
          </w:p>
        </w:tc>
        <w:tc>
          <w:tcPr>
            <w:tcW w:w="720" w:type="dxa"/>
            <w:tcBorders>
              <w:bottom w:val="single" w:sz="12" w:space="0" w:color="auto"/>
            </w:tcBorders>
          </w:tcPr>
          <w:p w:rsidR="00926A0D" w:rsidRDefault="00926A0D">
            <w:pPr>
              <w:ind w:right="-29"/>
              <w:jc w:val="center"/>
              <w:rPr>
                <w:noProof/>
                <w:sz w:val="18"/>
                <w:szCs w:val="18"/>
              </w:rPr>
            </w:pPr>
          </w:p>
        </w:tc>
        <w:tc>
          <w:tcPr>
            <w:tcW w:w="720" w:type="dxa"/>
            <w:tcBorders>
              <w:bottom w:val="single" w:sz="12" w:space="0" w:color="auto"/>
            </w:tcBorders>
          </w:tcPr>
          <w:p w:rsidR="00926A0D" w:rsidRDefault="00926A0D">
            <w:pPr>
              <w:ind w:right="-29"/>
              <w:jc w:val="center"/>
              <w:rPr>
                <w:noProof/>
                <w:sz w:val="18"/>
                <w:szCs w:val="18"/>
              </w:rPr>
            </w:pPr>
          </w:p>
        </w:tc>
        <w:tc>
          <w:tcPr>
            <w:tcW w:w="720" w:type="dxa"/>
            <w:tcBorders>
              <w:bottom w:val="single" w:sz="12" w:space="0" w:color="auto"/>
            </w:tcBorders>
          </w:tcPr>
          <w:p w:rsidR="00926A0D" w:rsidRDefault="00926A0D">
            <w:pPr>
              <w:ind w:right="-29"/>
              <w:jc w:val="center"/>
              <w:rPr>
                <w:noProof/>
                <w:sz w:val="18"/>
                <w:szCs w:val="18"/>
              </w:rPr>
            </w:pPr>
          </w:p>
        </w:tc>
        <w:tc>
          <w:tcPr>
            <w:tcW w:w="951" w:type="dxa"/>
            <w:gridSpan w:val="2"/>
            <w:tcBorders>
              <w:bottom w:val="single" w:sz="12" w:space="0" w:color="auto"/>
            </w:tcBorders>
          </w:tcPr>
          <w:p w:rsidR="00926A0D" w:rsidRDefault="00926A0D">
            <w:pPr>
              <w:ind w:right="-29"/>
              <w:jc w:val="center"/>
              <w:rPr>
                <w:noProof/>
                <w:sz w:val="18"/>
                <w:szCs w:val="18"/>
              </w:rPr>
            </w:pPr>
          </w:p>
        </w:tc>
        <w:tc>
          <w:tcPr>
            <w:tcW w:w="669" w:type="dxa"/>
            <w:tcBorders>
              <w:bottom w:val="single" w:sz="12" w:space="0" w:color="auto"/>
            </w:tcBorders>
          </w:tcPr>
          <w:p w:rsidR="00926A0D" w:rsidRDefault="00926A0D">
            <w:pPr>
              <w:ind w:right="-29"/>
              <w:jc w:val="center"/>
              <w:rPr>
                <w:noProof/>
                <w:sz w:val="18"/>
                <w:szCs w:val="18"/>
              </w:rPr>
            </w:pPr>
          </w:p>
        </w:tc>
        <w:tc>
          <w:tcPr>
            <w:tcW w:w="540" w:type="dxa"/>
            <w:tcBorders>
              <w:bottom w:val="single" w:sz="12" w:space="0" w:color="auto"/>
            </w:tcBorders>
          </w:tcPr>
          <w:p w:rsidR="00926A0D" w:rsidRDefault="00926A0D">
            <w:pPr>
              <w:ind w:right="-29"/>
              <w:jc w:val="center"/>
              <w:rPr>
                <w:noProof/>
                <w:sz w:val="18"/>
                <w:szCs w:val="18"/>
              </w:rPr>
            </w:pPr>
          </w:p>
        </w:tc>
        <w:tc>
          <w:tcPr>
            <w:tcW w:w="648" w:type="dxa"/>
            <w:tcBorders>
              <w:bottom w:val="single" w:sz="12" w:space="0" w:color="auto"/>
            </w:tcBorders>
            <w:shd w:val="clear" w:color="auto" w:fill="auto"/>
          </w:tcPr>
          <w:p w:rsidR="00926A0D" w:rsidRDefault="00926A0D">
            <w:pPr>
              <w:ind w:right="-29"/>
              <w:jc w:val="center"/>
              <w:rPr>
                <w:noProof/>
                <w:sz w:val="18"/>
                <w:szCs w:val="18"/>
              </w:rPr>
            </w:pPr>
          </w:p>
        </w:tc>
        <w:tc>
          <w:tcPr>
            <w:tcW w:w="432" w:type="dxa"/>
            <w:tcBorders>
              <w:bottom w:val="single" w:sz="12" w:space="0" w:color="auto"/>
            </w:tcBorders>
            <w:shd w:val="clear" w:color="auto" w:fill="auto"/>
          </w:tcPr>
          <w:p w:rsidR="00926A0D" w:rsidRDefault="00926A0D">
            <w:pPr>
              <w:ind w:right="-29"/>
              <w:jc w:val="center"/>
              <w:rPr>
                <w:noProof/>
                <w:sz w:val="18"/>
                <w:szCs w:val="18"/>
              </w:rPr>
            </w:pPr>
          </w:p>
        </w:tc>
        <w:tc>
          <w:tcPr>
            <w:tcW w:w="720" w:type="dxa"/>
            <w:tcBorders>
              <w:bottom w:val="single" w:sz="12" w:space="0" w:color="auto"/>
            </w:tcBorders>
            <w:shd w:val="clear" w:color="auto" w:fill="auto"/>
          </w:tcPr>
          <w:p w:rsidR="00926A0D" w:rsidRDefault="00926A0D">
            <w:pPr>
              <w:ind w:right="-29"/>
              <w:jc w:val="center"/>
              <w:rPr>
                <w:noProof/>
                <w:sz w:val="18"/>
                <w:szCs w:val="18"/>
              </w:rPr>
            </w:pPr>
          </w:p>
        </w:tc>
        <w:tc>
          <w:tcPr>
            <w:tcW w:w="540" w:type="dxa"/>
            <w:tcBorders>
              <w:bottom w:val="single" w:sz="12" w:space="0" w:color="auto"/>
            </w:tcBorders>
            <w:shd w:val="clear" w:color="auto" w:fill="auto"/>
          </w:tcPr>
          <w:p w:rsidR="00926A0D" w:rsidRDefault="00926A0D">
            <w:pPr>
              <w:ind w:right="-29"/>
              <w:jc w:val="center"/>
              <w:rPr>
                <w:noProof/>
                <w:sz w:val="18"/>
                <w:szCs w:val="18"/>
              </w:rPr>
            </w:pPr>
          </w:p>
        </w:tc>
        <w:tc>
          <w:tcPr>
            <w:tcW w:w="720" w:type="dxa"/>
            <w:tcBorders>
              <w:bottom w:val="single" w:sz="12" w:space="0" w:color="auto"/>
            </w:tcBorders>
            <w:shd w:val="clear" w:color="auto" w:fill="auto"/>
          </w:tcPr>
          <w:p w:rsidR="00926A0D" w:rsidRDefault="00926A0D">
            <w:pPr>
              <w:ind w:right="-29"/>
              <w:jc w:val="center"/>
              <w:rPr>
                <w:noProof/>
                <w:sz w:val="18"/>
                <w:szCs w:val="18"/>
              </w:rPr>
            </w:pPr>
          </w:p>
        </w:tc>
        <w:tc>
          <w:tcPr>
            <w:tcW w:w="720" w:type="dxa"/>
            <w:tcBorders>
              <w:bottom w:val="single" w:sz="12" w:space="0" w:color="auto"/>
            </w:tcBorders>
            <w:shd w:val="clear" w:color="auto" w:fill="auto"/>
          </w:tcPr>
          <w:p w:rsidR="00926A0D" w:rsidRDefault="00926A0D">
            <w:pPr>
              <w:ind w:right="-29"/>
              <w:jc w:val="center"/>
              <w:rPr>
                <w:noProof/>
                <w:sz w:val="18"/>
                <w:szCs w:val="18"/>
              </w:rPr>
            </w:pPr>
          </w:p>
        </w:tc>
        <w:tc>
          <w:tcPr>
            <w:tcW w:w="900" w:type="dxa"/>
            <w:tcBorders>
              <w:bottom w:val="single" w:sz="12" w:space="0" w:color="auto"/>
            </w:tcBorders>
          </w:tcPr>
          <w:p w:rsidR="00926A0D" w:rsidRDefault="00926A0D">
            <w:pPr>
              <w:ind w:right="-29"/>
              <w:jc w:val="center"/>
              <w:rPr>
                <w:noProof/>
                <w:sz w:val="18"/>
                <w:szCs w:val="18"/>
              </w:rPr>
            </w:pPr>
          </w:p>
        </w:tc>
      </w:tr>
      <w:tr w:rsidR="00926A0D">
        <w:trPr>
          <w:jc w:val="center"/>
        </w:trPr>
        <w:tc>
          <w:tcPr>
            <w:tcW w:w="2844" w:type="dxa"/>
            <w:gridSpan w:val="3"/>
            <w:tcBorders>
              <w:top w:val="single" w:sz="12" w:space="0" w:color="auto"/>
              <w:left w:val="single" w:sz="12" w:space="0" w:color="auto"/>
              <w:bottom w:val="single" w:sz="12" w:space="0" w:color="auto"/>
            </w:tcBorders>
            <w:vAlign w:val="center"/>
          </w:tcPr>
          <w:p w:rsidR="00926A0D" w:rsidRDefault="006023A9">
            <w:pPr>
              <w:ind w:right="-29"/>
              <w:jc w:val="center"/>
              <w:rPr>
                <w:noProof/>
                <w:sz w:val="18"/>
                <w:szCs w:val="18"/>
              </w:rPr>
            </w:pPr>
            <w:r>
              <w:rPr>
                <w:b/>
                <w:noProof/>
                <w:sz w:val="18"/>
              </w:rPr>
              <w:t>TOTAL COST</w:t>
            </w:r>
          </w:p>
        </w:tc>
        <w:tc>
          <w:tcPr>
            <w:tcW w:w="504" w:type="dxa"/>
            <w:tcBorders>
              <w:top w:val="single" w:sz="12" w:space="0" w:color="auto"/>
              <w:bottom w:val="single" w:sz="12" w:space="0" w:color="auto"/>
            </w:tcBorders>
          </w:tcPr>
          <w:p w:rsidR="00926A0D" w:rsidRDefault="00926A0D">
            <w:pPr>
              <w:spacing w:before="180" w:after="180"/>
              <w:ind w:right="-29"/>
              <w:jc w:val="center"/>
              <w:rPr>
                <w:noProof/>
                <w:sz w:val="18"/>
                <w:szCs w:val="18"/>
              </w:rPr>
            </w:pPr>
          </w:p>
        </w:tc>
        <w:tc>
          <w:tcPr>
            <w:tcW w:w="720" w:type="dxa"/>
            <w:tcBorders>
              <w:top w:val="single" w:sz="12" w:space="0" w:color="auto"/>
              <w:bottom w:val="single" w:sz="12" w:space="0" w:color="auto"/>
            </w:tcBorders>
          </w:tcPr>
          <w:p w:rsidR="00926A0D" w:rsidRDefault="006023A9">
            <w:pPr>
              <w:ind w:right="-29"/>
              <w:jc w:val="center"/>
              <w:rPr>
                <w:noProof/>
                <w:sz w:val="18"/>
                <w:szCs w:val="18"/>
              </w:rPr>
            </w:pPr>
            <w:r>
              <w:rPr>
                <w:noProof/>
                <w:sz w:val="18"/>
                <w:szCs w:val="18"/>
              </w:rPr>
              <w:t>0</w:t>
            </w:r>
          </w:p>
        </w:tc>
        <w:tc>
          <w:tcPr>
            <w:tcW w:w="540" w:type="dxa"/>
            <w:tcBorders>
              <w:top w:val="single" w:sz="12" w:space="0" w:color="auto"/>
              <w:bottom w:val="single" w:sz="12" w:space="0" w:color="auto"/>
            </w:tcBorders>
          </w:tcPr>
          <w:p w:rsidR="00926A0D" w:rsidRDefault="00926A0D">
            <w:pPr>
              <w:ind w:right="-29"/>
              <w:jc w:val="center"/>
              <w:rPr>
                <w:noProof/>
                <w:sz w:val="18"/>
              </w:rPr>
            </w:pPr>
          </w:p>
        </w:tc>
        <w:tc>
          <w:tcPr>
            <w:tcW w:w="720" w:type="dxa"/>
            <w:tcBorders>
              <w:top w:val="single" w:sz="12" w:space="0" w:color="auto"/>
              <w:bottom w:val="single" w:sz="12" w:space="0" w:color="auto"/>
            </w:tcBorders>
          </w:tcPr>
          <w:p w:rsidR="00926A0D" w:rsidRDefault="006023A9">
            <w:pPr>
              <w:ind w:right="-29"/>
              <w:jc w:val="center"/>
              <w:rPr>
                <w:noProof/>
                <w:sz w:val="18"/>
              </w:rPr>
            </w:pPr>
            <w:r>
              <w:rPr>
                <w:noProof/>
                <w:sz w:val="18"/>
              </w:rPr>
              <w:t>1.000</w:t>
            </w:r>
          </w:p>
        </w:tc>
        <w:tc>
          <w:tcPr>
            <w:tcW w:w="720" w:type="dxa"/>
            <w:tcBorders>
              <w:top w:val="single" w:sz="12" w:space="0" w:color="auto"/>
              <w:bottom w:val="single" w:sz="12" w:space="0" w:color="auto"/>
            </w:tcBorders>
          </w:tcPr>
          <w:p w:rsidR="00926A0D" w:rsidRDefault="00926A0D">
            <w:pPr>
              <w:ind w:right="-29"/>
              <w:jc w:val="center"/>
              <w:rPr>
                <w:noProof/>
                <w:sz w:val="18"/>
                <w:szCs w:val="18"/>
              </w:rPr>
            </w:pPr>
          </w:p>
        </w:tc>
        <w:tc>
          <w:tcPr>
            <w:tcW w:w="720" w:type="dxa"/>
            <w:tcBorders>
              <w:top w:val="single" w:sz="12" w:space="0" w:color="auto"/>
              <w:bottom w:val="single" w:sz="12" w:space="0" w:color="auto"/>
            </w:tcBorders>
          </w:tcPr>
          <w:p w:rsidR="00926A0D" w:rsidRDefault="006023A9">
            <w:pPr>
              <w:ind w:right="-29"/>
              <w:jc w:val="center"/>
              <w:rPr>
                <w:noProof/>
                <w:sz w:val="18"/>
                <w:szCs w:val="18"/>
              </w:rPr>
            </w:pPr>
            <w:r>
              <w:rPr>
                <w:noProof/>
                <w:sz w:val="18"/>
              </w:rPr>
              <w:t>1.000</w:t>
            </w:r>
          </w:p>
        </w:tc>
        <w:tc>
          <w:tcPr>
            <w:tcW w:w="900" w:type="dxa"/>
            <w:tcBorders>
              <w:top w:val="single" w:sz="12" w:space="0" w:color="auto"/>
              <w:bottom w:val="single" w:sz="12" w:space="0" w:color="auto"/>
            </w:tcBorders>
          </w:tcPr>
          <w:p w:rsidR="00926A0D" w:rsidRDefault="00926A0D">
            <w:pPr>
              <w:ind w:right="-29"/>
              <w:jc w:val="center"/>
              <w:rPr>
                <w:noProof/>
                <w:sz w:val="18"/>
                <w:szCs w:val="18"/>
              </w:rPr>
            </w:pPr>
          </w:p>
        </w:tc>
        <w:tc>
          <w:tcPr>
            <w:tcW w:w="720" w:type="dxa"/>
            <w:gridSpan w:val="2"/>
            <w:tcBorders>
              <w:top w:val="single" w:sz="12" w:space="0" w:color="auto"/>
              <w:bottom w:val="single" w:sz="12" w:space="0" w:color="auto"/>
            </w:tcBorders>
          </w:tcPr>
          <w:p w:rsidR="00926A0D" w:rsidRDefault="00926A0D">
            <w:pPr>
              <w:ind w:right="-29"/>
              <w:jc w:val="center"/>
              <w:rPr>
                <w:noProof/>
                <w:sz w:val="18"/>
                <w:szCs w:val="18"/>
              </w:rPr>
            </w:pPr>
          </w:p>
        </w:tc>
        <w:tc>
          <w:tcPr>
            <w:tcW w:w="540" w:type="dxa"/>
            <w:tcBorders>
              <w:top w:val="single" w:sz="12" w:space="0" w:color="auto"/>
              <w:bottom w:val="single" w:sz="12" w:space="0" w:color="auto"/>
            </w:tcBorders>
          </w:tcPr>
          <w:p w:rsidR="00926A0D" w:rsidRDefault="00926A0D">
            <w:pPr>
              <w:ind w:right="-29"/>
              <w:jc w:val="center"/>
              <w:rPr>
                <w:noProof/>
                <w:sz w:val="18"/>
                <w:szCs w:val="18"/>
              </w:rPr>
            </w:pPr>
          </w:p>
        </w:tc>
        <w:tc>
          <w:tcPr>
            <w:tcW w:w="648" w:type="dxa"/>
            <w:tcBorders>
              <w:top w:val="single" w:sz="12" w:space="0" w:color="auto"/>
              <w:bottom w:val="single" w:sz="12" w:space="0" w:color="auto"/>
            </w:tcBorders>
            <w:shd w:val="clear" w:color="auto" w:fill="auto"/>
          </w:tcPr>
          <w:p w:rsidR="00926A0D" w:rsidRDefault="00926A0D">
            <w:pPr>
              <w:ind w:right="-29"/>
              <w:jc w:val="center"/>
              <w:rPr>
                <w:noProof/>
                <w:sz w:val="18"/>
                <w:szCs w:val="18"/>
              </w:rPr>
            </w:pPr>
          </w:p>
        </w:tc>
        <w:tc>
          <w:tcPr>
            <w:tcW w:w="432" w:type="dxa"/>
            <w:tcBorders>
              <w:top w:val="single" w:sz="12" w:space="0" w:color="auto"/>
              <w:bottom w:val="single" w:sz="12" w:space="0" w:color="auto"/>
            </w:tcBorders>
            <w:shd w:val="clear" w:color="auto" w:fill="auto"/>
          </w:tcPr>
          <w:p w:rsidR="00926A0D" w:rsidRDefault="00926A0D">
            <w:pPr>
              <w:ind w:right="-29"/>
              <w:jc w:val="center"/>
              <w:rPr>
                <w:noProof/>
                <w:sz w:val="18"/>
                <w:szCs w:val="18"/>
              </w:rPr>
            </w:pPr>
          </w:p>
        </w:tc>
        <w:tc>
          <w:tcPr>
            <w:tcW w:w="720" w:type="dxa"/>
            <w:tcBorders>
              <w:top w:val="single" w:sz="12" w:space="0" w:color="auto"/>
              <w:bottom w:val="single" w:sz="12" w:space="0" w:color="auto"/>
            </w:tcBorders>
            <w:shd w:val="clear" w:color="auto" w:fill="auto"/>
          </w:tcPr>
          <w:p w:rsidR="00926A0D" w:rsidRDefault="00926A0D">
            <w:pPr>
              <w:ind w:right="-29"/>
              <w:jc w:val="center"/>
              <w:rPr>
                <w:noProof/>
                <w:sz w:val="18"/>
                <w:szCs w:val="18"/>
              </w:rPr>
            </w:pPr>
          </w:p>
        </w:tc>
        <w:tc>
          <w:tcPr>
            <w:tcW w:w="540" w:type="dxa"/>
            <w:tcBorders>
              <w:top w:val="single" w:sz="12" w:space="0" w:color="auto"/>
              <w:bottom w:val="single" w:sz="12" w:space="0" w:color="auto"/>
            </w:tcBorders>
            <w:shd w:val="clear" w:color="auto" w:fill="auto"/>
          </w:tcPr>
          <w:p w:rsidR="00926A0D" w:rsidRDefault="00926A0D">
            <w:pPr>
              <w:ind w:right="-29"/>
              <w:jc w:val="center"/>
              <w:rPr>
                <w:noProof/>
                <w:sz w:val="18"/>
                <w:szCs w:val="18"/>
              </w:rPr>
            </w:pPr>
          </w:p>
        </w:tc>
        <w:tc>
          <w:tcPr>
            <w:tcW w:w="720" w:type="dxa"/>
            <w:tcBorders>
              <w:top w:val="single" w:sz="12" w:space="0" w:color="auto"/>
              <w:bottom w:val="single" w:sz="12" w:space="0" w:color="auto"/>
            </w:tcBorders>
            <w:shd w:val="clear" w:color="auto" w:fill="auto"/>
          </w:tcPr>
          <w:p w:rsidR="00926A0D" w:rsidRDefault="00926A0D">
            <w:pPr>
              <w:ind w:right="-29"/>
              <w:jc w:val="center"/>
              <w:rPr>
                <w:noProof/>
                <w:sz w:val="18"/>
                <w:szCs w:val="18"/>
              </w:rPr>
            </w:pPr>
          </w:p>
        </w:tc>
        <w:tc>
          <w:tcPr>
            <w:tcW w:w="1620" w:type="dxa"/>
            <w:gridSpan w:val="2"/>
            <w:tcBorders>
              <w:top w:val="single" w:sz="12" w:space="0" w:color="auto"/>
              <w:bottom w:val="single" w:sz="12" w:space="0" w:color="auto"/>
              <w:right w:val="single" w:sz="12" w:space="0" w:color="auto"/>
            </w:tcBorders>
            <w:shd w:val="clear" w:color="auto" w:fill="auto"/>
          </w:tcPr>
          <w:p w:rsidR="00926A0D" w:rsidRDefault="006023A9">
            <w:pPr>
              <w:ind w:right="-29"/>
              <w:jc w:val="center"/>
              <w:rPr>
                <w:noProof/>
                <w:sz w:val="18"/>
                <w:szCs w:val="18"/>
              </w:rPr>
            </w:pPr>
            <w:r>
              <w:rPr>
                <w:noProof/>
                <w:sz w:val="18"/>
                <w:szCs w:val="18"/>
              </w:rPr>
              <w:t>2.000</w:t>
            </w:r>
          </w:p>
        </w:tc>
      </w:tr>
    </w:tbl>
    <w:p w:rsidR="00926A0D" w:rsidRDefault="00926A0D">
      <w:pPr>
        <w:rPr>
          <w:noProof/>
        </w:rPr>
        <w:sectPr w:rsidR="00926A0D" w:rsidSect="00211F8F">
          <w:pgSz w:w="16840" w:h="11907" w:orient="landscape" w:code="9"/>
          <w:pgMar w:top="1134" w:right="1418" w:bottom="567" w:left="1418" w:header="709" w:footer="709" w:gutter="0"/>
          <w:cols w:space="708"/>
          <w:docGrid w:linePitch="360"/>
        </w:sectPr>
      </w:pPr>
    </w:p>
    <w:p w:rsidR="00926A0D" w:rsidRDefault="006023A9">
      <w:pPr>
        <w:pStyle w:val="ManualHeading3"/>
        <w:rPr>
          <w:noProof/>
        </w:rPr>
      </w:pPr>
      <w:r>
        <w:lastRenderedPageBreak/>
        <w:t>3.2.3.</w:t>
      </w:r>
      <w:r>
        <w:tab/>
      </w:r>
      <w:r>
        <w:rPr>
          <w:noProof/>
        </w:rPr>
        <w:t>Estimated impact on appropriations of an administrative nature</w:t>
      </w:r>
    </w:p>
    <w:p w:rsidR="00926A0D" w:rsidRDefault="006023A9">
      <w:pPr>
        <w:pStyle w:val="ManualHeading4"/>
        <w:rPr>
          <w:noProof/>
        </w:rPr>
      </w:pPr>
      <w:r>
        <w:t>3.2.3.1.</w:t>
      </w:r>
      <w:r>
        <w:tab/>
      </w:r>
      <w:r>
        <w:rPr>
          <w:noProof/>
        </w:rPr>
        <w:t xml:space="preserve">Summary </w:t>
      </w:r>
    </w:p>
    <w:p w:rsidR="00926A0D" w:rsidRDefault="006023A9">
      <w:pPr>
        <w:pStyle w:val="ListDash1"/>
        <w:rPr>
          <w:noProof/>
        </w:rPr>
      </w:pPr>
      <w:r>
        <w:rPr>
          <w:noProof/>
        </w:rPr>
        <w:sym w:font="Wingdings" w:char="F0A8"/>
      </w:r>
      <w:r>
        <w:rPr>
          <w:noProof/>
        </w:rPr>
        <w:tab/>
        <w:t xml:space="preserve">The proposal/initiative does not require the use of appropriations of an administrative nature </w:t>
      </w:r>
    </w:p>
    <w:p w:rsidR="00926A0D" w:rsidRDefault="006023A9">
      <w:pPr>
        <w:pStyle w:val="ListDash1"/>
        <w:rPr>
          <w:noProof/>
        </w:rPr>
      </w:pPr>
      <w:r>
        <w:rPr>
          <w:noProof/>
        </w:rPr>
        <w:sym w:font="Wingdings" w:char="F0FE"/>
      </w:r>
      <w:r>
        <w:rPr>
          <w:noProof/>
        </w:rPr>
        <w:tab/>
        <w:t>The proposal/initiative requires the use of appropriations of an administrative nature, as explained below:</w:t>
      </w:r>
    </w:p>
    <w:p w:rsidR="00926A0D" w:rsidRDefault="006023A9">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926A0D">
        <w:trPr>
          <w:trHeight w:val="585"/>
        </w:trPr>
        <w:tc>
          <w:tcPr>
            <w:tcW w:w="1980" w:type="dxa"/>
          </w:tcPr>
          <w:p w:rsidR="00926A0D" w:rsidRDefault="00926A0D">
            <w:pPr>
              <w:spacing w:before="60" w:after="60" w:line="200" w:lineRule="exact"/>
              <w:rPr>
                <w:noProof/>
                <w:sz w:val="16"/>
                <w:szCs w:val="16"/>
              </w:rPr>
            </w:pPr>
          </w:p>
        </w:tc>
        <w:tc>
          <w:tcPr>
            <w:tcW w:w="1080" w:type="dxa"/>
            <w:vAlign w:val="center"/>
          </w:tcPr>
          <w:p w:rsidR="00926A0D" w:rsidRDefault="006023A9">
            <w:pPr>
              <w:spacing w:before="60" w:after="60" w:line="200" w:lineRule="exact"/>
              <w:jc w:val="center"/>
              <w:rPr>
                <w:noProof/>
                <w:sz w:val="16"/>
                <w:szCs w:val="16"/>
              </w:rPr>
            </w:pPr>
            <w:r>
              <w:rPr>
                <w:noProof/>
                <w:sz w:val="20"/>
              </w:rPr>
              <w:t>Year</w:t>
            </w:r>
            <w:r>
              <w:rPr>
                <w:noProof/>
                <w:sz w:val="22"/>
              </w:rPr>
              <w:br/>
            </w:r>
            <w:r>
              <w:rPr>
                <w:b/>
                <w:noProof/>
                <w:sz w:val="20"/>
              </w:rPr>
              <w:t>2018</w:t>
            </w:r>
          </w:p>
        </w:tc>
        <w:tc>
          <w:tcPr>
            <w:tcW w:w="1080" w:type="dxa"/>
            <w:vAlign w:val="center"/>
          </w:tcPr>
          <w:p w:rsidR="00926A0D" w:rsidRDefault="006023A9">
            <w:pPr>
              <w:spacing w:before="60" w:after="60" w:line="200" w:lineRule="exact"/>
              <w:jc w:val="center"/>
              <w:rPr>
                <w:noProof/>
                <w:sz w:val="16"/>
                <w:szCs w:val="16"/>
              </w:rPr>
            </w:pPr>
            <w:r>
              <w:rPr>
                <w:noProof/>
                <w:sz w:val="20"/>
              </w:rPr>
              <w:t>Year</w:t>
            </w:r>
            <w:r>
              <w:rPr>
                <w:noProof/>
                <w:sz w:val="22"/>
              </w:rPr>
              <w:br/>
            </w:r>
            <w:r>
              <w:rPr>
                <w:b/>
                <w:noProof/>
                <w:sz w:val="20"/>
              </w:rPr>
              <w:t>2019</w:t>
            </w:r>
          </w:p>
        </w:tc>
        <w:tc>
          <w:tcPr>
            <w:tcW w:w="1080" w:type="dxa"/>
            <w:vAlign w:val="center"/>
          </w:tcPr>
          <w:p w:rsidR="00926A0D" w:rsidRDefault="006023A9">
            <w:pPr>
              <w:spacing w:before="60" w:after="60" w:line="200" w:lineRule="exact"/>
              <w:jc w:val="center"/>
              <w:rPr>
                <w:noProof/>
                <w:sz w:val="16"/>
                <w:szCs w:val="16"/>
              </w:rPr>
            </w:pPr>
            <w:r>
              <w:rPr>
                <w:noProof/>
                <w:sz w:val="20"/>
              </w:rPr>
              <w:t>Year</w:t>
            </w:r>
            <w:r>
              <w:rPr>
                <w:noProof/>
                <w:sz w:val="22"/>
              </w:rPr>
              <w:br/>
            </w:r>
            <w:r>
              <w:rPr>
                <w:b/>
                <w:noProof/>
                <w:sz w:val="20"/>
              </w:rPr>
              <w:t>2020</w:t>
            </w:r>
          </w:p>
        </w:tc>
        <w:tc>
          <w:tcPr>
            <w:tcW w:w="1080" w:type="dxa"/>
            <w:vAlign w:val="center"/>
          </w:tcPr>
          <w:p w:rsidR="00926A0D" w:rsidRDefault="00926A0D">
            <w:pPr>
              <w:spacing w:before="60" w:after="60" w:line="200" w:lineRule="exact"/>
              <w:jc w:val="center"/>
              <w:rPr>
                <w:noProof/>
                <w:sz w:val="16"/>
                <w:szCs w:val="16"/>
              </w:rPr>
            </w:pPr>
          </w:p>
        </w:tc>
        <w:tc>
          <w:tcPr>
            <w:tcW w:w="3240" w:type="dxa"/>
            <w:vAlign w:val="center"/>
          </w:tcPr>
          <w:p w:rsidR="00926A0D" w:rsidRDefault="006023A9">
            <w:pPr>
              <w:spacing w:line="200" w:lineRule="exact"/>
              <w:jc w:val="center"/>
              <w:rPr>
                <w:b/>
                <w:noProof/>
                <w:sz w:val="16"/>
                <w:szCs w:val="16"/>
              </w:rPr>
            </w:pPr>
            <w:r>
              <w:rPr>
                <w:noProof/>
                <w:sz w:val="16"/>
              </w:rPr>
              <w:t>Enter as many years as necessary to show the duration of the impact (see point 1.6)</w:t>
            </w:r>
          </w:p>
        </w:tc>
        <w:tc>
          <w:tcPr>
            <w:tcW w:w="1080" w:type="dxa"/>
            <w:vAlign w:val="center"/>
          </w:tcPr>
          <w:p w:rsidR="00926A0D" w:rsidRDefault="006023A9">
            <w:pPr>
              <w:spacing w:before="60" w:after="60" w:line="200" w:lineRule="exact"/>
              <w:jc w:val="center"/>
              <w:rPr>
                <w:b/>
                <w:noProof/>
                <w:sz w:val="16"/>
              </w:rPr>
            </w:pPr>
            <w:r>
              <w:rPr>
                <w:b/>
                <w:noProof/>
                <w:sz w:val="16"/>
              </w:rPr>
              <w:t>TOTAL</w:t>
            </w:r>
          </w:p>
          <w:p w:rsidR="00926A0D" w:rsidRDefault="006023A9">
            <w:pPr>
              <w:spacing w:before="60" w:after="60" w:line="200" w:lineRule="exact"/>
              <w:jc w:val="center"/>
              <w:rPr>
                <w:b/>
                <w:noProof/>
                <w:sz w:val="16"/>
                <w:szCs w:val="16"/>
              </w:rPr>
            </w:pPr>
            <w:r>
              <w:rPr>
                <w:b/>
                <w:noProof/>
                <w:sz w:val="20"/>
              </w:rPr>
              <w:t xml:space="preserve">2018+2019+2020 </w:t>
            </w:r>
          </w:p>
        </w:tc>
      </w:tr>
    </w:tbl>
    <w:p w:rsidR="00926A0D" w:rsidRDefault="00926A0D">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926A0D">
        <w:trPr>
          <w:trHeight w:val="585"/>
        </w:trPr>
        <w:tc>
          <w:tcPr>
            <w:tcW w:w="1980" w:type="dxa"/>
            <w:shd w:val="clear" w:color="auto" w:fill="CCCCCC"/>
            <w:vAlign w:val="center"/>
          </w:tcPr>
          <w:p w:rsidR="00926A0D" w:rsidRDefault="006023A9">
            <w:pPr>
              <w:spacing w:before="60" w:after="60" w:line="200" w:lineRule="exact"/>
              <w:jc w:val="center"/>
              <w:rPr>
                <w:b/>
                <w:noProof/>
                <w:sz w:val="16"/>
                <w:szCs w:val="16"/>
              </w:rPr>
            </w:pPr>
            <w:r>
              <w:rPr>
                <w:b/>
                <w:noProof/>
                <w:sz w:val="16"/>
              </w:rPr>
              <w:t>HEADING 5</w:t>
            </w:r>
            <w:r>
              <w:rPr>
                <w:noProof/>
                <w:sz w:val="22"/>
              </w:rPr>
              <w:br/>
            </w:r>
            <w:r>
              <w:rPr>
                <w:b/>
                <w:noProof/>
                <w:sz w:val="16"/>
              </w:rPr>
              <w:t>of the multiannual financial framework</w:t>
            </w:r>
          </w:p>
        </w:tc>
        <w:tc>
          <w:tcPr>
            <w:tcW w:w="1080" w:type="dxa"/>
            <w:vAlign w:val="center"/>
          </w:tcPr>
          <w:p w:rsidR="00926A0D" w:rsidRDefault="00926A0D">
            <w:pPr>
              <w:spacing w:before="60" w:after="60" w:line="200" w:lineRule="exact"/>
              <w:jc w:val="right"/>
              <w:rPr>
                <w:noProof/>
                <w:sz w:val="16"/>
                <w:szCs w:val="16"/>
              </w:rPr>
            </w:pPr>
          </w:p>
        </w:tc>
        <w:tc>
          <w:tcPr>
            <w:tcW w:w="1080" w:type="dxa"/>
            <w:vAlign w:val="center"/>
          </w:tcPr>
          <w:p w:rsidR="00926A0D" w:rsidRDefault="00926A0D">
            <w:pPr>
              <w:spacing w:before="60" w:after="60" w:line="200" w:lineRule="exact"/>
              <w:jc w:val="right"/>
              <w:rPr>
                <w:noProof/>
                <w:sz w:val="16"/>
                <w:szCs w:val="16"/>
              </w:rPr>
            </w:pPr>
          </w:p>
        </w:tc>
        <w:tc>
          <w:tcPr>
            <w:tcW w:w="1080" w:type="dxa"/>
            <w:vAlign w:val="center"/>
          </w:tcPr>
          <w:p w:rsidR="00926A0D" w:rsidRDefault="00926A0D">
            <w:pPr>
              <w:spacing w:before="60" w:after="60" w:line="200" w:lineRule="exact"/>
              <w:jc w:val="right"/>
              <w:rPr>
                <w:noProof/>
                <w:sz w:val="16"/>
                <w:szCs w:val="16"/>
              </w:rPr>
            </w:pPr>
          </w:p>
        </w:tc>
        <w:tc>
          <w:tcPr>
            <w:tcW w:w="1080" w:type="dxa"/>
            <w:vAlign w:val="center"/>
          </w:tcPr>
          <w:p w:rsidR="00926A0D" w:rsidRDefault="00926A0D">
            <w:pPr>
              <w:spacing w:before="60" w:after="60" w:line="200" w:lineRule="exact"/>
              <w:jc w:val="right"/>
              <w:rPr>
                <w:noProof/>
                <w:sz w:val="16"/>
                <w:szCs w:val="16"/>
              </w:rPr>
            </w:pPr>
          </w:p>
        </w:tc>
        <w:tc>
          <w:tcPr>
            <w:tcW w:w="1080" w:type="dxa"/>
            <w:vAlign w:val="center"/>
          </w:tcPr>
          <w:p w:rsidR="00926A0D" w:rsidRDefault="00926A0D">
            <w:pPr>
              <w:spacing w:before="60" w:after="60" w:line="200" w:lineRule="exact"/>
              <w:jc w:val="right"/>
              <w:rPr>
                <w:noProof/>
                <w:sz w:val="16"/>
                <w:szCs w:val="16"/>
              </w:rPr>
            </w:pPr>
          </w:p>
        </w:tc>
        <w:tc>
          <w:tcPr>
            <w:tcW w:w="1080" w:type="dxa"/>
            <w:vAlign w:val="center"/>
          </w:tcPr>
          <w:p w:rsidR="00926A0D" w:rsidRDefault="00926A0D">
            <w:pPr>
              <w:spacing w:before="60" w:after="60" w:line="200" w:lineRule="exact"/>
              <w:jc w:val="right"/>
              <w:rPr>
                <w:noProof/>
                <w:sz w:val="16"/>
                <w:szCs w:val="16"/>
              </w:rPr>
            </w:pPr>
          </w:p>
        </w:tc>
        <w:tc>
          <w:tcPr>
            <w:tcW w:w="1080" w:type="dxa"/>
            <w:vAlign w:val="center"/>
          </w:tcPr>
          <w:p w:rsidR="00926A0D" w:rsidRDefault="00926A0D">
            <w:pPr>
              <w:spacing w:before="60" w:after="60" w:line="200" w:lineRule="exact"/>
              <w:jc w:val="right"/>
              <w:rPr>
                <w:b/>
                <w:noProof/>
                <w:sz w:val="16"/>
                <w:szCs w:val="16"/>
              </w:rPr>
            </w:pPr>
          </w:p>
        </w:tc>
        <w:tc>
          <w:tcPr>
            <w:tcW w:w="1080" w:type="dxa"/>
            <w:vAlign w:val="center"/>
          </w:tcPr>
          <w:p w:rsidR="00926A0D" w:rsidRDefault="00926A0D">
            <w:pPr>
              <w:spacing w:before="60" w:after="60" w:line="200" w:lineRule="exact"/>
              <w:jc w:val="right"/>
              <w:rPr>
                <w:b/>
                <w:noProof/>
                <w:sz w:val="16"/>
                <w:szCs w:val="16"/>
              </w:rPr>
            </w:pPr>
          </w:p>
        </w:tc>
      </w:tr>
      <w:tr w:rsidR="00926A0D">
        <w:trPr>
          <w:trHeight w:val="585"/>
        </w:trPr>
        <w:tc>
          <w:tcPr>
            <w:tcW w:w="1980" w:type="dxa"/>
            <w:vAlign w:val="center"/>
          </w:tcPr>
          <w:p w:rsidR="00926A0D" w:rsidRDefault="006023A9">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926A0D" w:rsidRDefault="006023A9">
            <w:pPr>
              <w:spacing w:before="20" w:after="20"/>
              <w:jc w:val="right"/>
              <w:rPr>
                <w:noProof/>
                <w:sz w:val="16"/>
              </w:rPr>
            </w:pPr>
            <w:r>
              <w:rPr>
                <w:noProof/>
                <w:sz w:val="16"/>
              </w:rPr>
              <w:t xml:space="preserve">1.686+ 0.670 </w:t>
            </w:r>
          </w:p>
        </w:tc>
        <w:tc>
          <w:tcPr>
            <w:tcW w:w="1080" w:type="dxa"/>
            <w:vAlign w:val="center"/>
          </w:tcPr>
          <w:p w:rsidR="00926A0D" w:rsidRDefault="006023A9">
            <w:pPr>
              <w:spacing w:before="20" w:after="20"/>
              <w:jc w:val="right"/>
              <w:rPr>
                <w:noProof/>
                <w:sz w:val="16"/>
              </w:rPr>
            </w:pPr>
            <w:r>
              <w:rPr>
                <w:noProof/>
                <w:sz w:val="16"/>
              </w:rPr>
              <w:t>1.686+</w:t>
            </w:r>
          </w:p>
          <w:p w:rsidR="00926A0D" w:rsidRDefault="006023A9">
            <w:pPr>
              <w:spacing w:before="20" w:after="20"/>
              <w:jc w:val="right"/>
              <w:rPr>
                <w:noProof/>
                <w:sz w:val="16"/>
              </w:rPr>
            </w:pPr>
            <w:r>
              <w:rPr>
                <w:noProof/>
                <w:sz w:val="16"/>
              </w:rPr>
              <w:t>0.670</w:t>
            </w:r>
          </w:p>
        </w:tc>
        <w:tc>
          <w:tcPr>
            <w:tcW w:w="1080" w:type="dxa"/>
            <w:vAlign w:val="center"/>
          </w:tcPr>
          <w:p w:rsidR="00926A0D" w:rsidRDefault="006023A9">
            <w:pPr>
              <w:spacing w:before="20" w:after="20"/>
              <w:jc w:val="right"/>
              <w:rPr>
                <w:noProof/>
                <w:sz w:val="16"/>
              </w:rPr>
            </w:pPr>
            <w:r>
              <w:rPr>
                <w:noProof/>
                <w:sz w:val="16"/>
              </w:rPr>
              <w:t>1.686+</w:t>
            </w:r>
          </w:p>
          <w:p w:rsidR="00926A0D" w:rsidRDefault="006023A9">
            <w:pPr>
              <w:spacing w:before="20" w:after="20"/>
              <w:jc w:val="right"/>
              <w:rPr>
                <w:noProof/>
                <w:sz w:val="16"/>
              </w:rPr>
            </w:pPr>
            <w:r>
              <w:rPr>
                <w:noProof/>
                <w:sz w:val="16"/>
              </w:rPr>
              <w:t>0.670</w:t>
            </w:r>
          </w:p>
        </w:tc>
        <w:tc>
          <w:tcPr>
            <w:tcW w:w="1080" w:type="dxa"/>
            <w:vAlign w:val="center"/>
          </w:tcPr>
          <w:p w:rsidR="00926A0D" w:rsidRDefault="00926A0D">
            <w:pPr>
              <w:spacing w:before="20" w:after="20"/>
              <w:jc w:val="right"/>
              <w:rPr>
                <w:noProof/>
                <w:sz w:val="16"/>
              </w:rPr>
            </w:pPr>
          </w:p>
        </w:tc>
        <w:tc>
          <w:tcPr>
            <w:tcW w:w="1080" w:type="dxa"/>
            <w:shd w:val="clear" w:color="auto" w:fill="auto"/>
            <w:vAlign w:val="center"/>
          </w:tcPr>
          <w:p w:rsidR="00926A0D" w:rsidRDefault="00926A0D">
            <w:pPr>
              <w:spacing w:before="20" w:after="20"/>
              <w:jc w:val="right"/>
              <w:rPr>
                <w:noProof/>
                <w:sz w:val="16"/>
              </w:rPr>
            </w:pPr>
          </w:p>
        </w:tc>
        <w:tc>
          <w:tcPr>
            <w:tcW w:w="1080" w:type="dxa"/>
            <w:shd w:val="clear" w:color="auto" w:fill="auto"/>
            <w:vAlign w:val="center"/>
          </w:tcPr>
          <w:p w:rsidR="00926A0D" w:rsidRDefault="00926A0D">
            <w:pPr>
              <w:spacing w:before="20" w:after="20"/>
              <w:jc w:val="right"/>
              <w:rPr>
                <w:noProof/>
                <w:sz w:val="16"/>
              </w:rPr>
            </w:pPr>
          </w:p>
        </w:tc>
        <w:tc>
          <w:tcPr>
            <w:tcW w:w="1080" w:type="dxa"/>
            <w:shd w:val="clear" w:color="auto" w:fill="auto"/>
            <w:vAlign w:val="center"/>
          </w:tcPr>
          <w:p w:rsidR="00926A0D" w:rsidRDefault="00926A0D">
            <w:pPr>
              <w:spacing w:before="20" w:after="20"/>
              <w:jc w:val="right"/>
              <w:rPr>
                <w:noProof/>
                <w:sz w:val="16"/>
              </w:rPr>
            </w:pPr>
          </w:p>
        </w:tc>
        <w:tc>
          <w:tcPr>
            <w:tcW w:w="1080" w:type="dxa"/>
            <w:vAlign w:val="center"/>
          </w:tcPr>
          <w:p w:rsidR="00926A0D" w:rsidRDefault="006023A9">
            <w:pPr>
              <w:spacing w:before="60" w:after="60" w:line="200" w:lineRule="exact"/>
              <w:jc w:val="right"/>
              <w:rPr>
                <w:b/>
                <w:noProof/>
                <w:sz w:val="16"/>
                <w:szCs w:val="16"/>
              </w:rPr>
            </w:pPr>
            <w:r>
              <w:rPr>
                <w:noProof/>
                <w:sz w:val="18"/>
                <w:szCs w:val="18"/>
              </w:rPr>
              <w:t>7.068</w:t>
            </w:r>
          </w:p>
        </w:tc>
      </w:tr>
      <w:tr w:rsidR="00926A0D">
        <w:trPr>
          <w:trHeight w:val="585"/>
        </w:trPr>
        <w:tc>
          <w:tcPr>
            <w:tcW w:w="1980" w:type="dxa"/>
            <w:vAlign w:val="center"/>
          </w:tcPr>
          <w:p w:rsidR="00926A0D" w:rsidRDefault="006023A9">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rsidR="00926A0D" w:rsidRDefault="006023A9" w:rsidP="0043450B">
            <w:pPr>
              <w:spacing w:before="60" w:after="60" w:line="200" w:lineRule="exact"/>
              <w:jc w:val="right"/>
              <w:rPr>
                <w:noProof/>
                <w:sz w:val="16"/>
                <w:szCs w:val="16"/>
              </w:rPr>
            </w:pPr>
            <w:r>
              <w:rPr>
                <w:noProof/>
                <w:sz w:val="16"/>
                <w:szCs w:val="16"/>
              </w:rPr>
              <w:t>0</w:t>
            </w:r>
            <w:r w:rsidR="0043450B">
              <w:rPr>
                <w:noProof/>
                <w:sz w:val="16"/>
                <w:szCs w:val="16"/>
              </w:rPr>
              <w:t>.</w:t>
            </w:r>
            <w:r>
              <w:rPr>
                <w:noProof/>
                <w:sz w:val="16"/>
                <w:szCs w:val="16"/>
              </w:rPr>
              <w:t>280</w:t>
            </w:r>
          </w:p>
        </w:tc>
        <w:tc>
          <w:tcPr>
            <w:tcW w:w="1080" w:type="dxa"/>
            <w:vAlign w:val="center"/>
          </w:tcPr>
          <w:p w:rsidR="00926A0D" w:rsidRDefault="006023A9" w:rsidP="0043450B">
            <w:pPr>
              <w:spacing w:before="20" w:after="20"/>
              <w:jc w:val="right"/>
              <w:rPr>
                <w:noProof/>
                <w:sz w:val="16"/>
              </w:rPr>
            </w:pPr>
            <w:r>
              <w:rPr>
                <w:noProof/>
                <w:sz w:val="16"/>
              </w:rPr>
              <w:t>0</w:t>
            </w:r>
            <w:r w:rsidR="0043450B">
              <w:rPr>
                <w:noProof/>
                <w:sz w:val="16"/>
              </w:rPr>
              <w:t>.</w:t>
            </w:r>
            <w:r>
              <w:rPr>
                <w:noProof/>
                <w:sz w:val="16"/>
              </w:rPr>
              <w:t>280</w:t>
            </w:r>
          </w:p>
        </w:tc>
        <w:tc>
          <w:tcPr>
            <w:tcW w:w="1080" w:type="dxa"/>
            <w:vAlign w:val="center"/>
          </w:tcPr>
          <w:p w:rsidR="00926A0D" w:rsidRDefault="006023A9">
            <w:pPr>
              <w:spacing w:before="20" w:after="20"/>
              <w:jc w:val="right"/>
              <w:rPr>
                <w:noProof/>
                <w:sz w:val="16"/>
              </w:rPr>
            </w:pPr>
            <w:r>
              <w:rPr>
                <w:noProof/>
                <w:sz w:val="16"/>
              </w:rPr>
              <w:t>0.280</w:t>
            </w:r>
          </w:p>
        </w:tc>
        <w:tc>
          <w:tcPr>
            <w:tcW w:w="1080" w:type="dxa"/>
            <w:vAlign w:val="center"/>
          </w:tcPr>
          <w:p w:rsidR="00926A0D" w:rsidRDefault="00926A0D">
            <w:pPr>
              <w:spacing w:before="20" w:after="20"/>
              <w:jc w:val="right"/>
              <w:rPr>
                <w:noProof/>
                <w:sz w:val="16"/>
              </w:rPr>
            </w:pPr>
          </w:p>
        </w:tc>
        <w:tc>
          <w:tcPr>
            <w:tcW w:w="1080" w:type="dxa"/>
            <w:shd w:val="clear" w:color="auto" w:fill="auto"/>
            <w:vAlign w:val="center"/>
          </w:tcPr>
          <w:p w:rsidR="00926A0D" w:rsidRDefault="00926A0D">
            <w:pPr>
              <w:spacing w:before="60" w:after="60" w:line="200" w:lineRule="exact"/>
              <w:jc w:val="right"/>
              <w:rPr>
                <w:noProof/>
                <w:sz w:val="16"/>
                <w:szCs w:val="16"/>
              </w:rPr>
            </w:pPr>
          </w:p>
        </w:tc>
        <w:tc>
          <w:tcPr>
            <w:tcW w:w="1080" w:type="dxa"/>
            <w:shd w:val="clear" w:color="auto" w:fill="auto"/>
            <w:vAlign w:val="center"/>
          </w:tcPr>
          <w:p w:rsidR="00926A0D" w:rsidRDefault="00926A0D">
            <w:pPr>
              <w:spacing w:before="60" w:after="60" w:line="200" w:lineRule="exact"/>
              <w:jc w:val="right"/>
              <w:rPr>
                <w:noProof/>
                <w:sz w:val="16"/>
                <w:szCs w:val="16"/>
              </w:rPr>
            </w:pPr>
          </w:p>
        </w:tc>
        <w:tc>
          <w:tcPr>
            <w:tcW w:w="1080" w:type="dxa"/>
            <w:shd w:val="clear" w:color="auto" w:fill="auto"/>
            <w:vAlign w:val="center"/>
          </w:tcPr>
          <w:p w:rsidR="00926A0D" w:rsidRDefault="00926A0D">
            <w:pPr>
              <w:spacing w:before="60" w:after="60" w:line="200" w:lineRule="exact"/>
              <w:jc w:val="right"/>
              <w:rPr>
                <w:b/>
                <w:noProof/>
                <w:sz w:val="16"/>
                <w:szCs w:val="16"/>
              </w:rPr>
            </w:pPr>
          </w:p>
        </w:tc>
        <w:tc>
          <w:tcPr>
            <w:tcW w:w="1080" w:type="dxa"/>
            <w:vAlign w:val="center"/>
          </w:tcPr>
          <w:p w:rsidR="00926A0D" w:rsidRDefault="006023A9">
            <w:pPr>
              <w:spacing w:before="60" w:after="60" w:line="200" w:lineRule="exact"/>
              <w:jc w:val="right"/>
              <w:rPr>
                <w:b/>
                <w:noProof/>
                <w:sz w:val="16"/>
                <w:szCs w:val="16"/>
              </w:rPr>
            </w:pPr>
            <w:r>
              <w:rPr>
                <w:noProof/>
                <w:sz w:val="18"/>
                <w:szCs w:val="18"/>
              </w:rPr>
              <w:t>0.840</w:t>
            </w:r>
          </w:p>
        </w:tc>
      </w:tr>
      <w:tr w:rsidR="00926A0D">
        <w:trPr>
          <w:trHeight w:val="585"/>
        </w:trPr>
        <w:tc>
          <w:tcPr>
            <w:tcW w:w="1980" w:type="dxa"/>
            <w:shd w:val="clear" w:color="auto" w:fill="CCCCCC"/>
            <w:vAlign w:val="center"/>
          </w:tcPr>
          <w:p w:rsidR="00926A0D" w:rsidRDefault="006023A9">
            <w:pPr>
              <w:spacing w:before="60" w:after="60" w:line="200" w:lineRule="exact"/>
              <w:jc w:val="center"/>
              <w:rPr>
                <w:b/>
                <w:noProof/>
                <w:sz w:val="16"/>
                <w:szCs w:val="16"/>
              </w:rPr>
            </w:pPr>
            <w:r>
              <w:rPr>
                <w:b/>
                <w:noProof/>
                <w:sz w:val="16"/>
              </w:rPr>
              <w:t>Subtotal HEADING 5</w:t>
            </w:r>
            <w:r>
              <w:rPr>
                <w:noProof/>
                <w:sz w:val="22"/>
              </w:rPr>
              <w:br/>
            </w:r>
            <w:r>
              <w:rPr>
                <w:b/>
                <w:noProof/>
                <w:sz w:val="16"/>
              </w:rPr>
              <w:t xml:space="preserve">of the multiannual financial framework </w:t>
            </w:r>
          </w:p>
        </w:tc>
        <w:tc>
          <w:tcPr>
            <w:tcW w:w="1080" w:type="dxa"/>
            <w:vAlign w:val="center"/>
          </w:tcPr>
          <w:p w:rsidR="00926A0D" w:rsidRDefault="006023A9">
            <w:pPr>
              <w:spacing w:before="20" w:after="20"/>
              <w:jc w:val="right"/>
              <w:rPr>
                <w:noProof/>
                <w:sz w:val="16"/>
              </w:rPr>
            </w:pPr>
            <w:r>
              <w:rPr>
                <w:noProof/>
                <w:sz w:val="16"/>
              </w:rPr>
              <w:t>2.636</w:t>
            </w:r>
          </w:p>
        </w:tc>
        <w:tc>
          <w:tcPr>
            <w:tcW w:w="1080" w:type="dxa"/>
            <w:vAlign w:val="center"/>
          </w:tcPr>
          <w:p w:rsidR="00926A0D" w:rsidRDefault="006023A9">
            <w:pPr>
              <w:spacing w:before="20" w:after="20"/>
              <w:jc w:val="right"/>
              <w:rPr>
                <w:noProof/>
                <w:sz w:val="16"/>
              </w:rPr>
            </w:pPr>
            <w:r>
              <w:rPr>
                <w:noProof/>
                <w:sz w:val="16"/>
              </w:rPr>
              <w:t>2.636</w:t>
            </w:r>
          </w:p>
        </w:tc>
        <w:tc>
          <w:tcPr>
            <w:tcW w:w="1080" w:type="dxa"/>
            <w:vAlign w:val="center"/>
          </w:tcPr>
          <w:p w:rsidR="00926A0D" w:rsidRDefault="006023A9">
            <w:pPr>
              <w:spacing w:before="20" w:after="20"/>
              <w:jc w:val="right"/>
              <w:rPr>
                <w:noProof/>
                <w:sz w:val="16"/>
              </w:rPr>
            </w:pPr>
            <w:r>
              <w:rPr>
                <w:noProof/>
                <w:sz w:val="16"/>
              </w:rPr>
              <w:t xml:space="preserve">2.636 </w:t>
            </w:r>
          </w:p>
        </w:tc>
        <w:tc>
          <w:tcPr>
            <w:tcW w:w="1080" w:type="dxa"/>
            <w:vAlign w:val="center"/>
          </w:tcPr>
          <w:p w:rsidR="00926A0D" w:rsidRDefault="00926A0D">
            <w:pPr>
              <w:spacing w:before="20" w:after="20"/>
              <w:jc w:val="right"/>
              <w:rPr>
                <w:noProof/>
                <w:sz w:val="16"/>
              </w:rPr>
            </w:pPr>
          </w:p>
        </w:tc>
        <w:tc>
          <w:tcPr>
            <w:tcW w:w="1080" w:type="dxa"/>
            <w:shd w:val="clear" w:color="auto" w:fill="auto"/>
            <w:vAlign w:val="center"/>
          </w:tcPr>
          <w:p w:rsidR="00926A0D" w:rsidRDefault="00926A0D">
            <w:pPr>
              <w:spacing w:before="20" w:after="20"/>
              <w:jc w:val="right"/>
              <w:rPr>
                <w:noProof/>
                <w:sz w:val="16"/>
              </w:rPr>
            </w:pPr>
          </w:p>
        </w:tc>
        <w:tc>
          <w:tcPr>
            <w:tcW w:w="1080" w:type="dxa"/>
            <w:shd w:val="clear" w:color="auto" w:fill="auto"/>
            <w:vAlign w:val="center"/>
          </w:tcPr>
          <w:p w:rsidR="00926A0D" w:rsidRDefault="00926A0D">
            <w:pPr>
              <w:spacing w:before="20" w:after="20"/>
              <w:jc w:val="right"/>
              <w:rPr>
                <w:noProof/>
                <w:sz w:val="16"/>
              </w:rPr>
            </w:pPr>
          </w:p>
        </w:tc>
        <w:tc>
          <w:tcPr>
            <w:tcW w:w="1080" w:type="dxa"/>
            <w:shd w:val="clear" w:color="auto" w:fill="auto"/>
            <w:vAlign w:val="center"/>
          </w:tcPr>
          <w:p w:rsidR="00926A0D" w:rsidRDefault="00926A0D">
            <w:pPr>
              <w:spacing w:before="20" w:after="20"/>
              <w:jc w:val="right"/>
              <w:rPr>
                <w:noProof/>
                <w:sz w:val="16"/>
              </w:rPr>
            </w:pPr>
          </w:p>
        </w:tc>
        <w:tc>
          <w:tcPr>
            <w:tcW w:w="1080" w:type="dxa"/>
            <w:vAlign w:val="center"/>
          </w:tcPr>
          <w:p w:rsidR="00926A0D" w:rsidRDefault="006023A9">
            <w:pPr>
              <w:spacing w:before="60" w:after="60" w:line="200" w:lineRule="exact"/>
              <w:jc w:val="right"/>
              <w:rPr>
                <w:b/>
                <w:noProof/>
                <w:sz w:val="16"/>
                <w:szCs w:val="16"/>
              </w:rPr>
            </w:pPr>
            <w:r>
              <w:rPr>
                <w:noProof/>
                <w:sz w:val="18"/>
                <w:szCs w:val="18"/>
              </w:rPr>
              <w:t>7.908</w:t>
            </w:r>
          </w:p>
        </w:tc>
      </w:tr>
    </w:tbl>
    <w:p w:rsidR="00926A0D" w:rsidRDefault="00926A0D">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926A0D">
        <w:trPr>
          <w:trHeight w:val="585"/>
        </w:trPr>
        <w:tc>
          <w:tcPr>
            <w:tcW w:w="1980" w:type="dxa"/>
            <w:shd w:val="clear" w:color="auto" w:fill="CCCCCC"/>
            <w:vAlign w:val="center"/>
          </w:tcPr>
          <w:p w:rsidR="00926A0D" w:rsidRDefault="006023A9">
            <w:pPr>
              <w:spacing w:before="60" w:after="60" w:line="200" w:lineRule="exact"/>
              <w:jc w:val="center"/>
              <w:rPr>
                <w:noProof/>
                <w:sz w:val="16"/>
                <w:szCs w:val="16"/>
              </w:rPr>
            </w:pPr>
            <w:r>
              <w:rPr>
                <w:b/>
                <w:noProof/>
                <w:sz w:val="16"/>
              </w:rPr>
              <w:t>Outside HEADING 5</w:t>
            </w:r>
            <w:r>
              <w:rPr>
                <w:rStyle w:val="FootnoteReference"/>
                <w:b/>
                <w:noProof/>
                <w:sz w:val="16"/>
              </w:rPr>
              <w:footnoteReference w:id="53"/>
            </w:r>
            <w:r>
              <w:rPr>
                <w:noProof/>
                <w:sz w:val="22"/>
              </w:rPr>
              <w:br/>
            </w:r>
            <w:r>
              <w:rPr>
                <w:b/>
                <w:noProof/>
                <w:sz w:val="16"/>
              </w:rPr>
              <w:t xml:space="preserve">of the multiannual financial framework </w:t>
            </w:r>
          </w:p>
          <w:p w:rsidR="00926A0D" w:rsidRDefault="00926A0D">
            <w:pPr>
              <w:spacing w:before="0" w:after="0" w:line="200" w:lineRule="exact"/>
              <w:jc w:val="center"/>
              <w:rPr>
                <w:b/>
                <w:noProof/>
                <w:sz w:val="16"/>
                <w:szCs w:val="16"/>
              </w:rPr>
            </w:pPr>
          </w:p>
        </w:tc>
        <w:tc>
          <w:tcPr>
            <w:tcW w:w="1080" w:type="dxa"/>
            <w:vAlign w:val="center"/>
          </w:tcPr>
          <w:p w:rsidR="00926A0D" w:rsidRDefault="00926A0D">
            <w:pPr>
              <w:spacing w:before="60" w:after="60" w:line="200" w:lineRule="exact"/>
              <w:jc w:val="right"/>
              <w:rPr>
                <w:noProof/>
                <w:sz w:val="16"/>
                <w:szCs w:val="16"/>
              </w:rPr>
            </w:pPr>
          </w:p>
        </w:tc>
        <w:tc>
          <w:tcPr>
            <w:tcW w:w="1080" w:type="dxa"/>
            <w:vAlign w:val="center"/>
          </w:tcPr>
          <w:p w:rsidR="00926A0D" w:rsidRDefault="00926A0D">
            <w:pPr>
              <w:spacing w:before="60" w:after="60" w:line="200" w:lineRule="exact"/>
              <w:jc w:val="right"/>
              <w:rPr>
                <w:noProof/>
                <w:sz w:val="16"/>
                <w:szCs w:val="16"/>
              </w:rPr>
            </w:pPr>
          </w:p>
        </w:tc>
        <w:tc>
          <w:tcPr>
            <w:tcW w:w="1080" w:type="dxa"/>
            <w:vAlign w:val="center"/>
          </w:tcPr>
          <w:p w:rsidR="00926A0D" w:rsidRDefault="00926A0D">
            <w:pPr>
              <w:spacing w:before="60" w:after="60" w:line="200" w:lineRule="exact"/>
              <w:jc w:val="right"/>
              <w:rPr>
                <w:noProof/>
                <w:sz w:val="16"/>
                <w:szCs w:val="16"/>
              </w:rPr>
            </w:pPr>
          </w:p>
        </w:tc>
        <w:tc>
          <w:tcPr>
            <w:tcW w:w="1080" w:type="dxa"/>
            <w:vAlign w:val="center"/>
          </w:tcPr>
          <w:p w:rsidR="00926A0D" w:rsidRDefault="00926A0D">
            <w:pPr>
              <w:spacing w:before="60" w:after="60" w:line="200" w:lineRule="exact"/>
              <w:jc w:val="right"/>
              <w:rPr>
                <w:noProof/>
                <w:sz w:val="16"/>
                <w:szCs w:val="16"/>
              </w:rPr>
            </w:pPr>
          </w:p>
        </w:tc>
        <w:tc>
          <w:tcPr>
            <w:tcW w:w="1080" w:type="dxa"/>
            <w:vAlign w:val="center"/>
          </w:tcPr>
          <w:p w:rsidR="00926A0D" w:rsidRDefault="00926A0D">
            <w:pPr>
              <w:spacing w:before="60" w:after="60" w:line="200" w:lineRule="exact"/>
              <w:jc w:val="right"/>
              <w:rPr>
                <w:noProof/>
                <w:sz w:val="16"/>
                <w:szCs w:val="16"/>
              </w:rPr>
            </w:pPr>
          </w:p>
        </w:tc>
        <w:tc>
          <w:tcPr>
            <w:tcW w:w="1080" w:type="dxa"/>
            <w:vAlign w:val="center"/>
          </w:tcPr>
          <w:p w:rsidR="00926A0D" w:rsidRDefault="00926A0D">
            <w:pPr>
              <w:spacing w:before="60" w:after="60" w:line="200" w:lineRule="exact"/>
              <w:jc w:val="right"/>
              <w:rPr>
                <w:noProof/>
                <w:sz w:val="16"/>
                <w:szCs w:val="16"/>
              </w:rPr>
            </w:pPr>
          </w:p>
        </w:tc>
        <w:tc>
          <w:tcPr>
            <w:tcW w:w="1080" w:type="dxa"/>
            <w:vAlign w:val="center"/>
          </w:tcPr>
          <w:p w:rsidR="00926A0D" w:rsidRDefault="00926A0D">
            <w:pPr>
              <w:spacing w:before="60" w:after="60" w:line="200" w:lineRule="exact"/>
              <w:jc w:val="right"/>
              <w:rPr>
                <w:b/>
                <w:noProof/>
                <w:sz w:val="16"/>
                <w:szCs w:val="16"/>
              </w:rPr>
            </w:pPr>
          </w:p>
        </w:tc>
        <w:tc>
          <w:tcPr>
            <w:tcW w:w="1080" w:type="dxa"/>
            <w:vAlign w:val="center"/>
          </w:tcPr>
          <w:p w:rsidR="00926A0D" w:rsidRDefault="00926A0D">
            <w:pPr>
              <w:spacing w:before="60" w:after="60" w:line="200" w:lineRule="exact"/>
              <w:jc w:val="right"/>
              <w:rPr>
                <w:b/>
                <w:noProof/>
                <w:sz w:val="16"/>
                <w:szCs w:val="16"/>
              </w:rPr>
            </w:pPr>
          </w:p>
        </w:tc>
      </w:tr>
      <w:tr w:rsidR="00926A0D">
        <w:trPr>
          <w:trHeight w:val="585"/>
        </w:trPr>
        <w:tc>
          <w:tcPr>
            <w:tcW w:w="1980" w:type="dxa"/>
            <w:vAlign w:val="center"/>
          </w:tcPr>
          <w:p w:rsidR="00926A0D" w:rsidRDefault="006023A9">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rsidR="00926A0D" w:rsidRDefault="00926A0D">
            <w:pPr>
              <w:spacing w:before="60" w:after="60" w:line="200" w:lineRule="exact"/>
              <w:jc w:val="right"/>
              <w:rPr>
                <w:noProof/>
                <w:sz w:val="16"/>
                <w:szCs w:val="16"/>
              </w:rPr>
            </w:pPr>
          </w:p>
        </w:tc>
        <w:tc>
          <w:tcPr>
            <w:tcW w:w="1080" w:type="dxa"/>
            <w:vAlign w:val="center"/>
          </w:tcPr>
          <w:p w:rsidR="00926A0D" w:rsidRDefault="00926A0D">
            <w:pPr>
              <w:spacing w:before="60" w:after="60" w:line="200" w:lineRule="exact"/>
              <w:jc w:val="right"/>
              <w:rPr>
                <w:noProof/>
                <w:sz w:val="16"/>
                <w:szCs w:val="16"/>
              </w:rPr>
            </w:pPr>
          </w:p>
        </w:tc>
        <w:tc>
          <w:tcPr>
            <w:tcW w:w="1080" w:type="dxa"/>
            <w:vAlign w:val="center"/>
          </w:tcPr>
          <w:p w:rsidR="00926A0D" w:rsidRDefault="00926A0D">
            <w:pPr>
              <w:spacing w:before="60" w:after="60" w:line="200" w:lineRule="exact"/>
              <w:jc w:val="right"/>
              <w:rPr>
                <w:noProof/>
                <w:sz w:val="16"/>
                <w:szCs w:val="16"/>
              </w:rPr>
            </w:pPr>
          </w:p>
        </w:tc>
        <w:tc>
          <w:tcPr>
            <w:tcW w:w="1080" w:type="dxa"/>
            <w:vAlign w:val="center"/>
          </w:tcPr>
          <w:p w:rsidR="00926A0D" w:rsidRDefault="00926A0D">
            <w:pPr>
              <w:spacing w:before="60" w:after="60" w:line="200" w:lineRule="exact"/>
              <w:jc w:val="right"/>
              <w:rPr>
                <w:noProof/>
                <w:sz w:val="16"/>
                <w:szCs w:val="16"/>
              </w:rPr>
            </w:pPr>
          </w:p>
        </w:tc>
        <w:tc>
          <w:tcPr>
            <w:tcW w:w="1080" w:type="dxa"/>
            <w:vAlign w:val="center"/>
          </w:tcPr>
          <w:p w:rsidR="00926A0D" w:rsidRDefault="00926A0D">
            <w:pPr>
              <w:spacing w:before="60" w:after="60" w:line="200" w:lineRule="exact"/>
              <w:jc w:val="right"/>
              <w:rPr>
                <w:noProof/>
                <w:sz w:val="16"/>
                <w:szCs w:val="16"/>
              </w:rPr>
            </w:pPr>
          </w:p>
        </w:tc>
        <w:tc>
          <w:tcPr>
            <w:tcW w:w="1080" w:type="dxa"/>
            <w:vAlign w:val="center"/>
          </w:tcPr>
          <w:p w:rsidR="00926A0D" w:rsidRDefault="00926A0D">
            <w:pPr>
              <w:spacing w:before="60" w:after="60" w:line="200" w:lineRule="exact"/>
              <w:jc w:val="right"/>
              <w:rPr>
                <w:noProof/>
                <w:sz w:val="16"/>
                <w:szCs w:val="16"/>
              </w:rPr>
            </w:pPr>
          </w:p>
        </w:tc>
        <w:tc>
          <w:tcPr>
            <w:tcW w:w="1080" w:type="dxa"/>
            <w:vAlign w:val="center"/>
          </w:tcPr>
          <w:p w:rsidR="00926A0D" w:rsidRDefault="00926A0D">
            <w:pPr>
              <w:spacing w:before="60" w:after="60" w:line="200" w:lineRule="exact"/>
              <w:jc w:val="right"/>
              <w:rPr>
                <w:b/>
                <w:noProof/>
                <w:sz w:val="16"/>
                <w:szCs w:val="16"/>
              </w:rPr>
            </w:pPr>
          </w:p>
        </w:tc>
        <w:tc>
          <w:tcPr>
            <w:tcW w:w="1080" w:type="dxa"/>
            <w:vAlign w:val="center"/>
          </w:tcPr>
          <w:p w:rsidR="00926A0D" w:rsidRDefault="00926A0D">
            <w:pPr>
              <w:spacing w:before="60" w:after="60" w:line="200" w:lineRule="exact"/>
              <w:jc w:val="right"/>
              <w:rPr>
                <w:b/>
                <w:noProof/>
                <w:sz w:val="16"/>
                <w:szCs w:val="16"/>
              </w:rPr>
            </w:pPr>
          </w:p>
        </w:tc>
      </w:tr>
      <w:tr w:rsidR="00926A0D">
        <w:trPr>
          <w:trHeight w:val="585"/>
        </w:trPr>
        <w:tc>
          <w:tcPr>
            <w:tcW w:w="1980" w:type="dxa"/>
            <w:shd w:val="clear" w:color="auto" w:fill="CCCCCC"/>
            <w:vAlign w:val="center"/>
          </w:tcPr>
          <w:p w:rsidR="00926A0D" w:rsidRDefault="006023A9">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1080" w:type="dxa"/>
            <w:vAlign w:val="center"/>
          </w:tcPr>
          <w:p w:rsidR="00926A0D" w:rsidRDefault="00926A0D">
            <w:pPr>
              <w:spacing w:before="60" w:after="60" w:line="200" w:lineRule="exact"/>
              <w:jc w:val="right"/>
              <w:rPr>
                <w:noProof/>
                <w:sz w:val="16"/>
                <w:szCs w:val="16"/>
              </w:rPr>
            </w:pPr>
          </w:p>
        </w:tc>
        <w:tc>
          <w:tcPr>
            <w:tcW w:w="1080" w:type="dxa"/>
            <w:vAlign w:val="center"/>
          </w:tcPr>
          <w:p w:rsidR="00926A0D" w:rsidRDefault="00926A0D">
            <w:pPr>
              <w:spacing w:before="60" w:after="60" w:line="200" w:lineRule="exact"/>
              <w:jc w:val="right"/>
              <w:rPr>
                <w:noProof/>
                <w:sz w:val="16"/>
                <w:szCs w:val="16"/>
              </w:rPr>
            </w:pPr>
          </w:p>
        </w:tc>
        <w:tc>
          <w:tcPr>
            <w:tcW w:w="1080" w:type="dxa"/>
            <w:vAlign w:val="center"/>
          </w:tcPr>
          <w:p w:rsidR="00926A0D" w:rsidRDefault="00926A0D">
            <w:pPr>
              <w:spacing w:before="60" w:after="60" w:line="200" w:lineRule="exact"/>
              <w:jc w:val="right"/>
              <w:rPr>
                <w:noProof/>
                <w:sz w:val="16"/>
                <w:szCs w:val="16"/>
              </w:rPr>
            </w:pPr>
          </w:p>
        </w:tc>
        <w:tc>
          <w:tcPr>
            <w:tcW w:w="1080" w:type="dxa"/>
            <w:vAlign w:val="center"/>
          </w:tcPr>
          <w:p w:rsidR="00926A0D" w:rsidRDefault="00926A0D">
            <w:pPr>
              <w:spacing w:before="60" w:after="60" w:line="200" w:lineRule="exact"/>
              <w:jc w:val="right"/>
              <w:rPr>
                <w:noProof/>
                <w:sz w:val="16"/>
                <w:szCs w:val="16"/>
              </w:rPr>
            </w:pPr>
          </w:p>
        </w:tc>
        <w:tc>
          <w:tcPr>
            <w:tcW w:w="1080" w:type="dxa"/>
            <w:vAlign w:val="center"/>
          </w:tcPr>
          <w:p w:rsidR="00926A0D" w:rsidRDefault="00926A0D">
            <w:pPr>
              <w:spacing w:before="60" w:after="60" w:line="200" w:lineRule="exact"/>
              <w:jc w:val="right"/>
              <w:rPr>
                <w:noProof/>
                <w:sz w:val="16"/>
                <w:szCs w:val="16"/>
              </w:rPr>
            </w:pPr>
          </w:p>
        </w:tc>
        <w:tc>
          <w:tcPr>
            <w:tcW w:w="1080" w:type="dxa"/>
            <w:vAlign w:val="center"/>
          </w:tcPr>
          <w:p w:rsidR="00926A0D" w:rsidRDefault="00926A0D">
            <w:pPr>
              <w:spacing w:before="60" w:after="60" w:line="200" w:lineRule="exact"/>
              <w:jc w:val="right"/>
              <w:rPr>
                <w:noProof/>
                <w:sz w:val="16"/>
                <w:szCs w:val="16"/>
              </w:rPr>
            </w:pPr>
          </w:p>
        </w:tc>
        <w:tc>
          <w:tcPr>
            <w:tcW w:w="1080" w:type="dxa"/>
            <w:vAlign w:val="center"/>
          </w:tcPr>
          <w:p w:rsidR="00926A0D" w:rsidRDefault="00926A0D">
            <w:pPr>
              <w:spacing w:before="60" w:after="60" w:line="200" w:lineRule="exact"/>
              <w:jc w:val="right"/>
              <w:rPr>
                <w:b/>
                <w:noProof/>
                <w:sz w:val="16"/>
                <w:szCs w:val="16"/>
              </w:rPr>
            </w:pPr>
          </w:p>
        </w:tc>
        <w:tc>
          <w:tcPr>
            <w:tcW w:w="1080" w:type="dxa"/>
            <w:vAlign w:val="center"/>
          </w:tcPr>
          <w:p w:rsidR="00926A0D" w:rsidRDefault="00926A0D">
            <w:pPr>
              <w:spacing w:before="60" w:after="60" w:line="200" w:lineRule="exact"/>
              <w:jc w:val="right"/>
              <w:rPr>
                <w:b/>
                <w:noProof/>
                <w:sz w:val="16"/>
                <w:szCs w:val="16"/>
              </w:rPr>
            </w:pPr>
          </w:p>
        </w:tc>
      </w:tr>
    </w:tbl>
    <w:p w:rsidR="00926A0D" w:rsidRDefault="00926A0D">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926A0D">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926A0D" w:rsidRDefault="006023A9">
            <w:pPr>
              <w:spacing w:before="60" w:after="60" w:line="200" w:lineRule="exact"/>
              <w:jc w:val="center"/>
              <w:rPr>
                <w:noProof/>
                <w:sz w:val="16"/>
                <w:szCs w:val="16"/>
              </w:rPr>
            </w:pPr>
            <w:r>
              <w:rPr>
                <w:b/>
                <w:noProof/>
                <w:sz w:val="16"/>
              </w:rPr>
              <w:t>TOTAL GENERAL</w:t>
            </w:r>
          </w:p>
        </w:tc>
        <w:tc>
          <w:tcPr>
            <w:tcW w:w="1080" w:type="dxa"/>
            <w:tcBorders>
              <w:top w:val="single" w:sz="12" w:space="0" w:color="auto"/>
              <w:left w:val="single" w:sz="2" w:space="0" w:color="auto"/>
              <w:bottom w:val="single" w:sz="12" w:space="0" w:color="auto"/>
              <w:right w:val="single" w:sz="2" w:space="0" w:color="auto"/>
            </w:tcBorders>
            <w:vAlign w:val="center"/>
          </w:tcPr>
          <w:p w:rsidR="00926A0D" w:rsidRDefault="006023A9">
            <w:pPr>
              <w:spacing w:before="20" w:after="20"/>
              <w:jc w:val="right"/>
              <w:rPr>
                <w:noProof/>
                <w:sz w:val="20"/>
              </w:rPr>
            </w:pPr>
            <w:r>
              <w:rPr>
                <w:noProof/>
                <w:sz w:val="20"/>
              </w:rPr>
              <w:t>2.636</w:t>
            </w:r>
          </w:p>
        </w:tc>
        <w:tc>
          <w:tcPr>
            <w:tcW w:w="1080" w:type="dxa"/>
            <w:tcBorders>
              <w:top w:val="single" w:sz="12" w:space="0" w:color="auto"/>
              <w:left w:val="single" w:sz="2" w:space="0" w:color="auto"/>
              <w:bottom w:val="single" w:sz="12" w:space="0" w:color="auto"/>
              <w:right w:val="single" w:sz="2" w:space="0" w:color="auto"/>
            </w:tcBorders>
            <w:vAlign w:val="center"/>
          </w:tcPr>
          <w:p w:rsidR="00926A0D" w:rsidRDefault="006023A9">
            <w:pPr>
              <w:spacing w:before="20" w:after="20"/>
              <w:jc w:val="right"/>
              <w:rPr>
                <w:noProof/>
                <w:sz w:val="20"/>
              </w:rPr>
            </w:pPr>
            <w:r>
              <w:rPr>
                <w:noProof/>
                <w:sz w:val="20"/>
              </w:rPr>
              <w:t>2.636</w:t>
            </w:r>
          </w:p>
        </w:tc>
        <w:tc>
          <w:tcPr>
            <w:tcW w:w="1080" w:type="dxa"/>
            <w:tcBorders>
              <w:top w:val="single" w:sz="12" w:space="0" w:color="auto"/>
              <w:left w:val="single" w:sz="2" w:space="0" w:color="auto"/>
              <w:bottom w:val="single" w:sz="12" w:space="0" w:color="auto"/>
              <w:right w:val="single" w:sz="2" w:space="0" w:color="auto"/>
            </w:tcBorders>
            <w:vAlign w:val="center"/>
          </w:tcPr>
          <w:p w:rsidR="00926A0D" w:rsidRDefault="006023A9">
            <w:pPr>
              <w:spacing w:before="20" w:after="20"/>
              <w:jc w:val="right"/>
              <w:rPr>
                <w:noProof/>
                <w:sz w:val="20"/>
              </w:rPr>
            </w:pPr>
            <w:r>
              <w:rPr>
                <w:noProof/>
                <w:sz w:val="20"/>
              </w:rPr>
              <w:t>2.636</w:t>
            </w:r>
          </w:p>
        </w:tc>
        <w:tc>
          <w:tcPr>
            <w:tcW w:w="1080" w:type="dxa"/>
            <w:tcBorders>
              <w:top w:val="single" w:sz="12" w:space="0" w:color="auto"/>
              <w:left w:val="single" w:sz="2" w:space="0" w:color="auto"/>
              <w:bottom w:val="single" w:sz="12" w:space="0" w:color="auto"/>
              <w:right w:val="single" w:sz="2" w:space="0" w:color="auto"/>
            </w:tcBorders>
            <w:vAlign w:val="center"/>
          </w:tcPr>
          <w:p w:rsidR="00926A0D" w:rsidRDefault="00926A0D">
            <w:pPr>
              <w:spacing w:before="20" w:after="20"/>
              <w:jc w:val="right"/>
              <w:rPr>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926A0D" w:rsidRDefault="00926A0D">
            <w:pPr>
              <w:spacing w:before="20" w:after="20"/>
              <w:jc w:val="right"/>
              <w:rPr>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926A0D" w:rsidRDefault="00926A0D">
            <w:pPr>
              <w:spacing w:before="20" w:after="20"/>
              <w:jc w:val="right"/>
              <w:rPr>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926A0D" w:rsidRDefault="00926A0D">
            <w:pPr>
              <w:spacing w:before="20" w:after="20"/>
              <w:jc w:val="right"/>
              <w:rPr>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rsidR="00926A0D" w:rsidRDefault="006023A9">
            <w:pPr>
              <w:spacing w:before="60" w:after="60" w:line="200" w:lineRule="exact"/>
              <w:jc w:val="right"/>
              <w:rPr>
                <w:b/>
                <w:noProof/>
                <w:sz w:val="16"/>
                <w:szCs w:val="16"/>
              </w:rPr>
            </w:pPr>
            <w:r>
              <w:rPr>
                <w:noProof/>
                <w:sz w:val="18"/>
                <w:szCs w:val="18"/>
              </w:rPr>
              <w:t>7.908</w:t>
            </w:r>
          </w:p>
        </w:tc>
      </w:tr>
    </w:tbl>
    <w:p w:rsidR="00926A0D" w:rsidRDefault="006023A9" w:rsidP="00596CAE">
      <w:pPr>
        <w:jc w:val="left"/>
        <w:rPr>
          <w:noProof/>
          <w:sz w:val="18"/>
        </w:rPr>
        <w:sectPr w:rsidR="00926A0D" w:rsidSect="00211F8F">
          <w:headerReference w:type="default" r:id="rId25"/>
          <w:footerReference w:type="default" r:id="rId26"/>
          <w:headerReference w:type="first" r:id="rId27"/>
          <w:footerReference w:type="first" r:id="rId28"/>
          <w:pgSz w:w="11907" w:h="16840"/>
          <w:pgMar w:top="1134" w:right="1418" w:bottom="1134" w:left="1418" w:header="709" w:footer="709" w:gutter="0"/>
          <w:cols w:space="708"/>
          <w:docGrid w:linePitch="360"/>
        </w:sect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rsidR="00926A0D" w:rsidRDefault="006023A9">
      <w:pPr>
        <w:pStyle w:val="ManualHeading4"/>
        <w:rPr>
          <w:bCs/>
          <w:noProof/>
          <w:szCs w:val="24"/>
        </w:rPr>
      </w:pPr>
      <w:r>
        <w:lastRenderedPageBreak/>
        <w:t>3.2.3.2.</w:t>
      </w:r>
      <w:r>
        <w:tab/>
      </w:r>
      <w:r>
        <w:rPr>
          <w:noProof/>
        </w:rPr>
        <w:t>Estimated requirements of human resources</w:t>
      </w:r>
    </w:p>
    <w:p w:rsidR="00926A0D" w:rsidRDefault="006023A9">
      <w:pPr>
        <w:pStyle w:val="ListDash1"/>
        <w:rPr>
          <w:noProof/>
        </w:rPr>
      </w:pPr>
      <w:r>
        <w:rPr>
          <w:noProof/>
        </w:rPr>
        <w:sym w:font="Wingdings" w:char="F0A8"/>
      </w:r>
      <w:r>
        <w:rPr>
          <w:noProof/>
        </w:rPr>
        <w:tab/>
        <w:t xml:space="preserve">The proposal/initiative does not require the use of human resources. </w:t>
      </w:r>
    </w:p>
    <w:p w:rsidR="00926A0D" w:rsidRDefault="006023A9">
      <w:pPr>
        <w:pStyle w:val="ListDash1"/>
        <w:rPr>
          <w:noProof/>
        </w:rPr>
      </w:pPr>
      <w:r>
        <w:rPr>
          <w:noProof/>
        </w:rPr>
        <w:sym w:font="Wingdings" w:char="F0FE"/>
      </w:r>
      <w:r>
        <w:rPr>
          <w:noProof/>
        </w:rPr>
        <w:tab/>
        <w:t>The proposal/initiative requires the use of human resources, as explained below:</w:t>
      </w:r>
    </w:p>
    <w:p w:rsidR="00926A0D" w:rsidRDefault="006023A9">
      <w:pPr>
        <w:spacing w:after="60"/>
        <w:jc w:val="right"/>
        <w:rPr>
          <w:i/>
          <w:noProof/>
          <w:sz w:val="20"/>
        </w:rPr>
      </w:pPr>
      <w:r>
        <w:rPr>
          <w:i/>
          <w:noProof/>
          <w:sz w:val="20"/>
        </w:rPr>
        <w:t>Estimate to be expressed in full time equivalent units</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
        <w:gridCol w:w="1952"/>
        <w:gridCol w:w="1954"/>
        <w:gridCol w:w="655"/>
        <w:gridCol w:w="655"/>
        <w:gridCol w:w="772"/>
        <w:gridCol w:w="2834"/>
        <w:gridCol w:w="1462"/>
      </w:tblGrid>
      <w:tr w:rsidR="00926A0D">
        <w:trPr>
          <w:gridBefore w:val="1"/>
          <w:wBefore w:w="6" w:type="pct"/>
          <w:trHeight w:val="289"/>
          <w:jc w:val="center"/>
        </w:trPr>
        <w:tc>
          <w:tcPr>
            <w:tcW w:w="1897" w:type="pct"/>
            <w:gridSpan w:val="2"/>
            <w:shd w:val="clear" w:color="auto" w:fill="auto"/>
          </w:tcPr>
          <w:p w:rsidR="00926A0D" w:rsidRDefault="00926A0D">
            <w:pPr>
              <w:pStyle w:val="Text1"/>
              <w:spacing w:before="40" w:after="40"/>
              <w:ind w:left="0"/>
              <w:jc w:val="center"/>
              <w:rPr>
                <w:i/>
                <w:noProof/>
                <w:sz w:val="16"/>
                <w:szCs w:val="16"/>
              </w:rPr>
            </w:pPr>
          </w:p>
        </w:tc>
        <w:tc>
          <w:tcPr>
            <w:tcW w:w="318" w:type="pct"/>
            <w:shd w:val="clear" w:color="auto" w:fill="auto"/>
            <w:vAlign w:val="center"/>
          </w:tcPr>
          <w:p w:rsidR="00926A0D" w:rsidRDefault="006023A9">
            <w:pPr>
              <w:spacing w:before="20" w:after="20"/>
              <w:jc w:val="center"/>
              <w:rPr>
                <w:noProof/>
                <w:sz w:val="16"/>
                <w:szCs w:val="16"/>
              </w:rPr>
            </w:pPr>
            <w:r>
              <w:rPr>
                <w:noProof/>
                <w:sz w:val="20"/>
              </w:rPr>
              <w:t>Year</w:t>
            </w:r>
            <w:r>
              <w:rPr>
                <w:noProof/>
                <w:sz w:val="22"/>
              </w:rPr>
              <w:br/>
            </w:r>
            <w:r>
              <w:rPr>
                <w:b/>
                <w:noProof/>
                <w:sz w:val="20"/>
              </w:rPr>
              <w:t>2018</w:t>
            </w:r>
          </w:p>
        </w:tc>
        <w:tc>
          <w:tcPr>
            <w:tcW w:w="318" w:type="pct"/>
            <w:shd w:val="clear" w:color="auto" w:fill="auto"/>
            <w:vAlign w:val="center"/>
          </w:tcPr>
          <w:p w:rsidR="00926A0D" w:rsidRDefault="006023A9">
            <w:pPr>
              <w:spacing w:before="20" w:after="20"/>
              <w:jc w:val="center"/>
              <w:rPr>
                <w:noProof/>
                <w:sz w:val="16"/>
                <w:szCs w:val="16"/>
              </w:rPr>
            </w:pPr>
            <w:r>
              <w:rPr>
                <w:noProof/>
                <w:sz w:val="20"/>
              </w:rPr>
              <w:t>Year</w:t>
            </w:r>
            <w:r>
              <w:rPr>
                <w:noProof/>
                <w:sz w:val="22"/>
              </w:rPr>
              <w:br/>
            </w:r>
            <w:r>
              <w:rPr>
                <w:b/>
                <w:noProof/>
                <w:sz w:val="20"/>
              </w:rPr>
              <w:t>2019</w:t>
            </w:r>
          </w:p>
        </w:tc>
        <w:tc>
          <w:tcPr>
            <w:tcW w:w="375" w:type="pct"/>
            <w:shd w:val="clear" w:color="auto" w:fill="auto"/>
            <w:vAlign w:val="center"/>
          </w:tcPr>
          <w:p w:rsidR="00926A0D" w:rsidRDefault="006023A9">
            <w:pPr>
              <w:spacing w:before="20" w:after="20"/>
              <w:jc w:val="center"/>
              <w:rPr>
                <w:noProof/>
                <w:sz w:val="16"/>
                <w:szCs w:val="16"/>
              </w:rPr>
            </w:pPr>
            <w:r>
              <w:rPr>
                <w:noProof/>
                <w:sz w:val="20"/>
              </w:rPr>
              <w:t>Year</w:t>
            </w:r>
            <w:r>
              <w:rPr>
                <w:noProof/>
                <w:sz w:val="22"/>
              </w:rPr>
              <w:br/>
            </w:r>
            <w:r>
              <w:rPr>
                <w:b/>
                <w:noProof/>
                <w:sz w:val="20"/>
              </w:rPr>
              <w:t>2020</w:t>
            </w:r>
          </w:p>
        </w:tc>
        <w:tc>
          <w:tcPr>
            <w:tcW w:w="1376" w:type="pct"/>
            <w:shd w:val="clear" w:color="auto" w:fill="auto"/>
            <w:vAlign w:val="center"/>
          </w:tcPr>
          <w:p w:rsidR="00926A0D" w:rsidRDefault="00926A0D">
            <w:pPr>
              <w:spacing w:before="20" w:after="20"/>
              <w:jc w:val="center"/>
              <w:rPr>
                <w:noProof/>
                <w:sz w:val="16"/>
                <w:szCs w:val="16"/>
              </w:rPr>
            </w:pPr>
          </w:p>
        </w:tc>
        <w:tc>
          <w:tcPr>
            <w:tcW w:w="710" w:type="pct"/>
            <w:shd w:val="clear" w:color="auto" w:fill="auto"/>
            <w:vAlign w:val="center"/>
          </w:tcPr>
          <w:p w:rsidR="00926A0D" w:rsidRDefault="006023A9">
            <w:pPr>
              <w:jc w:val="center"/>
              <w:rPr>
                <w:b/>
                <w:noProof/>
                <w:sz w:val="16"/>
                <w:szCs w:val="16"/>
              </w:rPr>
            </w:pPr>
            <w:r>
              <w:rPr>
                <w:noProof/>
                <w:sz w:val="16"/>
              </w:rPr>
              <w:t>Enter as many years as necessary to show the duration of the impact (see point 1.6)</w:t>
            </w:r>
          </w:p>
        </w:tc>
      </w:tr>
      <w:tr w:rsidR="00926A0D">
        <w:trPr>
          <w:gridBefore w:val="1"/>
          <w:wBefore w:w="6" w:type="pct"/>
          <w:trHeight w:val="289"/>
          <w:jc w:val="center"/>
        </w:trPr>
        <w:tc>
          <w:tcPr>
            <w:tcW w:w="2908" w:type="pct"/>
            <w:gridSpan w:val="5"/>
            <w:shd w:val="clear" w:color="auto" w:fill="auto"/>
          </w:tcPr>
          <w:p w:rsidR="00926A0D" w:rsidRDefault="006023A9">
            <w:pPr>
              <w:spacing w:before="20" w:after="20"/>
              <w:rPr>
                <w:noProof/>
                <w:sz w:val="16"/>
                <w:szCs w:val="16"/>
              </w:rPr>
            </w:pPr>
            <w:r>
              <w:rPr>
                <w:b/>
                <w:noProof/>
                <w:sz w:val="16"/>
              </w:rPr>
              <w:sym w:font="Wingdings" w:char="F09F"/>
            </w:r>
            <w:r>
              <w:rPr>
                <w:b/>
                <w:noProof/>
                <w:sz w:val="16"/>
              </w:rPr>
              <w:t xml:space="preserve"> Establishment plan posts (officials and temporary staff)</w:t>
            </w:r>
          </w:p>
        </w:tc>
        <w:tc>
          <w:tcPr>
            <w:tcW w:w="1376" w:type="pct"/>
            <w:shd w:val="clear" w:color="auto" w:fill="auto"/>
            <w:vAlign w:val="center"/>
          </w:tcPr>
          <w:p w:rsidR="00926A0D" w:rsidRDefault="00926A0D">
            <w:pPr>
              <w:spacing w:before="20" w:after="20"/>
              <w:jc w:val="center"/>
              <w:rPr>
                <w:noProof/>
                <w:sz w:val="16"/>
                <w:szCs w:val="16"/>
              </w:rPr>
            </w:pPr>
          </w:p>
        </w:tc>
        <w:tc>
          <w:tcPr>
            <w:tcW w:w="710" w:type="pct"/>
            <w:shd w:val="clear" w:color="auto" w:fill="auto"/>
            <w:vAlign w:val="center"/>
          </w:tcPr>
          <w:p w:rsidR="00926A0D" w:rsidRDefault="00926A0D">
            <w:pPr>
              <w:jc w:val="center"/>
              <w:rPr>
                <w:noProof/>
                <w:sz w:val="16"/>
                <w:szCs w:val="16"/>
              </w:rPr>
            </w:pPr>
          </w:p>
        </w:tc>
      </w:tr>
      <w:tr w:rsidR="00926A0D">
        <w:trPr>
          <w:gridBefore w:val="1"/>
          <w:wBefore w:w="6" w:type="pct"/>
          <w:trHeight w:val="289"/>
          <w:jc w:val="center"/>
        </w:trPr>
        <w:tc>
          <w:tcPr>
            <w:tcW w:w="1897" w:type="pct"/>
            <w:gridSpan w:val="2"/>
            <w:shd w:val="clear" w:color="auto" w:fill="auto"/>
            <w:vAlign w:val="center"/>
          </w:tcPr>
          <w:p w:rsidR="00926A0D" w:rsidRDefault="006023A9">
            <w:pPr>
              <w:pStyle w:val="Text1"/>
              <w:spacing w:beforeLines="20" w:before="48" w:afterLines="20" w:after="48"/>
              <w:ind w:left="134"/>
              <w:jc w:val="left"/>
              <w:rPr>
                <w:b/>
                <w:noProof/>
                <w:sz w:val="16"/>
                <w:szCs w:val="16"/>
              </w:rPr>
            </w:pPr>
            <w:r>
              <w:rPr>
                <w:noProof/>
                <w:sz w:val="16"/>
              </w:rPr>
              <w:t>XX 01 01 01 (Headquarters and Commission’s Representation Offices)</w:t>
            </w:r>
          </w:p>
        </w:tc>
        <w:tc>
          <w:tcPr>
            <w:tcW w:w="318" w:type="pct"/>
            <w:shd w:val="clear" w:color="auto" w:fill="auto"/>
            <w:vAlign w:val="center"/>
          </w:tcPr>
          <w:p w:rsidR="00926A0D" w:rsidRDefault="006023A9">
            <w:pPr>
              <w:spacing w:beforeLines="20" w:before="48" w:afterLines="20" w:after="48"/>
              <w:jc w:val="center"/>
              <w:rPr>
                <w:noProof/>
                <w:sz w:val="16"/>
                <w:szCs w:val="16"/>
              </w:rPr>
            </w:pPr>
            <w:r>
              <w:rPr>
                <w:noProof/>
                <w:sz w:val="16"/>
                <w:szCs w:val="16"/>
              </w:rPr>
              <w:t>12+</w:t>
            </w:r>
            <w:r w:rsidR="00BD7AEB">
              <w:rPr>
                <w:noProof/>
                <w:sz w:val="16"/>
                <w:szCs w:val="16"/>
              </w:rPr>
              <w:t>5</w:t>
            </w:r>
          </w:p>
        </w:tc>
        <w:tc>
          <w:tcPr>
            <w:tcW w:w="318" w:type="pct"/>
            <w:shd w:val="clear" w:color="auto" w:fill="auto"/>
            <w:vAlign w:val="center"/>
          </w:tcPr>
          <w:p w:rsidR="00926A0D" w:rsidRDefault="006023A9">
            <w:pPr>
              <w:spacing w:beforeLines="20" w:before="48" w:afterLines="20" w:after="48"/>
              <w:jc w:val="center"/>
              <w:rPr>
                <w:noProof/>
                <w:sz w:val="16"/>
                <w:szCs w:val="16"/>
              </w:rPr>
            </w:pPr>
            <w:r>
              <w:rPr>
                <w:noProof/>
                <w:sz w:val="16"/>
                <w:szCs w:val="16"/>
              </w:rPr>
              <w:t>12+</w:t>
            </w:r>
            <w:r w:rsidR="00BD7AEB">
              <w:rPr>
                <w:noProof/>
                <w:sz w:val="16"/>
                <w:szCs w:val="16"/>
              </w:rPr>
              <w:t>5</w:t>
            </w:r>
          </w:p>
        </w:tc>
        <w:tc>
          <w:tcPr>
            <w:tcW w:w="375" w:type="pct"/>
            <w:shd w:val="clear" w:color="auto" w:fill="auto"/>
            <w:vAlign w:val="center"/>
          </w:tcPr>
          <w:p w:rsidR="00926A0D" w:rsidRDefault="006023A9">
            <w:pPr>
              <w:spacing w:beforeLines="20" w:before="48" w:afterLines="20" w:after="48"/>
              <w:jc w:val="center"/>
              <w:rPr>
                <w:noProof/>
                <w:sz w:val="16"/>
                <w:szCs w:val="16"/>
              </w:rPr>
            </w:pPr>
            <w:r>
              <w:rPr>
                <w:noProof/>
                <w:sz w:val="16"/>
                <w:szCs w:val="16"/>
              </w:rPr>
              <w:t>12+</w:t>
            </w:r>
            <w:r w:rsidR="00BD7AEB">
              <w:rPr>
                <w:noProof/>
                <w:sz w:val="16"/>
                <w:szCs w:val="16"/>
              </w:rPr>
              <w:t>5</w:t>
            </w:r>
          </w:p>
        </w:tc>
        <w:tc>
          <w:tcPr>
            <w:tcW w:w="1376" w:type="pct"/>
            <w:shd w:val="clear" w:color="auto" w:fill="auto"/>
            <w:vAlign w:val="center"/>
          </w:tcPr>
          <w:p w:rsidR="00926A0D" w:rsidRDefault="00926A0D">
            <w:pPr>
              <w:spacing w:beforeLines="20" w:before="48" w:afterLines="20" w:after="48"/>
              <w:jc w:val="center"/>
              <w:rPr>
                <w:noProof/>
                <w:sz w:val="16"/>
                <w:szCs w:val="16"/>
              </w:rPr>
            </w:pPr>
          </w:p>
        </w:tc>
        <w:tc>
          <w:tcPr>
            <w:tcW w:w="710" w:type="pct"/>
            <w:shd w:val="clear" w:color="auto" w:fill="auto"/>
            <w:vAlign w:val="center"/>
          </w:tcPr>
          <w:p w:rsidR="00926A0D" w:rsidRDefault="00926A0D">
            <w:pPr>
              <w:spacing w:beforeLines="20" w:before="48" w:afterLines="20" w:after="48"/>
              <w:jc w:val="center"/>
              <w:rPr>
                <w:noProof/>
                <w:sz w:val="16"/>
                <w:szCs w:val="16"/>
              </w:rPr>
            </w:pPr>
          </w:p>
        </w:tc>
      </w:tr>
      <w:tr w:rsidR="00926A0D">
        <w:trPr>
          <w:gridBefore w:val="1"/>
          <w:wBefore w:w="6" w:type="pct"/>
          <w:trHeight w:val="289"/>
          <w:jc w:val="center"/>
        </w:trPr>
        <w:tc>
          <w:tcPr>
            <w:tcW w:w="1897" w:type="pct"/>
            <w:gridSpan w:val="2"/>
            <w:shd w:val="clear" w:color="auto" w:fill="auto"/>
            <w:vAlign w:val="center"/>
          </w:tcPr>
          <w:p w:rsidR="00926A0D" w:rsidRDefault="006023A9">
            <w:pPr>
              <w:pStyle w:val="Text1"/>
              <w:spacing w:beforeLines="20" w:before="48" w:afterLines="20" w:after="48"/>
              <w:ind w:left="134"/>
              <w:jc w:val="left"/>
              <w:rPr>
                <w:noProof/>
                <w:sz w:val="16"/>
                <w:szCs w:val="16"/>
              </w:rPr>
            </w:pPr>
            <w:r>
              <w:rPr>
                <w:noProof/>
                <w:sz w:val="16"/>
              </w:rPr>
              <w:t>XX 01 01 02 (Delegations)</w:t>
            </w:r>
          </w:p>
        </w:tc>
        <w:tc>
          <w:tcPr>
            <w:tcW w:w="318" w:type="pct"/>
            <w:shd w:val="clear" w:color="auto" w:fill="auto"/>
            <w:vAlign w:val="center"/>
          </w:tcPr>
          <w:p w:rsidR="00926A0D" w:rsidRDefault="00926A0D">
            <w:pPr>
              <w:spacing w:beforeLines="20" w:before="48" w:afterLines="20" w:after="48"/>
              <w:jc w:val="center"/>
              <w:rPr>
                <w:noProof/>
                <w:sz w:val="16"/>
                <w:szCs w:val="16"/>
              </w:rPr>
            </w:pPr>
          </w:p>
        </w:tc>
        <w:tc>
          <w:tcPr>
            <w:tcW w:w="318" w:type="pct"/>
            <w:shd w:val="clear" w:color="auto" w:fill="auto"/>
            <w:vAlign w:val="center"/>
          </w:tcPr>
          <w:p w:rsidR="00926A0D" w:rsidRDefault="00926A0D">
            <w:pPr>
              <w:spacing w:beforeLines="20" w:before="48" w:afterLines="20" w:after="48"/>
              <w:jc w:val="center"/>
              <w:rPr>
                <w:noProof/>
                <w:sz w:val="16"/>
                <w:szCs w:val="16"/>
              </w:rPr>
            </w:pPr>
          </w:p>
        </w:tc>
        <w:tc>
          <w:tcPr>
            <w:tcW w:w="375" w:type="pct"/>
            <w:shd w:val="clear" w:color="auto" w:fill="auto"/>
            <w:vAlign w:val="center"/>
          </w:tcPr>
          <w:p w:rsidR="00926A0D" w:rsidRDefault="00926A0D">
            <w:pPr>
              <w:spacing w:beforeLines="20" w:before="48" w:afterLines="20" w:after="48"/>
              <w:jc w:val="center"/>
              <w:rPr>
                <w:noProof/>
                <w:sz w:val="16"/>
                <w:szCs w:val="16"/>
              </w:rPr>
            </w:pPr>
          </w:p>
        </w:tc>
        <w:tc>
          <w:tcPr>
            <w:tcW w:w="1376" w:type="pct"/>
            <w:shd w:val="clear" w:color="auto" w:fill="auto"/>
            <w:vAlign w:val="center"/>
          </w:tcPr>
          <w:p w:rsidR="00926A0D" w:rsidRDefault="00926A0D">
            <w:pPr>
              <w:spacing w:beforeLines="20" w:before="48" w:afterLines="20" w:after="48"/>
              <w:jc w:val="center"/>
              <w:rPr>
                <w:noProof/>
                <w:sz w:val="16"/>
                <w:szCs w:val="16"/>
              </w:rPr>
            </w:pPr>
          </w:p>
        </w:tc>
        <w:tc>
          <w:tcPr>
            <w:tcW w:w="710" w:type="pct"/>
            <w:shd w:val="clear" w:color="auto" w:fill="auto"/>
            <w:vAlign w:val="center"/>
          </w:tcPr>
          <w:p w:rsidR="00926A0D" w:rsidRDefault="00926A0D">
            <w:pPr>
              <w:spacing w:beforeLines="20" w:before="48" w:afterLines="20" w:after="48"/>
              <w:jc w:val="center"/>
              <w:rPr>
                <w:noProof/>
                <w:sz w:val="16"/>
                <w:szCs w:val="16"/>
              </w:rPr>
            </w:pPr>
          </w:p>
        </w:tc>
      </w:tr>
      <w:tr w:rsidR="00926A0D">
        <w:trPr>
          <w:gridBefore w:val="1"/>
          <w:wBefore w:w="6" w:type="pct"/>
          <w:trHeight w:val="289"/>
          <w:jc w:val="center"/>
        </w:trPr>
        <w:tc>
          <w:tcPr>
            <w:tcW w:w="1897" w:type="pct"/>
            <w:gridSpan w:val="2"/>
            <w:shd w:val="clear" w:color="auto" w:fill="auto"/>
            <w:vAlign w:val="center"/>
          </w:tcPr>
          <w:p w:rsidR="00926A0D" w:rsidRDefault="006023A9">
            <w:pPr>
              <w:pStyle w:val="Text1"/>
              <w:spacing w:beforeLines="20" w:before="48" w:afterLines="20" w:after="48"/>
              <w:ind w:left="134"/>
              <w:jc w:val="left"/>
              <w:rPr>
                <w:noProof/>
                <w:sz w:val="16"/>
                <w:szCs w:val="16"/>
              </w:rPr>
            </w:pPr>
            <w:r>
              <w:rPr>
                <w:noProof/>
                <w:sz w:val="16"/>
              </w:rPr>
              <w:t>XX 01 05 01 (Indirect research)</w:t>
            </w:r>
          </w:p>
        </w:tc>
        <w:tc>
          <w:tcPr>
            <w:tcW w:w="318" w:type="pct"/>
            <w:shd w:val="clear" w:color="auto" w:fill="auto"/>
            <w:vAlign w:val="center"/>
          </w:tcPr>
          <w:p w:rsidR="00926A0D" w:rsidRDefault="00926A0D">
            <w:pPr>
              <w:spacing w:beforeLines="20" w:before="48" w:afterLines="20" w:after="48"/>
              <w:jc w:val="center"/>
              <w:rPr>
                <w:noProof/>
                <w:sz w:val="16"/>
                <w:szCs w:val="16"/>
              </w:rPr>
            </w:pPr>
          </w:p>
        </w:tc>
        <w:tc>
          <w:tcPr>
            <w:tcW w:w="318" w:type="pct"/>
            <w:shd w:val="clear" w:color="auto" w:fill="auto"/>
            <w:vAlign w:val="center"/>
          </w:tcPr>
          <w:p w:rsidR="00926A0D" w:rsidRDefault="00926A0D">
            <w:pPr>
              <w:spacing w:beforeLines="20" w:before="48" w:afterLines="20" w:after="48"/>
              <w:jc w:val="center"/>
              <w:rPr>
                <w:noProof/>
                <w:sz w:val="16"/>
                <w:szCs w:val="16"/>
              </w:rPr>
            </w:pPr>
          </w:p>
        </w:tc>
        <w:tc>
          <w:tcPr>
            <w:tcW w:w="375" w:type="pct"/>
            <w:shd w:val="clear" w:color="auto" w:fill="auto"/>
            <w:vAlign w:val="center"/>
          </w:tcPr>
          <w:p w:rsidR="00926A0D" w:rsidRDefault="00926A0D">
            <w:pPr>
              <w:spacing w:beforeLines="20" w:before="48" w:afterLines="20" w:after="48"/>
              <w:jc w:val="center"/>
              <w:rPr>
                <w:noProof/>
                <w:sz w:val="16"/>
                <w:szCs w:val="16"/>
              </w:rPr>
            </w:pPr>
          </w:p>
        </w:tc>
        <w:tc>
          <w:tcPr>
            <w:tcW w:w="1376" w:type="pct"/>
            <w:shd w:val="clear" w:color="auto" w:fill="auto"/>
            <w:vAlign w:val="center"/>
          </w:tcPr>
          <w:p w:rsidR="00926A0D" w:rsidRDefault="00926A0D">
            <w:pPr>
              <w:spacing w:beforeLines="20" w:before="48" w:afterLines="20" w:after="48"/>
              <w:jc w:val="center"/>
              <w:rPr>
                <w:noProof/>
                <w:sz w:val="16"/>
                <w:szCs w:val="16"/>
              </w:rPr>
            </w:pPr>
          </w:p>
        </w:tc>
        <w:tc>
          <w:tcPr>
            <w:tcW w:w="710" w:type="pct"/>
            <w:shd w:val="clear" w:color="auto" w:fill="auto"/>
            <w:vAlign w:val="center"/>
          </w:tcPr>
          <w:p w:rsidR="00926A0D" w:rsidRDefault="00926A0D">
            <w:pPr>
              <w:spacing w:beforeLines="20" w:before="48" w:afterLines="20" w:after="48"/>
              <w:jc w:val="center"/>
              <w:rPr>
                <w:noProof/>
                <w:sz w:val="16"/>
                <w:szCs w:val="16"/>
              </w:rPr>
            </w:pPr>
          </w:p>
        </w:tc>
      </w:tr>
      <w:tr w:rsidR="00926A0D">
        <w:trPr>
          <w:gridBefore w:val="1"/>
          <w:wBefore w:w="6" w:type="pct"/>
          <w:trHeight w:val="289"/>
          <w:jc w:val="center"/>
        </w:trPr>
        <w:tc>
          <w:tcPr>
            <w:tcW w:w="1897" w:type="pct"/>
            <w:gridSpan w:val="2"/>
            <w:shd w:val="clear" w:color="auto" w:fill="auto"/>
            <w:vAlign w:val="center"/>
          </w:tcPr>
          <w:p w:rsidR="00926A0D" w:rsidRDefault="006023A9">
            <w:pPr>
              <w:pStyle w:val="Text1"/>
              <w:spacing w:beforeLines="20" w:before="48" w:afterLines="20" w:after="48"/>
              <w:ind w:left="134"/>
              <w:jc w:val="left"/>
              <w:rPr>
                <w:noProof/>
                <w:sz w:val="16"/>
                <w:szCs w:val="16"/>
              </w:rPr>
            </w:pPr>
            <w:r>
              <w:rPr>
                <w:noProof/>
                <w:sz w:val="16"/>
              </w:rPr>
              <w:t>10 01 05 01 (Direct research)</w:t>
            </w:r>
          </w:p>
        </w:tc>
        <w:tc>
          <w:tcPr>
            <w:tcW w:w="318" w:type="pct"/>
            <w:shd w:val="clear" w:color="auto" w:fill="auto"/>
            <w:vAlign w:val="center"/>
          </w:tcPr>
          <w:p w:rsidR="00926A0D" w:rsidRDefault="00926A0D">
            <w:pPr>
              <w:spacing w:beforeLines="20" w:before="48" w:afterLines="20" w:after="48"/>
              <w:jc w:val="center"/>
              <w:rPr>
                <w:noProof/>
                <w:sz w:val="16"/>
                <w:szCs w:val="16"/>
              </w:rPr>
            </w:pPr>
          </w:p>
        </w:tc>
        <w:tc>
          <w:tcPr>
            <w:tcW w:w="318" w:type="pct"/>
            <w:shd w:val="clear" w:color="auto" w:fill="auto"/>
            <w:vAlign w:val="center"/>
          </w:tcPr>
          <w:p w:rsidR="00926A0D" w:rsidRDefault="00926A0D">
            <w:pPr>
              <w:spacing w:beforeLines="20" w:before="48" w:afterLines="20" w:after="48"/>
              <w:jc w:val="center"/>
              <w:rPr>
                <w:noProof/>
                <w:sz w:val="16"/>
                <w:szCs w:val="16"/>
              </w:rPr>
            </w:pPr>
          </w:p>
        </w:tc>
        <w:tc>
          <w:tcPr>
            <w:tcW w:w="375" w:type="pct"/>
            <w:shd w:val="clear" w:color="auto" w:fill="auto"/>
            <w:vAlign w:val="center"/>
          </w:tcPr>
          <w:p w:rsidR="00926A0D" w:rsidRDefault="00926A0D">
            <w:pPr>
              <w:spacing w:beforeLines="20" w:before="48" w:afterLines="20" w:after="48"/>
              <w:jc w:val="center"/>
              <w:rPr>
                <w:noProof/>
                <w:sz w:val="16"/>
                <w:szCs w:val="16"/>
              </w:rPr>
            </w:pPr>
          </w:p>
        </w:tc>
        <w:tc>
          <w:tcPr>
            <w:tcW w:w="1376" w:type="pct"/>
            <w:shd w:val="clear" w:color="auto" w:fill="auto"/>
            <w:vAlign w:val="center"/>
          </w:tcPr>
          <w:p w:rsidR="00926A0D" w:rsidRDefault="00926A0D">
            <w:pPr>
              <w:spacing w:beforeLines="20" w:before="48" w:afterLines="20" w:after="48"/>
              <w:jc w:val="center"/>
              <w:rPr>
                <w:noProof/>
                <w:sz w:val="16"/>
                <w:szCs w:val="16"/>
              </w:rPr>
            </w:pPr>
          </w:p>
        </w:tc>
        <w:tc>
          <w:tcPr>
            <w:tcW w:w="710" w:type="pct"/>
            <w:shd w:val="clear" w:color="auto" w:fill="auto"/>
            <w:vAlign w:val="center"/>
          </w:tcPr>
          <w:p w:rsidR="00926A0D" w:rsidRDefault="00926A0D">
            <w:pPr>
              <w:spacing w:beforeLines="20" w:before="48" w:afterLines="20" w:after="48"/>
              <w:jc w:val="center"/>
              <w:rPr>
                <w:noProof/>
                <w:sz w:val="16"/>
                <w:szCs w:val="16"/>
              </w:rPr>
            </w:pPr>
          </w:p>
        </w:tc>
      </w:tr>
      <w:tr w:rsidR="00926A0D">
        <w:trPr>
          <w:gridAfter w:val="2"/>
          <w:wAfter w:w="2086" w:type="pct"/>
          <w:trHeight w:val="248"/>
          <w:jc w:val="center"/>
        </w:trPr>
        <w:tc>
          <w:tcPr>
            <w:tcW w:w="2914" w:type="pct"/>
            <w:gridSpan w:val="6"/>
            <w:shd w:val="clear" w:color="auto" w:fill="auto"/>
            <w:vAlign w:val="center"/>
          </w:tcPr>
          <w:p w:rsidR="00926A0D" w:rsidRDefault="006023A9">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54"/>
            </w:r>
          </w:p>
          <w:p w:rsidR="00926A0D" w:rsidRDefault="00926A0D">
            <w:pPr>
              <w:pStyle w:val="Text1"/>
              <w:spacing w:before="0" w:after="0"/>
              <w:ind w:left="0"/>
              <w:jc w:val="left"/>
              <w:rPr>
                <w:noProof/>
                <w:sz w:val="16"/>
                <w:szCs w:val="16"/>
              </w:rPr>
            </w:pPr>
          </w:p>
        </w:tc>
      </w:tr>
      <w:tr w:rsidR="00926A0D">
        <w:trPr>
          <w:gridBefore w:val="1"/>
          <w:wBefore w:w="6" w:type="pct"/>
          <w:trHeight w:val="289"/>
          <w:jc w:val="center"/>
        </w:trPr>
        <w:tc>
          <w:tcPr>
            <w:tcW w:w="1897" w:type="pct"/>
            <w:gridSpan w:val="2"/>
            <w:shd w:val="clear" w:color="auto" w:fill="auto"/>
            <w:vAlign w:val="center"/>
          </w:tcPr>
          <w:p w:rsidR="00926A0D" w:rsidRDefault="006023A9">
            <w:pPr>
              <w:pStyle w:val="Text1"/>
              <w:spacing w:beforeLines="20" w:before="48" w:afterLines="20" w:after="48"/>
              <w:ind w:left="136"/>
              <w:jc w:val="left"/>
              <w:rPr>
                <w:b/>
                <w:noProof/>
                <w:sz w:val="16"/>
                <w:szCs w:val="16"/>
              </w:rPr>
            </w:pPr>
            <w:r>
              <w:rPr>
                <w:noProof/>
                <w:sz w:val="16"/>
              </w:rPr>
              <w:t>XX 01 02 01 (AC, END, INT from the ‘global envelope’)</w:t>
            </w:r>
          </w:p>
        </w:tc>
        <w:tc>
          <w:tcPr>
            <w:tcW w:w="318" w:type="pct"/>
            <w:shd w:val="clear" w:color="auto" w:fill="auto"/>
            <w:vAlign w:val="center"/>
          </w:tcPr>
          <w:p w:rsidR="00926A0D" w:rsidRDefault="006023A9">
            <w:pPr>
              <w:spacing w:beforeLines="20" w:before="48" w:afterLines="20" w:after="48"/>
              <w:jc w:val="center"/>
              <w:rPr>
                <w:noProof/>
                <w:sz w:val="16"/>
                <w:szCs w:val="16"/>
              </w:rPr>
            </w:pPr>
            <w:r>
              <w:rPr>
                <w:noProof/>
                <w:sz w:val="16"/>
                <w:szCs w:val="16"/>
              </w:rPr>
              <w:t>1</w:t>
            </w:r>
          </w:p>
        </w:tc>
        <w:tc>
          <w:tcPr>
            <w:tcW w:w="318" w:type="pct"/>
            <w:shd w:val="clear" w:color="auto" w:fill="auto"/>
            <w:vAlign w:val="center"/>
          </w:tcPr>
          <w:p w:rsidR="00926A0D" w:rsidRDefault="006023A9">
            <w:pPr>
              <w:spacing w:beforeLines="20" w:before="48" w:afterLines="20" w:after="48"/>
              <w:jc w:val="center"/>
              <w:rPr>
                <w:noProof/>
                <w:sz w:val="16"/>
                <w:szCs w:val="16"/>
              </w:rPr>
            </w:pPr>
            <w:r>
              <w:rPr>
                <w:noProof/>
                <w:sz w:val="16"/>
                <w:szCs w:val="16"/>
              </w:rPr>
              <w:t>1</w:t>
            </w:r>
          </w:p>
        </w:tc>
        <w:tc>
          <w:tcPr>
            <w:tcW w:w="375" w:type="pct"/>
            <w:shd w:val="clear" w:color="auto" w:fill="auto"/>
            <w:vAlign w:val="center"/>
          </w:tcPr>
          <w:p w:rsidR="00926A0D" w:rsidRDefault="006023A9">
            <w:pPr>
              <w:spacing w:beforeLines="20" w:before="48" w:afterLines="20" w:after="48"/>
              <w:jc w:val="center"/>
              <w:rPr>
                <w:noProof/>
                <w:sz w:val="16"/>
                <w:szCs w:val="16"/>
              </w:rPr>
            </w:pPr>
            <w:r>
              <w:rPr>
                <w:noProof/>
                <w:sz w:val="16"/>
                <w:szCs w:val="16"/>
              </w:rPr>
              <w:t>1</w:t>
            </w:r>
          </w:p>
        </w:tc>
        <w:tc>
          <w:tcPr>
            <w:tcW w:w="1376" w:type="pct"/>
            <w:shd w:val="clear" w:color="auto" w:fill="auto"/>
            <w:vAlign w:val="center"/>
          </w:tcPr>
          <w:p w:rsidR="00926A0D" w:rsidRDefault="00926A0D">
            <w:pPr>
              <w:spacing w:beforeLines="20" w:before="48" w:afterLines="20" w:after="48"/>
              <w:jc w:val="center"/>
              <w:rPr>
                <w:noProof/>
                <w:sz w:val="16"/>
                <w:szCs w:val="16"/>
              </w:rPr>
            </w:pPr>
          </w:p>
        </w:tc>
        <w:tc>
          <w:tcPr>
            <w:tcW w:w="710" w:type="pct"/>
            <w:shd w:val="clear" w:color="auto" w:fill="auto"/>
            <w:vAlign w:val="center"/>
          </w:tcPr>
          <w:p w:rsidR="00926A0D" w:rsidRDefault="00926A0D">
            <w:pPr>
              <w:spacing w:beforeLines="20" w:before="48" w:afterLines="20" w:after="48"/>
              <w:jc w:val="center"/>
              <w:rPr>
                <w:noProof/>
                <w:sz w:val="16"/>
                <w:szCs w:val="16"/>
              </w:rPr>
            </w:pPr>
          </w:p>
        </w:tc>
      </w:tr>
      <w:tr w:rsidR="00926A0D">
        <w:trPr>
          <w:gridBefore w:val="1"/>
          <w:wBefore w:w="6" w:type="pct"/>
          <w:trHeight w:val="289"/>
          <w:jc w:val="center"/>
        </w:trPr>
        <w:tc>
          <w:tcPr>
            <w:tcW w:w="1897" w:type="pct"/>
            <w:gridSpan w:val="2"/>
            <w:shd w:val="clear" w:color="auto" w:fill="auto"/>
            <w:vAlign w:val="center"/>
          </w:tcPr>
          <w:p w:rsidR="00926A0D" w:rsidRDefault="006023A9">
            <w:pPr>
              <w:pStyle w:val="Text1"/>
              <w:spacing w:beforeLines="20" w:before="48" w:afterLines="20" w:after="48"/>
              <w:ind w:left="136"/>
              <w:jc w:val="left"/>
              <w:rPr>
                <w:noProof/>
                <w:sz w:val="16"/>
                <w:szCs w:val="16"/>
              </w:rPr>
            </w:pPr>
            <w:r>
              <w:rPr>
                <w:noProof/>
                <w:sz w:val="16"/>
              </w:rPr>
              <w:t xml:space="preserve">XX 01 02 02 (AC, </w:t>
            </w:r>
            <w:smartTag w:uri="urn:schemas-microsoft-com:office:smarttags" w:element="State">
              <w:smartTag w:uri="urn:schemas-microsoft-com:office:smarttags" w:element="place">
                <w:r>
                  <w:rPr>
                    <w:noProof/>
                    <w:sz w:val="16"/>
                  </w:rPr>
                  <w:t>AL</w:t>
                </w:r>
              </w:smartTag>
            </w:smartTag>
            <w:r>
              <w:rPr>
                <w:noProof/>
                <w:sz w:val="16"/>
              </w:rPr>
              <w:t>, END, INT and JED in the delegations)</w:t>
            </w:r>
          </w:p>
        </w:tc>
        <w:tc>
          <w:tcPr>
            <w:tcW w:w="318" w:type="pct"/>
            <w:shd w:val="clear" w:color="auto" w:fill="auto"/>
            <w:vAlign w:val="center"/>
          </w:tcPr>
          <w:p w:rsidR="00926A0D" w:rsidRDefault="00926A0D">
            <w:pPr>
              <w:spacing w:beforeLines="20" w:before="48" w:afterLines="20" w:after="48"/>
              <w:jc w:val="center"/>
              <w:rPr>
                <w:noProof/>
                <w:sz w:val="16"/>
                <w:szCs w:val="16"/>
              </w:rPr>
            </w:pPr>
          </w:p>
        </w:tc>
        <w:tc>
          <w:tcPr>
            <w:tcW w:w="318" w:type="pct"/>
            <w:shd w:val="clear" w:color="auto" w:fill="auto"/>
            <w:vAlign w:val="center"/>
          </w:tcPr>
          <w:p w:rsidR="00926A0D" w:rsidRDefault="00926A0D">
            <w:pPr>
              <w:spacing w:beforeLines="20" w:before="48" w:afterLines="20" w:after="48"/>
              <w:jc w:val="center"/>
              <w:rPr>
                <w:noProof/>
                <w:sz w:val="16"/>
                <w:szCs w:val="16"/>
              </w:rPr>
            </w:pPr>
          </w:p>
        </w:tc>
        <w:tc>
          <w:tcPr>
            <w:tcW w:w="375" w:type="pct"/>
            <w:shd w:val="clear" w:color="auto" w:fill="auto"/>
            <w:vAlign w:val="center"/>
          </w:tcPr>
          <w:p w:rsidR="00926A0D" w:rsidRDefault="00926A0D">
            <w:pPr>
              <w:spacing w:beforeLines="20" w:before="48" w:afterLines="20" w:after="48"/>
              <w:jc w:val="center"/>
              <w:rPr>
                <w:noProof/>
                <w:sz w:val="16"/>
                <w:szCs w:val="16"/>
              </w:rPr>
            </w:pPr>
          </w:p>
        </w:tc>
        <w:tc>
          <w:tcPr>
            <w:tcW w:w="1376" w:type="pct"/>
            <w:shd w:val="clear" w:color="auto" w:fill="auto"/>
            <w:vAlign w:val="center"/>
          </w:tcPr>
          <w:p w:rsidR="00926A0D" w:rsidRDefault="00926A0D">
            <w:pPr>
              <w:spacing w:beforeLines="20" w:before="48" w:afterLines="20" w:after="48"/>
              <w:jc w:val="center"/>
              <w:rPr>
                <w:noProof/>
                <w:sz w:val="16"/>
                <w:szCs w:val="16"/>
              </w:rPr>
            </w:pPr>
          </w:p>
        </w:tc>
        <w:tc>
          <w:tcPr>
            <w:tcW w:w="710" w:type="pct"/>
            <w:shd w:val="clear" w:color="auto" w:fill="auto"/>
            <w:vAlign w:val="center"/>
          </w:tcPr>
          <w:p w:rsidR="00926A0D" w:rsidRDefault="00926A0D">
            <w:pPr>
              <w:spacing w:beforeLines="20" w:before="48" w:afterLines="20" w:after="48"/>
              <w:jc w:val="center"/>
              <w:rPr>
                <w:noProof/>
                <w:sz w:val="16"/>
                <w:szCs w:val="16"/>
              </w:rPr>
            </w:pPr>
          </w:p>
        </w:tc>
      </w:tr>
      <w:tr w:rsidR="00926A0D">
        <w:trPr>
          <w:gridBefore w:val="1"/>
          <w:wBefore w:w="6" w:type="pct"/>
          <w:trHeight w:val="289"/>
          <w:jc w:val="center"/>
        </w:trPr>
        <w:tc>
          <w:tcPr>
            <w:tcW w:w="948" w:type="pct"/>
            <w:vMerge w:val="restart"/>
            <w:shd w:val="clear" w:color="auto" w:fill="auto"/>
            <w:vAlign w:val="center"/>
          </w:tcPr>
          <w:p w:rsidR="00926A0D" w:rsidRDefault="006023A9">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55"/>
            </w:r>
          </w:p>
          <w:p w:rsidR="00926A0D" w:rsidRDefault="00926A0D">
            <w:pPr>
              <w:pStyle w:val="Text1"/>
              <w:spacing w:beforeLines="20" w:before="48" w:afterLines="20" w:after="48"/>
              <w:ind w:left="136"/>
              <w:jc w:val="left"/>
              <w:rPr>
                <w:b/>
                <w:noProof/>
                <w:sz w:val="16"/>
                <w:szCs w:val="16"/>
              </w:rPr>
            </w:pPr>
          </w:p>
        </w:tc>
        <w:tc>
          <w:tcPr>
            <w:tcW w:w="949" w:type="pct"/>
            <w:shd w:val="clear" w:color="auto" w:fill="auto"/>
            <w:vAlign w:val="center"/>
          </w:tcPr>
          <w:p w:rsidR="00926A0D" w:rsidRDefault="006023A9">
            <w:pPr>
              <w:pStyle w:val="Text1"/>
              <w:spacing w:beforeLines="20" w:before="48" w:afterLines="20" w:after="48"/>
              <w:ind w:left="136"/>
              <w:jc w:val="left"/>
              <w:rPr>
                <w:b/>
                <w:noProof/>
                <w:sz w:val="16"/>
                <w:szCs w:val="16"/>
              </w:rPr>
            </w:pPr>
            <w:r>
              <w:rPr>
                <w:noProof/>
                <w:sz w:val="16"/>
              </w:rPr>
              <w:t>- at Headquarters</w:t>
            </w:r>
          </w:p>
          <w:p w:rsidR="00926A0D" w:rsidRDefault="00926A0D">
            <w:pPr>
              <w:pStyle w:val="Text1"/>
              <w:spacing w:beforeLines="20" w:before="48" w:afterLines="20" w:after="48"/>
              <w:ind w:left="136"/>
              <w:jc w:val="left"/>
              <w:rPr>
                <w:b/>
                <w:noProof/>
                <w:sz w:val="16"/>
                <w:szCs w:val="16"/>
              </w:rPr>
            </w:pPr>
          </w:p>
        </w:tc>
        <w:tc>
          <w:tcPr>
            <w:tcW w:w="318" w:type="pct"/>
            <w:shd w:val="clear" w:color="auto" w:fill="auto"/>
            <w:vAlign w:val="center"/>
          </w:tcPr>
          <w:p w:rsidR="00926A0D" w:rsidRDefault="00926A0D">
            <w:pPr>
              <w:pStyle w:val="Text1"/>
              <w:spacing w:beforeLines="20" w:before="48" w:afterLines="20" w:after="48"/>
              <w:ind w:left="0"/>
              <w:rPr>
                <w:noProof/>
                <w:sz w:val="16"/>
                <w:szCs w:val="16"/>
              </w:rPr>
            </w:pPr>
          </w:p>
        </w:tc>
        <w:tc>
          <w:tcPr>
            <w:tcW w:w="318" w:type="pct"/>
            <w:shd w:val="clear" w:color="auto" w:fill="auto"/>
            <w:vAlign w:val="center"/>
          </w:tcPr>
          <w:p w:rsidR="00926A0D" w:rsidRDefault="00926A0D">
            <w:pPr>
              <w:spacing w:beforeLines="20" w:before="48" w:afterLines="20" w:after="48"/>
              <w:jc w:val="center"/>
              <w:rPr>
                <w:noProof/>
                <w:sz w:val="16"/>
                <w:szCs w:val="16"/>
              </w:rPr>
            </w:pPr>
          </w:p>
        </w:tc>
        <w:tc>
          <w:tcPr>
            <w:tcW w:w="375" w:type="pct"/>
            <w:shd w:val="clear" w:color="auto" w:fill="auto"/>
            <w:vAlign w:val="center"/>
          </w:tcPr>
          <w:p w:rsidR="00926A0D" w:rsidRDefault="00926A0D">
            <w:pPr>
              <w:spacing w:beforeLines="20" w:before="48" w:afterLines="20" w:after="48"/>
              <w:jc w:val="center"/>
              <w:rPr>
                <w:noProof/>
                <w:sz w:val="16"/>
                <w:szCs w:val="16"/>
              </w:rPr>
            </w:pPr>
          </w:p>
        </w:tc>
        <w:tc>
          <w:tcPr>
            <w:tcW w:w="1376" w:type="pct"/>
            <w:shd w:val="clear" w:color="auto" w:fill="auto"/>
            <w:vAlign w:val="center"/>
          </w:tcPr>
          <w:p w:rsidR="00926A0D" w:rsidRDefault="00926A0D">
            <w:pPr>
              <w:spacing w:beforeLines="20" w:before="48" w:afterLines="20" w:after="48"/>
              <w:jc w:val="center"/>
              <w:rPr>
                <w:noProof/>
                <w:sz w:val="16"/>
                <w:szCs w:val="16"/>
              </w:rPr>
            </w:pPr>
          </w:p>
        </w:tc>
        <w:tc>
          <w:tcPr>
            <w:tcW w:w="710" w:type="pct"/>
            <w:shd w:val="clear" w:color="auto" w:fill="auto"/>
            <w:vAlign w:val="center"/>
          </w:tcPr>
          <w:p w:rsidR="00926A0D" w:rsidRDefault="00926A0D">
            <w:pPr>
              <w:spacing w:beforeLines="20" w:before="48" w:afterLines="20" w:after="48"/>
              <w:jc w:val="center"/>
              <w:rPr>
                <w:noProof/>
                <w:sz w:val="16"/>
                <w:szCs w:val="16"/>
              </w:rPr>
            </w:pPr>
          </w:p>
        </w:tc>
      </w:tr>
      <w:tr w:rsidR="00926A0D">
        <w:trPr>
          <w:gridBefore w:val="1"/>
          <w:wBefore w:w="6" w:type="pct"/>
          <w:trHeight w:val="289"/>
          <w:jc w:val="center"/>
        </w:trPr>
        <w:tc>
          <w:tcPr>
            <w:tcW w:w="948" w:type="pct"/>
            <w:vMerge/>
            <w:shd w:val="clear" w:color="auto" w:fill="auto"/>
            <w:vAlign w:val="center"/>
          </w:tcPr>
          <w:p w:rsidR="00926A0D" w:rsidRDefault="00926A0D">
            <w:pPr>
              <w:pStyle w:val="Text1"/>
              <w:spacing w:beforeLines="20" w:before="48" w:afterLines="20" w:after="48"/>
              <w:ind w:left="136"/>
              <w:jc w:val="left"/>
              <w:rPr>
                <w:b/>
                <w:noProof/>
                <w:sz w:val="16"/>
                <w:szCs w:val="16"/>
              </w:rPr>
            </w:pPr>
          </w:p>
        </w:tc>
        <w:tc>
          <w:tcPr>
            <w:tcW w:w="949" w:type="pct"/>
            <w:shd w:val="clear" w:color="auto" w:fill="auto"/>
            <w:vAlign w:val="center"/>
          </w:tcPr>
          <w:p w:rsidR="00926A0D" w:rsidRDefault="006023A9">
            <w:pPr>
              <w:pStyle w:val="Text1"/>
              <w:spacing w:beforeLines="20" w:before="48" w:afterLines="20" w:after="48"/>
              <w:ind w:left="136"/>
              <w:jc w:val="left"/>
              <w:rPr>
                <w:b/>
                <w:noProof/>
                <w:sz w:val="16"/>
                <w:szCs w:val="16"/>
              </w:rPr>
            </w:pPr>
            <w:r>
              <w:rPr>
                <w:noProof/>
                <w:sz w:val="16"/>
              </w:rPr>
              <w:t xml:space="preserve">- in Delegations </w:t>
            </w:r>
          </w:p>
        </w:tc>
        <w:tc>
          <w:tcPr>
            <w:tcW w:w="318" w:type="pct"/>
            <w:shd w:val="clear" w:color="auto" w:fill="auto"/>
            <w:vAlign w:val="center"/>
          </w:tcPr>
          <w:p w:rsidR="00926A0D" w:rsidRDefault="00926A0D">
            <w:pPr>
              <w:pStyle w:val="Text1"/>
              <w:spacing w:beforeLines="20" w:before="48" w:afterLines="20" w:after="48"/>
              <w:ind w:left="0"/>
              <w:rPr>
                <w:noProof/>
                <w:sz w:val="16"/>
                <w:szCs w:val="16"/>
              </w:rPr>
            </w:pPr>
          </w:p>
        </w:tc>
        <w:tc>
          <w:tcPr>
            <w:tcW w:w="318" w:type="pct"/>
            <w:shd w:val="clear" w:color="auto" w:fill="auto"/>
            <w:vAlign w:val="center"/>
          </w:tcPr>
          <w:p w:rsidR="00926A0D" w:rsidRDefault="00926A0D">
            <w:pPr>
              <w:spacing w:beforeLines="20" w:before="48" w:afterLines="20" w:after="48"/>
              <w:jc w:val="center"/>
              <w:rPr>
                <w:noProof/>
                <w:sz w:val="16"/>
                <w:szCs w:val="16"/>
              </w:rPr>
            </w:pPr>
          </w:p>
        </w:tc>
        <w:tc>
          <w:tcPr>
            <w:tcW w:w="375" w:type="pct"/>
            <w:shd w:val="clear" w:color="auto" w:fill="auto"/>
            <w:vAlign w:val="center"/>
          </w:tcPr>
          <w:p w:rsidR="00926A0D" w:rsidRDefault="00926A0D">
            <w:pPr>
              <w:spacing w:beforeLines="20" w:before="48" w:afterLines="20" w:after="48"/>
              <w:jc w:val="center"/>
              <w:rPr>
                <w:noProof/>
                <w:sz w:val="16"/>
                <w:szCs w:val="16"/>
              </w:rPr>
            </w:pPr>
          </w:p>
        </w:tc>
        <w:tc>
          <w:tcPr>
            <w:tcW w:w="1376" w:type="pct"/>
            <w:shd w:val="clear" w:color="auto" w:fill="auto"/>
            <w:vAlign w:val="center"/>
          </w:tcPr>
          <w:p w:rsidR="00926A0D" w:rsidRDefault="00926A0D">
            <w:pPr>
              <w:spacing w:beforeLines="20" w:before="48" w:afterLines="20" w:after="48"/>
              <w:jc w:val="center"/>
              <w:rPr>
                <w:noProof/>
                <w:sz w:val="16"/>
                <w:szCs w:val="16"/>
              </w:rPr>
            </w:pPr>
          </w:p>
        </w:tc>
        <w:tc>
          <w:tcPr>
            <w:tcW w:w="710" w:type="pct"/>
            <w:shd w:val="clear" w:color="auto" w:fill="auto"/>
            <w:vAlign w:val="center"/>
          </w:tcPr>
          <w:p w:rsidR="00926A0D" w:rsidRDefault="00926A0D">
            <w:pPr>
              <w:spacing w:beforeLines="20" w:before="48" w:afterLines="20" w:after="48"/>
              <w:jc w:val="center"/>
              <w:rPr>
                <w:noProof/>
                <w:sz w:val="16"/>
                <w:szCs w:val="16"/>
              </w:rPr>
            </w:pPr>
          </w:p>
        </w:tc>
      </w:tr>
      <w:tr w:rsidR="00926A0D">
        <w:trPr>
          <w:gridBefore w:val="1"/>
          <w:wBefore w:w="6" w:type="pct"/>
          <w:trHeight w:val="289"/>
          <w:jc w:val="center"/>
        </w:trPr>
        <w:tc>
          <w:tcPr>
            <w:tcW w:w="1897" w:type="pct"/>
            <w:gridSpan w:val="2"/>
            <w:shd w:val="clear" w:color="auto" w:fill="auto"/>
            <w:vAlign w:val="center"/>
          </w:tcPr>
          <w:p w:rsidR="00926A0D" w:rsidRDefault="006023A9">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318" w:type="pct"/>
            <w:shd w:val="clear" w:color="auto" w:fill="auto"/>
            <w:vAlign w:val="center"/>
          </w:tcPr>
          <w:p w:rsidR="00926A0D" w:rsidRDefault="00926A0D">
            <w:pPr>
              <w:spacing w:beforeLines="20" w:before="48" w:afterLines="20" w:after="48"/>
              <w:jc w:val="center"/>
              <w:rPr>
                <w:noProof/>
                <w:sz w:val="16"/>
                <w:szCs w:val="16"/>
              </w:rPr>
            </w:pPr>
          </w:p>
        </w:tc>
        <w:tc>
          <w:tcPr>
            <w:tcW w:w="318" w:type="pct"/>
            <w:shd w:val="clear" w:color="auto" w:fill="auto"/>
            <w:vAlign w:val="center"/>
          </w:tcPr>
          <w:p w:rsidR="00926A0D" w:rsidRDefault="00926A0D">
            <w:pPr>
              <w:spacing w:beforeLines="20" w:before="48" w:afterLines="20" w:after="48"/>
              <w:jc w:val="center"/>
              <w:rPr>
                <w:noProof/>
                <w:sz w:val="16"/>
                <w:szCs w:val="16"/>
              </w:rPr>
            </w:pPr>
          </w:p>
        </w:tc>
        <w:tc>
          <w:tcPr>
            <w:tcW w:w="375" w:type="pct"/>
            <w:shd w:val="clear" w:color="auto" w:fill="auto"/>
            <w:vAlign w:val="center"/>
          </w:tcPr>
          <w:p w:rsidR="00926A0D" w:rsidRDefault="00926A0D">
            <w:pPr>
              <w:spacing w:beforeLines="20" w:before="48" w:afterLines="20" w:after="48"/>
              <w:jc w:val="center"/>
              <w:rPr>
                <w:noProof/>
                <w:sz w:val="16"/>
                <w:szCs w:val="16"/>
              </w:rPr>
            </w:pPr>
          </w:p>
        </w:tc>
        <w:tc>
          <w:tcPr>
            <w:tcW w:w="1376" w:type="pct"/>
            <w:shd w:val="clear" w:color="auto" w:fill="auto"/>
            <w:vAlign w:val="center"/>
          </w:tcPr>
          <w:p w:rsidR="00926A0D" w:rsidRDefault="00926A0D">
            <w:pPr>
              <w:spacing w:beforeLines="20" w:before="48" w:afterLines="20" w:after="48"/>
              <w:jc w:val="center"/>
              <w:rPr>
                <w:noProof/>
                <w:sz w:val="16"/>
                <w:szCs w:val="16"/>
              </w:rPr>
            </w:pPr>
          </w:p>
        </w:tc>
        <w:tc>
          <w:tcPr>
            <w:tcW w:w="710" w:type="pct"/>
            <w:shd w:val="clear" w:color="auto" w:fill="auto"/>
            <w:vAlign w:val="center"/>
          </w:tcPr>
          <w:p w:rsidR="00926A0D" w:rsidRDefault="00926A0D">
            <w:pPr>
              <w:spacing w:beforeLines="20" w:before="48" w:afterLines="20" w:after="48"/>
              <w:jc w:val="center"/>
              <w:rPr>
                <w:noProof/>
                <w:sz w:val="16"/>
                <w:szCs w:val="16"/>
              </w:rPr>
            </w:pPr>
          </w:p>
        </w:tc>
      </w:tr>
      <w:tr w:rsidR="00926A0D">
        <w:trPr>
          <w:gridBefore w:val="1"/>
          <w:wBefore w:w="6" w:type="pct"/>
          <w:trHeight w:val="289"/>
          <w:jc w:val="center"/>
        </w:trPr>
        <w:tc>
          <w:tcPr>
            <w:tcW w:w="1897" w:type="pct"/>
            <w:gridSpan w:val="2"/>
            <w:shd w:val="clear" w:color="auto" w:fill="auto"/>
            <w:vAlign w:val="center"/>
          </w:tcPr>
          <w:p w:rsidR="00926A0D" w:rsidRDefault="006023A9">
            <w:pPr>
              <w:pStyle w:val="Text1"/>
              <w:spacing w:beforeLines="20" w:before="48" w:afterLines="20" w:after="48"/>
              <w:ind w:left="136"/>
              <w:jc w:val="left"/>
              <w:rPr>
                <w:noProof/>
                <w:sz w:val="16"/>
                <w:szCs w:val="16"/>
              </w:rPr>
            </w:pPr>
            <w:r>
              <w:rPr>
                <w:noProof/>
                <w:sz w:val="16"/>
              </w:rPr>
              <w:t>10 01 05 02 (AC, END, INT - Direct research)</w:t>
            </w:r>
          </w:p>
        </w:tc>
        <w:tc>
          <w:tcPr>
            <w:tcW w:w="318" w:type="pct"/>
            <w:shd w:val="clear" w:color="auto" w:fill="auto"/>
            <w:vAlign w:val="center"/>
          </w:tcPr>
          <w:p w:rsidR="00926A0D" w:rsidRDefault="00926A0D">
            <w:pPr>
              <w:spacing w:beforeLines="20" w:before="48" w:afterLines="20" w:after="48"/>
              <w:jc w:val="center"/>
              <w:rPr>
                <w:noProof/>
                <w:sz w:val="16"/>
                <w:szCs w:val="16"/>
              </w:rPr>
            </w:pPr>
          </w:p>
        </w:tc>
        <w:tc>
          <w:tcPr>
            <w:tcW w:w="318" w:type="pct"/>
            <w:shd w:val="clear" w:color="auto" w:fill="auto"/>
            <w:vAlign w:val="center"/>
          </w:tcPr>
          <w:p w:rsidR="00926A0D" w:rsidRDefault="00926A0D">
            <w:pPr>
              <w:spacing w:beforeLines="20" w:before="48" w:afterLines="20" w:after="48"/>
              <w:jc w:val="center"/>
              <w:rPr>
                <w:noProof/>
                <w:sz w:val="16"/>
                <w:szCs w:val="16"/>
              </w:rPr>
            </w:pPr>
          </w:p>
        </w:tc>
        <w:tc>
          <w:tcPr>
            <w:tcW w:w="375" w:type="pct"/>
            <w:shd w:val="clear" w:color="auto" w:fill="auto"/>
            <w:vAlign w:val="center"/>
          </w:tcPr>
          <w:p w:rsidR="00926A0D" w:rsidRDefault="00926A0D">
            <w:pPr>
              <w:spacing w:beforeLines="20" w:before="48" w:afterLines="20" w:after="48"/>
              <w:jc w:val="center"/>
              <w:rPr>
                <w:noProof/>
                <w:sz w:val="16"/>
                <w:szCs w:val="16"/>
              </w:rPr>
            </w:pPr>
          </w:p>
        </w:tc>
        <w:tc>
          <w:tcPr>
            <w:tcW w:w="1376" w:type="pct"/>
            <w:shd w:val="clear" w:color="auto" w:fill="auto"/>
            <w:vAlign w:val="center"/>
          </w:tcPr>
          <w:p w:rsidR="00926A0D" w:rsidRDefault="00926A0D">
            <w:pPr>
              <w:spacing w:beforeLines="20" w:before="48" w:afterLines="20" w:after="48"/>
              <w:jc w:val="center"/>
              <w:rPr>
                <w:noProof/>
                <w:sz w:val="16"/>
                <w:szCs w:val="16"/>
              </w:rPr>
            </w:pPr>
          </w:p>
        </w:tc>
        <w:tc>
          <w:tcPr>
            <w:tcW w:w="710" w:type="pct"/>
            <w:shd w:val="clear" w:color="auto" w:fill="auto"/>
            <w:vAlign w:val="center"/>
          </w:tcPr>
          <w:p w:rsidR="00926A0D" w:rsidRDefault="00926A0D">
            <w:pPr>
              <w:spacing w:beforeLines="20" w:before="48" w:afterLines="20" w:after="48"/>
              <w:jc w:val="center"/>
              <w:rPr>
                <w:noProof/>
                <w:sz w:val="16"/>
                <w:szCs w:val="16"/>
              </w:rPr>
            </w:pPr>
          </w:p>
        </w:tc>
      </w:tr>
      <w:tr w:rsidR="00926A0D">
        <w:trPr>
          <w:gridBefore w:val="1"/>
          <w:wBefore w:w="6" w:type="pct"/>
          <w:trHeight w:val="289"/>
          <w:jc w:val="center"/>
        </w:trPr>
        <w:tc>
          <w:tcPr>
            <w:tcW w:w="1897" w:type="pct"/>
            <w:gridSpan w:val="2"/>
            <w:tcBorders>
              <w:top w:val="double" w:sz="4" w:space="0" w:color="auto"/>
            </w:tcBorders>
            <w:shd w:val="clear" w:color="auto" w:fill="auto"/>
            <w:vAlign w:val="center"/>
          </w:tcPr>
          <w:p w:rsidR="00926A0D" w:rsidRDefault="006023A9">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rsidR="00926A0D" w:rsidRDefault="00BD7AEB">
            <w:pPr>
              <w:spacing w:beforeLines="20" w:before="48" w:afterLines="20" w:after="48"/>
              <w:jc w:val="center"/>
              <w:rPr>
                <w:b/>
                <w:noProof/>
                <w:sz w:val="16"/>
                <w:szCs w:val="16"/>
              </w:rPr>
            </w:pPr>
            <w:r>
              <w:rPr>
                <w:b/>
                <w:noProof/>
                <w:sz w:val="16"/>
                <w:szCs w:val="16"/>
              </w:rPr>
              <w:t>18</w:t>
            </w:r>
          </w:p>
        </w:tc>
        <w:tc>
          <w:tcPr>
            <w:tcW w:w="318" w:type="pct"/>
            <w:tcBorders>
              <w:top w:val="double" w:sz="4" w:space="0" w:color="auto"/>
            </w:tcBorders>
            <w:shd w:val="clear" w:color="auto" w:fill="auto"/>
            <w:vAlign w:val="center"/>
          </w:tcPr>
          <w:p w:rsidR="00926A0D" w:rsidRDefault="00BD7AEB">
            <w:pPr>
              <w:spacing w:beforeLines="20" w:before="48" w:afterLines="20" w:after="48"/>
              <w:jc w:val="center"/>
              <w:rPr>
                <w:b/>
                <w:noProof/>
                <w:sz w:val="16"/>
                <w:szCs w:val="16"/>
              </w:rPr>
            </w:pPr>
            <w:r>
              <w:rPr>
                <w:b/>
                <w:noProof/>
                <w:sz w:val="16"/>
                <w:szCs w:val="16"/>
              </w:rPr>
              <w:t>18</w:t>
            </w:r>
          </w:p>
        </w:tc>
        <w:tc>
          <w:tcPr>
            <w:tcW w:w="375" w:type="pct"/>
            <w:tcBorders>
              <w:top w:val="double" w:sz="4" w:space="0" w:color="auto"/>
            </w:tcBorders>
            <w:shd w:val="clear" w:color="auto" w:fill="auto"/>
            <w:vAlign w:val="center"/>
          </w:tcPr>
          <w:p w:rsidR="00926A0D" w:rsidRDefault="00BD7AEB">
            <w:pPr>
              <w:spacing w:beforeLines="20" w:before="48" w:afterLines="20" w:after="48"/>
              <w:jc w:val="center"/>
              <w:rPr>
                <w:b/>
                <w:noProof/>
                <w:sz w:val="16"/>
                <w:szCs w:val="16"/>
              </w:rPr>
            </w:pPr>
            <w:r>
              <w:rPr>
                <w:b/>
                <w:noProof/>
                <w:sz w:val="16"/>
                <w:szCs w:val="16"/>
              </w:rPr>
              <w:t>18</w:t>
            </w:r>
          </w:p>
        </w:tc>
        <w:tc>
          <w:tcPr>
            <w:tcW w:w="1376" w:type="pct"/>
            <w:tcBorders>
              <w:top w:val="double" w:sz="4" w:space="0" w:color="auto"/>
            </w:tcBorders>
            <w:shd w:val="clear" w:color="auto" w:fill="auto"/>
            <w:vAlign w:val="center"/>
          </w:tcPr>
          <w:p w:rsidR="00926A0D" w:rsidRDefault="00926A0D">
            <w:pPr>
              <w:spacing w:beforeLines="20" w:before="48" w:afterLines="20" w:after="48"/>
              <w:jc w:val="center"/>
              <w:rPr>
                <w:b/>
                <w:noProof/>
                <w:sz w:val="16"/>
                <w:szCs w:val="16"/>
              </w:rPr>
            </w:pPr>
          </w:p>
        </w:tc>
        <w:tc>
          <w:tcPr>
            <w:tcW w:w="710" w:type="pct"/>
            <w:tcBorders>
              <w:top w:val="double" w:sz="4" w:space="0" w:color="auto"/>
            </w:tcBorders>
            <w:shd w:val="clear" w:color="auto" w:fill="auto"/>
            <w:vAlign w:val="center"/>
          </w:tcPr>
          <w:p w:rsidR="00926A0D" w:rsidRDefault="00926A0D">
            <w:pPr>
              <w:spacing w:beforeLines="20" w:before="48" w:afterLines="20" w:after="48"/>
              <w:jc w:val="center"/>
              <w:rPr>
                <w:b/>
                <w:noProof/>
                <w:sz w:val="16"/>
                <w:szCs w:val="16"/>
              </w:rPr>
            </w:pPr>
          </w:p>
        </w:tc>
      </w:tr>
    </w:tbl>
    <w:p w:rsidR="00926A0D" w:rsidRDefault="006023A9">
      <w:pPr>
        <w:pStyle w:val="Text1"/>
        <w:spacing w:before="60" w:after="60"/>
        <w:ind w:left="851"/>
        <w:rPr>
          <w:noProof/>
          <w:sz w:val="18"/>
          <w:szCs w:val="18"/>
        </w:rPr>
      </w:pPr>
      <w:r>
        <w:rPr>
          <w:noProof/>
          <w:sz w:val="18"/>
          <w:szCs w:val="18"/>
        </w:rPr>
        <w:t>32 is the policy area or budget title concerned (DG ENER)</w:t>
      </w:r>
    </w:p>
    <w:p w:rsidR="00926A0D" w:rsidRDefault="006023A9">
      <w:pPr>
        <w:pStyle w:val="Text1"/>
        <w:spacing w:before="60" w:after="60"/>
        <w:ind w:left="851"/>
        <w:rPr>
          <w:noProof/>
          <w:sz w:val="18"/>
          <w:szCs w:val="18"/>
        </w:rPr>
      </w:pPr>
      <w:r>
        <w:rPr>
          <w:noProof/>
          <w:sz w:val="18"/>
          <w:szCs w:val="18"/>
        </w:rPr>
        <w:t>34 is the policy area concerned (DG CLIMA)</w:t>
      </w:r>
    </w:p>
    <w:p w:rsidR="00926A0D" w:rsidRDefault="006023A9">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rsidR="00926A0D" w:rsidRDefault="006023A9">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926A0D">
        <w:tc>
          <w:tcPr>
            <w:tcW w:w="3240" w:type="dxa"/>
          </w:tcPr>
          <w:p w:rsidR="00926A0D" w:rsidRDefault="006023A9">
            <w:pPr>
              <w:rPr>
                <w:noProof/>
                <w:sz w:val="20"/>
              </w:rPr>
            </w:pPr>
            <w:r>
              <w:rPr>
                <w:noProof/>
                <w:sz w:val="20"/>
              </w:rPr>
              <w:t>Officials and temporary staff</w:t>
            </w:r>
          </w:p>
        </w:tc>
        <w:tc>
          <w:tcPr>
            <w:tcW w:w="7200" w:type="dxa"/>
          </w:tcPr>
          <w:p w:rsidR="00926A0D" w:rsidRDefault="006023A9">
            <w:pPr>
              <w:rPr>
                <w:noProof/>
                <w:sz w:val="20"/>
              </w:rPr>
            </w:pPr>
            <w:r>
              <w:rPr>
                <w:noProof/>
                <w:sz w:val="20"/>
              </w:rPr>
              <w:t xml:space="preserve">12 (ENER) + </w:t>
            </w:r>
            <w:r w:rsidR="00AA1EBE">
              <w:rPr>
                <w:noProof/>
                <w:sz w:val="20"/>
              </w:rPr>
              <w:t>5</w:t>
            </w:r>
            <w:r>
              <w:rPr>
                <w:noProof/>
                <w:sz w:val="20"/>
              </w:rPr>
              <w:t xml:space="preserve"> (CLIMA) </w:t>
            </w:r>
          </w:p>
          <w:p w:rsidR="00926A0D" w:rsidRDefault="00926A0D">
            <w:pPr>
              <w:pStyle w:val="Text2"/>
              <w:spacing w:before="0" w:after="0"/>
              <w:ind w:left="0"/>
              <w:rPr>
                <w:rFonts w:ascii="Arial Narrow" w:hAnsi="Arial Narrow"/>
                <w:noProof/>
                <w:sz w:val="20"/>
                <w:szCs w:val="20"/>
                <w:u w:val="single"/>
              </w:rPr>
            </w:pPr>
          </w:p>
        </w:tc>
      </w:tr>
      <w:tr w:rsidR="00926A0D">
        <w:tc>
          <w:tcPr>
            <w:tcW w:w="3240" w:type="dxa"/>
          </w:tcPr>
          <w:p w:rsidR="00926A0D" w:rsidRDefault="006023A9">
            <w:pPr>
              <w:spacing w:before="60" w:after="60"/>
              <w:rPr>
                <w:noProof/>
                <w:sz w:val="20"/>
              </w:rPr>
            </w:pPr>
            <w:r>
              <w:rPr>
                <w:noProof/>
                <w:sz w:val="20"/>
              </w:rPr>
              <w:t>External staff</w:t>
            </w:r>
          </w:p>
        </w:tc>
        <w:tc>
          <w:tcPr>
            <w:tcW w:w="7200" w:type="dxa"/>
          </w:tcPr>
          <w:p w:rsidR="00926A0D" w:rsidRDefault="006023A9">
            <w:pPr>
              <w:rPr>
                <w:noProof/>
                <w:sz w:val="20"/>
              </w:rPr>
            </w:pPr>
            <w:r>
              <w:rPr>
                <w:noProof/>
                <w:sz w:val="20"/>
              </w:rPr>
              <w:t>1</w:t>
            </w:r>
            <w:r w:rsidR="00445D1B">
              <w:rPr>
                <w:noProof/>
                <w:sz w:val="20"/>
              </w:rPr>
              <w:t xml:space="preserve"> </w:t>
            </w:r>
            <w:r>
              <w:rPr>
                <w:noProof/>
                <w:sz w:val="20"/>
              </w:rPr>
              <w:t xml:space="preserve">(ENER) </w:t>
            </w:r>
          </w:p>
        </w:tc>
      </w:tr>
    </w:tbl>
    <w:p w:rsidR="00926A0D" w:rsidRDefault="00926A0D">
      <w:pPr>
        <w:rPr>
          <w:noProof/>
        </w:rPr>
        <w:sectPr w:rsidR="00926A0D" w:rsidSect="00211F8F">
          <w:pgSz w:w="11907" w:h="16840"/>
          <w:pgMar w:top="1134" w:right="1418" w:bottom="1134" w:left="1418" w:header="709" w:footer="709" w:gutter="0"/>
          <w:cols w:space="708"/>
          <w:docGrid w:linePitch="360"/>
        </w:sectPr>
      </w:pPr>
    </w:p>
    <w:p w:rsidR="00926A0D" w:rsidRDefault="006023A9">
      <w:pPr>
        <w:pStyle w:val="ManualHeading3"/>
        <w:rPr>
          <w:bCs/>
          <w:noProof/>
          <w:szCs w:val="24"/>
        </w:rPr>
      </w:pPr>
      <w:r>
        <w:lastRenderedPageBreak/>
        <w:t>3.2.4.</w:t>
      </w:r>
      <w:r>
        <w:tab/>
      </w:r>
      <w:r>
        <w:rPr>
          <w:noProof/>
        </w:rPr>
        <w:t xml:space="preserve">Compatibility with the current multiannual financial framework </w:t>
      </w:r>
    </w:p>
    <w:p w:rsidR="00926A0D" w:rsidRDefault="006023A9">
      <w:pPr>
        <w:pStyle w:val="ListDash1"/>
        <w:rPr>
          <w:noProof/>
        </w:rPr>
      </w:pPr>
      <w:r>
        <w:rPr>
          <w:noProof/>
        </w:rPr>
        <w:sym w:font="Wingdings" w:char="F0FE"/>
      </w:r>
      <w:r>
        <w:rPr>
          <w:noProof/>
        </w:rPr>
        <w:tab/>
        <w:t>The proposal/initiative is compatible the current multiannual financial framework.</w:t>
      </w:r>
    </w:p>
    <w:p w:rsidR="00926A0D" w:rsidRDefault="006023A9">
      <w:pPr>
        <w:pStyle w:val="ListDash1"/>
        <w:rPr>
          <w:noProof/>
        </w:rPr>
      </w:pPr>
      <w:r>
        <w:rPr>
          <w:noProof/>
        </w:rPr>
        <w:sym w:font="Wingdings" w:char="F0A8"/>
      </w:r>
      <w:r>
        <w:rPr>
          <w:noProof/>
        </w:rPr>
        <w:tab/>
        <w:t>The proposal/initiative will entail reprogramming of the relevant heading in the multiannual financial framework.</w:t>
      </w:r>
    </w:p>
    <w:p w:rsidR="00926A0D" w:rsidRDefault="006023A9">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reprogramming is required, specifying the budget lines concerned and the corresponding amounts.</w:t>
      </w:r>
    </w:p>
    <w:p w:rsidR="00926A0D" w:rsidRDefault="00926A0D">
      <w:pPr>
        <w:pStyle w:val="Text1"/>
        <w:pBdr>
          <w:top w:val="single" w:sz="4" w:space="1" w:color="auto"/>
          <w:left w:val="single" w:sz="4" w:space="4" w:color="auto"/>
          <w:bottom w:val="single" w:sz="4" w:space="1" w:color="auto"/>
          <w:right w:val="single" w:sz="4" w:space="4" w:color="auto"/>
        </w:pBdr>
        <w:rPr>
          <w:noProof/>
        </w:rPr>
      </w:pPr>
    </w:p>
    <w:p w:rsidR="00926A0D" w:rsidRDefault="006023A9">
      <w:pPr>
        <w:pStyle w:val="ListDash1"/>
        <w:rPr>
          <w:noProof/>
        </w:rPr>
      </w:pPr>
      <w:r>
        <w:rPr>
          <w:noProof/>
        </w:rPr>
        <w:sym w:font="Wingdings" w:char="F0A8"/>
      </w:r>
      <w:r>
        <w:rPr>
          <w:noProof/>
        </w:rPr>
        <w:tab/>
        <w:t>The proposal/initiative requires application of the flexibility instrument or revision of the multiannual financial framework.</w:t>
      </w:r>
    </w:p>
    <w:p w:rsidR="00926A0D" w:rsidRDefault="006023A9">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rsidR="00926A0D" w:rsidRDefault="00926A0D">
      <w:pPr>
        <w:pStyle w:val="Text1"/>
        <w:pBdr>
          <w:top w:val="single" w:sz="4" w:space="1" w:color="auto"/>
          <w:left w:val="single" w:sz="4" w:space="4" w:color="auto"/>
          <w:bottom w:val="single" w:sz="4" w:space="1" w:color="auto"/>
          <w:right w:val="single" w:sz="4" w:space="4" w:color="auto"/>
        </w:pBdr>
        <w:rPr>
          <w:noProof/>
        </w:rPr>
      </w:pPr>
    </w:p>
    <w:p w:rsidR="00926A0D" w:rsidRDefault="006023A9">
      <w:pPr>
        <w:pStyle w:val="ManualHeading3"/>
        <w:rPr>
          <w:bCs/>
          <w:noProof/>
          <w:szCs w:val="24"/>
        </w:rPr>
      </w:pPr>
      <w:r>
        <w:t>3.2.5.</w:t>
      </w:r>
      <w:r>
        <w:tab/>
      </w:r>
      <w:r>
        <w:rPr>
          <w:noProof/>
        </w:rPr>
        <w:t xml:space="preserve">Third-party contributions </w:t>
      </w:r>
    </w:p>
    <w:p w:rsidR="00926A0D" w:rsidRDefault="006023A9">
      <w:pPr>
        <w:pStyle w:val="ListDash1"/>
        <w:rPr>
          <w:noProof/>
        </w:rPr>
      </w:pPr>
      <w:r>
        <w:rPr>
          <w:noProof/>
        </w:rPr>
        <w:t xml:space="preserve">The proposal/initiative does not provide for co-financing by third parties. </w:t>
      </w:r>
    </w:p>
    <w:p w:rsidR="00926A0D" w:rsidRDefault="006023A9">
      <w:pPr>
        <w:pStyle w:val="ListDash1"/>
        <w:rPr>
          <w:noProof/>
        </w:rPr>
      </w:pPr>
      <w:r>
        <w:rPr>
          <w:noProof/>
        </w:rPr>
        <w:t>The proposal/initiative provides for the co-financing estimated below:</w:t>
      </w:r>
    </w:p>
    <w:p w:rsidR="00926A0D" w:rsidRDefault="006023A9">
      <w:pPr>
        <w:jc w:val="right"/>
        <w:rPr>
          <w:noProof/>
          <w:sz w:val="20"/>
        </w:rPr>
      </w:pPr>
      <w:r>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926A0D">
        <w:trPr>
          <w:cantSplit/>
        </w:trPr>
        <w:tc>
          <w:tcPr>
            <w:tcW w:w="2340" w:type="dxa"/>
          </w:tcPr>
          <w:p w:rsidR="00926A0D" w:rsidRDefault="00926A0D">
            <w:pPr>
              <w:spacing w:before="60" w:after="60"/>
              <w:rPr>
                <w:noProof/>
                <w:sz w:val="20"/>
              </w:rPr>
            </w:pPr>
          </w:p>
        </w:tc>
        <w:tc>
          <w:tcPr>
            <w:tcW w:w="964" w:type="dxa"/>
            <w:vAlign w:val="center"/>
          </w:tcPr>
          <w:p w:rsidR="00926A0D" w:rsidRDefault="006023A9">
            <w:pPr>
              <w:jc w:val="center"/>
              <w:rPr>
                <w:noProof/>
                <w:sz w:val="20"/>
              </w:rPr>
            </w:pPr>
            <w:r>
              <w:rPr>
                <w:noProof/>
                <w:sz w:val="20"/>
              </w:rPr>
              <w:t>Year</w:t>
            </w:r>
            <w:r>
              <w:rPr>
                <w:noProof/>
                <w:sz w:val="22"/>
              </w:rPr>
              <w:br/>
            </w:r>
            <w:r>
              <w:rPr>
                <w:b/>
                <w:noProof/>
                <w:sz w:val="20"/>
              </w:rPr>
              <w:t>N</w:t>
            </w:r>
          </w:p>
        </w:tc>
        <w:tc>
          <w:tcPr>
            <w:tcW w:w="964" w:type="dxa"/>
            <w:vAlign w:val="center"/>
          </w:tcPr>
          <w:p w:rsidR="00926A0D" w:rsidRDefault="006023A9">
            <w:pPr>
              <w:jc w:val="center"/>
              <w:rPr>
                <w:noProof/>
                <w:sz w:val="20"/>
              </w:rPr>
            </w:pPr>
            <w:r>
              <w:rPr>
                <w:noProof/>
                <w:sz w:val="20"/>
              </w:rPr>
              <w:t>Year</w:t>
            </w:r>
            <w:r>
              <w:rPr>
                <w:noProof/>
                <w:sz w:val="22"/>
              </w:rPr>
              <w:br/>
            </w:r>
            <w:r>
              <w:rPr>
                <w:b/>
                <w:noProof/>
                <w:sz w:val="20"/>
              </w:rPr>
              <w:t>N+1</w:t>
            </w:r>
          </w:p>
        </w:tc>
        <w:tc>
          <w:tcPr>
            <w:tcW w:w="964" w:type="dxa"/>
            <w:vAlign w:val="center"/>
          </w:tcPr>
          <w:p w:rsidR="00926A0D" w:rsidRDefault="006023A9">
            <w:pPr>
              <w:jc w:val="center"/>
              <w:rPr>
                <w:noProof/>
                <w:sz w:val="20"/>
              </w:rPr>
            </w:pPr>
            <w:r>
              <w:rPr>
                <w:noProof/>
                <w:sz w:val="20"/>
              </w:rPr>
              <w:t>Year</w:t>
            </w:r>
            <w:r>
              <w:rPr>
                <w:noProof/>
                <w:sz w:val="22"/>
              </w:rPr>
              <w:br/>
            </w:r>
            <w:r>
              <w:rPr>
                <w:b/>
                <w:noProof/>
                <w:sz w:val="20"/>
              </w:rPr>
              <w:t>N+2</w:t>
            </w:r>
          </w:p>
        </w:tc>
        <w:tc>
          <w:tcPr>
            <w:tcW w:w="964" w:type="dxa"/>
            <w:vAlign w:val="center"/>
          </w:tcPr>
          <w:p w:rsidR="00926A0D" w:rsidRDefault="006023A9">
            <w:pPr>
              <w:jc w:val="center"/>
              <w:rPr>
                <w:noProof/>
                <w:sz w:val="20"/>
              </w:rPr>
            </w:pPr>
            <w:r>
              <w:rPr>
                <w:noProof/>
                <w:sz w:val="20"/>
              </w:rPr>
              <w:t>Year</w:t>
            </w:r>
            <w:r>
              <w:rPr>
                <w:noProof/>
                <w:sz w:val="22"/>
              </w:rPr>
              <w:br/>
            </w:r>
            <w:r>
              <w:rPr>
                <w:b/>
                <w:noProof/>
                <w:sz w:val="20"/>
              </w:rPr>
              <w:t>N+3</w:t>
            </w:r>
          </w:p>
        </w:tc>
        <w:tc>
          <w:tcPr>
            <w:tcW w:w="2892" w:type="dxa"/>
            <w:gridSpan w:val="3"/>
            <w:vAlign w:val="center"/>
          </w:tcPr>
          <w:p w:rsidR="00926A0D" w:rsidRDefault="006023A9">
            <w:pPr>
              <w:jc w:val="center"/>
              <w:rPr>
                <w:b/>
                <w:noProof/>
                <w:sz w:val="20"/>
              </w:rPr>
            </w:pPr>
            <w:r>
              <w:rPr>
                <w:noProof/>
                <w:sz w:val="20"/>
              </w:rPr>
              <w:t>Enter as many years as necessary to show the duration of the impact (see point 1.6)</w:t>
            </w:r>
          </w:p>
        </w:tc>
        <w:tc>
          <w:tcPr>
            <w:tcW w:w="1158" w:type="dxa"/>
            <w:vAlign w:val="center"/>
          </w:tcPr>
          <w:p w:rsidR="00926A0D" w:rsidRDefault="006023A9">
            <w:pPr>
              <w:spacing w:before="60" w:after="60"/>
              <w:jc w:val="center"/>
              <w:rPr>
                <w:noProof/>
                <w:sz w:val="20"/>
              </w:rPr>
            </w:pPr>
            <w:r>
              <w:rPr>
                <w:noProof/>
                <w:sz w:val="20"/>
              </w:rPr>
              <w:t>Total</w:t>
            </w:r>
          </w:p>
        </w:tc>
      </w:tr>
      <w:tr w:rsidR="00926A0D">
        <w:trPr>
          <w:cantSplit/>
        </w:trPr>
        <w:tc>
          <w:tcPr>
            <w:tcW w:w="2340" w:type="dxa"/>
          </w:tcPr>
          <w:p w:rsidR="00926A0D" w:rsidRDefault="006023A9">
            <w:pPr>
              <w:rPr>
                <w:noProof/>
                <w:sz w:val="22"/>
              </w:rPr>
            </w:pPr>
            <w:r>
              <w:rPr>
                <w:noProof/>
                <w:sz w:val="20"/>
              </w:rPr>
              <w:t>Specify the co-financing body</w:t>
            </w:r>
            <w:r>
              <w:rPr>
                <w:i/>
                <w:noProof/>
                <w:sz w:val="20"/>
              </w:rPr>
              <w:t xml:space="preserve"> </w:t>
            </w:r>
          </w:p>
        </w:tc>
        <w:tc>
          <w:tcPr>
            <w:tcW w:w="964" w:type="dxa"/>
            <w:vAlign w:val="center"/>
          </w:tcPr>
          <w:p w:rsidR="00926A0D" w:rsidRDefault="00926A0D">
            <w:pPr>
              <w:spacing w:before="60" w:after="60"/>
              <w:jc w:val="center"/>
              <w:rPr>
                <w:noProof/>
                <w:sz w:val="20"/>
              </w:rPr>
            </w:pPr>
          </w:p>
        </w:tc>
        <w:tc>
          <w:tcPr>
            <w:tcW w:w="964" w:type="dxa"/>
            <w:vAlign w:val="center"/>
          </w:tcPr>
          <w:p w:rsidR="00926A0D" w:rsidRDefault="00926A0D">
            <w:pPr>
              <w:spacing w:before="60" w:after="60"/>
              <w:jc w:val="center"/>
              <w:rPr>
                <w:noProof/>
                <w:sz w:val="20"/>
              </w:rPr>
            </w:pPr>
          </w:p>
        </w:tc>
        <w:tc>
          <w:tcPr>
            <w:tcW w:w="964" w:type="dxa"/>
            <w:vAlign w:val="center"/>
          </w:tcPr>
          <w:p w:rsidR="00926A0D" w:rsidRDefault="00926A0D">
            <w:pPr>
              <w:spacing w:before="60" w:after="60"/>
              <w:jc w:val="center"/>
              <w:rPr>
                <w:noProof/>
                <w:sz w:val="20"/>
              </w:rPr>
            </w:pPr>
          </w:p>
        </w:tc>
        <w:tc>
          <w:tcPr>
            <w:tcW w:w="964" w:type="dxa"/>
            <w:vAlign w:val="center"/>
          </w:tcPr>
          <w:p w:rsidR="00926A0D" w:rsidRDefault="00926A0D">
            <w:pPr>
              <w:spacing w:before="60" w:after="60"/>
              <w:jc w:val="center"/>
              <w:rPr>
                <w:noProof/>
                <w:sz w:val="20"/>
              </w:rPr>
            </w:pPr>
          </w:p>
        </w:tc>
        <w:tc>
          <w:tcPr>
            <w:tcW w:w="964" w:type="dxa"/>
            <w:vAlign w:val="center"/>
          </w:tcPr>
          <w:p w:rsidR="00926A0D" w:rsidRDefault="00926A0D">
            <w:pPr>
              <w:spacing w:before="60" w:after="60"/>
              <w:jc w:val="center"/>
              <w:rPr>
                <w:noProof/>
                <w:sz w:val="20"/>
              </w:rPr>
            </w:pPr>
          </w:p>
        </w:tc>
        <w:tc>
          <w:tcPr>
            <w:tcW w:w="964" w:type="dxa"/>
            <w:vAlign w:val="center"/>
          </w:tcPr>
          <w:p w:rsidR="00926A0D" w:rsidRDefault="00926A0D">
            <w:pPr>
              <w:spacing w:before="60" w:after="60"/>
              <w:jc w:val="center"/>
              <w:rPr>
                <w:noProof/>
                <w:sz w:val="20"/>
              </w:rPr>
            </w:pPr>
          </w:p>
        </w:tc>
        <w:tc>
          <w:tcPr>
            <w:tcW w:w="964" w:type="dxa"/>
            <w:vAlign w:val="center"/>
          </w:tcPr>
          <w:p w:rsidR="00926A0D" w:rsidRDefault="00926A0D">
            <w:pPr>
              <w:spacing w:before="60" w:after="60"/>
              <w:jc w:val="center"/>
              <w:rPr>
                <w:noProof/>
                <w:sz w:val="20"/>
              </w:rPr>
            </w:pPr>
          </w:p>
        </w:tc>
        <w:tc>
          <w:tcPr>
            <w:tcW w:w="1158" w:type="dxa"/>
            <w:vAlign w:val="center"/>
          </w:tcPr>
          <w:p w:rsidR="00926A0D" w:rsidRDefault="00926A0D">
            <w:pPr>
              <w:spacing w:before="60" w:after="60"/>
              <w:jc w:val="center"/>
              <w:rPr>
                <w:noProof/>
                <w:sz w:val="20"/>
              </w:rPr>
            </w:pPr>
          </w:p>
        </w:tc>
      </w:tr>
      <w:tr w:rsidR="00926A0D">
        <w:trPr>
          <w:cantSplit/>
        </w:trPr>
        <w:tc>
          <w:tcPr>
            <w:tcW w:w="2340" w:type="dxa"/>
          </w:tcPr>
          <w:p w:rsidR="00926A0D" w:rsidRDefault="006023A9">
            <w:pPr>
              <w:spacing w:before="60" w:after="60"/>
              <w:jc w:val="left"/>
              <w:rPr>
                <w:noProof/>
                <w:sz w:val="20"/>
              </w:rPr>
            </w:pPr>
            <w:r>
              <w:rPr>
                <w:noProof/>
                <w:sz w:val="20"/>
              </w:rPr>
              <w:t xml:space="preserve">TOTAL appropriations co-financed </w:t>
            </w:r>
          </w:p>
        </w:tc>
        <w:tc>
          <w:tcPr>
            <w:tcW w:w="964" w:type="dxa"/>
            <w:vAlign w:val="center"/>
          </w:tcPr>
          <w:p w:rsidR="00926A0D" w:rsidRDefault="00926A0D">
            <w:pPr>
              <w:spacing w:before="60" w:after="60"/>
              <w:jc w:val="center"/>
              <w:rPr>
                <w:noProof/>
                <w:sz w:val="20"/>
              </w:rPr>
            </w:pPr>
          </w:p>
        </w:tc>
        <w:tc>
          <w:tcPr>
            <w:tcW w:w="964" w:type="dxa"/>
            <w:vAlign w:val="center"/>
          </w:tcPr>
          <w:p w:rsidR="00926A0D" w:rsidRDefault="00926A0D">
            <w:pPr>
              <w:spacing w:before="60" w:after="60"/>
              <w:jc w:val="center"/>
              <w:rPr>
                <w:noProof/>
                <w:sz w:val="20"/>
              </w:rPr>
            </w:pPr>
          </w:p>
        </w:tc>
        <w:tc>
          <w:tcPr>
            <w:tcW w:w="964" w:type="dxa"/>
            <w:vAlign w:val="center"/>
          </w:tcPr>
          <w:p w:rsidR="00926A0D" w:rsidRDefault="00926A0D">
            <w:pPr>
              <w:spacing w:before="60" w:after="60"/>
              <w:jc w:val="center"/>
              <w:rPr>
                <w:noProof/>
                <w:sz w:val="20"/>
              </w:rPr>
            </w:pPr>
          </w:p>
        </w:tc>
        <w:tc>
          <w:tcPr>
            <w:tcW w:w="964" w:type="dxa"/>
            <w:vAlign w:val="center"/>
          </w:tcPr>
          <w:p w:rsidR="00926A0D" w:rsidRDefault="00926A0D">
            <w:pPr>
              <w:spacing w:before="60" w:after="60"/>
              <w:jc w:val="center"/>
              <w:rPr>
                <w:noProof/>
                <w:sz w:val="20"/>
              </w:rPr>
            </w:pPr>
          </w:p>
        </w:tc>
        <w:tc>
          <w:tcPr>
            <w:tcW w:w="964" w:type="dxa"/>
            <w:vAlign w:val="center"/>
          </w:tcPr>
          <w:p w:rsidR="00926A0D" w:rsidRDefault="00926A0D">
            <w:pPr>
              <w:spacing w:before="60" w:after="60"/>
              <w:jc w:val="center"/>
              <w:rPr>
                <w:noProof/>
                <w:sz w:val="20"/>
              </w:rPr>
            </w:pPr>
          </w:p>
        </w:tc>
        <w:tc>
          <w:tcPr>
            <w:tcW w:w="964" w:type="dxa"/>
            <w:vAlign w:val="center"/>
          </w:tcPr>
          <w:p w:rsidR="00926A0D" w:rsidRDefault="00926A0D">
            <w:pPr>
              <w:spacing w:before="60" w:after="60"/>
              <w:jc w:val="center"/>
              <w:rPr>
                <w:noProof/>
                <w:sz w:val="20"/>
              </w:rPr>
            </w:pPr>
          </w:p>
        </w:tc>
        <w:tc>
          <w:tcPr>
            <w:tcW w:w="964" w:type="dxa"/>
            <w:vAlign w:val="center"/>
          </w:tcPr>
          <w:p w:rsidR="00926A0D" w:rsidRDefault="00926A0D">
            <w:pPr>
              <w:spacing w:before="60" w:after="60"/>
              <w:jc w:val="center"/>
              <w:rPr>
                <w:noProof/>
                <w:sz w:val="20"/>
              </w:rPr>
            </w:pPr>
          </w:p>
        </w:tc>
        <w:tc>
          <w:tcPr>
            <w:tcW w:w="1158" w:type="dxa"/>
            <w:vAlign w:val="center"/>
          </w:tcPr>
          <w:p w:rsidR="00926A0D" w:rsidRDefault="00926A0D">
            <w:pPr>
              <w:spacing w:before="60" w:after="60"/>
              <w:jc w:val="center"/>
              <w:rPr>
                <w:noProof/>
                <w:sz w:val="20"/>
              </w:rPr>
            </w:pPr>
          </w:p>
        </w:tc>
      </w:tr>
    </w:tbl>
    <w:p w:rsidR="00926A0D" w:rsidRDefault="006023A9">
      <w:pPr>
        <w:rPr>
          <w:noProof/>
        </w:rPr>
      </w:pPr>
      <w:r>
        <w:rPr>
          <w:noProof/>
        </w:rPr>
        <w:br/>
      </w:r>
    </w:p>
    <w:p w:rsidR="00926A0D" w:rsidRDefault="006023A9">
      <w:pPr>
        <w:pStyle w:val="ManualHeading2"/>
        <w:rPr>
          <w:bCs/>
          <w:noProof/>
          <w:szCs w:val="24"/>
        </w:rPr>
      </w:pPr>
      <w:r>
        <w:rPr>
          <w:noProof/>
        </w:rPr>
        <w:br w:type="page"/>
      </w:r>
      <w:r>
        <w:lastRenderedPageBreak/>
        <w:t>3.3.</w:t>
      </w:r>
      <w:r>
        <w:tab/>
      </w:r>
      <w:r>
        <w:rPr>
          <w:noProof/>
        </w:rPr>
        <w:t xml:space="preserve">Estimated impact on revenue </w:t>
      </w:r>
    </w:p>
    <w:p w:rsidR="00926A0D" w:rsidRDefault="006023A9">
      <w:pPr>
        <w:pStyle w:val="ListDash1"/>
        <w:rPr>
          <w:noProof/>
        </w:rPr>
      </w:pPr>
      <w:r>
        <w:rPr>
          <w:noProof/>
        </w:rPr>
        <w:sym w:font="Wingdings" w:char="F0FE"/>
      </w:r>
      <w:r>
        <w:rPr>
          <w:noProof/>
        </w:rPr>
        <w:tab/>
        <w:t>The proposal/initiative has no financial impact on revenue.</w:t>
      </w:r>
    </w:p>
    <w:p w:rsidR="00926A0D" w:rsidRDefault="006023A9">
      <w:pPr>
        <w:pStyle w:val="ListDash1"/>
        <w:rPr>
          <w:noProof/>
        </w:rPr>
      </w:pPr>
      <w:r>
        <w:rPr>
          <w:noProof/>
        </w:rPr>
        <w:sym w:font="Wingdings" w:char="F0A8"/>
      </w:r>
      <w:r>
        <w:rPr>
          <w:noProof/>
        </w:rPr>
        <w:tab/>
        <w:t>The proposal/initiative has the following financial impact:</w:t>
      </w:r>
    </w:p>
    <w:p w:rsidR="00926A0D" w:rsidRDefault="006023A9">
      <w:pPr>
        <w:pStyle w:val="ListNumberLevel3"/>
        <w:rPr>
          <w:noProof/>
        </w:rPr>
      </w:pPr>
      <w:r>
        <w:rPr>
          <w:noProof/>
        </w:rPr>
        <w:sym w:font="Wingdings" w:char="F0A8"/>
      </w:r>
      <w:r>
        <w:rPr>
          <w:noProof/>
        </w:rPr>
        <w:tab/>
        <w:t xml:space="preserve">on own resources </w:t>
      </w:r>
    </w:p>
    <w:p w:rsidR="00926A0D" w:rsidRDefault="006023A9">
      <w:pPr>
        <w:pStyle w:val="ListNumberLevel3"/>
        <w:rPr>
          <w:noProof/>
        </w:rPr>
      </w:pPr>
      <w:r>
        <w:rPr>
          <w:noProof/>
        </w:rPr>
        <w:sym w:font="Wingdings" w:char="F0A8"/>
      </w:r>
      <w:r>
        <w:rPr>
          <w:noProof/>
        </w:rPr>
        <w:tab/>
        <w:t xml:space="preserve">on miscellaneous revenue </w:t>
      </w:r>
    </w:p>
    <w:p w:rsidR="00926A0D" w:rsidRDefault="006023A9">
      <w:pPr>
        <w:jc w:val="right"/>
        <w:rPr>
          <w:i/>
          <w:noProof/>
          <w:sz w:val="20"/>
        </w:rPr>
      </w:pPr>
      <w:r>
        <w:rPr>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926A0D">
        <w:trPr>
          <w:trHeight w:val="388"/>
        </w:trPr>
        <w:tc>
          <w:tcPr>
            <w:tcW w:w="2144" w:type="dxa"/>
            <w:vMerge w:val="restart"/>
            <w:vAlign w:val="center"/>
          </w:tcPr>
          <w:p w:rsidR="00926A0D" w:rsidRDefault="006023A9">
            <w:pPr>
              <w:spacing w:before="40" w:after="40"/>
              <w:rPr>
                <w:noProof/>
                <w:sz w:val="18"/>
              </w:rPr>
            </w:pPr>
            <w:r>
              <w:rPr>
                <w:noProof/>
                <w:sz w:val="18"/>
              </w:rPr>
              <w:t>Budget revenue line:</w:t>
            </w:r>
          </w:p>
        </w:tc>
        <w:tc>
          <w:tcPr>
            <w:tcW w:w="1276" w:type="dxa"/>
            <w:vMerge w:val="restart"/>
            <w:vAlign w:val="center"/>
          </w:tcPr>
          <w:p w:rsidR="00926A0D" w:rsidRDefault="006023A9">
            <w:pPr>
              <w:jc w:val="center"/>
              <w:rPr>
                <w:noProof/>
                <w:sz w:val="18"/>
              </w:rPr>
            </w:pPr>
            <w:r>
              <w:rPr>
                <w:noProof/>
                <w:sz w:val="18"/>
              </w:rPr>
              <w:t>Appropriations available for the current financial year</w:t>
            </w:r>
          </w:p>
        </w:tc>
        <w:tc>
          <w:tcPr>
            <w:tcW w:w="7200" w:type="dxa"/>
            <w:gridSpan w:val="7"/>
            <w:vAlign w:val="center"/>
          </w:tcPr>
          <w:p w:rsidR="00926A0D" w:rsidRDefault="006023A9">
            <w:pPr>
              <w:jc w:val="center"/>
              <w:rPr>
                <w:noProof/>
                <w:sz w:val="18"/>
              </w:rPr>
            </w:pPr>
            <w:r>
              <w:rPr>
                <w:noProof/>
                <w:sz w:val="18"/>
              </w:rPr>
              <w:t>Impact of the proposal/initiative</w:t>
            </w:r>
            <w:r>
              <w:rPr>
                <w:rStyle w:val="FootnoteReference"/>
                <w:noProof/>
                <w:sz w:val="18"/>
              </w:rPr>
              <w:footnoteReference w:id="56"/>
            </w:r>
          </w:p>
        </w:tc>
      </w:tr>
      <w:tr w:rsidR="00926A0D">
        <w:trPr>
          <w:trHeight w:val="388"/>
        </w:trPr>
        <w:tc>
          <w:tcPr>
            <w:tcW w:w="2144" w:type="dxa"/>
            <w:vMerge/>
          </w:tcPr>
          <w:p w:rsidR="00926A0D" w:rsidRDefault="00926A0D">
            <w:pPr>
              <w:spacing w:before="40" w:after="40"/>
              <w:rPr>
                <w:noProof/>
                <w:sz w:val="18"/>
              </w:rPr>
            </w:pPr>
          </w:p>
        </w:tc>
        <w:tc>
          <w:tcPr>
            <w:tcW w:w="1276" w:type="dxa"/>
            <w:vMerge/>
          </w:tcPr>
          <w:p w:rsidR="00926A0D" w:rsidRDefault="00926A0D">
            <w:pPr>
              <w:spacing w:beforeLines="40" w:before="96" w:afterLines="40" w:after="96"/>
              <w:rPr>
                <w:i/>
                <w:noProof/>
                <w:sz w:val="18"/>
              </w:rPr>
            </w:pPr>
          </w:p>
        </w:tc>
        <w:tc>
          <w:tcPr>
            <w:tcW w:w="1080" w:type="dxa"/>
            <w:vAlign w:val="center"/>
          </w:tcPr>
          <w:p w:rsidR="00926A0D" w:rsidRDefault="006023A9">
            <w:pPr>
              <w:jc w:val="center"/>
              <w:rPr>
                <w:noProof/>
                <w:sz w:val="18"/>
              </w:rPr>
            </w:pPr>
            <w:r>
              <w:rPr>
                <w:noProof/>
                <w:sz w:val="18"/>
              </w:rPr>
              <w:t>Year</w:t>
            </w:r>
            <w:r>
              <w:rPr>
                <w:noProof/>
                <w:sz w:val="22"/>
              </w:rPr>
              <w:br/>
            </w:r>
            <w:r>
              <w:rPr>
                <w:b/>
                <w:noProof/>
                <w:sz w:val="18"/>
              </w:rPr>
              <w:t>N</w:t>
            </w:r>
          </w:p>
        </w:tc>
        <w:tc>
          <w:tcPr>
            <w:tcW w:w="900" w:type="dxa"/>
            <w:vAlign w:val="center"/>
          </w:tcPr>
          <w:p w:rsidR="00926A0D" w:rsidRDefault="006023A9">
            <w:pPr>
              <w:jc w:val="center"/>
              <w:rPr>
                <w:noProof/>
                <w:sz w:val="18"/>
              </w:rPr>
            </w:pPr>
            <w:r>
              <w:rPr>
                <w:noProof/>
                <w:sz w:val="18"/>
              </w:rPr>
              <w:t>Year</w:t>
            </w:r>
            <w:r>
              <w:rPr>
                <w:noProof/>
                <w:sz w:val="22"/>
              </w:rPr>
              <w:br/>
            </w:r>
            <w:r>
              <w:rPr>
                <w:b/>
                <w:noProof/>
                <w:sz w:val="18"/>
              </w:rPr>
              <w:t>N+1</w:t>
            </w:r>
          </w:p>
        </w:tc>
        <w:tc>
          <w:tcPr>
            <w:tcW w:w="900" w:type="dxa"/>
            <w:vAlign w:val="center"/>
          </w:tcPr>
          <w:p w:rsidR="00926A0D" w:rsidRDefault="006023A9">
            <w:pPr>
              <w:jc w:val="center"/>
              <w:rPr>
                <w:noProof/>
                <w:sz w:val="18"/>
              </w:rPr>
            </w:pPr>
            <w:r>
              <w:rPr>
                <w:noProof/>
                <w:sz w:val="18"/>
              </w:rPr>
              <w:t>Year</w:t>
            </w:r>
            <w:r>
              <w:rPr>
                <w:noProof/>
                <w:sz w:val="22"/>
              </w:rPr>
              <w:br/>
            </w:r>
            <w:r>
              <w:rPr>
                <w:b/>
                <w:noProof/>
                <w:sz w:val="18"/>
              </w:rPr>
              <w:t>N+2</w:t>
            </w:r>
          </w:p>
        </w:tc>
        <w:tc>
          <w:tcPr>
            <w:tcW w:w="1080" w:type="dxa"/>
            <w:vAlign w:val="center"/>
          </w:tcPr>
          <w:p w:rsidR="00926A0D" w:rsidRDefault="006023A9">
            <w:pPr>
              <w:jc w:val="center"/>
              <w:rPr>
                <w:noProof/>
                <w:sz w:val="18"/>
              </w:rPr>
            </w:pPr>
            <w:r>
              <w:rPr>
                <w:noProof/>
                <w:sz w:val="18"/>
              </w:rPr>
              <w:t>Year</w:t>
            </w:r>
            <w:r>
              <w:rPr>
                <w:noProof/>
                <w:sz w:val="22"/>
              </w:rPr>
              <w:br/>
            </w:r>
            <w:r>
              <w:rPr>
                <w:b/>
                <w:noProof/>
                <w:sz w:val="18"/>
              </w:rPr>
              <w:t>N+3</w:t>
            </w:r>
          </w:p>
        </w:tc>
        <w:tc>
          <w:tcPr>
            <w:tcW w:w="3240" w:type="dxa"/>
            <w:gridSpan w:val="3"/>
            <w:vAlign w:val="center"/>
          </w:tcPr>
          <w:p w:rsidR="00926A0D" w:rsidRDefault="006023A9">
            <w:pPr>
              <w:jc w:val="center"/>
              <w:rPr>
                <w:b/>
                <w:noProof/>
                <w:sz w:val="18"/>
              </w:rPr>
            </w:pPr>
            <w:r>
              <w:rPr>
                <w:noProof/>
                <w:sz w:val="18"/>
              </w:rPr>
              <w:t>Enter as many years as necessary to show the duration of the impact (see point 1.6)</w:t>
            </w:r>
          </w:p>
        </w:tc>
      </w:tr>
      <w:tr w:rsidR="00926A0D">
        <w:trPr>
          <w:trHeight w:val="388"/>
        </w:trPr>
        <w:tc>
          <w:tcPr>
            <w:tcW w:w="2144" w:type="dxa"/>
            <w:vAlign w:val="center"/>
          </w:tcPr>
          <w:p w:rsidR="00926A0D" w:rsidRDefault="006023A9">
            <w:pPr>
              <w:spacing w:before="40" w:after="40"/>
              <w:rPr>
                <w:noProof/>
                <w:sz w:val="18"/>
              </w:rPr>
            </w:pPr>
            <w:r>
              <w:rPr>
                <w:noProof/>
                <w:sz w:val="18"/>
              </w:rPr>
              <w:t>Article ………….</w:t>
            </w:r>
          </w:p>
        </w:tc>
        <w:tc>
          <w:tcPr>
            <w:tcW w:w="1276" w:type="dxa"/>
          </w:tcPr>
          <w:p w:rsidR="00926A0D" w:rsidRDefault="00926A0D">
            <w:pPr>
              <w:spacing w:beforeLines="40" w:before="96" w:afterLines="40" w:after="96"/>
              <w:jc w:val="center"/>
              <w:rPr>
                <w:i/>
                <w:noProof/>
                <w:sz w:val="18"/>
              </w:rPr>
            </w:pPr>
          </w:p>
        </w:tc>
        <w:tc>
          <w:tcPr>
            <w:tcW w:w="1080" w:type="dxa"/>
          </w:tcPr>
          <w:p w:rsidR="00926A0D" w:rsidRDefault="00926A0D">
            <w:pPr>
              <w:spacing w:beforeLines="40" w:before="96" w:afterLines="40" w:after="96"/>
              <w:jc w:val="center"/>
              <w:rPr>
                <w:noProof/>
                <w:sz w:val="18"/>
              </w:rPr>
            </w:pPr>
          </w:p>
        </w:tc>
        <w:tc>
          <w:tcPr>
            <w:tcW w:w="900" w:type="dxa"/>
          </w:tcPr>
          <w:p w:rsidR="00926A0D" w:rsidRDefault="00926A0D">
            <w:pPr>
              <w:spacing w:beforeLines="40" w:before="96" w:afterLines="40" w:after="96"/>
              <w:jc w:val="center"/>
              <w:rPr>
                <w:noProof/>
                <w:sz w:val="18"/>
              </w:rPr>
            </w:pPr>
          </w:p>
        </w:tc>
        <w:tc>
          <w:tcPr>
            <w:tcW w:w="900" w:type="dxa"/>
          </w:tcPr>
          <w:p w:rsidR="00926A0D" w:rsidRDefault="00926A0D">
            <w:pPr>
              <w:spacing w:beforeLines="40" w:before="96" w:afterLines="40" w:after="96"/>
              <w:jc w:val="center"/>
              <w:rPr>
                <w:noProof/>
                <w:sz w:val="18"/>
              </w:rPr>
            </w:pPr>
          </w:p>
        </w:tc>
        <w:tc>
          <w:tcPr>
            <w:tcW w:w="1080" w:type="dxa"/>
          </w:tcPr>
          <w:p w:rsidR="00926A0D" w:rsidRDefault="00926A0D">
            <w:pPr>
              <w:spacing w:beforeLines="40" w:before="96" w:afterLines="40" w:after="96"/>
              <w:jc w:val="center"/>
              <w:rPr>
                <w:noProof/>
                <w:sz w:val="18"/>
              </w:rPr>
            </w:pPr>
          </w:p>
        </w:tc>
        <w:tc>
          <w:tcPr>
            <w:tcW w:w="1080" w:type="dxa"/>
          </w:tcPr>
          <w:p w:rsidR="00926A0D" w:rsidRDefault="00926A0D">
            <w:pPr>
              <w:spacing w:beforeLines="40" w:before="96" w:afterLines="40" w:after="96"/>
              <w:jc w:val="center"/>
              <w:rPr>
                <w:noProof/>
                <w:sz w:val="18"/>
              </w:rPr>
            </w:pPr>
          </w:p>
        </w:tc>
        <w:tc>
          <w:tcPr>
            <w:tcW w:w="1080" w:type="dxa"/>
          </w:tcPr>
          <w:p w:rsidR="00926A0D" w:rsidRDefault="00926A0D">
            <w:pPr>
              <w:spacing w:beforeLines="40" w:before="96" w:afterLines="40" w:after="96"/>
              <w:jc w:val="center"/>
              <w:rPr>
                <w:noProof/>
                <w:sz w:val="18"/>
              </w:rPr>
            </w:pPr>
          </w:p>
        </w:tc>
        <w:tc>
          <w:tcPr>
            <w:tcW w:w="1080" w:type="dxa"/>
          </w:tcPr>
          <w:p w:rsidR="00926A0D" w:rsidRDefault="00926A0D">
            <w:pPr>
              <w:spacing w:beforeLines="40" w:before="96" w:afterLines="40" w:after="96"/>
              <w:jc w:val="center"/>
              <w:rPr>
                <w:noProof/>
                <w:sz w:val="18"/>
              </w:rPr>
            </w:pPr>
          </w:p>
        </w:tc>
      </w:tr>
    </w:tbl>
    <w:p w:rsidR="00926A0D" w:rsidRDefault="006023A9">
      <w:pPr>
        <w:pStyle w:val="Text1"/>
        <w:rPr>
          <w:noProof/>
          <w:sz w:val="20"/>
        </w:rPr>
      </w:pPr>
      <w:r>
        <w:rPr>
          <w:noProof/>
          <w:sz w:val="20"/>
        </w:rPr>
        <w:t>For miscellaneous ‘assigned’ revenue, specify the budget expenditure line(s) affected.</w:t>
      </w:r>
    </w:p>
    <w:p w:rsidR="00926A0D" w:rsidRDefault="00926A0D">
      <w:pPr>
        <w:pStyle w:val="Text1"/>
        <w:pBdr>
          <w:top w:val="single" w:sz="4" w:space="1" w:color="auto"/>
          <w:left w:val="single" w:sz="4" w:space="4" w:color="auto"/>
          <w:bottom w:val="single" w:sz="4" w:space="1" w:color="auto"/>
          <w:right w:val="single" w:sz="4" w:space="4" w:color="auto"/>
        </w:pBdr>
        <w:rPr>
          <w:noProof/>
        </w:rPr>
      </w:pPr>
    </w:p>
    <w:p w:rsidR="00926A0D" w:rsidRDefault="006023A9">
      <w:pPr>
        <w:pStyle w:val="Text1"/>
        <w:rPr>
          <w:noProof/>
          <w:sz w:val="20"/>
        </w:rPr>
      </w:pPr>
      <w:r>
        <w:rPr>
          <w:noProof/>
          <w:sz w:val="20"/>
        </w:rPr>
        <w:t>Specify the method for calculating the impact on revenue.</w:t>
      </w:r>
    </w:p>
    <w:p w:rsidR="00926A0D" w:rsidRDefault="00926A0D">
      <w:pPr>
        <w:pStyle w:val="Text1"/>
        <w:pBdr>
          <w:top w:val="single" w:sz="4" w:space="1" w:color="auto"/>
          <w:left w:val="single" w:sz="4" w:space="4" w:color="auto"/>
          <w:bottom w:val="single" w:sz="4" w:space="1" w:color="auto"/>
          <w:right w:val="single" w:sz="4" w:space="4" w:color="auto"/>
        </w:pBdr>
        <w:rPr>
          <w:noProof/>
        </w:rPr>
      </w:pPr>
    </w:p>
    <w:p w:rsidR="00926A0D" w:rsidRDefault="006023A9">
      <w:pPr>
        <w:spacing w:before="0" w:after="200" w:line="276" w:lineRule="auto"/>
        <w:jc w:val="left"/>
        <w:rPr>
          <w:b/>
          <w:noProof/>
          <w:u w:val="single"/>
        </w:rPr>
      </w:pPr>
      <w:r>
        <w:rPr>
          <w:noProof/>
        </w:rPr>
        <w:br w:type="page"/>
      </w:r>
    </w:p>
    <w:p w:rsidR="00926A0D" w:rsidRDefault="006023A9">
      <w:pPr>
        <w:pStyle w:val="NormalCentered"/>
        <w:rPr>
          <w:b/>
          <w:noProof/>
        </w:rPr>
      </w:pPr>
      <w:r>
        <w:rPr>
          <w:b/>
          <w:noProof/>
        </w:rPr>
        <w:lastRenderedPageBreak/>
        <w:t>Legislative financial statement ‘Agencies’</w:t>
      </w:r>
    </w:p>
    <w:p w:rsidR="00926A0D" w:rsidRDefault="006023A9">
      <w:pPr>
        <w:pStyle w:val="NormalCentered"/>
        <w:rPr>
          <w:b/>
          <w:noProof/>
        </w:rPr>
      </w:pPr>
      <w:r>
        <w:rPr>
          <w:b/>
          <w:noProof/>
        </w:rPr>
        <w:t>The European Environment Agency</w:t>
      </w:r>
    </w:p>
    <w:p w:rsidR="00926A0D" w:rsidRDefault="006023A9">
      <w:pPr>
        <w:pStyle w:val="ManualHeading1"/>
        <w:rPr>
          <w:noProof/>
        </w:rPr>
      </w:pPr>
      <w:r>
        <w:rPr>
          <w:noProof/>
        </w:rPr>
        <w:t>1.</w:t>
      </w:r>
      <w:r>
        <w:rPr>
          <w:noProof/>
        </w:rPr>
        <w:tab/>
        <w:t xml:space="preserve">FRAMEWORK OF THE PROPOSAL/INITIATIVE </w:t>
      </w:r>
    </w:p>
    <w:p w:rsidR="00926A0D" w:rsidRDefault="006023A9">
      <w:pPr>
        <w:pStyle w:val="ManualHeading2"/>
        <w:rPr>
          <w:b w:val="0"/>
          <w:noProof/>
        </w:rPr>
      </w:pPr>
      <w:r>
        <w:rPr>
          <w:noProof/>
        </w:rPr>
        <w:tab/>
      </w:r>
      <w:r>
        <w:rPr>
          <w:b w:val="0"/>
          <w:noProof/>
        </w:rPr>
        <w:t>1.1.</w:t>
      </w:r>
      <w:r>
        <w:rPr>
          <w:b w:val="0"/>
          <w:noProof/>
        </w:rPr>
        <w:tab/>
        <w:t xml:space="preserve">Title of the proposal/initiative </w:t>
      </w:r>
    </w:p>
    <w:p w:rsidR="00926A0D" w:rsidRDefault="006023A9">
      <w:pPr>
        <w:pStyle w:val="ManualHeading2"/>
        <w:rPr>
          <w:b w:val="0"/>
          <w:noProof/>
        </w:rPr>
      </w:pPr>
      <w:r>
        <w:rPr>
          <w:b w:val="0"/>
          <w:noProof/>
        </w:rPr>
        <w:tab/>
        <w:t>1.2.</w:t>
      </w:r>
      <w:r>
        <w:rPr>
          <w:b w:val="0"/>
          <w:noProof/>
        </w:rPr>
        <w:tab/>
        <w:t>Policy area(s) concerned in the ABM/ABB structure</w:t>
      </w:r>
    </w:p>
    <w:p w:rsidR="00926A0D" w:rsidRDefault="006023A9">
      <w:pPr>
        <w:pStyle w:val="ManualHeading2"/>
        <w:rPr>
          <w:b w:val="0"/>
          <w:noProof/>
        </w:rPr>
      </w:pPr>
      <w:r>
        <w:rPr>
          <w:b w:val="0"/>
          <w:noProof/>
        </w:rPr>
        <w:tab/>
        <w:t>1.3.</w:t>
      </w:r>
      <w:r>
        <w:rPr>
          <w:b w:val="0"/>
          <w:noProof/>
        </w:rPr>
        <w:tab/>
        <w:t xml:space="preserve">Nature of the proposal/initiative </w:t>
      </w:r>
    </w:p>
    <w:p w:rsidR="00926A0D" w:rsidRDefault="006023A9">
      <w:pPr>
        <w:pStyle w:val="ManualHeading2"/>
        <w:rPr>
          <w:b w:val="0"/>
          <w:noProof/>
        </w:rPr>
      </w:pPr>
      <w:r>
        <w:rPr>
          <w:b w:val="0"/>
          <w:noProof/>
        </w:rPr>
        <w:tab/>
        <w:t>1.4.</w:t>
      </w:r>
      <w:r>
        <w:rPr>
          <w:b w:val="0"/>
          <w:noProof/>
        </w:rPr>
        <w:tab/>
        <w:t xml:space="preserve">Objective(s) </w:t>
      </w:r>
    </w:p>
    <w:p w:rsidR="00926A0D" w:rsidRDefault="006023A9">
      <w:pPr>
        <w:pStyle w:val="ManualHeading2"/>
        <w:rPr>
          <w:b w:val="0"/>
          <w:noProof/>
        </w:rPr>
      </w:pPr>
      <w:r>
        <w:rPr>
          <w:b w:val="0"/>
          <w:noProof/>
        </w:rPr>
        <w:tab/>
        <w:t>1.5.</w:t>
      </w:r>
      <w:r>
        <w:rPr>
          <w:b w:val="0"/>
          <w:noProof/>
        </w:rPr>
        <w:tab/>
        <w:t xml:space="preserve">Grounds for the proposal/initiative </w:t>
      </w:r>
    </w:p>
    <w:p w:rsidR="00926A0D" w:rsidRDefault="006023A9">
      <w:pPr>
        <w:pStyle w:val="ManualHeading2"/>
        <w:rPr>
          <w:b w:val="0"/>
          <w:noProof/>
        </w:rPr>
      </w:pPr>
      <w:r>
        <w:rPr>
          <w:b w:val="0"/>
          <w:noProof/>
        </w:rPr>
        <w:tab/>
        <w:t>1.6.</w:t>
      </w:r>
      <w:r>
        <w:rPr>
          <w:b w:val="0"/>
          <w:noProof/>
        </w:rPr>
        <w:tab/>
        <w:t xml:space="preserve">Duration and financial impact </w:t>
      </w:r>
    </w:p>
    <w:p w:rsidR="00926A0D" w:rsidRDefault="006023A9">
      <w:pPr>
        <w:pStyle w:val="ManualHeading2"/>
        <w:rPr>
          <w:b w:val="0"/>
          <w:noProof/>
        </w:rPr>
      </w:pPr>
      <w:r>
        <w:rPr>
          <w:b w:val="0"/>
          <w:noProof/>
        </w:rPr>
        <w:tab/>
        <w:t>1.7.</w:t>
      </w:r>
      <w:r>
        <w:rPr>
          <w:b w:val="0"/>
          <w:noProof/>
        </w:rPr>
        <w:tab/>
        <w:t xml:space="preserve">Management mode(s) planned </w:t>
      </w:r>
    </w:p>
    <w:p w:rsidR="00926A0D" w:rsidRDefault="006023A9">
      <w:pPr>
        <w:pStyle w:val="ManualHeading1"/>
        <w:rPr>
          <w:noProof/>
        </w:rPr>
      </w:pPr>
      <w:r>
        <w:rPr>
          <w:noProof/>
        </w:rPr>
        <w:t>2.</w:t>
      </w:r>
      <w:r>
        <w:rPr>
          <w:noProof/>
        </w:rPr>
        <w:tab/>
        <w:t xml:space="preserve">MANAGEMENT MEASURES </w:t>
      </w:r>
    </w:p>
    <w:p w:rsidR="00926A0D" w:rsidRDefault="006023A9">
      <w:pPr>
        <w:pStyle w:val="ManualHeading2"/>
        <w:rPr>
          <w:b w:val="0"/>
          <w:noProof/>
        </w:rPr>
      </w:pPr>
      <w:r>
        <w:rPr>
          <w:b w:val="0"/>
          <w:noProof/>
        </w:rPr>
        <w:tab/>
        <w:t>2.1.</w:t>
      </w:r>
      <w:r>
        <w:rPr>
          <w:b w:val="0"/>
          <w:noProof/>
        </w:rPr>
        <w:tab/>
        <w:t xml:space="preserve">Monitoring and reporting rules </w:t>
      </w:r>
    </w:p>
    <w:p w:rsidR="00926A0D" w:rsidRDefault="006023A9">
      <w:pPr>
        <w:pStyle w:val="ManualHeading2"/>
        <w:rPr>
          <w:b w:val="0"/>
          <w:noProof/>
        </w:rPr>
      </w:pPr>
      <w:r>
        <w:rPr>
          <w:b w:val="0"/>
          <w:noProof/>
        </w:rPr>
        <w:tab/>
        <w:t>2.2.</w:t>
      </w:r>
      <w:r>
        <w:rPr>
          <w:b w:val="0"/>
          <w:noProof/>
        </w:rPr>
        <w:tab/>
        <w:t xml:space="preserve">Management and control system </w:t>
      </w:r>
    </w:p>
    <w:p w:rsidR="00926A0D" w:rsidRDefault="006023A9">
      <w:pPr>
        <w:pStyle w:val="ManualHeading2"/>
        <w:rPr>
          <w:b w:val="0"/>
          <w:noProof/>
        </w:rPr>
      </w:pPr>
      <w:r>
        <w:rPr>
          <w:b w:val="0"/>
          <w:noProof/>
        </w:rPr>
        <w:tab/>
        <w:t>2.3.</w:t>
      </w:r>
      <w:r>
        <w:rPr>
          <w:b w:val="0"/>
          <w:noProof/>
        </w:rPr>
        <w:tab/>
        <w:t xml:space="preserve">Measures to prevent fraud and irregularities </w:t>
      </w:r>
    </w:p>
    <w:p w:rsidR="00926A0D" w:rsidRDefault="006023A9">
      <w:pPr>
        <w:pStyle w:val="ManualHeading1"/>
        <w:rPr>
          <w:noProof/>
        </w:rPr>
      </w:pPr>
      <w:r>
        <w:rPr>
          <w:noProof/>
        </w:rPr>
        <w:t>3.</w:t>
      </w:r>
      <w:r>
        <w:rPr>
          <w:noProof/>
        </w:rPr>
        <w:tab/>
        <w:t xml:space="preserve">ESTIMATED FINANCIAL IMPACT OF THE PROPOSAL/INITIATIVE </w:t>
      </w:r>
    </w:p>
    <w:p w:rsidR="00926A0D" w:rsidRDefault="006023A9">
      <w:pPr>
        <w:pStyle w:val="ManualHeading2"/>
        <w:rPr>
          <w:b w:val="0"/>
          <w:noProof/>
        </w:rPr>
      </w:pPr>
      <w:r>
        <w:rPr>
          <w:b w:val="0"/>
          <w:noProof/>
        </w:rPr>
        <w:tab/>
        <w:t>3.1.</w:t>
      </w:r>
      <w:r>
        <w:rPr>
          <w:b w:val="0"/>
          <w:noProof/>
        </w:rPr>
        <w:tab/>
        <w:t xml:space="preserve">Heading(s) of the multiannual financial framework and expenditure budget line(s) affected </w:t>
      </w:r>
    </w:p>
    <w:p w:rsidR="00926A0D" w:rsidRDefault="006023A9">
      <w:pPr>
        <w:pStyle w:val="ManualHeading2"/>
        <w:rPr>
          <w:noProof/>
        </w:rPr>
      </w:pPr>
      <w:r>
        <w:rPr>
          <w:b w:val="0"/>
          <w:noProof/>
        </w:rPr>
        <w:tab/>
        <w:t>3.2.</w:t>
      </w:r>
      <w:r>
        <w:rPr>
          <w:b w:val="0"/>
          <w:noProof/>
        </w:rPr>
        <w:tab/>
        <w:t>Estimated impact on expenditure</w:t>
      </w:r>
      <w:r>
        <w:rPr>
          <w:noProof/>
        </w:rPr>
        <w:t xml:space="preserve"> </w:t>
      </w:r>
    </w:p>
    <w:p w:rsidR="00926A0D" w:rsidRDefault="006023A9">
      <w:pPr>
        <w:pStyle w:val="ManualHeading3"/>
        <w:rPr>
          <w:noProof/>
        </w:rPr>
      </w:pPr>
      <w:r>
        <w:rPr>
          <w:noProof/>
        </w:rPr>
        <w:tab/>
        <w:t>3.2.1.</w:t>
      </w:r>
      <w:r>
        <w:rPr>
          <w:noProof/>
        </w:rPr>
        <w:tab/>
        <w:t xml:space="preserve">Summary of estimated impact on expenditure </w:t>
      </w:r>
    </w:p>
    <w:p w:rsidR="00926A0D" w:rsidRDefault="006023A9">
      <w:pPr>
        <w:pStyle w:val="ManualHeading3"/>
        <w:rPr>
          <w:noProof/>
        </w:rPr>
      </w:pPr>
      <w:r>
        <w:rPr>
          <w:noProof/>
        </w:rPr>
        <w:tab/>
        <w:t>3.2.2.</w:t>
      </w:r>
      <w:r>
        <w:rPr>
          <w:noProof/>
        </w:rPr>
        <w:tab/>
        <w:t xml:space="preserve">Estimated impact on [body]'s appropriations </w:t>
      </w:r>
    </w:p>
    <w:p w:rsidR="00926A0D" w:rsidRDefault="006023A9">
      <w:pPr>
        <w:pStyle w:val="ManualHeading3"/>
        <w:rPr>
          <w:noProof/>
        </w:rPr>
      </w:pPr>
      <w:r>
        <w:rPr>
          <w:noProof/>
        </w:rPr>
        <w:tab/>
        <w:t>3.2.3.</w:t>
      </w:r>
      <w:r>
        <w:rPr>
          <w:noProof/>
        </w:rPr>
        <w:tab/>
        <w:t>Estimated impact on [body]'s human resources</w:t>
      </w:r>
    </w:p>
    <w:p w:rsidR="00926A0D" w:rsidRDefault="006023A9">
      <w:pPr>
        <w:pStyle w:val="ManualHeading3"/>
        <w:rPr>
          <w:noProof/>
        </w:rPr>
      </w:pPr>
      <w:r>
        <w:rPr>
          <w:noProof/>
        </w:rPr>
        <w:tab/>
        <w:t>3.2.4.</w:t>
      </w:r>
      <w:r>
        <w:rPr>
          <w:noProof/>
        </w:rPr>
        <w:tab/>
        <w:t>Compatibility with the current multiannual financial framework</w:t>
      </w:r>
    </w:p>
    <w:p w:rsidR="00926A0D" w:rsidRDefault="006023A9">
      <w:pPr>
        <w:pStyle w:val="ManualHeading3"/>
        <w:rPr>
          <w:noProof/>
        </w:rPr>
      </w:pPr>
      <w:r>
        <w:rPr>
          <w:noProof/>
        </w:rPr>
        <w:tab/>
        <w:t>3.2.5.</w:t>
      </w:r>
      <w:r>
        <w:rPr>
          <w:noProof/>
        </w:rPr>
        <w:tab/>
        <w:t xml:space="preserve">Third-party contributions </w:t>
      </w:r>
    </w:p>
    <w:p w:rsidR="00926A0D" w:rsidRDefault="006023A9">
      <w:pPr>
        <w:pStyle w:val="ManualHeading2"/>
        <w:jc w:val="left"/>
        <w:rPr>
          <w:b w:val="0"/>
          <w:noProof/>
        </w:rPr>
      </w:pPr>
      <w:r>
        <w:rPr>
          <w:b w:val="0"/>
          <w:noProof/>
        </w:rPr>
        <w:tab/>
        <w:t>3.3.</w:t>
      </w:r>
      <w:r>
        <w:rPr>
          <w:b w:val="0"/>
          <w:noProof/>
        </w:rPr>
        <w:tab/>
        <w:t>Estimated impact on revenue</w:t>
      </w:r>
    </w:p>
    <w:p w:rsidR="00926A0D" w:rsidRDefault="00926A0D">
      <w:pPr>
        <w:rPr>
          <w:noProof/>
        </w:rPr>
        <w:sectPr w:rsidR="00926A0D" w:rsidSect="00211F8F">
          <w:pgSz w:w="12240" w:h="15840"/>
          <w:pgMar w:top="794" w:right="907" w:bottom="851" w:left="1361" w:header="510" w:footer="454" w:gutter="0"/>
          <w:cols w:space="720"/>
          <w:docGrid w:linePitch="326"/>
        </w:sectPr>
      </w:pPr>
    </w:p>
    <w:p w:rsidR="00926A0D" w:rsidRDefault="006023A9">
      <w:pPr>
        <w:jc w:val="center"/>
        <w:rPr>
          <w:noProof/>
        </w:rPr>
      </w:pPr>
      <w:r>
        <w:rPr>
          <w:b/>
          <w:noProof/>
          <w:u w:val="single"/>
        </w:rPr>
        <w:lastRenderedPageBreak/>
        <w:t>LEGISLATIVE FINANCIAL STATEMENT</w:t>
      </w:r>
    </w:p>
    <w:p w:rsidR="00926A0D" w:rsidRDefault="003312D8">
      <w:pPr>
        <w:pStyle w:val="ManualHeading1"/>
        <w:rPr>
          <w:noProof/>
        </w:rPr>
      </w:pPr>
      <w:r>
        <w:t>1</w:t>
      </w:r>
      <w:r w:rsidR="006023A9">
        <w:t>.</w:t>
      </w:r>
      <w:r w:rsidR="006023A9">
        <w:tab/>
      </w:r>
      <w:r w:rsidR="006023A9">
        <w:rPr>
          <w:noProof/>
        </w:rPr>
        <w:t xml:space="preserve">FRAMEWORK OF THE PROPOSAL/INITIATIVE </w:t>
      </w:r>
    </w:p>
    <w:p w:rsidR="00926A0D" w:rsidRDefault="003312D8">
      <w:pPr>
        <w:pStyle w:val="ManualHeading2"/>
        <w:rPr>
          <w:noProof/>
        </w:rPr>
      </w:pPr>
      <w:r>
        <w:t>1</w:t>
      </w:r>
      <w:r w:rsidR="006023A9">
        <w:t>.1.</w:t>
      </w:r>
      <w:r w:rsidR="006023A9">
        <w:tab/>
      </w:r>
      <w:r w:rsidR="006023A9">
        <w:rPr>
          <w:noProof/>
        </w:rPr>
        <w:t xml:space="preserve">Title of the proposal/initiative </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REGULATION (EU) OF THE EUROPEAN PARLIAMENT AND OF THE COUNCIL on the Governance of the Energy Union</w:t>
      </w:r>
    </w:p>
    <w:p w:rsidR="00926A0D" w:rsidRDefault="003312D8">
      <w:pPr>
        <w:pStyle w:val="ManualHeading2"/>
        <w:rPr>
          <w:noProof/>
          <w:szCs w:val="24"/>
        </w:rPr>
      </w:pPr>
      <w:r>
        <w:t>1</w:t>
      </w:r>
      <w:r w:rsidR="006023A9">
        <w:t>.2.</w:t>
      </w:r>
      <w:r w:rsidR="006023A9">
        <w:tab/>
      </w:r>
      <w:r w:rsidR="006023A9">
        <w:rPr>
          <w:noProof/>
        </w:rPr>
        <w:t>Policy area(s) concerned in the ABM/ABB structure</w:t>
      </w:r>
      <w:r w:rsidR="006023A9">
        <w:rPr>
          <w:rStyle w:val="FootnoteReference"/>
          <w:noProof/>
        </w:rPr>
        <w:footnoteReference w:id="57"/>
      </w:r>
      <w:r w:rsidR="006023A9">
        <w:rPr>
          <w:i/>
          <w:noProof/>
        </w:rPr>
        <w:t xml:space="preserve"> </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32: Energy</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34: Climate action</w:t>
      </w:r>
      <w:r>
        <w:rPr>
          <w:noProof/>
          <w:highlight w:val="yellow"/>
        </w:rPr>
        <w:t xml:space="preserve"> </w:t>
      </w:r>
    </w:p>
    <w:p w:rsidR="00926A0D" w:rsidRDefault="003312D8">
      <w:pPr>
        <w:pStyle w:val="ManualHeading2"/>
        <w:rPr>
          <w:bCs/>
          <w:noProof/>
          <w:szCs w:val="24"/>
        </w:rPr>
      </w:pPr>
      <w:r>
        <w:t>1</w:t>
      </w:r>
      <w:r w:rsidR="006023A9">
        <w:t>.3.</w:t>
      </w:r>
      <w:r w:rsidR="006023A9">
        <w:tab/>
      </w:r>
      <w:r w:rsidR="006023A9">
        <w:rPr>
          <w:noProof/>
        </w:rPr>
        <w:t xml:space="preserve">Nature of the proposal/initiative </w:t>
      </w:r>
    </w:p>
    <w:p w:rsidR="00926A0D" w:rsidRDefault="006023A9">
      <w:pPr>
        <w:pStyle w:val="Text1"/>
        <w:rPr>
          <w:b/>
          <w:noProof/>
          <w:sz w:val="22"/>
        </w:rPr>
      </w:pPr>
      <w:r>
        <w:rPr>
          <w:noProof/>
          <w:sz w:val="22"/>
        </w:rPr>
        <w:sym w:font="Wingdings" w:char="F0FE"/>
      </w:r>
      <w:r>
        <w:rPr>
          <w:b/>
          <w:i/>
          <w:noProof/>
          <w:sz w:val="22"/>
        </w:rPr>
        <w:t xml:space="preserve"> </w:t>
      </w:r>
      <w:r>
        <w:rPr>
          <w:noProof/>
        </w:rPr>
        <w:t xml:space="preserve">The proposal/initiative relates to </w:t>
      </w:r>
      <w:r>
        <w:rPr>
          <w:b/>
          <w:noProof/>
        </w:rPr>
        <w:t>a new action</w:t>
      </w:r>
      <w:r>
        <w:rPr>
          <w:b/>
          <w:noProof/>
          <w:sz w:val="22"/>
        </w:rPr>
        <w:t xml:space="preserve"> </w:t>
      </w:r>
    </w:p>
    <w:p w:rsidR="00926A0D" w:rsidRDefault="006023A9">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b/>
          <w:noProof/>
        </w:rPr>
        <w:footnoteReference w:id="58"/>
      </w:r>
      <w:r>
        <w:rPr>
          <w:noProof/>
          <w:sz w:val="22"/>
        </w:rPr>
        <w:t xml:space="preserve"> </w:t>
      </w:r>
    </w:p>
    <w:p w:rsidR="00926A0D" w:rsidRDefault="006023A9">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rsidR="00926A0D" w:rsidRDefault="006023A9">
      <w:pPr>
        <w:pStyle w:val="Text1"/>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rsidR="00926A0D" w:rsidRDefault="003312D8">
      <w:pPr>
        <w:pStyle w:val="ManualHeading2"/>
        <w:rPr>
          <w:bCs/>
          <w:noProof/>
          <w:szCs w:val="24"/>
        </w:rPr>
      </w:pPr>
      <w:r>
        <w:t>1</w:t>
      </w:r>
      <w:r w:rsidR="006023A9">
        <w:t>.4.</w:t>
      </w:r>
      <w:r w:rsidR="006023A9">
        <w:tab/>
      </w:r>
      <w:r w:rsidR="006023A9">
        <w:rPr>
          <w:noProof/>
        </w:rPr>
        <w:t>Objective(s)</w:t>
      </w:r>
    </w:p>
    <w:p w:rsidR="00926A0D" w:rsidRDefault="003312D8">
      <w:pPr>
        <w:pStyle w:val="ManualHeading3"/>
        <w:rPr>
          <w:noProof/>
        </w:rPr>
      </w:pPr>
      <w:r>
        <w:t>1</w:t>
      </w:r>
      <w:r w:rsidR="006023A9">
        <w:t>.4.1.</w:t>
      </w:r>
      <w:r w:rsidR="006023A9">
        <w:tab/>
      </w:r>
      <w:r w:rsidR="006023A9">
        <w:rPr>
          <w:noProof/>
        </w:rPr>
        <w:t xml:space="preserve">The Commission's multiannual strategic objective(s) targeted by the proposal/initiative </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 xml:space="preserve">The proposed Regulation aims at ensuring a coordinated and coherent implementation of the Energy Union Strategy across its five dimensions, as well as the collective achievement of the Energy Union objectives through a combination of EU and national measures on the basis of streamlined planning, reporting and monitoring obligations and a functional governance process between the Commission and Member States. </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The setting up of an Energy Union is part of the Commission's ten political priorities, and this proposal is an important element of the Strategic Framework for the Energy Union.</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The proposal is jointly prepared by DG Energy and DG Climate Action</w:t>
      </w:r>
      <w:r w:rsidR="00B83D62">
        <w:rPr>
          <w:noProof/>
        </w:rPr>
        <w:t>.</w:t>
      </w:r>
    </w:p>
    <w:p w:rsidR="00926A0D" w:rsidRDefault="00926A0D">
      <w:pPr>
        <w:pStyle w:val="Text1"/>
        <w:pBdr>
          <w:top w:val="single" w:sz="4" w:space="1" w:color="auto"/>
          <w:left w:val="single" w:sz="4" w:space="4" w:color="auto"/>
          <w:bottom w:val="single" w:sz="4" w:space="1" w:color="auto"/>
          <w:right w:val="single" w:sz="4" w:space="4" w:color="auto"/>
        </w:pBdr>
        <w:rPr>
          <w:noProof/>
        </w:rPr>
      </w:pPr>
    </w:p>
    <w:p w:rsidR="00926A0D" w:rsidRDefault="003312D8">
      <w:pPr>
        <w:pStyle w:val="ManualHeading3"/>
        <w:rPr>
          <w:bCs/>
          <w:noProof/>
          <w:szCs w:val="24"/>
        </w:rPr>
      </w:pPr>
      <w:r>
        <w:t>1</w:t>
      </w:r>
      <w:r w:rsidR="006023A9">
        <w:t>.4.2.</w:t>
      </w:r>
      <w:r w:rsidR="006023A9">
        <w:tab/>
      </w:r>
      <w:r w:rsidR="006023A9">
        <w:rPr>
          <w:noProof/>
        </w:rPr>
        <w:t xml:space="preserve">Specific objective(s) and ABM/ABB activity(ies) concerned </w:t>
      </w:r>
    </w:p>
    <w:p w:rsidR="00926A0D" w:rsidRDefault="006023A9">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For DG Energy: Specific Objective 6: Implementation and follow-up on the overall Energy Union Strategy.</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For DG Climate Action: For DG Climate Action: Specific objective 6: Implementation of the Energy Union Strategy towards an enhanced climate and energy governance mechanism including streamlined reporting and planning post 2020 (coordination with DG ENER)</w:t>
      </w:r>
      <w:r w:rsidR="00B83D62">
        <w:rPr>
          <w:noProof/>
        </w:rPr>
        <w:t>.</w:t>
      </w:r>
    </w:p>
    <w:p w:rsidR="00926A0D" w:rsidRDefault="006023A9">
      <w:pPr>
        <w:pStyle w:val="Text1"/>
        <w:pBdr>
          <w:top w:val="single" w:sz="4" w:space="1" w:color="auto"/>
          <w:left w:val="single" w:sz="4" w:space="4" w:color="auto"/>
          <w:bottom w:val="single" w:sz="4" w:space="1" w:color="auto"/>
          <w:right w:val="single" w:sz="4" w:space="4" w:color="auto"/>
        </w:pBdr>
        <w:rPr>
          <w:noProof/>
          <w:u w:val="single"/>
        </w:rPr>
      </w:pPr>
      <w:r>
        <w:rPr>
          <w:noProof/>
          <w:u w:val="single"/>
        </w:rPr>
        <w:lastRenderedPageBreak/>
        <w:t>ABM/ABB activity(ies) concerned</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Spending of DG Energy is taking place through ABB activity 32.02 Conventional and Renewable Energy (or ABB1: Conventional and Renewable Energy).</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 xml:space="preserve">In the 2016 Management Plan and in line with the new structure of specific objectives following the Energy Union, ABB 1 contributes to all 6 specific objectives including the competitiveness aspects of specific objective 5. </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 xml:space="preserve">For DG CLIMA it is under activity ABB Activity 34 02 – "Climate action at Union and international level. </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The proposal also concerns Strategic area 1.3 of the European Environment Agency’s Multiannual Work Programme: “Informing policy implementation on climate change mitigation and energy”, as well as Strategic area 3.2 “Technical systems development”.</w:t>
      </w:r>
    </w:p>
    <w:p w:rsidR="00926A0D" w:rsidRDefault="003312D8">
      <w:pPr>
        <w:pStyle w:val="ManualHeading3"/>
        <w:rPr>
          <w:noProof/>
        </w:rPr>
      </w:pPr>
      <w:r>
        <w:t>1</w:t>
      </w:r>
      <w:r w:rsidR="006023A9">
        <w:t>.4.3.</w:t>
      </w:r>
      <w:r w:rsidR="006023A9">
        <w:tab/>
      </w:r>
      <w:r w:rsidR="006023A9">
        <w:rPr>
          <w:noProof/>
        </w:rPr>
        <w:t>Expected result(s) and impact</w:t>
      </w:r>
    </w:p>
    <w:p w:rsidR="00926A0D" w:rsidRDefault="006023A9">
      <w:pPr>
        <w:pStyle w:val="Text1"/>
        <w:rPr>
          <w:i/>
          <w:noProof/>
          <w:sz w:val="20"/>
        </w:rPr>
      </w:pPr>
      <w:r>
        <w:rPr>
          <w:i/>
          <w:noProof/>
          <w:sz w:val="20"/>
        </w:rPr>
        <w:t>Specify the effects which the proposal/initiative should have on the beneficiaries/groups targeted.</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The Integrated National Energy and Climate Plans and corresponding Progress Reports should minimise administrative burden for the Member States and the Commission, while improving the quality of information and transparency, ensuring a timely implementation and monitoring of the Energy Union objectives, as well as improving inter-linkages and synergies between the energy and climate fields.</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Streamlining existing planning, reporting obligations of Member States and monitoring obligations of the Commission would improve the situation for all stakeholders in line with the Better Regulation principles of effectiveness, efficiency, EU added value, relevance and coherence.</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Furthermore, this proposal will specify the content and adequate periodicity of National Plans, Progress Reports and integrated monitoring by the Commission, as well as the related governance process between the Member States and the Commission including regional coordination. It aims at synchronising with the Paris Climate Agreement's 5-year review cycles.</w:t>
      </w:r>
    </w:p>
    <w:p w:rsidR="00926A0D" w:rsidRDefault="003312D8">
      <w:pPr>
        <w:pStyle w:val="ManualHeading3"/>
        <w:rPr>
          <w:bCs/>
          <w:noProof/>
          <w:szCs w:val="24"/>
        </w:rPr>
      </w:pPr>
      <w:r>
        <w:t>1</w:t>
      </w:r>
      <w:r w:rsidR="006023A9">
        <w:t>.4.4.</w:t>
      </w:r>
      <w:r w:rsidR="006023A9">
        <w:tab/>
      </w:r>
      <w:r w:rsidR="006023A9">
        <w:rPr>
          <w:noProof/>
        </w:rPr>
        <w:t xml:space="preserve">Indicators of results and impact </w:t>
      </w:r>
    </w:p>
    <w:p w:rsidR="00926A0D" w:rsidRDefault="006023A9">
      <w:pPr>
        <w:pStyle w:val="Text1"/>
        <w:rPr>
          <w:i/>
          <w:noProof/>
          <w:sz w:val="20"/>
        </w:rPr>
      </w:pPr>
      <w:r>
        <w:rPr>
          <w:i/>
          <w:noProof/>
          <w:sz w:val="20"/>
        </w:rPr>
        <w:t>Specify the indicators for monitoring implementation of the proposal/initiative.</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The implementation of the proposal should ensure transparent information on the progress of Member States and of the EU collectively towards the Energy Union objectives for 2030 and beyond and provide a governance framework that is suitable for the implementation of the Energy Union Strategy.</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Indicator for the implementation of the proposal is: Number of Member States that provide integrated plans, biennial progress reports and annual reports in time (as specified in the Regulation).</w:t>
      </w:r>
    </w:p>
    <w:p w:rsidR="00926A0D" w:rsidRDefault="003312D8">
      <w:pPr>
        <w:pStyle w:val="ManualHeading2"/>
        <w:rPr>
          <w:bCs/>
          <w:noProof/>
          <w:szCs w:val="24"/>
        </w:rPr>
      </w:pPr>
      <w:r>
        <w:t>1</w:t>
      </w:r>
      <w:r w:rsidR="006023A9">
        <w:t>.5.</w:t>
      </w:r>
      <w:r w:rsidR="006023A9">
        <w:tab/>
      </w:r>
      <w:r w:rsidR="006023A9">
        <w:rPr>
          <w:noProof/>
        </w:rPr>
        <w:t xml:space="preserve">Grounds for the proposal/initiative </w:t>
      </w:r>
    </w:p>
    <w:p w:rsidR="00926A0D" w:rsidRDefault="003312D8">
      <w:pPr>
        <w:pStyle w:val="ManualHeading3"/>
        <w:rPr>
          <w:noProof/>
        </w:rPr>
      </w:pPr>
      <w:r>
        <w:t>1</w:t>
      </w:r>
      <w:r w:rsidR="006023A9">
        <w:t>.5.1.</w:t>
      </w:r>
      <w:r w:rsidR="006023A9">
        <w:tab/>
      </w:r>
      <w:r w:rsidR="006023A9">
        <w:rPr>
          <w:noProof/>
        </w:rPr>
        <w:t xml:space="preserve">Requirement(s) to be met in the short or long term </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 xml:space="preserve">Member States would have to submit less national plans and reports required by different sectorial legal instruments, but instead should submit integrated plans and reports to the Commission at regular intervals. On the basis of the information </w:t>
      </w:r>
      <w:r>
        <w:rPr>
          <w:noProof/>
        </w:rPr>
        <w:lastRenderedPageBreak/>
        <w:t xml:space="preserve">provided by the Member States, the Commission should produce the necessary monitoring reports.  </w:t>
      </w:r>
    </w:p>
    <w:p w:rsidR="00926A0D" w:rsidRDefault="00926A0D">
      <w:pPr>
        <w:pStyle w:val="Text1"/>
        <w:pBdr>
          <w:top w:val="single" w:sz="4" w:space="1" w:color="auto"/>
          <w:left w:val="single" w:sz="4" w:space="4" w:color="auto"/>
          <w:bottom w:val="single" w:sz="4" w:space="1" w:color="auto"/>
          <w:right w:val="single" w:sz="4" w:space="4" w:color="auto"/>
        </w:pBdr>
        <w:rPr>
          <w:noProof/>
        </w:rPr>
      </w:pPr>
    </w:p>
    <w:p w:rsidR="00926A0D" w:rsidRDefault="003312D8">
      <w:pPr>
        <w:pStyle w:val="ManualHeading3"/>
        <w:rPr>
          <w:bCs/>
          <w:noProof/>
          <w:szCs w:val="24"/>
        </w:rPr>
      </w:pPr>
      <w:r>
        <w:t>1</w:t>
      </w:r>
      <w:r w:rsidR="006023A9">
        <w:t>.5.2.</w:t>
      </w:r>
      <w:r w:rsidR="006023A9">
        <w:tab/>
      </w:r>
      <w:r w:rsidR="006023A9">
        <w:rPr>
          <w:noProof/>
        </w:rPr>
        <w:t>Added value of EU involvement</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 xml:space="preserve">First, having in mind that several elements of the Energy Union Strategy relate to objectives set at the EU level, action at EU level is needed to ensure the attainment of these objectives as well as coherence of energy and climate policies within the EU and across its Member States, while preserving flexibility for Member States. </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Moreover, the majority of the energy challenges facing the Union cannot be met through uncoordinated national action. The same holds true for climate change, which by its nature is a trans-boundary problem and cannot be solved by national or local action alone. Therefore, coordination of climate action at both European and global level is necessary. Consequently, EU action is justified to monitor the progress of implementation of energy and climate policies across the EU in line with the Energy Union objectives as well as the functioning of the internal energy market.</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Second, because of the cross-border relevance of each dimension of the Energy Union, EU action is needed to further promote enhanced cooperation among Member States. None of the Energy Union dimensions could be effectively implemented in the absence of an EU governance process between Member States and the Commission which will also ensure a more regional approach to energy and climate policy. It is also necessary to create the enabling framework to ensure that the EU is ready to participate fully in the review processes under the Paris Agreement, ensuring maximum synchronisation and synergies.</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Third, EU action is justified for the initiative's objective of streamlining existing planning, reporting and monitoring obligations, as existing EU legislation in the energy acquis as well as the Monitoring Mechanism Regulation can only be amended by means of legislative proposals in order to reduce the administrative burden for Member States and the Commission and enhance the coherence of planning and reporting as well as to ensure comparability of National Plans and Progress Reports.</w:t>
      </w:r>
    </w:p>
    <w:p w:rsidR="00926A0D" w:rsidRDefault="003312D8">
      <w:pPr>
        <w:pStyle w:val="ManualHeading3"/>
        <w:rPr>
          <w:bCs/>
          <w:noProof/>
          <w:szCs w:val="24"/>
        </w:rPr>
      </w:pPr>
      <w:r>
        <w:t>1</w:t>
      </w:r>
      <w:r w:rsidR="006023A9">
        <w:t>.5.3.</w:t>
      </w:r>
      <w:r w:rsidR="006023A9">
        <w:tab/>
      </w:r>
      <w:r w:rsidR="006023A9">
        <w:rPr>
          <w:noProof/>
        </w:rPr>
        <w:t>Lessons learned from similar experiences in the past</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 xml:space="preserve">Most of the current planning, reporting and monitoring obligations provide benefits in terms of useful information on a specific policy area and support the implementation of specific policy objectives set out in sectorial legislation. The current reporting obligations on the Commission ensure that the Commission informs the European Parliament, the Council and the general public about the results achieved by EU legislation and the progress made by the EU and its Member States in fulfilling their respective obligations under international commiments under the UNFCCC. </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However, the existing framework is unsuitable for the 2030 targets for energy and climate and Energy Union objectives, as it fails to ensure policy coherence among obligations in the energy field and consistency between the energy and climate fields. Furthermore, some of the current plans and reports are seen as having high administrative costs.</w:t>
      </w:r>
    </w:p>
    <w:p w:rsidR="00926A0D" w:rsidRDefault="003312D8">
      <w:pPr>
        <w:pStyle w:val="ManualHeading3"/>
        <w:rPr>
          <w:noProof/>
        </w:rPr>
      </w:pPr>
      <w:r>
        <w:lastRenderedPageBreak/>
        <w:t>1</w:t>
      </w:r>
      <w:r w:rsidR="006023A9">
        <w:t>.5.4.</w:t>
      </w:r>
      <w:r w:rsidR="006023A9">
        <w:tab/>
      </w:r>
      <w:r w:rsidR="006023A9">
        <w:rPr>
          <w:noProof/>
        </w:rPr>
        <w:t>Compatibility and possible synergy with other appropriate instruments</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 xml:space="preserve">The proposal is consistent with the review of Directive 2009/28/EC (Renewable Energy Directive), of Directive 2010/31/EU (Energy Performance of Buildings Directive), of Directive 2012/27/EU (Energy Efficiency Directive) and with the Market Design Initiative. </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 xml:space="preserve">It is also consistent with the Decision </w:t>
      </w:r>
      <w:r w:rsidR="00061188">
        <w:rPr>
          <w:noProof/>
        </w:rPr>
        <w:t xml:space="preserve">No </w:t>
      </w:r>
      <w:r>
        <w:rPr>
          <w:noProof/>
        </w:rPr>
        <w:t xml:space="preserve">406/2009 EC (Effort Sharing Decision – valid 2013-20), its proposed successor for the period 2021-30, COM(2016) 482 final </w:t>
      </w:r>
      <w:r w:rsidR="00B921D1">
        <w:rPr>
          <w:noProof/>
        </w:rPr>
        <w:t xml:space="preserve">- 2016/0231 (COD) </w:t>
      </w:r>
      <w:r>
        <w:rPr>
          <w:noProof/>
        </w:rPr>
        <w:t xml:space="preserve">(Proposal for </w:t>
      </w:r>
      <w:r w:rsidR="00B921D1">
        <w:rPr>
          <w:noProof/>
        </w:rPr>
        <w:t>a</w:t>
      </w:r>
      <w:r>
        <w:rPr>
          <w:noProof/>
        </w:rPr>
        <w:t xml:space="preserve"> Regulation</w:t>
      </w:r>
      <w:r w:rsidR="00B921D1">
        <w:rPr>
          <w:noProof/>
        </w:rPr>
        <w:t xml:space="preserve"> on binding annual greenhouse gas emission reductions by Member States from 2021 to 2030 for  a resilient Energy Union and to meet commitments under the Paris Agreement and amending Regulation</w:t>
      </w:r>
      <w:r w:rsidR="0043450B">
        <w:rPr>
          <w:noProof/>
        </w:rPr>
        <w:t xml:space="preserve"> </w:t>
      </w:r>
      <w:r w:rsidR="00B921D1">
        <w:rPr>
          <w:noProof/>
        </w:rPr>
        <w:t>No 525/2013 of the European Parliament and the Council on a mechanism for monitoring and reporting greenhouse gas emissions and other information relevant to climate change</w:t>
      </w:r>
      <w:r>
        <w:rPr>
          <w:noProof/>
        </w:rPr>
        <w:t>), as well as the LULUCF Proposal</w:t>
      </w:r>
      <w:r w:rsidR="00B921D1">
        <w:rPr>
          <w:noProof/>
        </w:rPr>
        <w:t xml:space="preserve">, COM(2016) 479 final - 2016/0230 (COD) (Proposal for a Regulation on the inclusion of greenhouse gas emissions and removals from land use, land use change and forestry into the 2030 climate and energy framework and amending Regulation </w:t>
      </w:r>
      <w:r w:rsidR="0043450B">
        <w:rPr>
          <w:noProof/>
        </w:rPr>
        <w:t xml:space="preserve"> </w:t>
      </w:r>
      <w:r w:rsidR="00B921D1">
        <w:rPr>
          <w:noProof/>
        </w:rPr>
        <w:t>No 525/2013 of the European Parliament and the Council on a mechanism for monitoring and reporting greenhouse gas emissions and other information relevant to climate change)</w:t>
      </w:r>
      <w:r>
        <w:rPr>
          <w:noProof/>
        </w:rPr>
        <w:t>. These initiatives aim at establishing a post-2020 sector-specific legal framework, while the current proposal shall establish the overall governance framework for reaching the Energy Union objectives.</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It is also consistent with Directive 2009/31/EC on the geological storage of carbon dioxide.</w:t>
      </w:r>
    </w:p>
    <w:p w:rsidR="00926A0D" w:rsidRDefault="006023A9">
      <w:pPr>
        <w:pStyle w:val="ManualHeading2"/>
        <w:rPr>
          <w:bCs/>
          <w:noProof/>
          <w:szCs w:val="24"/>
        </w:rPr>
      </w:pPr>
      <w:r>
        <w:rPr>
          <w:noProof/>
        </w:rPr>
        <w:br w:type="page"/>
      </w:r>
      <w:r w:rsidR="003312D8">
        <w:lastRenderedPageBreak/>
        <w:t>1</w:t>
      </w:r>
      <w:r>
        <w:t>.6.</w:t>
      </w:r>
      <w:r>
        <w:tab/>
      </w:r>
      <w:r>
        <w:rPr>
          <w:noProof/>
        </w:rPr>
        <w:t xml:space="preserve">Duration and financial impact </w:t>
      </w:r>
    </w:p>
    <w:p w:rsidR="00926A0D" w:rsidRDefault="006023A9">
      <w:pPr>
        <w:pStyle w:val="Text1"/>
        <w:rPr>
          <w:noProof/>
        </w:rPr>
      </w:pPr>
      <w:r>
        <w:rPr>
          <w:noProof/>
        </w:rPr>
        <w:sym w:font="Wingdings" w:char="F0A8"/>
      </w:r>
      <w:r>
        <w:rPr>
          <w:b/>
          <w:i/>
          <w:noProof/>
        </w:rPr>
        <w:t xml:space="preserve"> </w:t>
      </w:r>
      <w:r>
        <w:rPr>
          <w:noProof/>
        </w:rPr>
        <w:t xml:space="preserve">Proposal/initiative of </w:t>
      </w:r>
      <w:r>
        <w:rPr>
          <w:b/>
          <w:noProof/>
        </w:rPr>
        <w:t xml:space="preserve">limited duration </w:t>
      </w:r>
    </w:p>
    <w:p w:rsidR="00926A0D" w:rsidRDefault="006023A9">
      <w:pPr>
        <w:pStyle w:val="ListDash2"/>
        <w:rPr>
          <w:noProof/>
        </w:rPr>
      </w:pPr>
      <w:r>
        <w:rPr>
          <w:noProof/>
        </w:rPr>
        <w:sym w:font="Wingdings" w:char="F0A8"/>
      </w:r>
      <w:r>
        <w:rPr>
          <w:noProof/>
        </w:rPr>
        <w:tab/>
        <w:t xml:space="preserve">Proposal/initiative in effect from [DD/MM]YYYY to [DD/MM]YYYY </w:t>
      </w:r>
    </w:p>
    <w:p w:rsidR="00926A0D" w:rsidRDefault="006023A9">
      <w:pPr>
        <w:pStyle w:val="ListDash2"/>
        <w:rPr>
          <w:noProof/>
        </w:rPr>
      </w:pPr>
      <w:r>
        <w:rPr>
          <w:noProof/>
        </w:rPr>
        <w:sym w:font="Wingdings" w:char="F0A8"/>
      </w:r>
      <w:r>
        <w:rPr>
          <w:noProof/>
        </w:rPr>
        <w:tab/>
        <w:t xml:space="preserve">Financial impact from YYYY to YYYY </w:t>
      </w:r>
    </w:p>
    <w:p w:rsidR="00926A0D" w:rsidRDefault="006023A9">
      <w:pPr>
        <w:pStyle w:val="Text1"/>
        <w:rPr>
          <w:noProof/>
        </w:rPr>
      </w:pPr>
      <w:r>
        <w:rPr>
          <w:noProof/>
        </w:rPr>
        <w:sym w:font="Wingdings" w:char="F0FE"/>
      </w:r>
      <w:r>
        <w:rPr>
          <w:b/>
          <w:i/>
          <w:noProof/>
        </w:rPr>
        <w:t xml:space="preserve"> </w:t>
      </w:r>
      <w:r>
        <w:rPr>
          <w:noProof/>
        </w:rPr>
        <w:t xml:space="preserve">Proposal/initiative of </w:t>
      </w:r>
      <w:r>
        <w:rPr>
          <w:b/>
          <w:noProof/>
        </w:rPr>
        <w:t>unlimited duration</w:t>
      </w:r>
    </w:p>
    <w:p w:rsidR="00926A0D" w:rsidRDefault="006023A9">
      <w:pPr>
        <w:pStyle w:val="ListDash1"/>
        <w:rPr>
          <w:noProof/>
        </w:rPr>
      </w:pPr>
      <w:r>
        <w:rPr>
          <w:noProof/>
        </w:rPr>
        <w:t>Implementation with a start-up period from 2018 for unlimited duration,</w:t>
      </w:r>
    </w:p>
    <w:p w:rsidR="00926A0D" w:rsidRDefault="006023A9">
      <w:pPr>
        <w:pStyle w:val="ListDash1"/>
        <w:rPr>
          <w:noProof/>
        </w:rPr>
      </w:pPr>
      <w:r>
        <w:rPr>
          <w:noProof/>
        </w:rPr>
        <w:t>followed by full-scale operation.</w:t>
      </w:r>
    </w:p>
    <w:p w:rsidR="00926A0D" w:rsidRDefault="003312D8">
      <w:pPr>
        <w:pStyle w:val="ManualHeading2"/>
        <w:rPr>
          <w:bCs/>
          <w:noProof/>
          <w:szCs w:val="24"/>
        </w:rPr>
      </w:pPr>
      <w:r>
        <w:t>1</w:t>
      </w:r>
      <w:r w:rsidR="006023A9">
        <w:t>.7.</w:t>
      </w:r>
      <w:r w:rsidR="006023A9">
        <w:tab/>
      </w:r>
      <w:r w:rsidR="006023A9">
        <w:rPr>
          <w:noProof/>
        </w:rPr>
        <w:t>Management mode(s) planned</w:t>
      </w:r>
      <w:r w:rsidR="006023A9">
        <w:rPr>
          <w:rStyle w:val="FootnoteReference"/>
          <w:noProof/>
        </w:rPr>
        <w:footnoteReference w:id="59"/>
      </w:r>
      <w:r w:rsidR="006023A9">
        <w:rPr>
          <w:rStyle w:val="FootnoteReference"/>
          <w:noProof/>
        </w:rPr>
        <w:t xml:space="preserve"> </w:t>
      </w:r>
    </w:p>
    <w:p w:rsidR="00926A0D" w:rsidRDefault="006023A9">
      <w:pPr>
        <w:pStyle w:val="Text1"/>
        <w:rPr>
          <w:noProof/>
        </w:rPr>
      </w:pPr>
      <w:r>
        <w:rPr>
          <w:noProof/>
        </w:rPr>
        <w:sym w:font="Wingdings" w:char="F0FE"/>
      </w:r>
      <w:r>
        <w:rPr>
          <w:i/>
          <w:noProof/>
        </w:rPr>
        <w:t xml:space="preserve"> </w:t>
      </w:r>
      <w:r>
        <w:rPr>
          <w:b/>
          <w:noProof/>
        </w:rPr>
        <w:t>Direct management</w:t>
      </w:r>
      <w:r>
        <w:rPr>
          <w:noProof/>
        </w:rPr>
        <w:t xml:space="preserve"> by the Commission</w:t>
      </w:r>
    </w:p>
    <w:p w:rsidR="00926A0D" w:rsidRDefault="006023A9">
      <w:pPr>
        <w:pStyle w:val="ListDash2"/>
        <w:rPr>
          <w:rFonts w:cs="EUAlbertina"/>
          <w:noProof/>
        </w:rPr>
      </w:pPr>
      <w:r>
        <w:rPr>
          <w:noProof/>
        </w:rPr>
        <w:sym w:font="Wingdings" w:char="F0FE"/>
      </w:r>
      <w:r>
        <w:rPr>
          <w:noProof/>
        </w:rPr>
        <w:t xml:space="preserve"> by its departments, including by its staff in the Union delegations; </w:t>
      </w:r>
    </w:p>
    <w:p w:rsidR="00926A0D" w:rsidRDefault="006023A9">
      <w:pPr>
        <w:pStyle w:val="ListDash2"/>
        <w:rPr>
          <w:noProof/>
        </w:rPr>
      </w:pPr>
      <w:r>
        <w:rPr>
          <w:noProof/>
        </w:rPr>
        <w:tab/>
        <w:t xml:space="preserve">by the executive agencies </w:t>
      </w:r>
    </w:p>
    <w:p w:rsidR="00926A0D" w:rsidRDefault="006023A9">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rsidR="00926A0D" w:rsidRDefault="006023A9">
      <w:pPr>
        <w:pStyle w:val="Text1"/>
        <w:rPr>
          <w:noProof/>
        </w:rPr>
      </w:pPr>
      <w:r>
        <w:rPr>
          <w:noProof/>
        </w:rPr>
        <w:t>x</w:t>
      </w:r>
      <w:r>
        <w:rPr>
          <w:i/>
          <w:noProof/>
        </w:rPr>
        <w:t xml:space="preserve"> </w:t>
      </w:r>
      <w:r>
        <w:rPr>
          <w:b/>
          <w:noProof/>
        </w:rPr>
        <w:t>Indirect management</w:t>
      </w:r>
      <w:r>
        <w:rPr>
          <w:noProof/>
        </w:rPr>
        <w:t xml:space="preserve"> by entrusting budget implementation tasks to:</w:t>
      </w:r>
    </w:p>
    <w:p w:rsidR="00926A0D" w:rsidRDefault="006023A9">
      <w:pPr>
        <w:pStyle w:val="ListDash2"/>
        <w:rPr>
          <w:noProof/>
        </w:rPr>
      </w:pPr>
      <w:r>
        <w:rPr>
          <w:noProof/>
        </w:rPr>
        <w:sym w:font="Wingdings" w:char="F0A8"/>
      </w:r>
      <w:r>
        <w:rPr>
          <w:noProof/>
        </w:rPr>
        <w:t xml:space="preserve"> third countries or the bodies they have designated;</w:t>
      </w:r>
    </w:p>
    <w:p w:rsidR="00926A0D" w:rsidRDefault="006023A9">
      <w:pPr>
        <w:pStyle w:val="ListDash2"/>
        <w:rPr>
          <w:noProof/>
        </w:rPr>
      </w:pPr>
      <w:r>
        <w:rPr>
          <w:noProof/>
        </w:rPr>
        <w:sym w:font="Wingdings" w:char="F0A8"/>
      </w:r>
      <w:r>
        <w:rPr>
          <w:noProof/>
        </w:rPr>
        <w:t xml:space="preserve"> international organisations and their agencies (to be specified);</w:t>
      </w:r>
    </w:p>
    <w:p w:rsidR="00926A0D" w:rsidRDefault="006023A9">
      <w:pPr>
        <w:pStyle w:val="ListDash2"/>
        <w:rPr>
          <w:noProof/>
        </w:rPr>
      </w:pPr>
      <w:r>
        <w:rPr>
          <w:noProof/>
        </w:rPr>
        <w:sym w:font="Wingdings" w:char="F0A8"/>
      </w:r>
      <w:r>
        <w:rPr>
          <w:noProof/>
        </w:rPr>
        <w:t>the EIB and the European Investment Fund;</w:t>
      </w:r>
    </w:p>
    <w:p w:rsidR="00926A0D" w:rsidRDefault="006023A9">
      <w:pPr>
        <w:pStyle w:val="ListDash2"/>
        <w:rPr>
          <w:noProof/>
        </w:rPr>
      </w:pPr>
      <w:r>
        <w:rPr>
          <w:noProof/>
        </w:rPr>
        <w:t>x bodies referred to in Articles 208 and 209 of the Financial Regulation;</w:t>
      </w:r>
    </w:p>
    <w:p w:rsidR="00926A0D" w:rsidRDefault="006023A9">
      <w:pPr>
        <w:pStyle w:val="ListDash2"/>
        <w:rPr>
          <w:noProof/>
        </w:rPr>
      </w:pPr>
      <w:r>
        <w:rPr>
          <w:noProof/>
        </w:rPr>
        <w:sym w:font="Wingdings" w:char="F0A8"/>
      </w:r>
      <w:r>
        <w:rPr>
          <w:noProof/>
        </w:rPr>
        <w:t xml:space="preserve"> public law bodies;</w:t>
      </w:r>
    </w:p>
    <w:p w:rsidR="00926A0D" w:rsidRDefault="006023A9">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rsidR="00926A0D" w:rsidRDefault="006023A9">
      <w:pPr>
        <w:pStyle w:val="ListDash2"/>
        <w:rPr>
          <w:noProof/>
        </w:rPr>
      </w:pPr>
      <w:r>
        <w:rPr>
          <w:noProof/>
        </w:rPr>
        <w:sym w:font="Wingdings" w:char="F0A8"/>
      </w:r>
      <w:r>
        <w:rPr>
          <w:noProof/>
        </w:rPr>
        <w:t xml:space="preserve"> bodies governed by the private law of a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smartTag>
      <w:r>
        <w:rPr>
          <w:noProof/>
        </w:rPr>
        <w:t xml:space="preserve"> that are entrusted with the implementation of a public-private partnership and that provide adequate financial guarantees;</w:t>
      </w:r>
    </w:p>
    <w:p w:rsidR="00926A0D" w:rsidRDefault="006023A9">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rsidR="00926A0D" w:rsidRDefault="006023A9">
      <w:pPr>
        <w:pStyle w:val="ListDash2"/>
        <w:rPr>
          <w:i/>
          <w:noProof/>
          <w:sz w:val="18"/>
          <w:u w:val="single"/>
        </w:rPr>
      </w:pPr>
      <w:r>
        <w:rPr>
          <w:i/>
          <w:noProof/>
          <w:sz w:val="18"/>
        </w:rPr>
        <w:t>If more than one management mode is indicated, please provide details in the ‘Comments’ section.</w:t>
      </w:r>
    </w:p>
    <w:p w:rsidR="00926A0D" w:rsidRDefault="006023A9">
      <w:pPr>
        <w:rPr>
          <w:noProof/>
        </w:rPr>
      </w:pPr>
      <w:r>
        <w:rPr>
          <w:noProof/>
        </w:rPr>
        <w:t xml:space="preserve">Comments </w:t>
      </w:r>
    </w:p>
    <w:p w:rsidR="00926A0D" w:rsidRDefault="006023A9">
      <w:pPr>
        <w:pBdr>
          <w:top w:val="single" w:sz="4" w:space="1" w:color="auto"/>
          <w:left w:val="single" w:sz="4" w:space="4" w:color="auto"/>
          <w:bottom w:val="single" w:sz="4" w:space="1" w:color="auto"/>
          <w:right w:val="single" w:sz="4" w:space="4" w:color="auto"/>
        </w:pBdr>
        <w:rPr>
          <w:noProof/>
        </w:rPr>
      </w:pPr>
      <w:r>
        <w:rPr>
          <w:noProof/>
        </w:rPr>
        <w:t xml:space="preserve">The participation of the EEA will be needed for the implementation of the requirements of this Regulation. </w:t>
      </w:r>
    </w:p>
    <w:p w:rsidR="00926A0D" w:rsidRDefault="00926A0D">
      <w:pPr>
        <w:rPr>
          <w:noProof/>
        </w:rPr>
        <w:sectPr w:rsidR="00926A0D" w:rsidSect="00211F8F">
          <w:pgSz w:w="11907" w:h="16840" w:code="9"/>
          <w:pgMar w:top="1134" w:right="1418" w:bottom="1134" w:left="1418" w:header="709" w:footer="709" w:gutter="0"/>
          <w:cols w:space="708"/>
          <w:docGrid w:linePitch="360"/>
        </w:sectPr>
      </w:pPr>
    </w:p>
    <w:p w:rsidR="00926A0D" w:rsidRDefault="003312D8">
      <w:pPr>
        <w:pStyle w:val="ManualHeading1"/>
        <w:rPr>
          <w:bCs/>
          <w:noProof/>
          <w:szCs w:val="24"/>
        </w:rPr>
      </w:pPr>
      <w:r>
        <w:lastRenderedPageBreak/>
        <w:t>2</w:t>
      </w:r>
      <w:r w:rsidR="006023A9">
        <w:t>.</w:t>
      </w:r>
      <w:r w:rsidR="006023A9">
        <w:tab/>
      </w:r>
      <w:r w:rsidR="006023A9">
        <w:rPr>
          <w:noProof/>
        </w:rPr>
        <w:t xml:space="preserve">MANAGEMENT MEASURES </w:t>
      </w:r>
    </w:p>
    <w:p w:rsidR="00926A0D" w:rsidRDefault="003312D8">
      <w:pPr>
        <w:pStyle w:val="ManualHeading2"/>
        <w:rPr>
          <w:noProof/>
        </w:rPr>
      </w:pPr>
      <w:r>
        <w:t>2</w:t>
      </w:r>
      <w:r w:rsidR="006023A9">
        <w:t>.1.</w:t>
      </w:r>
      <w:r w:rsidR="006023A9">
        <w:tab/>
      </w:r>
      <w:r w:rsidR="006023A9">
        <w:rPr>
          <w:noProof/>
        </w:rPr>
        <w:t xml:space="preserve">Monitoring and reporting rules </w:t>
      </w:r>
    </w:p>
    <w:p w:rsidR="00926A0D" w:rsidRDefault="006023A9">
      <w:pPr>
        <w:pStyle w:val="Text1"/>
        <w:rPr>
          <w:i/>
          <w:noProof/>
          <w:sz w:val="20"/>
          <w:u w:val="single"/>
        </w:rPr>
      </w:pPr>
      <w:r>
        <w:rPr>
          <w:i/>
          <w:noProof/>
          <w:sz w:val="20"/>
        </w:rPr>
        <w:t>Specify frequency and conditions.</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The Regulation sets the periodicity and conditions for planning, reporting and monitoring by Member States and the Commission. External technical support from a contractor would be needed for the Commission's monitoring tasks. Furthermore, it is planned that a new communication tool is set up, including a web platform and a public website for the exchange of information and best practices and divulgation to the general public.</w:t>
      </w:r>
    </w:p>
    <w:p w:rsidR="00926A0D" w:rsidRDefault="003312D8">
      <w:pPr>
        <w:pStyle w:val="ManualHeading2"/>
        <w:rPr>
          <w:bCs/>
          <w:noProof/>
        </w:rPr>
      </w:pPr>
      <w:r>
        <w:t>2</w:t>
      </w:r>
      <w:r w:rsidR="006023A9">
        <w:t>.2.</w:t>
      </w:r>
      <w:r w:rsidR="006023A9">
        <w:tab/>
      </w:r>
      <w:r w:rsidR="006023A9">
        <w:rPr>
          <w:noProof/>
        </w:rPr>
        <w:t xml:space="preserve">Management and control system </w:t>
      </w:r>
    </w:p>
    <w:p w:rsidR="00926A0D" w:rsidRDefault="003312D8">
      <w:pPr>
        <w:pStyle w:val="ManualHeading3"/>
        <w:rPr>
          <w:noProof/>
        </w:rPr>
      </w:pPr>
      <w:r>
        <w:t>2</w:t>
      </w:r>
      <w:r w:rsidR="006023A9">
        <w:t>.2.1.</w:t>
      </w:r>
      <w:r w:rsidR="006023A9">
        <w:tab/>
      </w:r>
      <w:r w:rsidR="006023A9">
        <w:rPr>
          <w:noProof/>
        </w:rPr>
        <w:t xml:space="preserve">Risk(s) identified </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Member States may become delayed in their planinng and reporting obligations. Also for this reason, there will be a web database established.</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 xml:space="preserve">The risks related to the functioning of the web platform relate mainly to IT-related problems, such as a possible breakdown of the system and confidentiality issues. </w:t>
      </w:r>
    </w:p>
    <w:p w:rsidR="00926A0D" w:rsidRDefault="003312D8">
      <w:pPr>
        <w:pStyle w:val="ManualHeading3"/>
        <w:rPr>
          <w:bCs/>
          <w:noProof/>
          <w:szCs w:val="24"/>
        </w:rPr>
      </w:pPr>
      <w:r>
        <w:t>2</w:t>
      </w:r>
      <w:r w:rsidR="006023A9">
        <w:t>.2.2.</w:t>
      </w:r>
      <w:r w:rsidR="006023A9">
        <w:tab/>
      </w:r>
      <w:r w:rsidR="006023A9">
        <w:rPr>
          <w:noProof/>
        </w:rPr>
        <w:t>Information concerning the internal control system set up</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 xml:space="preserve">The control methods envisaged are laid down in the Financial Regulation and Rules of Application. </w:t>
      </w:r>
    </w:p>
    <w:p w:rsidR="00926A0D" w:rsidRDefault="003312D8">
      <w:pPr>
        <w:pStyle w:val="ManualHeading3"/>
        <w:rPr>
          <w:noProof/>
        </w:rPr>
      </w:pPr>
      <w:r>
        <w:t>2</w:t>
      </w:r>
      <w:r w:rsidR="006023A9">
        <w:t>.2.3.</w:t>
      </w:r>
      <w:r w:rsidR="006023A9">
        <w:tab/>
      </w:r>
      <w:r w:rsidR="006023A9">
        <w:rPr>
          <w:noProof/>
        </w:rPr>
        <w:t xml:space="preserve">Estimate of the costs and benefits of the controls and assessment of the expected level of risk of error </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N/A</w:t>
      </w:r>
    </w:p>
    <w:p w:rsidR="00926A0D" w:rsidRDefault="003312D8">
      <w:pPr>
        <w:pStyle w:val="ManualHeading2"/>
        <w:rPr>
          <w:bCs/>
          <w:noProof/>
          <w:szCs w:val="24"/>
        </w:rPr>
      </w:pPr>
      <w:r>
        <w:t>2</w:t>
      </w:r>
      <w:r w:rsidR="006023A9">
        <w:t>.3.</w:t>
      </w:r>
      <w:r w:rsidR="006023A9">
        <w:tab/>
      </w:r>
      <w:r w:rsidR="006023A9">
        <w:rPr>
          <w:noProof/>
        </w:rPr>
        <w:t xml:space="preserve">Measures to prevent fraud and irregularities </w:t>
      </w:r>
    </w:p>
    <w:p w:rsidR="00926A0D" w:rsidRDefault="006023A9">
      <w:pPr>
        <w:pStyle w:val="Text1"/>
        <w:rPr>
          <w:i/>
          <w:noProof/>
          <w:sz w:val="20"/>
        </w:rPr>
      </w:pPr>
      <w:r>
        <w:rPr>
          <w:i/>
          <w:noProof/>
          <w:sz w:val="20"/>
        </w:rPr>
        <w:t>Specify existing or envisaged prevention and protection measures.</w:t>
      </w:r>
    </w:p>
    <w:p w:rsidR="00926A0D" w:rsidRDefault="006023A9">
      <w:pPr>
        <w:pStyle w:val="Text1"/>
        <w:pBdr>
          <w:top w:val="single" w:sz="4" w:space="1" w:color="auto"/>
          <w:left w:val="single" w:sz="4" w:space="4" w:color="auto"/>
          <w:bottom w:val="single" w:sz="4" w:space="1" w:color="auto"/>
          <w:right w:val="single" w:sz="4" w:space="4" w:color="auto"/>
        </w:pBdr>
        <w:rPr>
          <w:noProof/>
        </w:rPr>
      </w:pPr>
      <w:r>
        <w:rPr>
          <w:noProof/>
        </w:rPr>
        <w:t>No specific measures beyond the application of the Financial Regulation have been envisaged.</w:t>
      </w:r>
    </w:p>
    <w:p w:rsidR="00926A0D" w:rsidRDefault="003312D8">
      <w:pPr>
        <w:pStyle w:val="ManualHeading1"/>
        <w:rPr>
          <w:bCs/>
          <w:noProof/>
          <w:szCs w:val="24"/>
        </w:rPr>
      </w:pPr>
      <w:r>
        <w:t>3</w:t>
      </w:r>
      <w:r w:rsidR="006023A9">
        <w:t>.</w:t>
      </w:r>
      <w:r w:rsidR="006023A9">
        <w:tab/>
      </w:r>
      <w:r w:rsidR="006023A9">
        <w:rPr>
          <w:noProof/>
        </w:rPr>
        <w:t xml:space="preserve">ESTIMATED FINANCIAL IMPACT OF THE PROPOSAL/INITIATIVE </w:t>
      </w:r>
    </w:p>
    <w:p w:rsidR="00926A0D" w:rsidRDefault="003312D8">
      <w:pPr>
        <w:pStyle w:val="ManualHeading2"/>
        <w:rPr>
          <w:bCs/>
          <w:noProof/>
          <w:szCs w:val="24"/>
        </w:rPr>
      </w:pPr>
      <w:r>
        <w:t>3</w:t>
      </w:r>
      <w:r w:rsidR="006023A9">
        <w:t>.1.</w:t>
      </w:r>
      <w:r w:rsidR="006023A9">
        <w:tab/>
      </w:r>
      <w:r w:rsidR="006023A9">
        <w:rPr>
          <w:noProof/>
        </w:rPr>
        <w:t xml:space="preserve">Heading(s) of the multiannual financial framework and expenditure budget line(s) affected </w:t>
      </w:r>
    </w:p>
    <w:p w:rsidR="00926A0D" w:rsidRDefault="006023A9" w:rsidP="0076006B">
      <w:pPr>
        <w:pStyle w:val="ListBullet1"/>
        <w:numPr>
          <w:ilvl w:val="0"/>
          <w:numId w:val="31"/>
        </w:numPr>
        <w:rPr>
          <w:noProof/>
        </w:rPr>
      </w:pPr>
      <w:r>
        <w:rPr>
          <w:noProof/>
        </w:rPr>
        <w:t xml:space="preserve">Existing budget lines </w:t>
      </w:r>
    </w:p>
    <w:p w:rsidR="00926A0D" w:rsidRDefault="006023A9">
      <w:pPr>
        <w:pStyle w:val="Text1"/>
        <w:rPr>
          <w:noProof/>
        </w:rPr>
      </w:pPr>
      <w:r>
        <w:rPr>
          <w:noProof/>
          <w:u w:val="single"/>
        </w:rPr>
        <w:t>In order</w:t>
      </w:r>
      <w:r>
        <w:rPr>
          <w:noProof/>
        </w:rPr>
        <w:t xml:space="preserve"> of multiannual financial framework headings and budget lines.</w:t>
      </w:r>
    </w:p>
    <w:tbl>
      <w:tblPr>
        <w:tblW w:w="106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926A0D">
        <w:tc>
          <w:tcPr>
            <w:tcW w:w="1080" w:type="dxa"/>
            <w:vMerge w:val="restart"/>
            <w:vAlign w:val="center"/>
          </w:tcPr>
          <w:p w:rsidR="00926A0D" w:rsidRDefault="006023A9">
            <w:pPr>
              <w:spacing w:before="60" w:after="60"/>
              <w:jc w:val="center"/>
              <w:rPr>
                <w:noProof/>
                <w:sz w:val="18"/>
              </w:rPr>
            </w:pPr>
            <w:r>
              <w:rPr>
                <w:noProof/>
                <w:sz w:val="18"/>
              </w:rPr>
              <w:t>Heading of multiannual financial framework</w:t>
            </w:r>
          </w:p>
        </w:tc>
        <w:tc>
          <w:tcPr>
            <w:tcW w:w="3960" w:type="dxa"/>
            <w:vAlign w:val="center"/>
          </w:tcPr>
          <w:p w:rsidR="00926A0D" w:rsidRDefault="006023A9">
            <w:pPr>
              <w:spacing w:before="60" w:after="60"/>
              <w:jc w:val="center"/>
              <w:rPr>
                <w:noProof/>
              </w:rPr>
            </w:pPr>
            <w:r>
              <w:rPr>
                <w:noProof/>
                <w:sz w:val="20"/>
              </w:rPr>
              <w:t>Budget line</w:t>
            </w:r>
          </w:p>
        </w:tc>
        <w:tc>
          <w:tcPr>
            <w:tcW w:w="1080" w:type="dxa"/>
            <w:vAlign w:val="center"/>
          </w:tcPr>
          <w:p w:rsidR="00926A0D" w:rsidRDefault="006023A9">
            <w:pPr>
              <w:spacing w:before="60" w:after="60"/>
              <w:jc w:val="center"/>
              <w:rPr>
                <w:noProof/>
              </w:rPr>
            </w:pPr>
            <w:r>
              <w:rPr>
                <w:noProof/>
                <w:sz w:val="18"/>
              </w:rPr>
              <w:t xml:space="preserve">Type of </w:t>
            </w:r>
            <w:r>
              <w:rPr>
                <w:noProof/>
                <w:sz w:val="22"/>
              </w:rPr>
              <w:br/>
            </w:r>
            <w:r>
              <w:rPr>
                <w:noProof/>
                <w:sz w:val="18"/>
              </w:rPr>
              <w:t>expenditure</w:t>
            </w:r>
          </w:p>
        </w:tc>
        <w:tc>
          <w:tcPr>
            <w:tcW w:w="4556" w:type="dxa"/>
            <w:gridSpan w:val="4"/>
            <w:vAlign w:val="center"/>
          </w:tcPr>
          <w:p w:rsidR="00926A0D" w:rsidRDefault="006023A9">
            <w:pPr>
              <w:spacing w:before="60" w:after="60"/>
              <w:jc w:val="center"/>
              <w:rPr>
                <w:noProof/>
              </w:rPr>
            </w:pPr>
            <w:r>
              <w:rPr>
                <w:noProof/>
                <w:sz w:val="20"/>
              </w:rPr>
              <w:t xml:space="preserve">Contribution </w:t>
            </w:r>
          </w:p>
        </w:tc>
      </w:tr>
      <w:tr w:rsidR="00926A0D">
        <w:tc>
          <w:tcPr>
            <w:tcW w:w="1080" w:type="dxa"/>
            <w:vMerge/>
            <w:vAlign w:val="center"/>
          </w:tcPr>
          <w:p w:rsidR="00926A0D" w:rsidRDefault="00926A0D">
            <w:pPr>
              <w:rPr>
                <w:noProof/>
                <w:sz w:val="18"/>
              </w:rPr>
            </w:pPr>
          </w:p>
        </w:tc>
        <w:tc>
          <w:tcPr>
            <w:tcW w:w="3960" w:type="dxa"/>
            <w:vAlign w:val="center"/>
          </w:tcPr>
          <w:p w:rsidR="00926A0D" w:rsidRDefault="006023A9">
            <w:pPr>
              <w:rPr>
                <w:noProof/>
              </w:rPr>
            </w:pPr>
            <w:r>
              <w:rPr>
                <w:noProof/>
                <w:sz w:val="20"/>
              </w:rPr>
              <w:t xml:space="preserve">Number </w:t>
            </w:r>
            <w:r>
              <w:rPr>
                <w:noProof/>
                <w:sz w:val="22"/>
              </w:rPr>
              <w:br/>
            </w:r>
            <w:r>
              <w:rPr>
                <w:noProof/>
                <w:sz w:val="20"/>
              </w:rPr>
              <w:t>[Heading………………………...…………]</w:t>
            </w:r>
          </w:p>
        </w:tc>
        <w:tc>
          <w:tcPr>
            <w:tcW w:w="1080" w:type="dxa"/>
            <w:vAlign w:val="center"/>
          </w:tcPr>
          <w:p w:rsidR="00926A0D" w:rsidRDefault="006023A9">
            <w:pPr>
              <w:jc w:val="center"/>
              <w:rPr>
                <w:noProof/>
              </w:rPr>
            </w:pPr>
            <w:r>
              <w:rPr>
                <w:noProof/>
                <w:sz w:val="18"/>
              </w:rPr>
              <w:t>Diff./Non-diff.</w:t>
            </w:r>
            <w:r>
              <w:rPr>
                <w:rStyle w:val="FootnoteReference"/>
                <w:noProof/>
                <w:sz w:val="18"/>
              </w:rPr>
              <w:footnoteReference w:id="60"/>
            </w:r>
          </w:p>
        </w:tc>
        <w:tc>
          <w:tcPr>
            <w:tcW w:w="956" w:type="dxa"/>
            <w:vAlign w:val="center"/>
          </w:tcPr>
          <w:p w:rsidR="00926A0D" w:rsidRDefault="006023A9">
            <w:pPr>
              <w:jc w:val="center"/>
              <w:rPr>
                <w:noProof/>
              </w:rPr>
            </w:pPr>
            <w:r>
              <w:rPr>
                <w:noProof/>
                <w:sz w:val="18"/>
              </w:rPr>
              <w:t>from EFTA countries</w:t>
            </w:r>
            <w:r>
              <w:rPr>
                <w:rStyle w:val="FootnoteReference"/>
                <w:noProof/>
                <w:sz w:val="18"/>
              </w:rPr>
              <w:footnoteReference w:id="61"/>
            </w:r>
          </w:p>
        </w:tc>
        <w:tc>
          <w:tcPr>
            <w:tcW w:w="1080" w:type="dxa"/>
            <w:vAlign w:val="center"/>
          </w:tcPr>
          <w:p w:rsidR="00926A0D" w:rsidRDefault="006023A9">
            <w:pPr>
              <w:jc w:val="center"/>
              <w:rPr>
                <w:noProof/>
                <w:sz w:val="18"/>
              </w:rPr>
            </w:pPr>
            <w:r>
              <w:rPr>
                <w:noProof/>
                <w:sz w:val="18"/>
              </w:rPr>
              <w:t>from candidate countries</w:t>
            </w:r>
            <w:r>
              <w:rPr>
                <w:rStyle w:val="FootnoteReference"/>
                <w:noProof/>
                <w:sz w:val="18"/>
              </w:rPr>
              <w:footnoteReference w:id="62"/>
            </w:r>
          </w:p>
        </w:tc>
        <w:tc>
          <w:tcPr>
            <w:tcW w:w="956" w:type="dxa"/>
            <w:vAlign w:val="center"/>
          </w:tcPr>
          <w:p w:rsidR="00926A0D" w:rsidRDefault="006023A9">
            <w:pPr>
              <w:jc w:val="center"/>
              <w:rPr>
                <w:noProof/>
                <w:sz w:val="18"/>
              </w:rPr>
            </w:pPr>
            <w:r>
              <w:rPr>
                <w:noProof/>
                <w:sz w:val="18"/>
              </w:rPr>
              <w:t>from third countries</w:t>
            </w:r>
          </w:p>
        </w:tc>
        <w:tc>
          <w:tcPr>
            <w:tcW w:w="1564" w:type="dxa"/>
            <w:vAlign w:val="center"/>
          </w:tcPr>
          <w:p w:rsidR="00926A0D" w:rsidRDefault="006023A9">
            <w:pPr>
              <w:jc w:val="center"/>
              <w:rPr>
                <w:noProof/>
                <w:sz w:val="16"/>
                <w:szCs w:val="16"/>
              </w:rPr>
            </w:pPr>
            <w:r>
              <w:rPr>
                <w:noProof/>
                <w:sz w:val="16"/>
                <w:szCs w:val="16"/>
              </w:rPr>
              <w:t xml:space="preserve">within the meaning of Article 21(2)(b) of the Financial Regulation </w:t>
            </w:r>
          </w:p>
        </w:tc>
      </w:tr>
      <w:tr w:rsidR="00926A0D">
        <w:tc>
          <w:tcPr>
            <w:tcW w:w="1080" w:type="dxa"/>
            <w:vAlign w:val="center"/>
          </w:tcPr>
          <w:p w:rsidR="00926A0D" w:rsidRDefault="006023A9">
            <w:pPr>
              <w:jc w:val="center"/>
              <w:rPr>
                <w:noProof/>
                <w:color w:val="0000FF"/>
              </w:rPr>
            </w:pPr>
            <w:r>
              <w:lastRenderedPageBreak/>
              <w:t>[2]</w:t>
            </w:r>
          </w:p>
        </w:tc>
        <w:tc>
          <w:tcPr>
            <w:tcW w:w="3960" w:type="dxa"/>
            <w:vAlign w:val="center"/>
          </w:tcPr>
          <w:p w:rsidR="00926A0D" w:rsidRDefault="006023A9">
            <w:pPr>
              <w:spacing w:before="60"/>
            </w:pPr>
            <w:r>
              <w:t>[34 02 01:  Reduction of GHG emissions (mitigation)</w:t>
            </w:r>
          </w:p>
          <w:p w:rsidR="00926A0D" w:rsidRDefault="00926A0D">
            <w:pPr>
              <w:spacing w:after="60"/>
            </w:pPr>
          </w:p>
        </w:tc>
        <w:tc>
          <w:tcPr>
            <w:tcW w:w="1080" w:type="dxa"/>
          </w:tcPr>
          <w:p w:rsidR="00926A0D" w:rsidRDefault="006023A9">
            <w:pPr>
              <w:rPr>
                <w:noProof/>
              </w:rPr>
            </w:pPr>
            <w:r>
              <w:rPr>
                <w:noProof/>
              </w:rPr>
              <w:t>Diff.</w:t>
            </w:r>
          </w:p>
        </w:tc>
        <w:tc>
          <w:tcPr>
            <w:tcW w:w="956" w:type="dxa"/>
          </w:tcPr>
          <w:p w:rsidR="00926A0D" w:rsidRDefault="006023A9">
            <w:pPr>
              <w:rPr>
                <w:noProof/>
              </w:rPr>
            </w:pPr>
            <w:r>
              <w:rPr>
                <w:noProof/>
              </w:rPr>
              <w:t>NO</w:t>
            </w:r>
          </w:p>
        </w:tc>
        <w:tc>
          <w:tcPr>
            <w:tcW w:w="1080" w:type="dxa"/>
          </w:tcPr>
          <w:p w:rsidR="00926A0D" w:rsidRDefault="006023A9">
            <w:pPr>
              <w:rPr>
                <w:noProof/>
              </w:rPr>
            </w:pPr>
            <w:r>
              <w:rPr>
                <w:noProof/>
              </w:rPr>
              <w:t>NO</w:t>
            </w:r>
          </w:p>
        </w:tc>
        <w:tc>
          <w:tcPr>
            <w:tcW w:w="956" w:type="dxa"/>
          </w:tcPr>
          <w:p w:rsidR="00926A0D" w:rsidRDefault="006023A9">
            <w:pPr>
              <w:rPr>
                <w:noProof/>
              </w:rPr>
            </w:pPr>
            <w:r>
              <w:rPr>
                <w:noProof/>
              </w:rPr>
              <w:t>NO</w:t>
            </w:r>
          </w:p>
        </w:tc>
        <w:tc>
          <w:tcPr>
            <w:tcW w:w="1564" w:type="dxa"/>
          </w:tcPr>
          <w:p w:rsidR="00926A0D" w:rsidRDefault="006023A9">
            <w:pPr>
              <w:rPr>
                <w:noProof/>
              </w:rPr>
            </w:pPr>
            <w:r>
              <w:rPr>
                <w:noProof/>
              </w:rPr>
              <w:t>NO</w:t>
            </w:r>
          </w:p>
        </w:tc>
      </w:tr>
      <w:tr w:rsidR="00926A0D">
        <w:tc>
          <w:tcPr>
            <w:tcW w:w="1080" w:type="dxa"/>
            <w:vAlign w:val="center"/>
          </w:tcPr>
          <w:p w:rsidR="00926A0D" w:rsidRDefault="00926A0D">
            <w:pPr>
              <w:jc w:val="center"/>
            </w:pPr>
          </w:p>
        </w:tc>
        <w:tc>
          <w:tcPr>
            <w:tcW w:w="3960" w:type="dxa"/>
            <w:vAlign w:val="center"/>
          </w:tcPr>
          <w:p w:rsidR="00926A0D" w:rsidRDefault="006023A9">
            <w:pPr>
              <w:spacing w:before="60"/>
            </w:pPr>
            <w:r>
              <w:t>[07 02 06 : European Environment Agency…]</w:t>
            </w:r>
          </w:p>
        </w:tc>
        <w:tc>
          <w:tcPr>
            <w:tcW w:w="1080" w:type="dxa"/>
          </w:tcPr>
          <w:p w:rsidR="00926A0D" w:rsidRDefault="006023A9">
            <w:pPr>
              <w:rPr>
                <w:noProof/>
              </w:rPr>
            </w:pPr>
            <w:r>
              <w:rPr>
                <w:noProof/>
              </w:rPr>
              <w:t>Non-Diff.</w:t>
            </w:r>
          </w:p>
        </w:tc>
        <w:tc>
          <w:tcPr>
            <w:tcW w:w="956" w:type="dxa"/>
          </w:tcPr>
          <w:p w:rsidR="00926A0D" w:rsidRDefault="006023A9">
            <w:pPr>
              <w:rPr>
                <w:noProof/>
              </w:rPr>
            </w:pPr>
            <w:r>
              <w:rPr>
                <w:noProof/>
              </w:rPr>
              <w:t>YES</w:t>
            </w:r>
          </w:p>
        </w:tc>
        <w:tc>
          <w:tcPr>
            <w:tcW w:w="1080" w:type="dxa"/>
          </w:tcPr>
          <w:p w:rsidR="00926A0D" w:rsidRDefault="006023A9">
            <w:pPr>
              <w:rPr>
                <w:noProof/>
              </w:rPr>
            </w:pPr>
            <w:r>
              <w:rPr>
                <w:noProof/>
              </w:rPr>
              <w:t>YES</w:t>
            </w:r>
          </w:p>
        </w:tc>
        <w:tc>
          <w:tcPr>
            <w:tcW w:w="956" w:type="dxa"/>
          </w:tcPr>
          <w:p w:rsidR="00926A0D" w:rsidRDefault="006023A9">
            <w:pPr>
              <w:rPr>
                <w:noProof/>
              </w:rPr>
            </w:pPr>
            <w:r>
              <w:rPr>
                <w:noProof/>
              </w:rPr>
              <w:t>YES</w:t>
            </w:r>
          </w:p>
        </w:tc>
        <w:tc>
          <w:tcPr>
            <w:tcW w:w="1564" w:type="dxa"/>
          </w:tcPr>
          <w:p w:rsidR="00926A0D" w:rsidRDefault="006023A9">
            <w:pPr>
              <w:rPr>
                <w:noProof/>
              </w:rPr>
            </w:pPr>
            <w:r>
              <w:rPr>
                <w:noProof/>
              </w:rPr>
              <w:t>NO</w:t>
            </w:r>
          </w:p>
        </w:tc>
      </w:tr>
    </w:tbl>
    <w:p w:rsidR="00926A0D" w:rsidRDefault="006023A9" w:rsidP="0076006B">
      <w:pPr>
        <w:pStyle w:val="ListBullet1"/>
        <w:numPr>
          <w:ilvl w:val="0"/>
          <w:numId w:val="31"/>
        </w:numPr>
        <w:rPr>
          <w:noProof/>
        </w:rPr>
      </w:pPr>
      <w:r>
        <w:rPr>
          <w:noProof/>
        </w:rPr>
        <w:t xml:space="preserve">New budget lines requested </w:t>
      </w:r>
    </w:p>
    <w:p w:rsidR="00926A0D" w:rsidRDefault="006023A9">
      <w:pPr>
        <w:pStyle w:val="Text1"/>
        <w:rPr>
          <w:i/>
          <w:noProof/>
          <w:sz w:val="20"/>
        </w:rPr>
      </w:pPr>
      <w:r>
        <w:rPr>
          <w:noProof/>
          <w:u w:val="single"/>
        </w:rPr>
        <w:t>In order</w:t>
      </w:r>
      <w:r>
        <w:rPr>
          <w:noProof/>
        </w:rPr>
        <w:t xml:space="preserve"> of multiannual financial framework headings and budget lines.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926A0D">
        <w:tc>
          <w:tcPr>
            <w:tcW w:w="1080" w:type="dxa"/>
            <w:vMerge w:val="restart"/>
            <w:vAlign w:val="center"/>
          </w:tcPr>
          <w:p w:rsidR="00926A0D" w:rsidRDefault="006023A9">
            <w:pPr>
              <w:spacing w:before="60" w:after="60"/>
              <w:jc w:val="center"/>
              <w:rPr>
                <w:noProof/>
              </w:rPr>
            </w:pPr>
            <w:r>
              <w:rPr>
                <w:noProof/>
                <w:sz w:val="18"/>
              </w:rPr>
              <w:t>Heading of multiannual financial framework</w:t>
            </w:r>
          </w:p>
        </w:tc>
        <w:tc>
          <w:tcPr>
            <w:tcW w:w="3960" w:type="dxa"/>
            <w:vAlign w:val="center"/>
          </w:tcPr>
          <w:p w:rsidR="00926A0D" w:rsidRDefault="006023A9">
            <w:pPr>
              <w:spacing w:before="60" w:after="60"/>
              <w:jc w:val="center"/>
              <w:rPr>
                <w:noProof/>
              </w:rPr>
            </w:pPr>
            <w:r>
              <w:rPr>
                <w:noProof/>
                <w:sz w:val="20"/>
              </w:rPr>
              <w:t>Budget line</w:t>
            </w:r>
          </w:p>
        </w:tc>
        <w:tc>
          <w:tcPr>
            <w:tcW w:w="1080" w:type="dxa"/>
            <w:vAlign w:val="center"/>
          </w:tcPr>
          <w:p w:rsidR="00926A0D" w:rsidRDefault="006023A9">
            <w:pPr>
              <w:spacing w:before="60" w:after="60"/>
              <w:jc w:val="center"/>
              <w:rPr>
                <w:noProof/>
              </w:rPr>
            </w:pPr>
            <w:r>
              <w:rPr>
                <w:noProof/>
                <w:sz w:val="18"/>
              </w:rPr>
              <w:t>Type of</w:t>
            </w:r>
            <w:r>
              <w:rPr>
                <w:noProof/>
                <w:sz w:val="22"/>
              </w:rPr>
              <w:br/>
            </w:r>
            <w:r>
              <w:rPr>
                <w:noProof/>
                <w:sz w:val="18"/>
              </w:rPr>
              <w:t>expenditure</w:t>
            </w:r>
          </w:p>
        </w:tc>
        <w:tc>
          <w:tcPr>
            <w:tcW w:w="4556" w:type="dxa"/>
            <w:gridSpan w:val="4"/>
            <w:vAlign w:val="center"/>
          </w:tcPr>
          <w:p w:rsidR="00926A0D" w:rsidRDefault="006023A9">
            <w:pPr>
              <w:spacing w:before="60" w:after="60"/>
              <w:jc w:val="center"/>
              <w:rPr>
                <w:noProof/>
              </w:rPr>
            </w:pPr>
            <w:r>
              <w:rPr>
                <w:noProof/>
                <w:sz w:val="20"/>
              </w:rPr>
              <w:t xml:space="preserve">Contribution </w:t>
            </w:r>
          </w:p>
        </w:tc>
      </w:tr>
      <w:tr w:rsidR="00926A0D">
        <w:tc>
          <w:tcPr>
            <w:tcW w:w="1080" w:type="dxa"/>
            <w:vMerge/>
            <w:vAlign w:val="center"/>
          </w:tcPr>
          <w:p w:rsidR="00926A0D" w:rsidRDefault="00926A0D">
            <w:pPr>
              <w:rPr>
                <w:noProof/>
              </w:rPr>
            </w:pPr>
          </w:p>
        </w:tc>
        <w:tc>
          <w:tcPr>
            <w:tcW w:w="3960" w:type="dxa"/>
            <w:vAlign w:val="center"/>
          </w:tcPr>
          <w:p w:rsidR="00926A0D" w:rsidRDefault="006023A9">
            <w:r>
              <w:rPr>
                <w:noProof/>
                <w:sz w:val="20"/>
              </w:rPr>
              <w:t xml:space="preserve">Number </w:t>
            </w:r>
            <w:r>
              <w:rPr>
                <w:noProof/>
                <w:sz w:val="22"/>
              </w:rPr>
              <w:br/>
            </w:r>
            <w:r>
              <w:rPr>
                <w:noProof/>
                <w:sz w:val="20"/>
              </w:rPr>
              <w:t>[Heading………………………………………]</w:t>
            </w:r>
          </w:p>
        </w:tc>
        <w:tc>
          <w:tcPr>
            <w:tcW w:w="1080" w:type="dxa"/>
            <w:vAlign w:val="center"/>
          </w:tcPr>
          <w:p w:rsidR="00926A0D" w:rsidRDefault="006023A9">
            <w:pPr>
              <w:jc w:val="center"/>
              <w:rPr>
                <w:noProof/>
              </w:rPr>
            </w:pPr>
            <w:r>
              <w:rPr>
                <w:noProof/>
                <w:sz w:val="18"/>
              </w:rPr>
              <w:t>Diff./non-diff.</w:t>
            </w:r>
          </w:p>
        </w:tc>
        <w:tc>
          <w:tcPr>
            <w:tcW w:w="956" w:type="dxa"/>
            <w:vAlign w:val="center"/>
          </w:tcPr>
          <w:p w:rsidR="00926A0D" w:rsidRDefault="006023A9">
            <w:pPr>
              <w:jc w:val="center"/>
              <w:rPr>
                <w:noProof/>
                <w:sz w:val="18"/>
              </w:rPr>
            </w:pPr>
            <w:r>
              <w:rPr>
                <w:noProof/>
                <w:sz w:val="18"/>
              </w:rPr>
              <w:t>from EFTA countries</w:t>
            </w:r>
          </w:p>
        </w:tc>
        <w:tc>
          <w:tcPr>
            <w:tcW w:w="1080" w:type="dxa"/>
            <w:vAlign w:val="center"/>
          </w:tcPr>
          <w:p w:rsidR="00926A0D" w:rsidRDefault="006023A9">
            <w:pPr>
              <w:jc w:val="center"/>
              <w:rPr>
                <w:noProof/>
                <w:sz w:val="18"/>
              </w:rPr>
            </w:pPr>
            <w:r>
              <w:rPr>
                <w:noProof/>
                <w:sz w:val="18"/>
              </w:rPr>
              <w:t>from candidate countries</w:t>
            </w:r>
          </w:p>
        </w:tc>
        <w:tc>
          <w:tcPr>
            <w:tcW w:w="956" w:type="dxa"/>
            <w:vAlign w:val="center"/>
          </w:tcPr>
          <w:p w:rsidR="00926A0D" w:rsidRDefault="006023A9">
            <w:pPr>
              <w:jc w:val="center"/>
              <w:rPr>
                <w:noProof/>
                <w:sz w:val="18"/>
              </w:rPr>
            </w:pPr>
            <w:r>
              <w:rPr>
                <w:noProof/>
                <w:sz w:val="18"/>
              </w:rPr>
              <w:t>from third countries</w:t>
            </w:r>
          </w:p>
        </w:tc>
        <w:tc>
          <w:tcPr>
            <w:tcW w:w="1564" w:type="dxa"/>
            <w:vAlign w:val="center"/>
          </w:tcPr>
          <w:p w:rsidR="00926A0D" w:rsidRDefault="006023A9">
            <w:pPr>
              <w:jc w:val="center"/>
              <w:rPr>
                <w:noProof/>
              </w:rPr>
            </w:pPr>
            <w:r>
              <w:rPr>
                <w:noProof/>
                <w:sz w:val="16"/>
              </w:rPr>
              <w:t xml:space="preserve">within the meaning of Article 21(2)(b) of the Financial Regulation </w:t>
            </w:r>
          </w:p>
        </w:tc>
      </w:tr>
      <w:tr w:rsidR="00926A0D">
        <w:tc>
          <w:tcPr>
            <w:tcW w:w="1080" w:type="dxa"/>
            <w:vAlign w:val="center"/>
          </w:tcPr>
          <w:p w:rsidR="00926A0D" w:rsidRDefault="00926A0D">
            <w:pPr>
              <w:jc w:val="center"/>
              <w:rPr>
                <w:noProof/>
                <w:color w:val="0000FF"/>
              </w:rPr>
            </w:pPr>
          </w:p>
        </w:tc>
        <w:tc>
          <w:tcPr>
            <w:tcW w:w="3960" w:type="dxa"/>
            <w:vAlign w:val="center"/>
          </w:tcPr>
          <w:p w:rsidR="00926A0D" w:rsidRDefault="006023A9">
            <w:pPr>
              <w:spacing w:before="60"/>
            </w:pPr>
            <w:r>
              <w:t>[XX.YY.YY.YY]</w:t>
            </w:r>
          </w:p>
          <w:p w:rsidR="00926A0D" w:rsidRDefault="00926A0D">
            <w:pPr>
              <w:spacing w:after="60"/>
              <w:rPr>
                <w:noProof/>
              </w:rPr>
            </w:pPr>
          </w:p>
        </w:tc>
        <w:tc>
          <w:tcPr>
            <w:tcW w:w="1080" w:type="dxa"/>
            <w:vAlign w:val="center"/>
          </w:tcPr>
          <w:p w:rsidR="00926A0D" w:rsidRDefault="00926A0D">
            <w:pPr>
              <w:jc w:val="center"/>
              <w:rPr>
                <w:noProof/>
                <w:color w:val="0000FF"/>
              </w:rPr>
            </w:pPr>
          </w:p>
        </w:tc>
        <w:tc>
          <w:tcPr>
            <w:tcW w:w="956" w:type="dxa"/>
            <w:vAlign w:val="center"/>
          </w:tcPr>
          <w:p w:rsidR="00926A0D" w:rsidRDefault="006023A9">
            <w:pPr>
              <w:jc w:val="center"/>
            </w:pPr>
            <w:r>
              <w:t>YES/NO</w:t>
            </w:r>
          </w:p>
        </w:tc>
        <w:tc>
          <w:tcPr>
            <w:tcW w:w="1080" w:type="dxa"/>
            <w:vAlign w:val="center"/>
          </w:tcPr>
          <w:p w:rsidR="00926A0D" w:rsidRDefault="006023A9">
            <w:pPr>
              <w:jc w:val="center"/>
              <w:rPr>
                <w:noProof/>
                <w:color w:val="0000FF"/>
                <w:sz w:val="18"/>
              </w:rPr>
            </w:pPr>
            <w:r>
              <w:t>YES/NO</w:t>
            </w:r>
          </w:p>
        </w:tc>
        <w:tc>
          <w:tcPr>
            <w:tcW w:w="956" w:type="dxa"/>
            <w:vAlign w:val="center"/>
          </w:tcPr>
          <w:p w:rsidR="00926A0D" w:rsidRDefault="006023A9">
            <w:pPr>
              <w:jc w:val="center"/>
              <w:rPr>
                <w:noProof/>
                <w:color w:val="0000FF"/>
                <w:sz w:val="18"/>
              </w:rPr>
            </w:pPr>
            <w:r>
              <w:t>YES/NO</w:t>
            </w:r>
          </w:p>
        </w:tc>
        <w:tc>
          <w:tcPr>
            <w:tcW w:w="1564" w:type="dxa"/>
            <w:vAlign w:val="center"/>
          </w:tcPr>
          <w:p w:rsidR="00926A0D" w:rsidRDefault="006023A9">
            <w:pPr>
              <w:jc w:val="center"/>
            </w:pPr>
            <w:r>
              <w:t>YES/NO</w:t>
            </w:r>
          </w:p>
        </w:tc>
      </w:tr>
    </w:tbl>
    <w:p w:rsidR="00926A0D" w:rsidRDefault="00926A0D">
      <w:pPr>
        <w:rPr>
          <w:noProof/>
        </w:rPr>
        <w:sectPr w:rsidR="00926A0D" w:rsidSect="00211F8F">
          <w:pgSz w:w="12240" w:h="15840"/>
          <w:pgMar w:top="794" w:right="907" w:bottom="851" w:left="1361" w:header="510" w:footer="454" w:gutter="0"/>
          <w:cols w:space="720"/>
          <w:docGrid w:linePitch="326"/>
        </w:sectPr>
      </w:pPr>
    </w:p>
    <w:p w:rsidR="00926A0D" w:rsidRDefault="003312D8">
      <w:pPr>
        <w:pStyle w:val="ManualHeading2"/>
        <w:rPr>
          <w:bCs/>
          <w:noProof/>
          <w:szCs w:val="24"/>
        </w:rPr>
      </w:pPr>
      <w:r>
        <w:lastRenderedPageBreak/>
        <w:t>3</w:t>
      </w:r>
      <w:r w:rsidR="006023A9">
        <w:t>.2.</w:t>
      </w:r>
      <w:r w:rsidR="006023A9">
        <w:tab/>
      </w:r>
      <w:r w:rsidR="006023A9">
        <w:rPr>
          <w:noProof/>
        </w:rPr>
        <w:t xml:space="preserve">Estimated impact on expenditure </w:t>
      </w:r>
    </w:p>
    <w:p w:rsidR="00926A0D" w:rsidRDefault="003312D8">
      <w:pPr>
        <w:pStyle w:val="ManualHeading3"/>
        <w:rPr>
          <w:bCs/>
          <w:noProof/>
          <w:szCs w:val="24"/>
        </w:rPr>
      </w:pPr>
      <w:r>
        <w:t>3</w:t>
      </w:r>
      <w:r w:rsidR="006023A9">
        <w:t>.2.1.</w:t>
      </w:r>
      <w:r w:rsidR="006023A9">
        <w:tab/>
      </w:r>
      <w:r w:rsidR="006023A9">
        <w:rPr>
          <w:noProof/>
        </w:rPr>
        <w:t xml:space="preserve">Summary of estimated impact on expenditure </w:t>
      </w:r>
    </w:p>
    <w:p w:rsidR="00926A0D" w:rsidRDefault="006023A9">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926A0D">
        <w:trPr>
          <w:jc w:val="center"/>
        </w:trPr>
        <w:tc>
          <w:tcPr>
            <w:tcW w:w="4744" w:type="dxa"/>
            <w:shd w:val="thinDiagStripe" w:color="C0C0C0" w:fill="auto"/>
            <w:vAlign w:val="center"/>
          </w:tcPr>
          <w:p w:rsidR="00926A0D" w:rsidRDefault="006023A9">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rsidR="00926A0D" w:rsidRDefault="006023A9">
            <w:pPr>
              <w:spacing w:before="60" w:after="60"/>
              <w:jc w:val="center"/>
              <w:rPr>
                <w:noProof/>
                <w:sz w:val="22"/>
              </w:rPr>
            </w:pPr>
            <w:r>
              <w:rPr>
                <w:noProof/>
                <w:sz w:val="22"/>
              </w:rPr>
              <w:t>Number</w:t>
            </w:r>
          </w:p>
          <w:p w:rsidR="00926A0D" w:rsidRDefault="006023A9">
            <w:pPr>
              <w:spacing w:before="60" w:after="60"/>
              <w:jc w:val="center"/>
            </w:pPr>
            <w:r>
              <w:rPr>
                <w:noProof/>
                <w:sz w:val="22"/>
              </w:rPr>
              <w:t>2</w:t>
            </w:r>
          </w:p>
        </w:tc>
        <w:tc>
          <w:tcPr>
            <w:tcW w:w="7817" w:type="dxa"/>
            <w:vAlign w:val="center"/>
          </w:tcPr>
          <w:p w:rsidR="00926A0D" w:rsidRDefault="006023A9">
            <w:pPr>
              <w:spacing w:before="60" w:after="60"/>
            </w:pPr>
            <w:r>
              <w:t>[Sustainable  Growth: Natural Resources.</w:t>
            </w:r>
          </w:p>
          <w:p w:rsidR="00926A0D" w:rsidRDefault="006023A9">
            <w:pPr>
              <w:spacing w:before="60" w:after="60"/>
            </w:pPr>
            <w:r>
              <w:t>..……………………………………………………………….]</w:t>
            </w:r>
          </w:p>
        </w:tc>
      </w:tr>
    </w:tbl>
    <w:p w:rsidR="00926A0D" w:rsidRDefault="00926A0D">
      <w:pPr>
        <w:rPr>
          <w:noProof/>
          <w:sz w:val="16"/>
        </w:rPr>
      </w:pPr>
    </w:p>
    <w:tbl>
      <w:tblPr>
        <w:tblW w:w="1390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362"/>
        <w:gridCol w:w="732"/>
        <w:gridCol w:w="868"/>
        <w:gridCol w:w="868"/>
        <w:gridCol w:w="868"/>
        <w:gridCol w:w="868"/>
        <w:gridCol w:w="868"/>
        <w:gridCol w:w="868"/>
        <w:gridCol w:w="868"/>
        <w:gridCol w:w="1777"/>
      </w:tblGrid>
      <w:tr w:rsidR="00926A0D">
        <w:tc>
          <w:tcPr>
            <w:tcW w:w="3960" w:type="dxa"/>
            <w:vAlign w:val="center"/>
          </w:tcPr>
          <w:p w:rsidR="00926A0D" w:rsidRDefault="006023A9">
            <w:pPr>
              <w:jc w:val="center"/>
              <w:rPr>
                <w:noProof/>
              </w:rPr>
            </w:pPr>
            <w:r>
              <w:rPr>
                <w:noProof/>
                <w:sz w:val="22"/>
              </w:rPr>
              <w:t xml:space="preserve">[Body]: </w:t>
            </w:r>
            <w:r>
              <w:t>&lt;EEA – European Environment Agency…….&gt;</w:t>
            </w:r>
          </w:p>
        </w:tc>
        <w:tc>
          <w:tcPr>
            <w:tcW w:w="1362" w:type="dxa"/>
          </w:tcPr>
          <w:p w:rsidR="00926A0D" w:rsidRDefault="00926A0D">
            <w:pPr>
              <w:rPr>
                <w:noProof/>
                <w:sz w:val="20"/>
              </w:rPr>
            </w:pPr>
          </w:p>
        </w:tc>
        <w:tc>
          <w:tcPr>
            <w:tcW w:w="732" w:type="dxa"/>
          </w:tcPr>
          <w:p w:rsidR="00926A0D" w:rsidRDefault="00926A0D">
            <w:pPr>
              <w:jc w:val="center"/>
              <w:rPr>
                <w:noProof/>
                <w:sz w:val="20"/>
              </w:rPr>
            </w:pPr>
          </w:p>
        </w:tc>
        <w:tc>
          <w:tcPr>
            <w:tcW w:w="868" w:type="dxa"/>
            <w:vAlign w:val="center"/>
          </w:tcPr>
          <w:p w:rsidR="00926A0D" w:rsidRDefault="006023A9">
            <w:pPr>
              <w:jc w:val="center"/>
              <w:rPr>
                <w:noProof/>
                <w:sz w:val="20"/>
              </w:rPr>
            </w:pPr>
            <w:r>
              <w:rPr>
                <w:noProof/>
                <w:sz w:val="20"/>
              </w:rPr>
              <w:t>Year</w:t>
            </w:r>
            <w:r>
              <w:rPr>
                <w:noProof/>
                <w:sz w:val="22"/>
              </w:rPr>
              <w:br/>
            </w:r>
            <w:r>
              <w:rPr>
                <w:b/>
                <w:noProof/>
                <w:sz w:val="20"/>
              </w:rPr>
              <w:t>2017</w:t>
            </w:r>
            <w:r>
              <w:rPr>
                <w:rStyle w:val="FootnoteReference"/>
                <w:b/>
                <w:noProof/>
                <w:sz w:val="20"/>
              </w:rPr>
              <w:footnoteReference w:id="63"/>
            </w:r>
          </w:p>
        </w:tc>
        <w:tc>
          <w:tcPr>
            <w:tcW w:w="868" w:type="dxa"/>
            <w:vAlign w:val="center"/>
          </w:tcPr>
          <w:p w:rsidR="00926A0D" w:rsidRDefault="006023A9">
            <w:pPr>
              <w:jc w:val="center"/>
              <w:rPr>
                <w:noProof/>
                <w:sz w:val="20"/>
              </w:rPr>
            </w:pPr>
            <w:r>
              <w:rPr>
                <w:noProof/>
                <w:sz w:val="20"/>
              </w:rPr>
              <w:t>Year</w:t>
            </w:r>
            <w:r>
              <w:rPr>
                <w:noProof/>
                <w:sz w:val="22"/>
              </w:rPr>
              <w:br/>
            </w:r>
            <w:r>
              <w:rPr>
                <w:b/>
                <w:noProof/>
                <w:sz w:val="20"/>
              </w:rPr>
              <w:t>2018</w:t>
            </w:r>
          </w:p>
        </w:tc>
        <w:tc>
          <w:tcPr>
            <w:tcW w:w="868" w:type="dxa"/>
            <w:vAlign w:val="center"/>
          </w:tcPr>
          <w:p w:rsidR="00926A0D" w:rsidRDefault="006023A9">
            <w:pPr>
              <w:jc w:val="center"/>
              <w:rPr>
                <w:noProof/>
                <w:sz w:val="20"/>
              </w:rPr>
            </w:pPr>
            <w:r>
              <w:rPr>
                <w:noProof/>
                <w:sz w:val="20"/>
              </w:rPr>
              <w:t>Year</w:t>
            </w:r>
            <w:r>
              <w:rPr>
                <w:noProof/>
                <w:sz w:val="22"/>
              </w:rPr>
              <w:br/>
            </w:r>
            <w:r>
              <w:rPr>
                <w:b/>
                <w:noProof/>
                <w:sz w:val="20"/>
              </w:rPr>
              <w:t>2019</w:t>
            </w:r>
          </w:p>
        </w:tc>
        <w:tc>
          <w:tcPr>
            <w:tcW w:w="868" w:type="dxa"/>
            <w:vAlign w:val="center"/>
          </w:tcPr>
          <w:p w:rsidR="00926A0D" w:rsidRDefault="006023A9">
            <w:pPr>
              <w:jc w:val="center"/>
              <w:rPr>
                <w:noProof/>
                <w:sz w:val="20"/>
              </w:rPr>
            </w:pPr>
            <w:r>
              <w:rPr>
                <w:noProof/>
                <w:sz w:val="20"/>
              </w:rPr>
              <w:t>Year</w:t>
            </w:r>
            <w:r>
              <w:rPr>
                <w:noProof/>
                <w:sz w:val="22"/>
              </w:rPr>
              <w:br/>
            </w:r>
            <w:r>
              <w:rPr>
                <w:b/>
                <w:noProof/>
                <w:sz w:val="20"/>
              </w:rPr>
              <w:t>2020</w:t>
            </w:r>
          </w:p>
        </w:tc>
        <w:tc>
          <w:tcPr>
            <w:tcW w:w="2604" w:type="dxa"/>
            <w:gridSpan w:val="3"/>
            <w:vAlign w:val="center"/>
          </w:tcPr>
          <w:p w:rsidR="00926A0D" w:rsidRDefault="006023A9">
            <w:pPr>
              <w:jc w:val="center"/>
              <w:rPr>
                <w:b/>
                <w:noProof/>
                <w:sz w:val="18"/>
              </w:rPr>
            </w:pPr>
            <w:r>
              <w:rPr>
                <w:noProof/>
                <w:sz w:val="18"/>
              </w:rPr>
              <w:t>Enter as many years as necessary to show the duration of the impact (see point 1.6)</w:t>
            </w:r>
          </w:p>
        </w:tc>
        <w:tc>
          <w:tcPr>
            <w:tcW w:w="1777" w:type="dxa"/>
            <w:vAlign w:val="center"/>
          </w:tcPr>
          <w:p w:rsidR="00F77F48" w:rsidRDefault="006023A9">
            <w:pPr>
              <w:jc w:val="center"/>
              <w:rPr>
                <w:b/>
                <w:noProof/>
                <w:sz w:val="20"/>
              </w:rPr>
            </w:pPr>
            <w:r>
              <w:rPr>
                <w:b/>
                <w:noProof/>
                <w:sz w:val="20"/>
              </w:rPr>
              <w:t>TOTAL</w:t>
            </w:r>
          </w:p>
          <w:p w:rsidR="00926A0D" w:rsidRDefault="00F77F48">
            <w:pPr>
              <w:jc w:val="center"/>
              <w:rPr>
                <w:b/>
                <w:noProof/>
                <w:sz w:val="20"/>
              </w:rPr>
            </w:pPr>
            <w:r>
              <w:rPr>
                <w:b/>
                <w:noProof/>
                <w:sz w:val="20"/>
              </w:rPr>
              <w:t xml:space="preserve"> 2018-2020</w:t>
            </w:r>
          </w:p>
        </w:tc>
      </w:tr>
      <w:tr w:rsidR="00926A0D" w:rsidRPr="00AD5F18">
        <w:trPr>
          <w:trHeight w:val="277"/>
        </w:trPr>
        <w:tc>
          <w:tcPr>
            <w:tcW w:w="3960" w:type="dxa"/>
            <w:vMerge w:val="restart"/>
            <w:vAlign w:val="center"/>
          </w:tcPr>
          <w:p w:rsidR="00926A0D" w:rsidRPr="00AD5F18" w:rsidRDefault="006023A9">
            <w:r w:rsidRPr="00AD5F18">
              <w:rPr>
                <w:noProof/>
                <w:sz w:val="20"/>
              </w:rPr>
              <w:t>Title 1:</w:t>
            </w:r>
            <w:r w:rsidRPr="00AD5F18">
              <w:rPr>
                <w:noProof/>
              </w:rPr>
              <w:t xml:space="preserve"> </w:t>
            </w:r>
            <w:r w:rsidRPr="00AD5F18">
              <w:rPr>
                <w:noProof/>
                <w:sz w:val="20"/>
              </w:rPr>
              <w:t>Staff expenditure</w:t>
            </w:r>
          </w:p>
        </w:tc>
        <w:tc>
          <w:tcPr>
            <w:tcW w:w="1362" w:type="dxa"/>
            <w:vAlign w:val="center"/>
          </w:tcPr>
          <w:p w:rsidR="00926A0D" w:rsidRPr="00AD5F18" w:rsidRDefault="006023A9">
            <w:pPr>
              <w:spacing w:before="20" w:after="20"/>
              <w:rPr>
                <w:noProof/>
              </w:rPr>
            </w:pPr>
            <w:r w:rsidRPr="00AD5F18">
              <w:rPr>
                <w:noProof/>
                <w:sz w:val="18"/>
              </w:rPr>
              <w:t>Commitments</w:t>
            </w:r>
          </w:p>
        </w:tc>
        <w:tc>
          <w:tcPr>
            <w:tcW w:w="732" w:type="dxa"/>
            <w:vAlign w:val="center"/>
          </w:tcPr>
          <w:p w:rsidR="00926A0D" w:rsidRPr="00AD5F18" w:rsidRDefault="006023A9">
            <w:pPr>
              <w:spacing w:before="20" w:after="20"/>
              <w:jc w:val="center"/>
              <w:rPr>
                <w:noProof/>
                <w:sz w:val="14"/>
              </w:rPr>
            </w:pPr>
            <w:r w:rsidRPr="00AD5F18">
              <w:rPr>
                <w:noProof/>
                <w:sz w:val="14"/>
              </w:rPr>
              <w:t>(1)</w:t>
            </w:r>
          </w:p>
        </w:tc>
        <w:tc>
          <w:tcPr>
            <w:tcW w:w="868" w:type="dxa"/>
            <w:vAlign w:val="center"/>
          </w:tcPr>
          <w:p w:rsidR="00926A0D" w:rsidRPr="00AD5F18" w:rsidRDefault="00926A0D">
            <w:pPr>
              <w:spacing w:before="20" w:after="20"/>
              <w:jc w:val="right"/>
              <w:rPr>
                <w:noProof/>
                <w:sz w:val="20"/>
              </w:rPr>
            </w:pPr>
          </w:p>
        </w:tc>
        <w:tc>
          <w:tcPr>
            <w:tcW w:w="868" w:type="dxa"/>
          </w:tcPr>
          <w:p w:rsidR="00926A0D" w:rsidRPr="00AD5F18" w:rsidRDefault="00AD5F18">
            <w:pPr>
              <w:spacing w:before="20" w:after="20"/>
              <w:jc w:val="right"/>
              <w:rPr>
                <w:sz w:val="20"/>
              </w:rPr>
            </w:pPr>
            <w:r w:rsidRPr="00AD5F18">
              <w:rPr>
                <w:sz w:val="20"/>
              </w:rPr>
              <w:t>0</w:t>
            </w:r>
            <w:r w:rsidR="0043450B">
              <w:rPr>
                <w:sz w:val="20"/>
              </w:rPr>
              <w:t>.</w:t>
            </w:r>
            <w:r w:rsidRPr="00AD5F18">
              <w:rPr>
                <w:sz w:val="20"/>
              </w:rPr>
              <w:t>035</w:t>
            </w:r>
          </w:p>
        </w:tc>
        <w:tc>
          <w:tcPr>
            <w:tcW w:w="868" w:type="dxa"/>
          </w:tcPr>
          <w:p w:rsidR="00926A0D" w:rsidRPr="00AD5F18" w:rsidRDefault="00AD5F18" w:rsidP="00B144C0">
            <w:pPr>
              <w:spacing w:before="20" w:after="20"/>
              <w:jc w:val="center"/>
              <w:rPr>
                <w:sz w:val="20"/>
              </w:rPr>
            </w:pPr>
            <w:r w:rsidRPr="00AD5F18">
              <w:rPr>
                <w:sz w:val="20"/>
              </w:rPr>
              <w:t>0</w:t>
            </w:r>
            <w:r w:rsidR="00B144C0">
              <w:rPr>
                <w:sz w:val="20"/>
              </w:rPr>
              <w:t>.</w:t>
            </w:r>
            <w:r w:rsidRPr="00AD5F18">
              <w:rPr>
                <w:sz w:val="20"/>
              </w:rPr>
              <w:t>140</w:t>
            </w:r>
          </w:p>
        </w:tc>
        <w:tc>
          <w:tcPr>
            <w:tcW w:w="868" w:type="dxa"/>
          </w:tcPr>
          <w:p w:rsidR="00926A0D" w:rsidRPr="00AD5F18" w:rsidRDefault="00AD5F18" w:rsidP="00B144C0">
            <w:pPr>
              <w:spacing w:before="20" w:after="20"/>
              <w:jc w:val="center"/>
              <w:rPr>
                <w:sz w:val="20"/>
              </w:rPr>
            </w:pPr>
            <w:r w:rsidRPr="00AD5F18">
              <w:rPr>
                <w:sz w:val="20"/>
              </w:rPr>
              <w:t>0</w:t>
            </w:r>
            <w:r w:rsidR="00B144C0">
              <w:rPr>
                <w:sz w:val="20"/>
              </w:rPr>
              <w:t>.</w:t>
            </w:r>
            <w:r w:rsidRPr="00AD5F18">
              <w:rPr>
                <w:sz w:val="20"/>
              </w:rPr>
              <w:t>210</w:t>
            </w:r>
          </w:p>
        </w:tc>
        <w:tc>
          <w:tcPr>
            <w:tcW w:w="868" w:type="dxa"/>
            <w:vAlign w:val="center"/>
          </w:tcPr>
          <w:p w:rsidR="00926A0D" w:rsidRPr="00AD5F18" w:rsidRDefault="00926A0D">
            <w:pPr>
              <w:spacing w:before="20" w:after="20"/>
              <w:jc w:val="right"/>
              <w:rPr>
                <w:noProof/>
                <w:sz w:val="20"/>
              </w:rPr>
            </w:pPr>
          </w:p>
        </w:tc>
        <w:tc>
          <w:tcPr>
            <w:tcW w:w="868" w:type="dxa"/>
            <w:vAlign w:val="center"/>
          </w:tcPr>
          <w:p w:rsidR="00926A0D" w:rsidRPr="00AD5F18" w:rsidRDefault="00926A0D">
            <w:pPr>
              <w:spacing w:before="20" w:after="20"/>
              <w:jc w:val="right"/>
              <w:rPr>
                <w:noProof/>
                <w:sz w:val="20"/>
              </w:rPr>
            </w:pPr>
          </w:p>
        </w:tc>
        <w:tc>
          <w:tcPr>
            <w:tcW w:w="868" w:type="dxa"/>
            <w:vAlign w:val="center"/>
          </w:tcPr>
          <w:p w:rsidR="00926A0D" w:rsidRPr="00AD5F18" w:rsidRDefault="00926A0D">
            <w:pPr>
              <w:spacing w:before="20" w:after="20"/>
              <w:jc w:val="right"/>
              <w:rPr>
                <w:b/>
                <w:noProof/>
                <w:sz w:val="20"/>
              </w:rPr>
            </w:pPr>
          </w:p>
        </w:tc>
        <w:tc>
          <w:tcPr>
            <w:tcW w:w="1777" w:type="dxa"/>
            <w:vAlign w:val="center"/>
          </w:tcPr>
          <w:p w:rsidR="00926A0D" w:rsidRPr="00AD5F18" w:rsidRDefault="00AD5F18" w:rsidP="00B144C0">
            <w:pPr>
              <w:spacing w:before="20" w:after="20"/>
              <w:jc w:val="center"/>
              <w:rPr>
                <w:b/>
                <w:noProof/>
                <w:sz w:val="20"/>
              </w:rPr>
            </w:pPr>
            <w:r w:rsidRPr="00AD5F18">
              <w:rPr>
                <w:sz w:val="18"/>
              </w:rPr>
              <w:t>0</w:t>
            </w:r>
            <w:r w:rsidR="00B144C0">
              <w:rPr>
                <w:sz w:val="18"/>
              </w:rPr>
              <w:t>.</w:t>
            </w:r>
            <w:r w:rsidRPr="00AD5F18">
              <w:rPr>
                <w:sz w:val="18"/>
              </w:rPr>
              <w:t>385</w:t>
            </w:r>
            <w:r w:rsidR="00F77F48" w:rsidRPr="00AD5F18">
              <w:rPr>
                <w:noProof/>
                <w:sz w:val="18"/>
              </w:rPr>
              <w:t xml:space="preserve"> </w:t>
            </w:r>
          </w:p>
        </w:tc>
      </w:tr>
      <w:tr w:rsidR="00926A0D" w:rsidRPr="00AD5F18">
        <w:tc>
          <w:tcPr>
            <w:tcW w:w="3960" w:type="dxa"/>
            <w:vMerge/>
            <w:vAlign w:val="center"/>
          </w:tcPr>
          <w:p w:rsidR="00926A0D" w:rsidRPr="00AD5F18" w:rsidRDefault="00926A0D"/>
        </w:tc>
        <w:tc>
          <w:tcPr>
            <w:tcW w:w="1362" w:type="dxa"/>
            <w:vAlign w:val="center"/>
          </w:tcPr>
          <w:p w:rsidR="00926A0D" w:rsidRPr="00AD5F18" w:rsidRDefault="006023A9">
            <w:pPr>
              <w:spacing w:before="20" w:after="20"/>
              <w:rPr>
                <w:noProof/>
                <w:sz w:val="18"/>
              </w:rPr>
            </w:pPr>
            <w:r w:rsidRPr="00AD5F18">
              <w:rPr>
                <w:noProof/>
                <w:sz w:val="18"/>
              </w:rPr>
              <w:t>Payments</w:t>
            </w:r>
          </w:p>
        </w:tc>
        <w:tc>
          <w:tcPr>
            <w:tcW w:w="732" w:type="dxa"/>
            <w:vAlign w:val="center"/>
          </w:tcPr>
          <w:p w:rsidR="00926A0D" w:rsidRPr="00AD5F18" w:rsidRDefault="006023A9">
            <w:pPr>
              <w:spacing w:before="20" w:after="20"/>
              <w:jc w:val="center"/>
              <w:rPr>
                <w:noProof/>
                <w:sz w:val="14"/>
              </w:rPr>
            </w:pPr>
            <w:r w:rsidRPr="00AD5F18">
              <w:rPr>
                <w:noProof/>
                <w:sz w:val="14"/>
              </w:rPr>
              <w:t>(2)</w:t>
            </w:r>
          </w:p>
        </w:tc>
        <w:tc>
          <w:tcPr>
            <w:tcW w:w="868" w:type="dxa"/>
            <w:vAlign w:val="center"/>
          </w:tcPr>
          <w:p w:rsidR="00926A0D" w:rsidRPr="00AD5F18" w:rsidRDefault="00926A0D">
            <w:pPr>
              <w:spacing w:before="20" w:after="20"/>
              <w:jc w:val="right"/>
              <w:rPr>
                <w:noProof/>
                <w:sz w:val="20"/>
              </w:rPr>
            </w:pPr>
          </w:p>
        </w:tc>
        <w:tc>
          <w:tcPr>
            <w:tcW w:w="868" w:type="dxa"/>
          </w:tcPr>
          <w:p w:rsidR="00926A0D" w:rsidRPr="00AD5F18" w:rsidRDefault="00AD5F18" w:rsidP="00B144C0">
            <w:pPr>
              <w:spacing w:before="20" w:after="20"/>
              <w:jc w:val="right"/>
              <w:rPr>
                <w:sz w:val="20"/>
              </w:rPr>
            </w:pPr>
            <w:r w:rsidRPr="00AD5F18">
              <w:rPr>
                <w:sz w:val="20"/>
              </w:rPr>
              <w:t>0</w:t>
            </w:r>
            <w:r w:rsidR="00B144C0">
              <w:rPr>
                <w:sz w:val="20"/>
              </w:rPr>
              <w:t>.</w:t>
            </w:r>
            <w:r w:rsidRPr="00AD5F18">
              <w:rPr>
                <w:sz w:val="20"/>
              </w:rPr>
              <w:t>035</w:t>
            </w:r>
          </w:p>
        </w:tc>
        <w:tc>
          <w:tcPr>
            <w:tcW w:w="868" w:type="dxa"/>
          </w:tcPr>
          <w:p w:rsidR="00926A0D" w:rsidRPr="00AD5F18" w:rsidRDefault="00AD5F18" w:rsidP="00B144C0">
            <w:pPr>
              <w:spacing w:before="20" w:after="20"/>
              <w:jc w:val="center"/>
              <w:rPr>
                <w:sz w:val="20"/>
              </w:rPr>
            </w:pPr>
            <w:r w:rsidRPr="00AD5F18">
              <w:rPr>
                <w:sz w:val="20"/>
              </w:rPr>
              <w:t>0</w:t>
            </w:r>
            <w:r w:rsidR="00B144C0">
              <w:rPr>
                <w:sz w:val="20"/>
              </w:rPr>
              <w:t>.</w:t>
            </w:r>
            <w:r w:rsidRPr="00AD5F18">
              <w:rPr>
                <w:sz w:val="20"/>
              </w:rPr>
              <w:t>140</w:t>
            </w:r>
          </w:p>
        </w:tc>
        <w:tc>
          <w:tcPr>
            <w:tcW w:w="868" w:type="dxa"/>
          </w:tcPr>
          <w:p w:rsidR="00926A0D" w:rsidRPr="00AD5F18" w:rsidRDefault="00AD5F18" w:rsidP="00B144C0">
            <w:pPr>
              <w:spacing w:before="20" w:after="20"/>
              <w:jc w:val="center"/>
              <w:rPr>
                <w:sz w:val="20"/>
              </w:rPr>
            </w:pPr>
            <w:r w:rsidRPr="00AD5F18">
              <w:rPr>
                <w:sz w:val="20"/>
              </w:rPr>
              <w:t>0</w:t>
            </w:r>
            <w:r w:rsidR="00B144C0">
              <w:rPr>
                <w:sz w:val="20"/>
              </w:rPr>
              <w:t>.</w:t>
            </w:r>
            <w:r w:rsidRPr="00AD5F18">
              <w:rPr>
                <w:sz w:val="20"/>
              </w:rPr>
              <w:t>210</w:t>
            </w:r>
          </w:p>
        </w:tc>
        <w:tc>
          <w:tcPr>
            <w:tcW w:w="868" w:type="dxa"/>
            <w:vAlign w:val="center"/>
          </w:tcPr>
          <w:p w:rsidR="00926A0D" w:rsidRPr="00AD5F18" w:rsidRDefault="00926A0D">
            <w:pPr>
              <w:spacing w:before="20" w:after="20"/>
              <w:jc w:val="right"/>
              <w:rPr>
                <w:noProof/>
                <w:sz w:val="20"/>
              </w:rPr>
            </w:pPr>
          </w:p>
        </w:tc>
        <w:tc>
          <w:tcPr>
            <w:tcW w:w="868" w:type="dxa"/>
            <w:vAlign w:val="center"/>
          </w:tcPr>
          <w:p w:rsidR="00926A0D" w:rsidRPr="00AD5F18" w:rsidRDefault="00926A0D">
            <w:pPr>
              <w:spacing w:before="20" w:after="20"/>
              <w:jc w:val="right"/>
              <w:rPr>
                <w:noProof/>
                <w:sz w:val="20"/>
              </w:rPr>
            </w:pPr>
          </w:p>
        </w:tc>
        <w:tc>
          <w:tcPr>
            <w:tcW w:w="868" w:type="dxa"/>
            <w:vAlign w:val="center"/>
          </w:tcPr>
          <w:p w:rsidR="00926A0D" w:rsidRPr="00AD5F18" w:rsidRDefault="00926A0D">
            <w:pPr>
              <w:spacing w:before="20" w:after="20"/>
              <w:jc w:val="right"/>
              <w:rPr>
                <w:b/>
                <w:noProof/>
                <w:sz w:val="20"/>
              </w:rPr>
            </w:pPr>
          </w:p>
        </w:tc>
        <w:tc>
          <w:tcPr>
            <w:tcW w:w="1777" w:type="dxa"/>
            <w:vAlign w:val="center"/>
          </w:tcPr>
          <w:p w:rsidR="00926A0D" w:rsidRPr="00AD5F18" w:rsidRDefault="00AD5F18" w:rsidP="00B144C0">
            <w:pPr>
              <w:spacing w:before="20" w:after="20"/>
              <w:jc w:val="center"/>
              <w:rPr>
                <w:b/>
                <w:noProof/>
                <w:sz w:val="20"/>
              </w:rPr>
            </w:pPr>
            <w:r w:rsidRPr="00AD5F18">
              <w:rPr>
                <w:noProof/>
                <w:sz w:val="18"/>
              </w:rPr>
              <w:t>0</w:t>
            </w:r>
            <w:r w:rsidR="00B144C0">
              <w:rPr>
                <w:noProof/>
                <w:sz w:val="18"/>
              </w:rPr>
              <w:t>.</w:t>
            </w:r>
            <w:r w:rsidRPr="00AD5F18">
              <w:rPr>
                <w:noProof/>
                <w:sz w:val="18"/>
              </w:rPr>
              <w:t>385</w:t>
            </w:r>
            <w:r w:rsidR="00F77F48" w:rsidRPr="00AD5F18">
              <w:rPr>
                <w:noProof/>
                <w:sz w:val="18"/>
              </w:rPr>
              <w:t xml:space="preserve"> </w:t>
            </w:r>
          </w:p>
        </w:tc>
      </w:tr>
      <w:tr w:rsidR="00926A0D" w:rsidRPr="00AD5F18">
        <w:tc>
          <w:tcPr>
            <w:tcW w:w="3960" w:type="dxa"/>
            <w:vMerge w:val="restart"/>
            <w:vAlign w:val="center"/>
          </w:tcPr>
          <w:p w:rsidR="00926A0D" w:rsidRPr="00AD5F18" w:rsidRDefault="006023A9">
            <w:r w:rsidRPr="00AD5F18">
              <w:rPr>
                <w:noProof/>
                <w:sz w:val="20"/>
              </w:rPr>
              <w:t>Title 2:</w:t>
            </w:r>
            <w:r w:rsidRPr="00AD5F18">
              <w:rPr>
                <w:noProof/>
              </w:rPr>
              <w:t xml:space="preserve"> </w:t>
            </w:r>
            <w:r w:rsidRPr="00AD5F18">
              <w:rPr>
                <w:noProof/>
                <w:sz w:val="20"/>
              </w:rPr>
              <w:t>Infrastructure and operating expenditure</w:t>
            </w:r>
          </w:p>
        </w:tc>
        <w:tc>
          <w:tcPr>
            <w:tcW w:w="1362" w:type="dxa"/>
            <w:vAlign w:val="center"/>
          </w:tcPr>
          <w:p w:rsidR="00926A0D" w:rsidRPr="00AD5F18" w:rsidRDefault="006023A9">
            <w:pPr>
              <w:spacing w:before="20" w:after="20"/>
              <w:rPr>
                <w:noProof/>
                <w:sz w:val="18"/>
              </w:rPr>
            </w:pPr>
            <w:r w:rsidRPr="00AD5F18">
              <w:rPr>
                <w:noProof/>
                <w:sz w:val="18"/>
              </w:rPr>
              <w:t>Commitments</w:t>
            </w:r>
          </w:p>
        </w:tc>
        <w:tc>
          <w:tcPr>
            <w:tcW w:w="732" w:type="dxa"/>
            <w:vAlign w:val="center"/>
          </w:tcPr>
          <w:p w:rsidR="00926A0D" w:rsidRPr="00AD5F18" w:rsidRDefault="006023A9">
            <w:pPr>
              <w:spacing w:before="20" w:after="20"/>
              <w:jc w:val="center"/>
              <w:rPr>
                <w:noProof/>
                <w:sz w:val="14"/>
              </w:rPr>
            </w:pPr>
            <w:r w:rsidRPr="00AD5F18">
              <w:rPr>
                <w:noProof/>
                <w:sz w:val="14"/>
              </w:rPr>
              <w:t>(1a)</w:t>
            </w:r>
          </w:p>
        </w:tc>
        <w:tc>
          <w:tcPr>
            <w:tcW w:w="868" w:type="dxa"/>
            <w:vAlign w:val="center"/>
          </w:tcPr>
          <w:p w:rsidR="00926A0D" w:rsidRPr="00AD5F18" w:rsidRDefault="00926A0D">
            <w:pPr>
              <w:spacing w:before="20" w:after="20"/>
              <w:jc w:val="right"/>
              <w:rPr>
                <w:noProof/>
                <w:sz w:val="20"/>
              </w:rPr>
            </w:pPr>
          </w:p>
        </w:tc>
        <w:tc>
          <w:tcPr>
            <w:tcW w:w="868" w:type="dxa"/>
            <w:vAlign w:val="center"/>
          </w:tcPr>
          <w:p w:rsidR="00926A0D" w:rsidRPr="00AD5F18" w:rsidRDefault="00926A0D">
            <w:pPr>
              <w:spacing w:before="20" w:after="20"/>
              <w:jc w:val="right"/>
              <w:rPr>
                <w:noProof/>
                <w:sz w:val="20"/>
              </w:rPr>
            </w:pPr>
          </w:p>
        </w:tc>
        <w:tc>
          <w:tcPr>
            <w:tcW w:w="868" w:type="dxa"/>
            <w:vAlign w:val="center"/>
          </w:tcPr>
          <w:p w:rsidR="00926A0D" w:rsidRPr="00AD5F18" w:rsidRDefault="00926A0D">
            <w:pPr>
              <w:spacing w:before="20" w:after="20"/>
              <w:jc w:val="center"/>
              <w:rPr>
                <w:noProof/>
                <w:sz w:val="20"/>
              </w:rPr>
            </w:pPr>
          </w:p>
        </w:tc>
        <w:tc>
          <w:tcPr>
            <w:tcW w:w="868" w:type="dxa"/>
            <w:vAlign w:val="center"/>
          </w:tcPr>
          <w:p w:rsidR="00926A0D" w:rsidRPr="00AD5F18" w:rsidRDefault="00926A0D">
            <w:pPr>
              <w:spacing w:before="20" w:after="20"/>
              <w:jc w:val="center"/>
              <w:rPr>
                <w:noProof/>
                <w:sz w:val="20"/>
              </w:rPr>
            </w:pPr>
          </w:p>
        </w:tc>
        <w:tc>
          <w:tcPr>
            <w:tcW w:w="868" w:type="dxa"/>
            <w:vAlign w:val="center"/>
          </w:tcPr>
          <w:p w:rsidR="00926A0D" w:rsidRPr="00AD5F18" w:rsidRDefault="00926A0D">
            <w:pPr>
              <w:spacing w:before="20" w:after="20"/>
              <w:jc w:val="right"/>
              <w:rPr>
                <w:noProof/>
                <w:sz w:val="20"/>
              </w:rPr>
            </w:pPr>
          </w:p>
        </w:tc>
        <w:tc>
          <w:tcPr>
            <w:tcW w:w="868" w:type="dxa"/>
            <w:vAlign w:val="center"/>
          </w:tcPr>
          <w:p w:rsidR="00926A0D" w:rsidRPr="00AD5F18" w:rsidRDefault="00926A0D">
            <w:pPr>
              <w:spacing w:before="20" w:after="20"/>
              <w:jc w:val="right"/>
              <w:rPr>
                <w:noProof/>
                <w:sz w:val="20"/>
              </w:rPr>
            </w:pPr>
          </w:p>
        </w:tc>
        <w:tc>
          <w:tcPr>
            <w:tcW w:w="868" w:type="dxa"/>
            <w:vAlign w:val="center"/>
          </w:tcPr>
          <w:p w:rsidR="00926A0D" w:rsidRPr="00AD5F18" w:rsidRDefault="00926A0D">
            <w:pPr>
              <w:spacing w:before="20" w:after="20"/>
              <w:jc w:val="right"/>
              <w:rPr>
                <w:b/>
                <w:noProof/>
                <w:sz w:val="20"/>
              </w:rPr>
            </w:pPr>
          </w:p>
        </w:tc>
        <w:tc>
          <w:tcPr>
            <w:tcW w:w="1777" w:type="dxa"/>
            <w:vAlign w:val="center"/>
          </w:tcPr>
          <w:p w:rsidR="00926A0D" w:rsidRPr="00AD5F18" w:rsidRDefault="00926A0D">
            <w:pPr>
              <w:spacing w:before="20" w:after="20"/>
              <w:jc w:val="center"/>
              <w:rPr>
                <w:b/>
                <w:noProof/>
                <w:sz w:val="20"/>
              </w:rPr>
            </w:pPr>
          </w:p>
        </w:tc>
      </w:tr>
      <w:tr w:rsidR="00926A0D" w:rsidRPr="00AD5F18">
        <w:tc>
          <w:tcPr>
            <w:tcW w:w="3960" w:type="dxa"/>
            <w:vMerge/>
            <w:vAlign w:val="center"/>
          </w:tcPr>
          <w:p w:rsidR="00926A0D" w:rsidRPr="00AD5F18" w:rsidRDefault="00926A0D"/>
        </w:tc>
        <w:tc>
          <w:tcPr>
            <w:tcW w:w="1362" w:type="dxa"/>
            <w:vAlign w:val="center"/>
          </w:tcPr>
          <w:p w:rsidR="00926A0D" w:rsidRPr="00AD5F18" w:rsidRDefault="006023A9">
            <w:pPr>
              <w:spacing w:before="20" w:after="20"/>
              <w:rPr>
                <w:noProof/>
                <w:sz w:val="18"/>
              </w:rPr>
            </w:pPr>
            <w:r w:rsidRPr="00AD5F18">
              <w:rPr>
                <w:noProof/>
                <w:sz w:val="18"/>
              </w:rPr>
              <w:t>Payments</w:t>
            </w:r>
          </w:p>
        </w:tc>
        <w:tc>
          <w:tcPr>
            <w:tcW w:w="732" w:type="dxa"/>
            <w:vAlign w:val="center"/>
          </w:tcPr>
          <w:p w:rsidR="00926A0D" w:rsidRPr="00AD5F18" w:rsidRDefault="006023A9">
            <w:pPr>
              <w:spacing w:before="20" w:after="20"/>
              <w:jc w:val="center"/>
              <w:rPr>
                <w:noProof/>
                <w:sz w:val="14"/>
              </w:rPr>
            </w:pPr>
            <w:r w:rsidRPr="00AD5F18">
              <w:rPr>
                <w:noProof/>
                <w:sz w:val="14"/>
              </w:rPr>
              <w:t>(2a)</w:t>
            </w:r>
          </w:p>
        </w:tc>
        <w:tc>
          <w:tcPr>
            <w:tcW w:w="868" w:type="dxa"/>
            <w:vAlign w:val="center"/>
          </w:tcPr>
          <w:p w:rsidR="00926A0D" w:rsidRPr="00AD5F18" w:rsidRDefault="00926A0D">
            <w:pPr>
              <w:spacing w:before="20" w:after="20"/>
              <w:jc w:val="right"/>
              <w:rPr>
                <w:noProof/>
                <w:sz w:val="20"/>
              </w:rPr>
            </w:pPr>
          </w:p>
        </w:tc>
        <w:tc>
          <w:tcPr>
            <w:tcW w:w="868" w:type="dxa"/>
            <w:vAlign w:val="center"/>
          </w:tcPr>
          <w:p w:rsidR="00926A0D" w:rsidRPr="00AD5F18" w:rsidRDefault="00926A0D">
            <w:pPr>
              <w:spacing w:before="20" w:after="20"/>
              <w:jc w:val="right"/>
              <w:rPr>
                <w:noProof/>
                <w:sz w:val="20"/>
              </w:rPr>
            </w:pPr>
          </w:p>
        </w:tc>
        <w:tc>
          <w:tcPr>
            <w:tcW w:w="868" w:type="dxa"/>
            <w:vAlign w:val="center"/>
          </w:tcPr>
          <w:p w:rsidR="00926A0D" w:rsidRPr="00AD5F18" w:rsidRDefault="00926A0D">
            <w:pPr>
              <w:spacing w:before="20" w:after="20"/>
              <w:jc w:val="center"/>
              <w:rPr>
                <w:noProof/>
                <w:sz w:val="20"/>
              </w:rPr>
            </w:pPr>
          </w:p>
        </w:tc>
        <w:tc>
          <w:tcPr>
            <w:tcW w:w="868" w:type="dxa"/>
            <w:vAlign w:val="center"/>
          </w:tcPr>
          <w:p w:rsidR="00926A0D" w:rsidRPr="00AD5F18" w:rsidRDefault="00926A0D">
            <w:pPr>
              <w:spacing w:before="20" w:after="20"/>
              <w:jc w:val="center"/>
              <w:rPr>
                <w:noProof/>
                <w:sz w:val="20"/>
              </w:rPr>
            </w:pPr>
          </w:p>
        </w:tc>
        <w:tc>
          <w:tcPr>
            <w:tcW w:w="868" w:type="dxa"/>
            <w:vAlign w:val="center"/>
          </w:tcPr>
          <w:p w:rsidR="00926A0D" w:rsidRPr="00AD5F18" w:rsidRDefault="00926A0D">
            <w:pPr>
              <w:spacing w:before="20" w:after="20"/>
              <w:jc w:val="right"/>
              <w:rPr>
                <w:noProof/>
                <w:sz w:val="20"/>
              </w:rPr>
            </w:pPr>
          </w:p>
        </w:tc>
        <w:tc>
          <w:tcPr>
            <w:tcW w:w="868" w:type="dxa"/>
            <w:vAlign w:val="center"/>
          </w:tcPr>
          <w:p w:rsidR="00926A0D" w:rsidRPr="00AD5F18" w:rsidRDefault="00926A0D">
            <w:pPr>
              <w:spacing w:before="20" w:after="20"/>
              <w:jc w:val="right"/>
              <w:rPr>
                <w:noProof/>
                <w:sz w:val="20"/>
              </w:rPr>
            </w:pPr>
          </w:p>
        </w:tc>
        <w:tc>
          <w:tcPr>
            <w:tcW w:w="868" w:type="dxa"/>
            <w:vAlign w:val="center"/>
          </w:tcPr>
          <w:p w:rsidR="00926A0D" w:rsidRPr="00AD5F18" w:rsidRDefault="00926A0D">
            <w:pPr>
              <w:spacing w:before="20" w:after="20"/>
              <w:jc w:val="right"/>
              <w:rPr>
                <w:b/>
                <w:noProof/>
                <w:sz w:val="20"/>
              </w:rPr>
            </w:pPr>
          </w:p>
        </w:tc>
        <w:tc>
          <w:tcPr>
            <w:tcW w:w="1777" w:type="dxa"/>
            <w:vAlign w:val="center"/>
          </w:tcPr>
          <w:p w:rsidR="00926A0D" w:rsidRPr="00AD5F18" w:rsidRDefault="00926A0D">
            <w:pPr>
              <w:spacing w:before="20" w:after="20"/>
              <w:jc w:val="center"/>
              <w:rPr>
                <w:b/>
                <w:noProof/>
                <w:sz w:val="20"/>
              </w:rPr>
            </w:pPr>
          </w:p>
        </w:tc>
      </w:tr>
      <w:tr w:rsidR="00926A0D" w:rsidRPr="00AD5F18">
        <w:trPr>
          <w:trHeight w:val="319"/>
        </w:trPr>
        <w:tc>
          <w:tcPr>
            <w:tcW w:w="3960" w:type="dxa"/>
            <w:vAlign w:val="center"/>
          </w:tcPr>
          <w:p w:rsidR="00926A0D" w:rsidRPr="00AD5F18" w:rsidRDefault="006023A9">
            <w:pPr>
              <w:spacing w:before="60" w:after="60"/>
            </w:pPr>
            <w:r w:rsidRPr="00AD5F18">
              <w:rPr>
                <w:noProof/>
                <w:sz w:val="20"/>
              </w:rPr>
              <w:t>Title 3:</w:t>
            </w:r>
            <w:r w:rsidRPr="00AD5F18">
              <w:rPr>
                <w:noProof/>
              </w:rPr>
              <w:t xml:space="preserve"> </w:t>
            </w:r>
            <w:r w:rsidRPr="00AD5F18">
              <w:rPr>
                <w:noProof/>
                <w:sz w:val="20"/>
              </w:rPr>
              <w:t>Operational expenditure</w:t>
            </w:r>
          </w:p>
        </w:tc>
        <w:tc>
          <w:tcPr>
            <w:tcW w:w="1362" w:type="dxa"/>
            <w:vAlign w:val="center"/>
          </w:tcPr>
          <w:p w:rsidR="00926A0D" w:rsidRPr="00AD5F18" w:rsidRDefault="006023A9">
            <w:pPr>
              <w:spacing w:before="40" w:after="40"/>
              <w:rPr>
                <w:noProof/>
                <w:sz w:val="18"/>
              </w:rPr>
            </w:pPr>
            <w:r w:rsidRPr="00AD5F18">
              <w:rPr>
                <w:noProof/>
                <w:sz w:val="18"/>
              </w:rPr>
              <w:t>Commitments</w:t>
            </w:r>
          </w:p>
        </w:tc>
        <w:tc>
          <w:tcPr>
            <w:tcW w:w="732" w:type="dxa"/>
            <w:vAlign w:val="center"/>
          </w:tcPr>
          <w:p w:rsidR="00926A0D" w:rsidRPr="00AD5F18" w:rsidRDefault="006023A9">
            <w:pPr>
              <w:spacing w:before="40" w:after="40"/>
              <w:jc w:val="center"/>
              <w:rPr>
                <w:noProof/>
                <w:sz w:val="14"/>
              </w:rPr>
            </w:pPr>
            <w:r w:rsidRPr="00AD5F18">
              <w:rPr>
                <w:noProof/>
                <w:sz w:val="14"/>
              </w:rPr>
              <w:t>(3a)</w:t>
            </w:r>
          </w:p>
        </w:tc>
        <w:tc>
          <w:tcPr>
            <w:tcW w:w="868" w:type="dxa"/>
          </w:tcPr>
          <w:p w:rsidR="00926A0D" w:rsidRPr="00AD5F18" w:rsidRDefault="00926A0D">
            <w:pPr>
              <w:rPr>
                <w:noProof/>
              </w:rPr>
            </w:pPr>
          </w:p>
        </w:tc>
        <w:tc>
          <w:tcPr>
            <w:tcW w:w="868" w:type="dxa"/>
            <w:vAlign w:val="center"/>
          </w:tcPr>
          <w:p w:rsidR="00926A0D" w:rsidRPr="00AD5F18" w:rsidRDefault="00AD5F18" w:rsidP="00B144C0">
            <w:pPr>
              <w:jc w:val="right"/>
              <w:rPr>
                <w:noProof/>
              </w:rPr>
            </w:pPr>
            <w:r w:rsidRPr="00AD5F18">
              <w:rPr>
                <w:noProof/>
                <w:sz w:val="20"/>
                <w:szCs w:val="20"/>
              </w:rPr>
              <w:t>0</w:t>
            </w:r>
            <w:r w:rsidR="00B144C0">
              <w:rPr>
                <w:noProof/>
                <w:sz w:val="20"/>
                <w:szCs w:val="20"/>
              </w:rPr>
              <w:t>.</w:t>
            </w:r>
            <w:r w:rsidRPr="00AD5F18">
              <w:rPr>
                <w:noProof/>
                <w:sz w:val="20"/>
                <w:szCs w:val="20"/>
              </w:rPr>
              <w:t>250</w:t>
            </w:r>
          </w:p>
        </w:tc>
        <w:tc>
          <w:tcPr>
            <w:tcW w:w="868" w:type="dxa"/>
            <w:vAlign w:val="center"/>
          </w:tcPr>
          <w:p w:rsidR="00926A0D" w:rsidRPr="00AD5F18" w:rsidRDefault="006023A9" w:rsidP="00B144C0">
            <w:pPr>
              <w:jc w:val="right"/>
              <w:rPr>
                <w:noProof/>
                <w:sz w:val="20"/>
                <w:szCs w:val="20"/>
              </w:rPr>
            </w:pPr>
            <w:r w:rsidRPr="00AD5F18">
              <w:rPr>
                <w:noProof/>
                <w:sz w:val="20"/>
                <w:szCs w:val="20"/>
              </w:rPr>
              <w:t>0</w:t>
            </w:r>
            <w:r w:rsidR="00B144C0">
              <w:rPr>
                <w:noProof/>
                <w:sz w:val="20"/>
                <w:szCs w:val="20"/>
              </w:rPr>
              <w:t>.</w:t>
            </w:r>
            <w:r w:rsidRPr="00AD5F18">
              <w:rPr>
                <w:noProof/>
                <w:sz w:val="20"/>
                <w:szCs w:val="20"/>
              </w:rPr>
              <w:t>500</w:t>
            </w:r>
          </w:p>
        </w:tc>
        <w:tc>
          <w:tcPr>
            <w:tcW w:w="868" w:type="dxa"/>
            <w:vAlign w:val="center"/>
          </w:tcPr>
          <w:p w:rsidR="00926A0D" w:rsidRPr="00AD5F18" w:rsidRDefault="006023A9" w:rsidP="00B144C0">
            <w:pPr>
              <w:spacing w:before="40" w:after="40"/>
              <w:jc w:val="right"/>
              <w:rPr>
                <w:noProof/>
                <w:sz w:val="20"/>
                <w:szCs w:val="20"/>
              </w:rPr>
            </w:pPr>
            <w:r w:rsidRPr="00AD5F18">
              <w:rPr>
                <w:noProof/>
                <w:sz w:val="20"/>
                <w:szCs w:val="20"/>
              </w:rPr>
              <w:t>0</w:t>
            </w:r>
            <w:r w:rsidR="00B144C0">
              <w:rPr>
                <w:noProof/>
                <w:sz w:val="20"/>
                <w:szCs w:val="20"/>
              </w:rPr>
              <w:t>.</w:t>
            </w:r>
            <w:r w:rsidRPr="00AD5F18">
              <w:rPr>
                <w:noProof/>
                <w:sz w:val="20"/>
                <w:szCs w:val="20"/>
              </w:rPr>
              <w:t>500</w:t>
            </w:r>
          </w:p>
        </w:tc>
        <w:tc>
          <w:tcPr>
            <w:tcW w:w="868" w:type="dxa"/>
            <w:vAlign w:val="center"/>
          </w:tcPr>
          <w:p w:rsidR="00926A0D" w:rsidRPr="00AD5F18" w:rsidRDefault="00926A0D">
            <w:pPr>
              <w:spacing w:before="40" w:after="40"/>
              <w:jc w:val="right"/>
              <w:rPr>
                <w:noProof/>
                <w:szCs w:val="24"/>
              </w:rPr>
            </w:pPr>
          </w:p>
        </w:tc>
        <w:tc>
          <w:tcPr>
            <w:tcW w:w="868" w:type="dxa"/>
            <w:vAlign w:val="center"/>
          </w:tcPr>
          <w:p w:rsidR="00926A0D" w:rsidRPr="00AD5F18" w:rsidRDefault="00926A0D">
            <w:pPr>
              <w:spacing w:before="40" w:after="40"/>
              <w:jc w:val="right"/>
              <w:rPr>
                <w:b/>
                <w:noProof/>
                <w:sz w:val="20"/>
              </w:rPr>
            </w:pPr>
          </w:p>
        </w:tc>
        <w:tc>
          <w:tcPr>
            <w:tcW w:w="868" w:type="dxa"/>
            <w:vAlign w:val="center"/>
          </w:tcPr>
          <w:p w:rsidR="00926A0D" w:rsidRPr="00AD5F18" w:rsidRDefault="00926A0D">
            <w:pPr>
              <w:spacing w:before="40" w:after="40"/>
              <w:jc w:val="right"/>
              <w:rPr>
                <w:b/>
                <w:noProof/>
                <w:sz w:val="20"/>
              </w:rPr>
            </w:pPr>
          </w:p>
        </w:tc>
        <w:tc>
          <w:tcPr>
            <w:tcW w:w="1777" w:type="dxa"/>
            <w:vAlign w:val="center"/>
          </w:tcPr>
          <w:p w:rsidR="00926A0D" w:rsidRPr="00AD5F18" w:rsidRDefault="00AD5F18" w:rsidP="00B144C0">
            <w:pPr>
              <w:spacing w:before="40" w:after="40"/>
              <w:jc w:val="center"/>
              <w:rPr>
                <w:b/>
                <w:noProof/>
                <w:sz w:val="20"/>
              </w:rPr>
            </w:pPr>
            <w:r w:rsidRPr="00AD5F18">
              <w:rPr>
                <w:noProof/>
                <w:sz w:val="18"/>
              </w:rPr>
              <w:t>1</w:t>
            </w:r>
            <w:r w:rsidR="00B144C0">
              <w:rPr>
                <w:noProof/>
                <w:sz w:val="18"/>
              </w:rPr>
              <w:t>.</w:t>
            </w:r>
            <w:r w:rsidRPr="00AD5F18">
              <w:rPr>
                <w:noProof/>
                <w:sz w:val="18"/>
              </w:rPr>
              <w:t>250</w:t>
            </w:r>
            <w:r w:rsidR="00F77F48" w:rsidRPr="00AD5F18">
              <w:rPr>
                <w:noProof/>
                <w:sz w:val="18"/>
              </w:rPr>
              <w:t xml:space="preserve"> </w:t>
            </w:r>
          </w:p>
        </w:tc>
      </w:tr>
      <w:tr w:rsidR="00926A0D" w:rsidRPr="00AD5F18">
        <w:trPr>
          <w:trHeight w:val="319"/>
        </w:trPr>
        <w:tc>
          <w:tcPr>
            <w:tcW w:w="3960" w:type="dxa"/>
            <w:vAlign w:val="center"/>
          </w:tcPr>
          <w:p w:rsidR="00926A0D" w:rsidRPr="00AD5F18" w:rsidRDefault="00926A0D">
            <w:pPr>
              <w:spacing w:before="60" w:after="60"/>
              <w:rPr>
                <w:b/>
                <w:noProof/>
                <w:sz w:val="20"/>
              </w:rPr>
            </w:pPr>
          </w:p>
        </w:tc>
        <w:tc>
          <w:tcPr>
            <w:tcW w:w="1362" w:type="dxa"/>
            <w:vAlign w:val="center"/>
          </w:tcPr>
          <w:p w:rsidR="00926A0D" w:rsidRPr="00AD5F18" w:rsidRDefault="006023A9">
            <w:pPr>
              <w:spacing w:before="40" w:after="40"/>
              <w:rPr>
                <w:noProof/>
                <w:sz w:val="18"/>
              </w:rPr>
            </w:pPr>
            <w:r w:rsidRPr="00AD5F18">
              <w:rPr>
                <w:noProof/>
                <w:sz w:val="18"/>
              </w:rPr>
              <w:t>Payments</w:t>
            </w:r>
          </w:p>
        </w:tc>
        <w:tc>
          <w:tcPr>
            <w:tcW w:w="732" w:type="dxa"/>
            <w:vAlign w:val="center"/>
          </w:tcPr>
          <w:p w:rsidR="00926A0D" w:rsidRPr="00AD5F18" w:rsidRDefault="006023A9">
            <w:pPr>
              <w:spacing w:before="40" w:after="40"/>
              <w:jc w:val="center"/>
              <w:rPr>
                <w:noProof/>
                <w:sz w:val="14"/>
              </w:rPr>
            </w:pPr>
            <w:r w:rsidRPr="00AD5F18">
              <w:rPr>
                <w:noProof/>
                <w:sz w:val="14"/>
              </w:rPr>
              <w:t>(3b)</w:t>
            </w:r>
          </w:p>
        </w:tc>
        <w:tc>
          <w:tcPr>
            <w:tcW w:w="868" w:type="dxa"/>
          </w:tcPr>
          <w:p w:rsidR="00926A0D" w:rsidRPr="00AD5F18" w:rsidRDefault="00926A0D">
            <w:pPr>
              <w:rPr>
                <w:noProof/>
              </w:rPr>
            </w:pPr>
          </w:p>
        </w:tc>
        <w:tc>
          <w:tcPr>
            <w:tcW w:w="868" w:type="dxa"/>
            <w:vAlign w:val="center"/>
          </w:tcPr>
          <w:p w:rsidR="00926A0D" w:rsidRPr="00AD5F18" w:rsidRDefault="00AD5F18" w:rsidP="00B144C0">
            <w:pPr>
              <w:jc w:val="right"/>
              <w:rPr>
                <w:noProof/>
              </w:rPr>
            </w:pPr>
            <w:r w:rsidRPr="00AD5F18">
              <w:rPr>
                <w:noProof/>
                <w:sz w:val="20"/>
                <w:szCs w:val="20"/>
              </w:rPr>
              <w:t>0</w:t>
            </w:r>
            <w:r w:rsidR="00B144C0">
              <w:rPr>
                <w:noProof/>
                <w:sz w:val="20"/>
                <w:szCs w:val="20"/>
              </w:rPr>
              <w:t>.</w:t>
            </w:r>
            <w:r w:rsidRPr="00AD5F18">
              <w:rPr>
                <w:noProof/>
                <w:sz w:val="20"/>
                <w:szCs w:val="20"/>
              </w:rPr>
              <w:t>250</w:t>
            </w:r>
          </w:p>
        </w:tc>
        <w:tc>
          <w:tcPr>
            <w:tcW w:w="868" w:type="dxa"/>
            <w:vAlign w:val="center"/>
          </w:tcPr>
          <w:p w:rsidR="00926A0D" w:rsidRPr="00AD5F18" w:rsidRDefault="006023A9" w:rsidP="00B144C0">
            <w:pPr>
              <w:jc w:val="right"/>
              <w:rPr>
                <w:noProof/>
                <w:sz w:val="20"/>
                <w:szCs w:val="20"/>
              </w:rPr>
            </w:pPr>
            <w:r w:rsidRPr="00AD5F18">
              <w:rPr>
                <w:noProof/>
                <w:sz w:val="20"/>
                <w:szCs w:val="20"/>
              </w:rPr>
              <w:t>0</w:t>
            </w:r>
            <w:r w:rsidR="00B144C0">
              <w:rPr>
                <w:noProof/>
                <w:sz w:val="20"/>
                <w:szCs w:val="20"/>
              </w:rPr>
              <w:t>.</w:t>
            </w:r>
            <w:r w:rsidRPr="00AD5F18">
              <w:rPr>
                <w:noProof/>
                <w:sz w:val="20"/>
                <w:szCs w:val="20"/>
              </w:rPr>
              <w:t>500</w:t>
            </w:r>
          </w:p>
        </w:tc>
        <w:tc>
          <w:tcPr>
            <w:tcW w:w="868" w:type="dxa"/>
            <w:vAlign w:val="center"/>
          </w:tcPr>
          <w:p w:rsidR="00926A0D" w:rsidRPr="00AD5F18" w:rsidRDefault="006023A9" w:rsidP="00B144C0">
            <w:pPr>
              <w:spacing w:before="40" w:after="40"/>
              <w:jc w:val="right"/>
              <w:rPr>
                <w:noProof/>
                <w:sz w:val="20"/>
                <w:szCs w:val="20"/>
              </w:rPr>
            </w:pPr>
            <w:r w:rsidRPr="00AD5F18">
              <w:rPr>
                <w:noProof/>
                <w:sz w:val="20"/>
                <w:szCs w:val="20"/>
              </w:rPr>
              <w:t>0</w:t>
            </w:r>
            <w:r w:rsidR="00B144C0">
              <w:rPr>
                <w:noProof/>
                <w:sz w:val="20"/>
                <w:szCs w:val="20"/>
              </w:rPr>
              <w:t>.</w:t>
            </w:r>
            <w:r w:rsidRPr="00AD5F18">
              <w:rPr>
                <w:noProof/>
                <w:sz w:val="20"/>
                <w:szCs w:val="20"/>
              </w:rPr>
              <w:t>500</w:t>
            </w:r>
          </w:p>
        </w:tc>
        <w:tc>
          <w:tcPr>
            <w:tcW w:w="868" w:type="dxa"/>
            <w:vAlign w:val="center"/>
          </w:tcPr>
          <w:p w:rsidR="00926A0D" w:rsidRPr="00AD5F18" w:rsidRDefault="00926A0D">
            <w:pPr>
              <w:spacing w:before="40" w:after="40"/>
              <w:jc w:val="right"/>
              <w:rPr>
                <w:b/>
                <w:noProof/>
                <w:sz w:val="20"/>
              </w:rPr>
            </w:pPr>
          </w:p>
        </w:tc>
        <w:tc>
          <w:tcPr>
            <w:tcW w:w="868" w:type="dxa"/>
            <w:vAlign w:val="center"/>
          </w:tcPr>
          <w:p w:rsidR="00926A0D" w:rsidRPr="00AD5F18" w:rsidRDefault="00926A0D">
            <w:pPr>
              <w:spacing w:before="40" w:after="40"/>
              <w:jc w:val="right"/>
              <w:rPr>
                <w:b/>
                <w:noProof/>
                <w:sz w:val="20"/>
              </w:rPr>
            </w:pPr>
          </w:p>
        </w:tc>
        <w:tc>
          <w:tcPr>
            <w:tcW w:w="868" w:type="dxa"/>
            <w:vAlign w:val="center"/>
          </w:tcPr>
          <w:p w:rsidR="00926A0D" w:rsidRPr="00AD5F18" w:rsidRDefault="00926A0D">
            <w:pPr>
              <w:spacing w:before="40" w:after="40"/>
              <w:jc w:val="right"/>
              <w:rPr>
                <w:b/>
                <w:noProof/>
                <w:sz w:val="20"/>
              </w:rPr>
            </w:pPr>
          </w:p>
        </w:tc>
        <w:tc>
          <w:tcPr>
            <w:tcW w:w="1777" w:type="dxa"/>
            <w:vAlign w:val="center"/>
          </w:tcPr>
          <w:p w:rsidR="00926A0D" w:rsidRPr="00AD5F18" w:rsidRDefault="00AD5F18" w:rsidP="00B144C0">
            <w:pPr>
              <w:spacing w:before="40" w:after="40"/>
              <w:jc w:val="center"/>
              <w:rPr>
                <w:b/>
                <w:noProof/>
                <w:sz w:val="20"/>
              </w:rPr>
            </w:pPr>
            <w:r w:rsidRPr="00AD5F18">
              <w:rPr>
                <w:noProof/>
                <w:sz w:val="18"/>
              </w:rPr>
              <w:t>1</w:t>
            </w:r>
            <w:r w:rsidR="00B144C0">
              <w:rPr>
                <w:noProof/>
                <w:sz w:val="18"/>
              </w:rPr>
              <w:t>.</w:t>
            </w:r>
            <w:r w:rsidRPr="00AD5F18">
              <w:rPr>
                <w:noProof/>
                <w:sz w:val="18"/>
              </w:rPr>
              <w:t>250</w:t>
            </w:r>
          </w:p>
        </w:tc>
      </w:tr>
      <w:tr w:rsidR="00926A0D" w:rsidRPr="00AD5F18">
        <w:tc>
          <w:tcPr>
            <w:tcW w:w="3960" w:type="dxa"/>
            <w:vMerge w:val="restart"/>
            <w:vAlign w:val="center"/>
          </w:tcPr>
          <w:p w:rsidR="00926A0D" w:rsidRPr="00AD5F18" w:rsidRDefault="006023A9">
            <w:pPr>
              <w:jc w:val="center"/>
              <w:rPr>
                <w:noProof/>
              </w:rPr>
            </w:pPr>
            <w:r w:rsidRPr="00AD5F18">
              <w:rPr>
                <w:b/>
                <w:noProof/>
                <w:sz w:val="22"/>
              </w:rPr>
              <w:t>TOTAL appropriations</w:t>
            </w:r>
            <w:r w:rsidRPr="00AD5F18">
              <w:rPr>
                <w:noProof/>
                <w:sz w:val="22"/>
              </w:rPr>
              <w:br/>
            </w:r>
            <w:r w:rsidRPr="00AD5F18">
              <w:rPr>
                <w:b/>
                <w:noProof/>
                <w:sz w:val="22"/>
              </w:rPr>
              <w:t xml:space="preserve">for [body] </w:t>
            </w:r>
            <w:r w:rsidRPr="00AD5F18">
              <w:t>&lt;EEA…….&gt;</w:t>
            </w:r>
          </w:p>
        </w:tc>
        <w:tc>
          <w:tcPr>
            <w:tcW w:w="1362" w:type="dxa"/>
            <w:vAlign w:val="center"/>
          </w:tcPr>
          <w:p w:rsidR="00926A0D" w:rsidRPr="00AD5F18" w:rsidRDefault="006023A9">
            <w:pPr>
              <w:rPr>
                <w:noProof/>
                <w:sz w:val="18"/>
              </w:rPr>
            </w:pPr>
            <w:r w:rsidRPr="00AD5F18">
              <w:rPr>
                <w:noProof/>
                <w:sz w:val="18"/>
              </w:rPr>
              <w:t>Commitments</w:t>
            </w:r>
          </w:p>
        </w:tc>
        <w:tc>
          <w:tcPr>
            <w:tcW w:w="732" w:type="dxa"/>
            <w:vAlign w:val="center"/>
          </w:tcPr>
          <w:p w:rsidR="00926A0D" w:rsidRPr="00AD5F18" w:rsidRDefault="006023A9">
            <w:pPr>
              <w:jc w:val="center"/>
              <w:rPr>
                <w:noProof/>
                <w:sz w:val="14"/>
              </w:rPr>
            </w:pPr>
            <w:r w:rsidRPr="00AD5F18">
              <w:rPr>
                <w:noProof/>
                <w:sz w:val="14"/>
              </w:rPr>
              <w:t>=1+1a +3a</w:t>
            </w:r>
          </w:p>
        </w:tc>
        <w:tc>
          <w:tcPr>
            <w:tcW w:w="868" w:type="dxa"/>
            <w:vAlign w:val="center"/>
          </w:tcPr>
          <w:p w:rsidR="00926A0D" w:rsidRPr="00AD5F18" w:rsidRDefault="00926A0D">
            <w:pPr>
              <w:spacing w:before="20" w:after="20"/>
              <w:jc w:val="right"/>
              <w:rPr>
                <w:noProof/>
                <w:sz w:val="20"/>
              </w:rPr>
            </w:pPr>
          </w:p>
        </w:tc>
        <w:tc>
          <w:tcPr>
            <w:tcW w:w="868" w:type="dxa"/>
          </w:tcPr>
          <w:p w:rsidR="00926A0D" w:rsidRPr="00AD5F18" w:rsidRDefault="00AD5F18" w:rsidP="00B144C0">
            <w:pPr>
              <w:spacing w:before="20" w:after="20"/>
              <w:jc w:val="right"/>
              <w:rPr>
                <w:sz w:val="20"/>
              </w:rPr>
            </w:pPr>
            <w:r w:rsidRPr="00AD5F18">
              <w:rPr>
                <w:sz w:val="20"/>
              </w:rPr>
              <w:t>0</w:t>
            </w:r>
            <w:r w:rsidR="00B144C0">
              <w:rPr>
                <w:sz w:val="20"/>
              </w:rPr>
              <w:t>.</w:t>
            </w:r>
            <w:r w:rsidRPr="00AD5F18">
              <w:rPr>
                <w:sz w:val="20"/>
              </w:rPr>
              <w:t>285</w:t>
            </w:r>
          </w:p>
        </w:tc>
        <w:tc>
          <w:tcPr>
            <w:tcW w:w="868" w:type="dxa"/>
          </w:tcPr>
          <w:p w:rsidR="00926A0D" w:rsidRPr="00AD5F18" w:rsidRDefault="00AD5F18" w:rsidP="00B144C0">
            <w:pPr>
              <w:spacing w:before="20" w:after="20"/>
              <w:jc w:val="right"/>
              <w:rPr>
                <w:sz w:val="20"/>
              </w:rPr>
            </w:pPr>
            <w:r w:rsidRPr="00AD5F18">
              <w:rPr>
                <w:sz w:val="20"/>
              </w:rPr>
              <w:t>0</w:t>
            </w:r>
            <w:r w:rsidR="00B144C0">
              <w:rPr>
                <w:sz w:val="20"/>
              </w:rPr>
              <w:t>.</w:t>
            </w:r>
            <w:r w:rsidRPr="00AD5F18">
              <w:rPr>
                <w:sz w:val="20"/>
              </w:rPr>
              <w:t>640</w:t>
            </w:r>
          </w:p>
        </w:tc>
        <w:tc>
          <w:tcPr>
            <w:tcW w:w="868" w:type="dxa"/>
          </w:tcPr>
          <w:p w:rsidR="00926A0D" w:rsidRPr="00AD5F18" w:rsidRDefault="00AD5F18" w:rsidP="00B144C0">
            <w:pPr>
              <w:spacing w:before="20" w:after="20"/>
              <w:jc w:val="right"/>
              <w:rPr>
                <w:sz w:val="20"/>
              </w:rPr>
            </w:pPr>
            <w:r w:rsidRPr="00AD5F18">
              <w:rPr>
                <w:sz w:val="20"/>
              </w:rPr>
              <w:t>0</w:t>
            </w:r>
            <w:r w:rsidR="00B144C0">
              <w:rPr>
                <w:sz w:val="20"/>
              </w:rPr>
              <w:t>.</w:t>
            </w:r>
            <w:r w:rsidRPr="00AD5F18">
              <w:rPr>
                <w:sz w:val="20"/>
              </w:rPr>
              <w:t>710</w:t>
            </w:r>
          </w:p>
        </w:tc>
        <w:tc>
          <w:tcPr>
            <w:tcW w:w="868" w:type="dxa"/>
            <w:vAlign w:val="center"/>
          </w:tcPr>
          <w:p w:rsidR="00926A0D" w:rsidRPr="00AD5F18" w:rsidRDefault="00926A0D">
            <w:pPr>
              <w:spacing w:before="20" w:after="20"/>
              <w:jc w:val="right"/>
              <w:rPr>
                <w:noProof/>
                <w:sz w:val="20"/>
              </w:rPr>
            </w:pPr>
          </w:p>
        </w:tc>
        <w:tc>
          <w:tcPr>
            <w:tcW w:w="868" w:type="dxa"/>
            <w:vAlign w:val="center"/>
          </w:tcPr>
          <w:p w:rsidR="00926A0D" w:rsidRPr="00AD5F18" w:rsidRDefault="00926A0D">
            <w:pPr>
              <w:spacing w:before="20" w:after="20"/>
              <w:jc w:val="right"/>
              <w:rPr>
                <w:noProof/>
                <w:sz w:val="20"/>
              </w:rPr>
            </w:pPr>
          </w:p>
        </w:tc>
        <w:tc>
          <w:tcPr>
            <w:tcW w:w="868" w:type="dxa"/>
            <w:vAlign w:val="center"/>
          </w:tcPr>
          <w:p w:rsidR="00926A0D" w:rsidRPr="00AD5F18" w:rsidRDefault="00926A0D">
            <w:pPr>
              <w:spacing w:before="20" w:after="20"/>
              <w:jc w:val="right"/>
              <w:rPr>
                <w:b/>
                <w:noProof/>
                <w:sz w:val="20"/>
              </w:rPr>
            </w:pPr>
          </w:p>
        </w:tc>
        <w:tc>
          <w:tcPr>
            <w:tcW w:w="1777" w:type="dxa"/>
            <w:vAlign w:val="center"/>
          </w:tcPr>
          <w:p w:rsidR="00926A0D" w:rsidRPr="00AD5F18" w:rsidRDefault="00AD5F18" w:rsidP="00B144C0">
            <w:pPr>
              <w:spacing w:before="20" w:after="20"/>
              <w:jc w:val="center"/>
              <w:rPr>
                <w:b/>
                <w:noProof/>
                <w:sz w:val="20"/>
              </w:rPr>
            </w:pPr>
            <w:r w:rsidRPr="00AD5F18">
              <w:rPr>
                <w:noProof/>
                <w:sz w:val="18"/>
              </w:rPr>
              <w:t>1</w:t>
            </w:r>
            <w:r w:rsidR="00B144C0">
              <w:rPr>
                <w:noProof/>
                <w:sz w:val="18"/>
              </w:rPr>
              <w:t>.</w:t>
            </w:r>
            <w:r w:rsidRPr="00AD5F18">
              <w:rPr>
                <w:noProof/>
                <w:sz w:val="18"/>
              </w:rPr>
              <w:t>635</w:t>
            </w:r>
            <w:r w:rsidR="00F77F48" w:rsidRPr="00AD5F18">
              <w:rPr>
                <w:noProof/>
                <w:sz w:val="18"/>
              </w:rPr>
              <w:t xml:space="preserve"> </w:t>
            </w:r>
          </w:p>
        </w:tc>
      </w:tr>
      <w:tr w:rsidR="00926A0D">
        <w:tc>
          <w:tcPr>
            <w:tcW w:w="3960" w:type="dxa"/>
            <w:vMerge/>
            <w:vAlign w:val="center"/>
          </w:tcPr>
          <w:p w:rsidR="00926A0D" w:rsidRPr="00AD5F18" w:rsidRDefault="00926A0D">
            <w:pPr>
              <w:rPr>
                <w:b/>
                <w:noProof/>
              </w:rPr>
            </w:pPr>
          </w:p>
        </w:tc>
        <w:tc>
          <w:tcPr>
            <w:tcW w:w="1362" w:type="dxa"/>
            <w:vAlign w:val="center"/>
          </w:tcPr>
          <w:p w:rsidR="00926A0D" w:rsidRPr="00AD5F18" w:rsidRDefault="006023A9">
            <w:pPr>
              <w:rPr>
                <w:noProof/>
                <w:sz w:val="18"/>
              </w:rPr>
            </w:pPr>
            <w:r w:rsidRPr="00AD5F18">
              <w:rPr>
                <w:noProof/>
                <w:sz w:val="18"/>
              </w:rPr>
              <w:t>Payments</w:t>
            </w:r>
          </w:p>
        </w:tc>
        <w:tc>
          <w:tcPr>
            <w:tcW w:w="732" w:type="dxa"/>
            <w:vAlign w:val="center"/>
          </w:tcPr>
          <w:p w:rsidR="00926A0D" w:rsidRPr="00AD5F18" w:rsidRDefault="006023A9">
            <w:pPr>
              <w:jc w:val="center"/>
              <w:rPr>
                <w:noProof/>
                <w:sz w:val="14"/>
              </w:rPr>
            </w:pPr>
            <w:r w:rsidRPr="00AD5F18">
              <w:rPr>
                <w:noProof/>
                <w:sz w:val="14"/>
              </w:rPr>
              <w:t>=2+2a</w:t>
            </w:r>
          </w:p>
          <w:p w:rsidR="00926A0D" w:rsidRPr="00AD5F18" w:rsidRDefault="006023A9">
            <w:pPr>
              <w:jc w:val="center"/>
              <w:rPr>
                <w:noProof/>
                <w:sz w:val="14"/>
              </w:rPr>
            </w:pPr>
            <w:r w:rsidRPr="00AD5F18">
              <w:rPr>
                <w:noProof/>
                <w:sz w:val="14"/>
              </w:rPr>
              <w:t>+3b</w:t>
            </w:r>
          </w:p>
        </w:tc>
        <w:tc>
          <w:tcPr>
            <w:tcW w:w="868" w:type="dxa"/>
            <w:vAlign w:val="center"/>
          </w:tcPr>
          <w:p w:rsidR="00926A0D" w:rsidRPr="00AD5F18" w:rsidRDefault="00926A0D">
            <w:pPr>
              <w:spacing w:before="20" w:after="20"/>
              <w:jc w:val="right"/>
              <w:rPr>
                <w:noProof/>
                <w:sz w:val="20"/>
              </w:rPr>
            </w:pPr>
          </w:p>
        </w:tc>
        <w:tc>
          <w:tcPr>
            <w:tcW w:w="868" w:type="dxa"/>
          </w:tcPr>
          <w:p w:rsidR="00926A0D" w:rsidRPr="00AD5F18" w:rsidRDefault="00AD5F18" w:rsidP="00B144C0">
            <w:pPr>
              <w:spacing w:before="20" w:after="20"/>
              <w:jc w:val="right"/>
              <w:rPr>
                <w:sz w:val="20"/>
              </w:rPr>
            </w:pPr>
            <w:r w:rsidRPr="00AD5F18">
              <w:rPr>
                <w:sz w:val="20"/>
              </w:rPr>
              <w:t>0</w:t>
            </w:r>
            <w:r w:rsidR="00B144C0">
              <w:rPr>
                <w:sz w:val="20"/>
              </w:rPr>
              <w:t>.</w:t>
            </w:r>
            <w:r w:rsidRPr="00AD5F18">
              <w:rPr>
                <w:sz w:val="20"/>
              </w:rPr>
              <w:t>285</w:t>
            </w:r>
          </w:p>
        </w:tc>
        <w:tc>
          <w:tcPr>
            <w:tcW w:w="868" w:type="dxa"/>
          </w:tcPr>
          <w:p w:rsidR="00926A0D" w:rsidRPr="00AD5F18" w:rsidRDefault="00AD5F18" w:rsidP="00B144C0">
            <w:pPr>
              <w:spacing w:before="20" w:after="20"/>
              <w:jc w:val="right"/>
              <w:rPr>
                <w:sz w:val="20"/>
              </w:rPr>
            </w:pPr>
            <w:r w:rsidRPr="00AD5F18">
              <w:rPr>
                <w:sz w:val="20"/>
              </w:rPr>
              <w:t>0</w:t>
            </w:r>
            <w:r w:rsidR="00B144C0">
              <w:rPr>
                <w:sz w:val="20"/>
              </w:rPr>
              <w:t>.</w:t>
            </w:r>
            <w:r w:rsidRPr="00AD5F18">
              <w:rPr>
                <w:sz w:val="20"/>
              </w:rPr>
              <w:t>640</w:t>
            </w:r>
          </w:p>
        </w:tc>
        <w:tc>
          <w:tcPr>
            <w:tcW w:w="868" w:type="dxa"/>
          </w:tcPr>
          <w:p w:rsidR="00926A0D" w:rsidRPr="00AD5F18" w:rsidRDefault="00AD5F18" w:rsidP="00B144C0">
            <w:pPr>
              <w:spacing w:before="20" w:after="20"/>
              <w:jc w:val="right"/>
              <w:rPr>
                <w:sz w:val="20"/>
              </w:rPr>
            </w:pPr>
            <w:r w:rsidRPr="00AD5F18">
              <w:rPr>
                <w:sz w:val="20"/>
              </w:rPr>
              <w:t>0</w:t>
            </w:r>
            <w:r w:rsidR="00B144C0">
              <w:rPr>
                <w:sz w:val="20"/>
              </w:rPr>
              <w:t>.</w:t>
            </w:r>
            <w:r w:rsidRPr="00AD5F18">
              <w:rPr>
                <w:sz w:val="20"/>
              </w:rPr>
              <w:t>710</w:t>
            </w:r>
          </w:p>
        </w:tc>
        <w:tc>
          <w:tcPr>
            <w:tcW w:w="868" w:type="dxa"/>
            <w:vAlign w:val="center"/>
          </w:tcPr>
          <w:p w:rsidR="00926A0D" w:rsidRPr="00AD5F18" w:rsidRDefault="00926A0D">
            <w:pPr>
              <w:spacing w:before="20" w:after="20"/>
              <w:jc w:val="right"/>
              <w:rPr>
                <w:noProof/>
                <w:sz w:val="20"/>
              </w:rPr>
            </w:pPr>
          </w:p>
        </w:tc>
        <w:tc>
          <w:tcPr>
            <w:tcW w:w="868" w:type="dxa"/>
            <w:vAlign w:val="center"/>
          </w:tcPr>
          <w:p w:rsidR="00926A0D" w:rsidRPr="00AD5F18" w:rsidRDefault="00926A0D">
            <w:pPr>
              <w:spacing w:before="20" w:after="20"/>
              <w:jc w:val="right"/>
              <w:rPr>
                <w:noProof/>
                <w:sz w:val="20"/>
              </w:rPr>
            </w:pPr>
          </w:p>
        </w:tc>
        <w:tc>
          <w:tcPr>
            <w:tcW w:w="868" w:type="dxa"/>
            <w:vAlign w:val="center"/>
          </w:tcPr>
          <w:p w:rsidR="00926A0D" w:rsidRPr="00AD5F18" w:rsidRDefault="00926A0D">
            <w:pPr>
              <w:spacing w:before="20" w:after="20"/>
              <w:jc w:val="right"/>
              <w:rPr>
                <w:b/>
                <w:noProof/>
                <w:sz w:val="20"/>
              </w:rPr>
            </w:pPr>
          </w:p>
        </w:tc>
        <w:tc>
          <w:tcPr>
            <w:tcW w:w="1777" w:type="dxa"/>
            <w:vAlign w:val="center"/>
          </w:tcPr>
          <w:p w:rsidR="00926A0D" w:rsidRDefault="00AD5F18" w:rsidP="00B144C0">
            <w:pPr>
              <w:spacing w:before="20" w:after="20"/>
              <w:jc w:val="center"/>
              <w:rPr>
                <w:b/>
                <w:noProof/>
                <w:sz w:val="20"/>
              </w:rPr>
            </w:pPr>
            <w:r w:rsidRPr="00AD5F18">
              <w:rPr>
                <w:noProof/>
                <w:sz w:val="18"/>
              </w:rPr>
              <w:t>1</w:t>
            </w:r>
            <w:r w:rsidR="00B144C0">
              <w:rPr>
                <w:noProof/>
                <w:sz w:val="18"/>
              </w:rPr>
              <w:t>.</w:t>
            </w:r>
            <w:r w:rsidRPr="00AD5F18">
              <w:rPr>
                <w:noProof/>
                <w:sz w:val="18"/>
              </w:rPr>
              <w:t>635</w:t>
            </w:r>
            <w:r w:rsidR="00F77F48" w:rsidRPr="00AD5F18">
              <w:rPr>
                <w:noProof/>
                <w:sz w:val="18"/>
              </w:rPr>
              <w:t xml:space="preserve"> </w:t>
            </w:r>
          </w:p>
        </w:tc>
      </w:tr>
    </w:tbl>
    <w:p w:rsidR="00926A0D" w:rsidRDefault="006023A9">
      <w:pPr>
        <w:rPr>
          <w:noProof/>
        </w:rPr>
      </w:pPr>
      <w:r>
        <w:rPr>
          <w:noProof/>
        </w:rPr>
        <w:br/>
      </w:r>
      <w:r>
        <w:rPr>
          <w:noProof/>
        </w:rPr>
        <w:br/>
      </w:r>
    </w:p>
    <w:p w:rsidR="00926A0D" w:rsidRDefault="006023A9">
      <w:pPr>
        <w:rPr>
          <w:noProof/>
        </w:rPr>
      </w:pPr>
      <w:r>
        <w:rPr>
          <w:noProof/>
        </w:rPr>
        <w:br w:type="page"/>
      </w:r>
    </w:p>
    <w:p w:rsidR="00926A0D" w:rsidRDefault="00926A0D">
      <w:pPr>
        <w:rPr>
          <w:noProof/>
        </w:rPr>
        <w:sectPr w:rsidR="00926A0D" w:rsidSect="00211F8F">
          <w:headerReference w:type="default" r:id="rId29"/>
          <w:footerReference w:type="default" r:id="rId30"/>
          <w:headerReference w:type="first" r:id="rId31"/>
          <w:footerReference w:type="first" r:id="rId32"/>
          <w:pgSz w:w="15840" w:h="12240" w:orient="landscape"/>
          <w:pgMar w:top="1134" w:right="1077" w:bottom="902" w:left="1247" w:header="709" w:footer="510" w:gutter="0"/>
          <w:cols w:space="720"/>
          <w:docGrid w:linePitch="326"/>
        </w:sectPr>
      </w:pPr>
    </w:p>
    <w:p w:rsidR="00926A0D" w:rsidRDefault="003312D8">
      <w:pPr>
        <w:pStyle w:val="ManualHeading3"/>
        <w:rPr>
          <w:bCs/>
          <w:noProof/>
          <w:szCs w:val="24"/>
        </w:rPr>
      </w:pPr>
      <w:r>
        <w:lastRenderedPageBreak/>
        <w:t>3</w:t>
      </w:r>
      <w:r w:rsidR="006023A9">
        <w:t>.2.2.</w:t>
      </w:r>
      <w:r w:rsidR="006023A9">
        <w:tab/>
      </w:r>
      <w:r w:rsidR="006023A9">
        <w:rPr>
          <w:noProof/>
        </w:rPr>
        <w:t xml:space="preserve">Estimated impact on [body]'s appropriations </w:t>
      </w:r>
    </w:p>
    <w:p w:rsidR="00926A0D" w:rsidRDefault="006023A9" w:rsidP="0076006B">
      <w:pPr>
        <w:pStyle w:val="ListDash1"/>
        <w:numPr>
          <w:ilvl w:val="0"/>
          <w:numId w:val="32"/>
        </w:numPr>
        <w:rPr>
          <w:noProof/>
        </w:rPr>
      </w:pPr>
      <w:r>
        <w:rPr>
          <w:noProof/>
        </w:rPr>
        <w:sym w:font="Wingdings" w:char="F0A8"/>
      </w:r>
      <w:r>
        <w:rPr>
          <w:noProof/>
        </w:rPr>
        <w:tab/>
        <w:t xml:space="preserve">The proposal/initiative does not require the use of operational appropriations </w:t>
      </w:r>
    </w:p>
    <w:p w:rsidR="00926A0D" w:rsidRDefault="006023A9" w:rsidP="0076006B">
      <w:pPr>
        <w:pStyle w:val="ListDash1"/>
        <w:numPr>
          <w:ilvl w:val="0"/>
          <w:numId w:val="32"/>
        </w:numPr>
        <w:rPr>
          <w:noProof/>
        </w:rPr>
      </w:pPr>
      <w:r>
        <w:rPr>
          <w:noProof/>
        </w:rPr>
        <w:sym w:font="Wingdings" w:char="F0A8"/>
      </w:r>
      <w:r>
        <w:rPr>
          <w:noProof/>
        </w:rPr>
        <w:tab/>
        <w:t>The proposal/initiative requires the use of operational appropriations, as explained below:</w:t>
      </w:r>
    </w:p>
    <w:p w:rsidR="00926A0D" w:rsidRDefault="006023A9">
      <w:pPr>
        <w:jc w:val="right"/>
        <w:rPr>
          <w:noProof/>
          <w:sz w:val="20"/>
        </w:rPr>
      </w:pPr>
      <w:r>
        <w:rPr>
          <w:noProof/>
          <w:sz w:val="20"/>
        </w:rPr>
        <w:t>Commitment appropriations in 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926A0D">
        <w:trPr>
          <w:jc w:val="center"/>
        </w:trPr>
        <w:tc>
          <w:tcPr>
            <w:tcW w:w="1423" w:type="dxa"/>
            <w:vMerge w:val="restart"/>
            <w:vAlign w:val="center"/>
          </w:tcPr>
          <w:p w:rsidR="00926A0D" w:rsidRDefault="006023A9">
            <w:pPr>
              <w:ind w:right="-29"/>
              <w:jc w:val="center"/>
              <w:rPr>
                <w:b/>
                <w:noProof/>
                <w:sz w:val="18"/>
              </w:rPr>
            </w:pPr>
            <w:r>
              <w:rPr>
                <w:b/>
                <w:noProof/>
                <w:sz w:val="18"/>
              </w:rPr>
              <w:t xml:space="preserve">Indicate objectives and outputs </w:t>
            </w:r>
          </w:p>
          <w:p w:rsidR="00926A0D" w:rsidRDefault="00926A0D">
            <w:pPr>
              <w:ind w:right="-29"/>
              <w:jc w:val="center"/>
              <w:rPr>
                <w:b/>
                <w:noProof/>
                <w:sz w:val="18"/>
              </w:rPr>
            </w:pPr>
          </w:p>
          <w:p w:rsidR="00926A0D" w:rsidRDefault="006023A9">
            <w:pPr>
              <w:ind w:right="-29"/>
              <w:jc w:val="center"/>
              <w:rPr>
                <w:noProof/>
                <w:sz w:val="18"/>
              </w:rPr>
            </w:pPr>
            <w:r>
              <w:rPr>
                <w:noProof/>
                <w:sz w:val="18"/>
              </w:rPr>
              <w:sym w:font="Wingdings" w:char="F0F2"/>
            </w:r>
          </w:p>
        </w:tc>
        <w:tc>
          <w:tcPr>
            <w:tcW w:w="720" w:type="dxa"/>
            <w:vAlign w:val="center"/>
          </w:tcPr>
          <w:p w:rsidR="00926A0D" w:rsidRDefault="00926A0D">
            <w:pPr>
              <w:ind w:right="-29"/>
              <w:jc w:val="center"/>
              <w:rPr>
                <w:noProof/>
                <w:sz w:val="18"/>
              </w:rPr>
            </w:pPr>
          </w:p>
        </w:tc>
        <w:tc>
          <w:tcPr>
            <w:tcW w:w="701" w:type="dxa"/>
            <w:vAlign w:val="center"/>
          </w:tcPr>
          <w:p w:rsidR="00926A0D" w:rsidRDefault="00926A0D">
            <w:pPr>
              <w:ind w:right="-29"/>
              <w:jc w:val="center"/>
              <w:rPr>
                <w:noProof/>
                <w:sz w:val="18"/>
              </w:rPr>
            </w:pPr>
          </w:p>
        </w:tc>
        <w:tc>
          <w:tcPr>
            <w:tcW w:w="1224" w:type="dxa"/>
            <w:gridSpan w:val="2"/>
            <w:tcBorders>
              <w:left w:val="nil"/>
            </w:tcBorders>
            <w:vAlign w:val="center"/>
          </w:tcPr>
          <w:p w:rsidR="00926A0D" w:rsidRDefault="006023A9">
            <w:pPr>
              <w:ind w:right="-29"/>
              <w:jc w:val="center"/>
              <w:rPr>
                <w:noProof/>
                <w:sz w:val="18"/>
              </w:rPr>
            </w:pPr>
            <w:r>
              <w:rPr>
                <w:noProof/>
                <w:sz w:val="18"/>
              </w:rPr>
              <w:t>Year</w:t>
            </w:r>
            <w:r>
              <w:rPr>
                <w:noProof/>
                <w:sz w:val="22"/>
              </w:rPr>
              <w:br/>
            </w:r>
            <w:r>
              <w:rPr>
                <w:b/>
                <w:noProof/>
                <w:sz w:val="18"/>
              </w:rPr>
              <w:t>2017</w:t>
            </w:r>
          </w:p>
        </w:tc>
        <w:tc>
          <w:tcPr>
            <w:tcW w:w="1260" w:type="dxa"/>
            <w:gridSpan w:val="2"/>
            <w:vAlign w:val="center"/>
          </w:tcPr>
          <w:p w:rsidR="00926A0D" w:rsidRDefault="006023A9">
            <w:pPr>
              <w:ind w:right="-29"/>
              <w:jc w:val="center"/>
              <w:rPr>
                <w:noProof/>
                <w:sz w:val="18"/>
              </w:rPr>
            </w:pPr>
            <w:r>
              <w:rPr>
                <w:noProof/>
                <w:sz w:val="18"/>
              </w:rPr>
              <w:t>Year</w:t>
            </w:r>
            <w:r>
              <w:rPr>
                <w:noProof/>
                <w:sz w:val="22"/>
              </w:rPr>
              <w:br/>
            </w:r>
            <w:r>
              <w:rPr>
                <w:b/>
                <w:noProof/>
                <w:sz w:val="18"/>
              </w:rPr>
              <w:t>2018</w:t>
            </w:r>
          </w:p>
        </w:tc>
        <w:tc>
          <w:tcPr>
            <w:tcW w:w="1440" w:type="dxa"/>
            <w:gridSpan w:val="2"/>
            <w:vAlign w:val="center"/>
          </w:tcPr>
          <w:p w:rsidR="00926A0D" w:rsidRDefault="006023A9">
            <w:pPr>
              <w:ind w:right="-29"/>
              <w:jc w:val="center"/>
              <w:rPr>
                <w:noProof/>
                <w:sz w:val="18"/>
              </w:rPr>
            </w:pPr>
            <w:r>
              <w:rPr>
                <w:noProof/>
                <w:sz w:val="18"/>
              </w:rPr>
              <w:t>Year</w:t>
            </w:r>
            <w:r>
              <w:rPr>
                <w:noProof/>
                <w:sz w:val="22"/>
              </w:rPr>
              <w:br/>
            </w:r>
            <w:r>
              <w:rPr>
                <w:b/>
                <w:noProof/>
                <w:sz w:val="18"/>
              </w:rPr>
              <w:t>2019</w:t>
            </w:r>
          </w:p>
        </w:tc>
        <w:tc>
          <w:tcPr>
            <w:tcW w:w="1620" w:type="dxa"/>
            <w:gridSpan w:val="3"/>
            <w:vAlign w:val="center"/>
          </w:tcPr>
          <w:p w:rsidR="00926A0D" w:rsidRDefault="006023A9">
            <w:pPr>
              <w:ind w:right="-29"/>
              <w:jc w:val="center"/>
              <w:rPr>
                <w:noProof/>
                <w:sz w:val="18"/>
              </w:rPr>
            </w:pPr>
            <w:r>
              <w:rPr>
                <w:noProof/>
                <w:sz w:val="18"/>
              </w:rPr>
              <w:t>Year</w:t>
            </w:r>
            <w:r>
              <w:rPr>
                <w:noProof/>
                <w:sz w:val="22"/>
              </w:rPr>
              <w:br/>
            </w:r>
            <w:r>
              <w:rPr>
                <w:b/>
                <w:noProof/>
                <w:sz w:val="18"/>
              </w:rPr>
              <w:t>2020</w:t>
            </w:r>
          </w:p>
        </w:tc>
        <w:tc>
          <w:tcPr>
            <w:tcW w:w="3600" w:type="dxa"/>
            <w:gridSpan w:val="6"/>
            <w:vAlign w:val="center"/>
          </w:tcPr>
          <w:p w:rsidR="00926A0D" w:rsidRDefault="006023A9">
            <w:pPr>
              <w:jc w:val="center"/>
              <w:rPr>
                <w:b/>
                <w:noProof/>
                <w:sz w:val="18"/>
              </w:rPr>
            </w:pPr>
            <w:r>
              <w:rPr>
                <w:noProof/>
                <w:sz w:val="18"/>
              </w:rPr>
              <w:t>Enter as many years as necessary to show the duration of the impact (see point 1.6)</w:t>
            </w:r>
          </w:p>
        </w:tc>
        <w:tc>
          <w:tcPr>
            <w:tcW w:w="1620" w:type="dxa"/>
            <w:gridSpan w:val="2"/>
            <w:tcBorders>
              <w:left w:val="nil"/>
              <w:bottom w:val="nil"/>
            </w:tcBorders>
            <w:vAlign w:val="center"/>
          </w:tcPr>
          <w:p w:rsidR="00926A0D" w:rsidRDefault="006023A9">
            <w:pPr>
              <w:ind w:right="-29"/>
              <w:jc w:val="center"/>
              <w:rPr>
                <w:noProof/>
                <w:sz w:val="18"/>
              </w:rPr>
            </w:pPr>
            <w:r>
              <w:rPr>
                <w:b/>
                <w:noProof/>
                <w:sz w:val="18"/>
              </w:rPr>
              <w:t>TOTAL</w:t>
            </w:r>
          </w:p>
        </w:tc>
      </w:tr>
      <w:tr w:rsidR="00926A0D">
        <w:trPr>
          <w:jc w:val="center"/>
        </w:trPr>
        <w:tc>
          <w:tcPr>
            <w:tcW w:w="1423" w:type="dxa"/>
            <w:vMerge/>
            <w:vAlign w:val="center"/>
          </w:tcPr>
          <w:p w:rsidR="00926A0D" w:rsidRDefault="00926A0D">
            <w:pPr>
              <w:rPr>
                <w:noProof/>
                <w:sz w:val="18"/>
              </w:rPr>
            </w:pPr>
          </w:p>
        </w:tc>
        <w:tc>
          <w:tcPr>
            <w:tcW w:w="12185" w:type="dxa"/>
            <w:gridSpan w:val="19"/>
            <w:vAlign w:val="center"/>
          </w:tcPr>
          <w:p w:rsidR="00926A0D" w:rsidRDefault="006023A9">
            <w:pPr>
              <w:spacing w:before="60" w:after="60"/>
              <w:ind w:right="-29"/>
              <w:jc w:val="center"/>
              <w:rPr>
                <w:noProof/>
                <w:sz w:val="18"/>
              </w:rPr>
            </w:pPr>
            <w:r>
              <w:rPr>
                <w:b/>
                <w:noProof/>
                <w:sz w:val="18"/>
              </w:rPr>
              <w:t>OUTPUTS</w:t>
            </w:r>
          </w:p>
        </w:tc>
      </w:tr>
      <w:tr w:rsidR="00926A0D">
        <w:trPr>
          <w:cantSplit/>
          <w:trHeight w:val="1134"/>
          <w:jc w:val="center"/>
        </w:trPr>
        <w:tc>
          <w:tcPr>
            <w:tcW w:w="1423" w:type="dxa"/>
            <w:vMerge/>
            <w:vAlign w:val="center"/>
          </w:tcPr>
          <w:p w:rsidR="00926A0D" w:rsidRDefault="00926A0D">
            <w:pPr>
              <w:rPr>
                <w:noProof/>
                <w:sz w:val="18"/>
              </w:rPr>
            </w:pPr>
          </w:p>
        </w:tc>
        <w:tc>
          <w:tcPr>
            <w:tcW w:w="720" w:type="dxa"/>
            <w:vAlign w:val="center"/>
          </w:tcPr>
          <w:p w:rsidR="00926A0D" w:rsidRDefault="006023A9">
            <w:pPr>
              <w:jc w:val="center"/>
              <w:rPr>
                <w:noProof/>
                <w:sz w:val="18"/>
              </w:rPr>
            </w:pPr>
            <w:r>
              <w:rPr>
                <w:noProof/>
                <w:sz w:val="18"/>
              </w:rPr>
              <w:t>Type</w:t>
            </w:r>
            <w:r>
              <w:rPr>
                <w:rStyle w:val="FootnoteReference"/>
                <w:noProof/>
                <w:sz w:val="18"/>
              </w:rPr>
              <w:footnoteReference w:id="64"/>
            </w:r>
          </w:p>
        </w:tc>
        <w:tc>
          <w:tcPr>
            <w:tcW w:w="701" w:type="dxa"/>
            <w:vAlign w:val="center"/>
          </w:tcPr>
          <w:p w:rsidR="00926A0D" w:rsidRDefault="006023A9">
            <w:pPr>
              <w:jc w:val="center"/>
              <w:rPr>
                <w:noProof/>
              </w:rPr>
            </w:pPr>
            <w:r>
              <w:rPr>
                <w:noProof/>
                <w:sz w:val="18"/>
              </w:rPr>
              <w:t>Average cost</w:t>
            </w:r>
          </w:p>
        </w:tc>
        <w:tc>
          <w:tcPr>
            <w:tcW w:w="504" w:type="dxa"/>
            <w:tcBorders>
              <w:left w:val="nil"/>
              <w:right w:val="dashSmallGap" w:sz="4" w:space="0" w:color="auto"/>
            </w:tcBorders>
            <w:shd w:val="pct10" w:color="auto" w:fill="auto"/>
            <w:textDirection w:val="btLr"/>
            <w:vAlign w:val="center"/>
          </w:tcPr>
          <w:p w:rsidR="00926A0D" w:rsidRDefault="006023A9">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rsidR="00926A0D" w:rsidRDefault="006023A9">
            <w:pPr>
              <w:jc w:val="center"/>
              <w:rPr>
                <w:noProof/>
                <w:sz w:val="18"/>
              </w:rPr>
            </w:pPr>
            <w:r>
              <w:rPr>
                <w:noProof/>
                <w:sz w:val="18"/>
              </w:rPr>
              <w:t>Cost</w:t>
            </w:r>
          </w:p>
        </w:tc>
        <w:tc>
          <w:tcPr>
            <w:tcW w:w="540" w:type="dxa"/>
            <w:tcBorders>
              <w:right w:val="dashSmallGap" w:sz="4" w:space="0" w:color="auto"/>
            </w:tcBorders>
            <w:shd w:val="pct10" w:color="auto" w:fill="auto"/>
            <w:textDirection w:val="btLr"/>
            <w:vAlign w:val="center"/>
          </w:tcPr>
          <w:p w:rsidR="00926A0D" w:rsidRDefault="006023A9">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rsidR="00926A0D" w:rsidRDefault="006023A9">
            <w:pPr>
              <w:jc w:val="center"/>
              <w:rPr>
                <w:noProof/>
                <w:sz w:val="18"/>
              </w:rPr>
            </w:pPr>
            <w:r>
              <w:rPr>
                <w:noProof/>
                <w:sz w:val="18"/>
              </w:rPr>
              <w:t>Cost</w:t>
            </w:r>
          </w:p>
        </w:tc>
        <w:tc>
          <w:tcPr>
            <w:tcW w:w="720" w:type="dxa"/>
            <w:tcBorders>
              <w:right w:val="dashSmallGap" w:sz="4" w:space="0" w:color="auto"/>
            </w:tcBorders>
            <w:shd w:val="pct10" w:color="auto" w:fill="auto"/>
            <w:textDirection w:val="btLr"/>
            <w:vAlign w:val="center"/>
          </w:tcPr>
          <w:p w:rsidR="00926A0D" w:rsidRDefault="006023A9">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rsidR="00926A0D" w:rsidRDefault="006023A9">
            <w:pPr>
              <w:jc w:val="center"/>
              <w:rPr>
                <w:noProof/>
                <w:sz w:val="18"/>
              </w:rPr>
            </w:pPr>
            <w:r>
              <w:rPr>
                <w:noProof/>
                <w:sz w:val="18"/>
              </w:rPr>
              <w:t>Cost</w:t>
            </w:r>
          </w:p>
        </w:tc>
        <w:tc>
          <w:tcPr>
            <w:tcW w:w="900" w:type="dxa"/>
            <w:tcBorders>
              <w:right w:val="dashSmallGap" w:sz="4" w:space="0" w:color="auto"/>
            </w:tcBorders>
            <w:shd w:val="pct10" w:color="auto" w:fill="auto"/>
            <w:textDirection w:val="btLr"/>
            <w:vAlign w:val="center"/>
          </w:tcPr>
          <w:p w:rsidR="00926A0D" w:rsidRDefault="006023A9">
            <w:pPr>
              <w:ind w:left="113" w:right="113"/>
              <w:jc w:val="center"/>
              <w:rPr>
                <w:noProof/>
              </w:rPr>
            </w:pPr>
            <w:r>
              <w:rPr>
                <w:noProof/>
                <w:sz w:val="18"/>
              </w:rPr>
              <w:t>No</w:t>
            </w:r>
          </w:p>
        </w:tc>
        <w:tc>
          <w:tcPr>
            <w:tcW w:w="720" w:type="dxa"/>
            <w:gridSpan w:val="2"/>
            <w:tcBorders>
              <w:left w:val="dashSmallGap" w:sz="4" w:space="0" w:color="auto"/>
            </w:tcBorders>
            <w:shd w:val="pct10" w:color="auto" w:fill="auto"/>
            <w:vAlign w:val="center"/>
          </w:tcPr>
          <w:p w:rsidR="00926A0D" w:rsidRDefault="006023A9">
            <w:pPr>
              <w:jc w:val="center"/>
              <w:rPr>
                <w:noProof/>
                <w:sz w:val="18"/>
              </w:rPr>
            </w:pPr>
            <w:r>
              <w:rPr>
                <w:noProof/>
                <w:sz w:val="18"/>
              </w:rPr>
              <w:t>Cost</w:t>
            </w:r>
          </w:p>
        </w:tc>
        <w:tc>
          <w:tcPr>
            <w:tcW w:w="540" w:type="dxa"/>
            <w:tcBorders>
              <w:right w:val="dashSmallGap" w:sz="4" w:space="0" w:color="auto"/>
            </w:tcBorders>
            <w:shd w:val="pct10" w:color="auto" w:fill="auto"/>
            <w:textDirection w:val="btLr"/>
            <w:vAlign w:val="center"/>
          </w:tcPr>
          <w:p w:rsidR="00926A0D" w:rsidRDefault="006023A9">
            <w:pPr>
              <w:ind w:left="113" w:right="113"/>
              <w:jc w:val="center"/>
              <w:rPr>
                <w:noProof/>
              </w:rPr>
            </w:pPr>
            <w:r>
              <w:rPr>
                <w:noProof/>
                <w:sz w:val="18"/>
              </w:rPr>
              <w:t>No</w:t>
            </w:r>
          </w:p>
        </w:tc>
        <w:tc>
          <w:tcPr>
            <w:tcW w:w="648" w:type="dxa"/>
            <w:tcBorders>
              <w:left w:val="dashSmallGap" w:sz="4" w:space="0" w:color="auto"/>
            </w:tcBorders>
            <w:shd w:val="pct10" w:color="auto" w:fill="auto"/>
            <w:vAlign w:val="center"/>
          </w:tcPr>
          <w:p w:rsidR="00926A0D" w:rsidRDefault="006023A9">
            <w:pPr>
              <w:jc w:val="center"/>
              <w:rPr>
                <w:noProof/>
                <w:sz w:val="18"/>
              </w:rPr>
            </w:pPr>
            <w:r>
              <w:rPr>
                <w:noProof/>
                <w:sz w:val="18"/>
              </w:rPr>
              <w:t>Cost</w:t>
            </w:r>
          </w:p>
        </w:tc>
        <w:tc>
          <w:tcPr>
            <w:tcW w:w="432" w:type="dxa"/>
            <w:tcBorders>
              <w:right w:val="dashSmallGap" w:sz="4" w:space="0" w:color="auto"/>
            </w:tcBorders>
            <w:shd w:val="pct10" w:color="auto" w:fill="auto"/>
            <w:textDirection w:val="btLr"/>
            <w:vAlign w:val="center"/>
          </w:tcPr>
          <w:p w:rsidR="00926A0D" w:rsidRDefault="006023A9">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rsidR="00926A0D" w:rsidRDefault="006023A9">
            <w:pPr>
              <w:jc w:val="center"/>
              <w:rPr>
                <w:noProof/>
                <w:sz w:val="18"/>
              </w:rPr>
            </w:pPr>
            <w:r>
              <w:rPr>
                <w:noProof/>
                <w:sz w:val="18"/>
              </w:rPr>
              <w:t>Cost</w:t>
            </w:r>
          </w:p>
        </w:tc>
        <w:tc>
          <w:tcPr>
            <w:tcW w:w="540" w:type="dxa"/>
            <w:tcBorders>
              <w:right w:val="dashSmallGap" w:sz="4" w:space="0" w:color="auto"/>
            </w:tcBorders>
            <w:shd w:val="pct10" w:color="auto" w:fill="auto"/>
            <w:textDirection w:val="btLr"/>
            <w:vAlign w:val="center"/>
          </w:tcPr>
          <w:p w:rsidR="00926A0D" w:rsidRDefault="006023A9">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rsidR="00926A0D" w:rsidRDefault="006023A9">
            <w:pPr>
              <w:jc w:val="center"/>
              <w:rPr>
                <w:noProof/>
                <w:sz w:val="18"/>
              </w:rPr>
            </w:pPr>
            <w:r>
              <w:rPr>
                <w:noProof/>
                <w:sz w:val="18"/>
              </w:rPr>
              <w:t>Cost</w:t>
            </w:r>
          </w:p>
        </w:tc>
        <w:tc>
          <w:tcPr>
            <w:tcW w:w="720" w:type="dxa"/>
            <w:tcBorders>
              <w:right w:val="dashSmallGap" w:sz="4" w:space="0" w:color="auto"/>
            </w:tcBorders>
            <w:shd w:val="pct10" w:color="auto" w:fill="auto"/>
            <w:vAlign w:val="center"/>
          </w:tcPr>
          <w:p w:rsidR="00926A0D" w:rsidRDefault="006023A9">
            <w:pPr>
              <w:jc w:val="center"/>
              <w:rPr>
                <w:noProof/>
                <w:sz w:val="18"/>
              </w:rPr>
            </w:pPr>
            <w:r>
              <w:rPr>
                <w:noProof/>
                <w:sz w:val="18"/>
              </w:rPr>
              <w:t>Total No</w:t>
            </w:r>
          </w:p>
        </w:tc>
        <w:tc>
          <w:tcPr>
            <w:tcW w:w="900" w:type="dxa"/>
            <w:tcBorders>
              <w:left w:val="dashSmallGap" w:sz="4" w:space="0" w:color="auto"/>
            </w:tcBorders>
            <w:shd w:val="pct10" w:color="auto" w:fill="auto"/>
            <w:vAlign w:val="center"/>
          </w:tcPr>
          <w:p w:rsidR="00926A0D" w:rsidRDefault="006023A9">
            <w:pPr>
              <w:jc w:val="center"/>
              <w:rPr>
                <w:noProof/>
              </w:rPr>
            </w:pPr>
            <w:r>
              <w:rPr>
                <w:noProof/>
                <w:sz w:val="18"/>
              </w:rPr>
              <w:t>Total cost</w:t>
            </w:r>
          </w:p>
        </w:tc>
      </w:tr>
      <w:tr w:rsidR="00926A0D">
        <w:trPr>
          <w:jc w:val="center"/>
        </w:trPr>
        <w:tc>
          <w:tcPr>
            <w:tcW w:w="2844" w:type="dxa"/>
            <w:gridSpan w:val="3"/>
            <w:vAlign w:val="center"/>
          </w:tcPr>
          <w:p w:rsidR="00926A0D" w:rsidRDefault="006023A9">
            <w:pPr>
              <w:spacing w:before="60" w:after="60"/>
              <w:ind w:right="-29"/>
              <w:jc w:val="center"/>
              <w:rPr>
                <w:noProof/>
                <w:sz w:val="18"/>
              </w:rPr>
            </w:pPr>
            <w:r>
              <w:rPr>
                <w:noProof/>
                <w:sz w:val="18"/>
              </w:rPr>
              <w:t>SPECIFIC OBJECTIVE No 1</w:t>
            </w:r>
            <w:r>
              <w:rPr>
                <w:rStyle w:val="FootnoteReference"/>
                <w:noProof/>
                <w:sz w:val="18"/>
              </w:rPr>
              <w:footnoteReference w:id="65"/>
            </w:r>
            <w:r>
              <w:rPr>
                <w:noProof/>
                <w:sz w:val="18"/>
              </w:rPr>
              <w:t>…</w:t>
            </w:r>
          </w:p>
        </w:tc>
        <w:tc>
          <w:tcPr>
            <w:tcW w:w="504" w:type="dxa"/>
            <w:tcBorders>
              <w:top w:val="nil"/>
              <w:left w:val="nil"/>
              <w:bottom w:val="nil"/>
              <w:right w:val="nil"/>
            </w:tcBorders>
          </w:tcPr>
          <w:p w:rsidR="00926A0D" w:rsidRDefault="00926A0D">
            <w:pPr>
              <w:spacing w:before="60" w:after="60"/>
              <w:ind w:right="-29"/>
              <w:jc w:val="center"/>
              <w:rPr>
                <w:noProof/>
                <w:sz w:val="18"/>
              </w:rPr>
            </w:pPr>
          </w:p>
        </w:tc>
        <w:tc>
          <w:tcPr>
            <w:tcW w:w="720" w:type="dxa"/>
            <w:tcBorders>
              <w:top w:val="nil"/>
              <w:left w:val="nil"/>
              <w:bottom w:val="nil"/>
              <w:right w:val="nil"/>
            </w:tcBorders>
          </w:tcPr>
          <w:p w:rsidR="00926A0D" w:rsidRDefault="00926A0D">
            <w:pPr>
              <w:spacing w:before="60" w:after="60"/>
              <w:ind w:right="-29"/>
              <w:jc w:val="center"/>
              <w:rPr>
                <w:noProof/>
                <w:sz w:val="18"/>
              </w:rPr>
            </w:pPr>
          </w:p>
        </w:tc>
        <w:tc>
          <w:tcPr>
            <w:tcW w:w="540" w:type="dxa"/>
            <w:tcBorders>
              <w:top w:val="nil"/>
              <w:left w:val="nil"/>
              <w:bottom w:val="nil"/>
              <w:right w:val="nil"/>
            </w:tcBorders>
          </w:tcPr>
          <w:p w:rsidR="00926A0D" w:rsidRDefault="00926A0D">
            <w:pPr>
              <w:spacing w:before="60" w:after="60"/>
              <w:ind w:right="-29"/>
              <w:jc w:val="center"/>
              <w:rPr>
                <w:noProof/>
                <w:sz w:val="18"/>
              </w:rPr>
            </w:pPr>
          </w:p>
        </w:tc>
        <w:tc>
          <w:tcPr>
            <w:tcW w:w="720" w:type="dxa"/>
            <w:tcBorders>
              <w:top w:val="nil"/>
              <w:left w:val="nil"/>
              <w:bottom w:val="nil"/>
              <w:right w:val="nil"/>
            </w:tcBorders>
          </w:tcPr>
          <w:p w:rsidR="00926A0D" w:rsidRDefault="00926A0D">
            <w:pPr>
              <w:spacing w:before="60" w:after="60"/>
              <w:ind w:right="-29"/>
              <w:jc w:val="center"/>
              <w:rPr>
                <w:noProof/>
                <w:sz w:val="18"/>
              </w:rPr>
            </w:pPr>
          </w:p>
        </w:tc>
        <w:tc>
          <w:tcPr>
            <w:tcW w:w="720" w:type="dxa"/>
            <w:tcBorders>
              <w:top w:val="nil"/>
              <w:left w:val="nil"/>
              <w:bottom w:val="nil"/>
              <w:right w:val="nil"/>
            </w:tcBorders>
          </w:tcPr>
          <w:p w:rsidR="00926A0D" w:rsidRDefault="00926A0D">
            <w:pPr>
              <w:spacing w:before="60" w:after="60"/>
              <w:ind w:right="-29"/>
              <w:jc w:val="center"/>
              <w:rPr>
                <w:noProof/>
                <w:sz w:val="18"/>
              </w:rPr>
            </w:pPr>
          </w:p>
        </w:tc>
        <w:tc>
          <w:tcPr>
            <w:tcW w:w="720" w:type="dxa"/>
            <w:tcBorders>
              <w:top w:val="nil"/>
              <w:left w:val="nil"/>
              <w:bottom w:val="nil"/>
              <w:right w:val="nil"/>
            </w:tcBorders>
          </w:tcPr>
          <w:p w:rsidR="00926A0D" w:rsidRDefault="00926A0D">
            <w:pPr>
              <w:spacing w:before="60" w:after="60"/>
              <w:ind w:right="-29"/>
              <w:jc w:val="center"/>
              <w:rPr>
                <w:noProof/>
                <w:sz w:val="18"/>
              </w:rPr>
            </w:pPr>
          </w:p>
        </w:tc>
        <w:tc>
          <w:tcPr>
            <w:tcW w:w="900" w:type="dxa"/>
            <w:tcBorders>
              <w:top w:val="nil"/>
              <w:left w:val="nil"/>
              <w:bottom w:val="nil"/>
              <w:right w:val="nil"/>
            </w:tcBorders>
          </w:tcPr>
          <w:p w:rsidR="00926A0D" w:rsidRDefault="00926A0D">
            <w:pPr>
              <w:spacing w:before="60" w:after="60"/>
              <w:ind w:right="-29"/>
              <w:jc w:val="center"/>
              <w:rPr>
                <w:noProof/>
                <w:sz w:val="18"/>
              </w:rPr>
            </w:pPr>
          </w:p>
        </w:tc>
        <w:tc>
          <w:tcPr>
            <w:tcW w:w="720" w:type="dxa"/>
            <w:gridSpan w:val="2"/>
            <w:tcBorders>
              <w:top w:val="nil"/>
              <w:left w:val="nil"/>
              <w:bottom w:val="nil"/>
              <w:right w:val="nil"/>
            </w:tcBorders>
          </w:tcPr>
          <w:p w:rsidR="00926A0D" w:rsidRDefault="00926A0D">
            <w:pPr>
              <w:spacing w:before="60" w:after="60"/>
              <w:ind w:right="-29"/>
              <w:jc w:val="center"/>
              <w:rPr>
                <w:noProof/>
                <w:sz w:val="18"/>
              </w:rPr>
            </w:pPr>
          </w:p>
        </w:tc>
        <w:tc>
          <w:tcPr>
            <w:tcW w:w="540" w:type="dxa"/>
            <w:tcBorders>
              <w:top w:val="nil"/>
              <w:left w:val="nil"/>
              <w:bottom w:val="nil"/>
              <w:right w:val="nil"/>
            </w:tcBorders>
          </w:tcPr>
          <w:p w:rsidR="00926A0D" w:rsidRDefault="00926A0D">
            <w:pPr>
              <w:spacing w:before="60" w:after="60"/>
              <w:ind w:right="-29"/>
              <w:jc w:val="center"/>
              <w:rPr>
                <w:noProof/>
                <w:sz w:val="18"/>
              </w:rPr>
            </w:pPr>
          </w:p>
        </w:tc>
        <w:tc>
          <w:tcPr>
            <w:tcW w:w="648" w:type="dxa"/>
            <w:tcBorders>
              <w:top w:val="nil"/>
              <w:left w:val="nil"/>
              <w:bottom w:val="nil"/>
              <w:right w:val="nil"/>
            </w:tcBorders>
          </w:tcPr>
          <w:p w:rsidR="00926A0D" w:rsidRDefault="00926A0D">
            <w:pPr>
              <w:spacing w:before="60" w:after="60"/>
              <w:ind w:right="-29"/>
              <w:jc w:val="center"/>
              <w:rPr>
                <w:noProof/>
                <w:sz w:val="18"/>
              </w:rPr>
            </w:pPr>
          </w:p>
        </w:tc>
        <w:tc>
          <w:tcPr>
            <w:tcW w:w="432" w:type="dxa"/>
            <w:tcBorders>
              <w:top w:val="nil"/>
              <w:left w:val="nil"/>
              <w:bottom w:val="nil"/>
              <w:right w:val="nil"/>
            </w:tcBorders>
          </w:tcPr>
          <w:p w:rsidR="00926A0D" w:rsidRDefault="00926A0D">
            <w:pPr>
              <w:spacing w:before="60" w:after="60"/>
              <w:ind w:right="-29"/>
              <w:jc w:val="center"/>
              <w:rPr>
                <w:noProof/>
                <w:sz w:val="18"/>
              </w:rPr>
            </w:pPr>
          </w:p>
        </w:tc>
        <w:tc>
          <w:tcPr>
            <w:tcW w:w="720" w:type="dxa"/>
            <w:tcBorders>
              <w:top w:val="nil"/>
              <w:left w:val="nil"/>
              <w:bottom w:val="nil"/>
              <w:right w:val="nil"/>
            </w:tcBorders>
          </w:tcPr>
          <w:p w:rsidR="00926A0D" w:rsidRDefault="00926A0D">
            <w:pPr>
              <w:spacing w:before="60" w:after="60"/>
              <w:ind w:right="-29"/>
              <w:jc w:val="center"/>
              <w:rPr>
                <w:noProof/>
                <w:sz w:val="18"/>
              </w:rPr>
            </w:pPr>
          </w:p>
        </w:tc>
        <w:tc>
          <w:tcPr>
            <w:tcW w:w="540" w:type="dxa"/>
            <w:tcBorders>
              <w:top w:val="nil"/>
              <w:left w:val="nil"/>
              <w:bottom w:val="nil"/>
              <w:right w:val="nil"/>
            </w:tcBorders>
          </w:tcPr>
          <w:p w:rsidR="00926A0D" w:rsidRDefault="00926A0D">
            <w:pPr>
              <w:spacing w:before="60" w:after="60"/>
              <w:ind w:right="-29"/>
              <w:jc w:val="center"/>
              <w:rPr>
                <w:noProof/>
                <w:sz w:val="18"/>
              </w:rPr>
            </w:pPr>
          </w:p>
        </w:tc>
        <w:tc>
          <w:tcPr>
            <w:tcW w:w="720" w:type="dxa"/>
            <w:tcBorders>
              <w:top w:val="nil"/>
              <w:left w:val="nil"/>
              <w:bottom w:val="nil"/>
              <w:right w:val="nil"/>
            </w:tcBorders>
          </w:tcPr>
          <w:p w:rsidR="00926A0D" w:rsidRDefault="00926A0D">
            <w:pPr>
              <w:spacing w:before="60" w:after="60"/>
              <w:ind w:right="-29"/>
              <w:jc w:val="center"/>
              <w:rPr>
                <w:noProof/>
                <w:sz w:val="18"/>
              </w:rPr>
            </w:pPr>
          </w:p>
        </w:tc>
        <w:tc>
          <w:tcPr>
            <w:tcW w:w="720" w:type="dxa"/>
            <w:tcBorders>
              <w:top w:val="nil"/>
              <w:left w:val="nil"/>
              <w:bottom w:val="nil"/>
              <w:right w:val="nil"/>
            </w:tcBorders>
          </w:tcPr>
          <w:p w:rsidR="00926A0D" w:rsidRDefault="00926A0D">
            <w:pPr>
              <w:spacing w:before="60" w:after="60"/>
              <w:ind w:right="-29"/>
              <w:jc w:val="center"/>
              <w:rPr>
                <w:noProof/>
                <w:sz w:val="18"/>
              </w:rPr>
            </w:pPr>
          </w:p>
        </w:tc>
        <w:tc>
          <w:tcPr>
            <w:tcW w:w="900" w:type="dxa"/>
            <w:tcBorders>
              <w:top w:val="nil"/>
              <w:left w:val="nil"/>
              <w:bottom w:val="nil"/>
              <w:right w:val="nil"/>
            </w:tcBorders>
          </w:tcPr>
          <w:p w:rsidR="00926A0D" w:rsidRDefault="00926A0D">
            <w:pPr>
              <w:spacing w:before="60" w:after="60"/>
              <w:ind w:right="-29"/>
              <w:jc w:val="center"/>
              <w:rPr>
                <w:noProof/>
                <w:sz w:val="18"/>
              </w:rPr>
            </w:pPr>
          </w:p>
        </w:tc>
      </w:tr>
      <w:tr w:rsidR="00926A0D">
        <w:trPr>
          <w:trHeight w:hRule="exact" w:val="798"/>
          <w:jc w:val="center"/>
        </w:trPr>
        <w:tc>
          <w:tcPr>
            <w:tcW w:w="1423" w:type="dxa"/>
          </w:tcPr>
          <w:p w:rsidR="00926A0D" w:rsidRDefault="006023A9">
            <w:pPr>
              <w:ind w:right="-29"/>
              <w:jc w:val="center"/>
              <w:rPr>
                <w:noProof/>
                <w:sz w:val="18"/>
              </w:rPr>
            </w:pPr>
            <w:r>
              <w:rPr>
                <w:noProof/>
                <w:sz w:val="18"/>
              </w:rPr>
              <w:t>- Establishment reporting platform</w:t>
            </w:r>
          </w:p>
        </w:tc>
        <w:tc>
          <w:tcPr>
            <w:tcW w:w="720" w:type="dxa"/>
          </w:tcPr>
          <w:p w:rsidR="00926A0D" w:rsidRDefault="00926A0D">
            <w:pPr>
              <w:ind w:right="-29"/>
              <w:jc w:val="center"/>
              <w:rPr>
                <w:noProof/>
                <w:sz w:val="18"/>
              </w:rPr>
            </w:pPr>
          </w:p>
        </w:tc>
        <w:tc>
          <w:tcPr>
            <w:tcW w:w="701" w:type="dxa"/>
          </w:tcPr>
          <w:p w:rsidR="00926A0D" w:rsidRDefault="00926A0D">
            <w:pPr>
              <w:ind w:right="-29"/>
              <w:jc w:val="center"/>
              <w:rPr>
                <w:noProof/>
                <w:sz w:val="18"/>
              </w:rPr>
            </w:pPr>
          </w:p>
        </w:tc>
        <w:tc>
          <w:tcPr>
            <w:tcW w:w="504" w:type="dxa"/>
            <w:tcBorders>
              <w:right w:val="dashSmallGap" w:sz="4" w:space="0" w:color="auto"/>
            </w:tcBorders>
          </w:tcPr>
          <w:p w:rsidR="00926A0D" w:rsidRDefault="00926A0D">
            <w:pPr>
              <w:ind w:right="-29"/>
              <w:jc w:val="center"/>
              <w:rPr>
                <w:noProof/>
                <w:sz w:val="18"/>
              </w:rPr>
            </w:pPr>
          </w:p>
        </w:tc>
        <w:tc>
          <w:tcPr>
            <w:tcW w:w="720" w:type="dxa"/>
            <w:tcBorders>
              <w:left w:val="dashSmallGap" w:sz="4" w:space="0" w:color="auto"/>
            </w:tcBorders>
          </w:tcPr>
          <w:p w:rsidR="00926A0D" w:rsidRDefault="00926A0D">
            <w:pPr>
              <w:ind w:right="-29"/>
              <w:jc w:val="center"/>
              <w:rPr>
                <w:noProof/>
                <w:sz w:val="18"/>
              </w:rPr>
            </w:pPr>
          </w:p>
        </w:tc>
        <w:tc>
          <w:tcPr>
            <w:tcW w:w="540" w:type="dxa"/>
            <w:tcBorders>
              <w:right w:val="dashSmallGap" w:sz="4" w:space="0" w:color="auto"/>
            </w:tcBorders>
          </w:tcPr>
          <w:p w:rsidR="00926A0D" w:rsidRDefault="006023A9">
            <w:pPr>
              <w:ind w:right="-29"/>
              <w:jc w:val="center"/>
              <w:rPr>
                <w:noProof/>
                <w:sz w:val="18"/>
              </w:rPr>
            </w:pPr>
            <w:r>
              <w:rPr>
                <w:noProof/>
                <w:sz w:val="18"/>
              </w:rPr>
              <w:t>1</w:t>
            </w:r>
          </w:p>
        </w:tc>
        <w:tc>
          <w:tcPr>
            <w:tcW w:w="720" w:type="dxa"/>
            <w:tcBorders>
              <w:left w:val="dashSmallGap" w:sz="4" w:space="0" w:color="auto"/>
            </w:tcBorders>
          </w:tcPr>
          <w:p w:rsidR="00926A0D" w:rsidRDefault="006023A9">
            <w:pPr>
              <w:ind w:right="-29"/>
              <w:jc w:val="center"/>
              <w:rPr>
                <w:noProof/>
                <w:sz w:val="18"/>
              </w:rPr>
            </w:pPr>
            <w:r>
              <w:rPr>
                <w:noProof/>
                <w:sz w:val="18"/>
              </w:rPr>
              <w:t>0</w:t>
            </w:r>
            <w:r w:rsidR="0043450B">
              <w:rPr>
                <w:noProof/>
                <w:sz w:val="18"/>
              </w:rPr>
              <w:t>.</w:t>
            </w:r>
            <w:r>
              <w:rPr>
                <w:noProof/>
                <w:sz w:val="18"/>
              </w:rPr>
              <w:t>250</w:t>
            </w:r>
          </w:p>
        </w:tc>
        <w:tc>
          <w:tcPr>
            <w:tcW w:w="720" w:type="dxa"/>
            <w:tcBorders>
              <w:right w:val="dashSmallGap" w:sz="4" w:space="0" w:color="auto"/>
            </w:tcBorders>
          </w:tcPr>
          <w:p w:rsidR="00926A0D" w:rsidRDefault="00926A0D">
            <w:pPr>
              <w:ind w:right="-29"/>
              <w:jc w:val="center"/>
              <w:rPr>
                <w:noProof/>
                <w:sz w:val="18"/>
              </w:rPr>
            </w:pPr>
          </w:p>
        </w:tc>
        <w:tc>
          <w:tcPr>
            <w:tcW w:w="720" w:type="dxa"/>
            <w:tcBorders>
              <w:left w:val="dashSmallGap" w:sz="4" w:space="0" w:color="auto"/>
            </w:tcBorders>
          </w:tcPr>
          <w:p w:rsidR="00926A0D" w:rsidRDefault="00926A0D">
            <w:pPr>
              <w:ind w:right="-29"/>
              <w:jc w:val="center"/>
              <w:rPr>
                <w:noProof/>
                <w:sz w:val="18"/>
              </w:rPr>
            </w:pPr>
          </w:p>
        </w:tc>
        <w:tc>
          <w:tcPr>
            <w:tcW w:w="900" w:type="dxa"/>
            <w:tcBorders>
              <w:right w:val="dashSmallGap" w:sz="4" w:space="0" w:color="auto"/>
            </w:tcBorders>
          </w:tcPr>
          <w:p w:rsidR="00926A0D" w:rsidRDefault="00926A0D">
            <w:pPr>
              <w:ind w:right="-29"/>
              <w:jc w:val="center"/>
              <w:rPr>
                <w:noProof/>
                <w:sz w:val="18"/>
              </w:rPr>
            </w:pPr>
          </w:p>
        </w:tc>
        <w:tc>
          <w:tcPr>
            <w:tcW w:w="720" w:type="dxa"/>
            <w:gridSpan w:val="2"/>
            <w:tcBorders>
              <w:left w:val="dashSmallGap" w:sz="4" w:space="0" w:color="auto"/>
            </w:tcBorders>
          </w:tcPr>
          <w:p w:rsidR="00926A0D" w:rsidRDefault="00926A0D">
            <w:pPr>
              <w:ind w:right="-29"/>
              <w:jc w:val="center"/>
              <w:rPr>
                <w:noProof/>
                <w:sz w:val="18"/>
              </w:rPr>
            </w:pPr>
          </w:p>
        </w:tc>
        <w:tc>
          <w:tcPr>
            <w:tcW w:w="540" w:type="dxa"/>
            <w:tcBorders>
              <w:right w:val="dashSmallGap" w:sz="4" w:space="0" w:color="auto"/>
            </w:tcBorders>
          </w:tcPr>
          <w:p w:rsidR="00926A0D" w:rsidRDefault="00926A0D">
            <w:pPr>
              <w:ind w:right="-29"/>
              <w:jc w:val="center"/>
              <w:rPr>
                <w:noProof/>
                <w:sz w:val="18"/>
              </w:rPr>
            </w:pPr>
          </w:p>
        </w:tc>
        <w:tc>
          <w:tcPr>
            <w:tcW w:w="648" w:type="dxa"/>
            <w:tcBorders>
              <w:left w:val="dashSmallGap" w:sz="4" w:space="0" w:color="auto"/>
            </w:tcBorders>
          </w:tcPr>
          <w:p w:rsidR="00926A0D" w:rsidRDefault="00926A0D">
            <w:pPr>
              <w:ind w:right="-29"/>
              <w:jc w:val="center"/>
              <w:rPr>
                <w:noProof/>
                <w:sz w:val="18"/>
              </w:rPr>
            </w:pPr>
          </w:p>
        </w:tc>
        <w:tc>
          <w:tcPr>
            <w:tcW w:w="432" w:type="dxa"/>
            <w:tcBorders>
              <w:right w:val="dashSmallGap" w:sz="4" w:space="0" w:color="auto"/>
            </w:tcBorders>
          </w:tcPr>
          <w:p w:rsidR="00926A0D" w:rsidRDefault="00926A0D">
            <w:pPr>
              <w:ind w:right="-29"/>
              <w:jc w:val="center"/>
              <w:rPr>
                <w:noProof/>
                <w:sz w:val="18"/>
              </w:rPr>
            </w:pPr>
          </w:p>
        </w:tc>
        <w:tc>
          <w:tcPr>
            <w:tcW w:w="720" w:type="dxa"/>
            <w:tcBorders>
              <w:left w:val="dashSmallGap" w:sz="4" w:space="0" w:color="auto"/>
            </w:tcBorders>
          </w:tcPr>
          <w:p w:rsidR="00926A0D" w:rsidRDefault="00926A0D">
            <w:pPr>
              <w:ind w:right="-29"/>
              <w:jc w:val="center"/>
              <w:rPr>
                <w:noProof/>
                <w:sz w:val="18"/>
              </w:rPr>
            </w:pPr>
          </w:p>
        </w:tc>
        <w:tc>
          <w:tcPr>
            <w:tcW w:w="540" w:type="dxa"/>
            <w:tcBorders>
              <w:right w:val="dashSmallGap" w:sz="4" w:space="0" w:color="auto"/>
            </w:tcBorders>
          </w:tcPr>
          <w:p w:rsidR="00926A0D" w:rsidRDefault="00926A0D">
            <w:pPr>
              <w:ind w:right="-29"/>
              <w:jc w:val="center"/>
              <w:rPr>
                <w:noProof/>
                <w:sz w:val="18"/>
              </w:rPr>
            </w:pPr>
          </w:p>
        </w:tc>
        <w:tc>
          <w:tcPr>
            <w:tcW w:w="720" w:type="dxa"/>
            <w:tcBorders>
              <w:left w:val="dashSmallGap" w:sz="4" w:space="0" w:color="auto"/>
            </w:tcBorders>
          </w:tcPr>
          <w:p w:rsidR="00926A0D" w:rsidRDefault="00926A0D">
            <w:pPr>
              <w:ind w:right="-29"/>
              <w:jc w:val="center"/>
              <w:rPr>
                <w:noProof/>
                <w:sz w:val="18"/>
              </w:rPr>
            </w:pPr>
          </w:p>
        </w:tc>
        <w:tc>
          <w:tcPr>
            <w:tcW w:w="1620" w:type="dxa"/>
            <w:gridSpan w:val="2"/>
          </w:tcPr>
          <w:p w:rsidR="00926A0D" w:rsidRDefault="006023A9">
            <w:pPr>
              <w:ind w:right="-29"/>
              <w:jc w:val="center"/>
              <w:rPr>
                <w:noProof/>
                <w:sz w:val="18"/>
              </w:rPr>
            </w:pPr>
            <w:r>
              <w:rPr>
                <w:noProof/>
                <w:sz w:val="18"/>
              </w:rPr>
              <w:t>0</w:t>
            </w:r>
            <w:r w:rsidR="0043450B">
              <w:rPr>
                <w:noProof/>
                <w:sz w:val="18"/>
              </w:rPr>
              <w:t>.</w:t>
            </w:r>
            <w:r>
              <w:rPr>
                <w:noProof/>
                <w:sz w:val="18"/>
              </w:rPr>
              <w:t>250</w:t>
            </w:r>
          </w:p>
        </w:tc>
      </w:tr>
      <w:tr w:rsidR="00926A0D">
        <w:trPr>
          <w:trHeight w:hRule="exact" w:val="852"/>
          <w:jc w:val="center"/>
        </w:trPr>
        <w:tc>
          <w:tcPr>
            <w:tcW w:w="1423" w:type="dxa"/>
          </w:tcPr>
          <w:p w:rsidR="00926A0D" w:rsidRPr="00553B46" w:rsidRDefault="006023A9">
            <w:pPr>
              <w:ind w:right="-29"/>
              <w:jc w:val="center"/>
              <w:rPr>
                <w:noProof/>
                <w:sz w:val="18"/>
              </w:rPr>
            </w:pPr>
            <w:r w:rsidRPr="00553B46">
              <w:rPr>
                <w:noProof/>
                <w:sz w:val="18"/>
              </w:rPr>
              <w:t>Assistance QA/QC- reporting MS</w:t>
            </w:r>
          </w:p>
        </w:tc>
        <w:tc>
          <w:tcPr>
            <w:tcW w:w="720" w:type="dxa"/>
          </w:tcPr>
          <w:p w:rsidR="00926A0D" w:rsidRPr="00553B46" w:rsidRDefault="00926A0D">
            <w:pPr>
              <w:ind w:right="-29"/>
              <w:jc w:val="center"/>
              <w:rPr>
                <w:noProof/>
                <w:sz w:val="18"/>
              </w:rPr>
            </w:pPr>
          </w:p>
        </w:tc>
        <w:tc>
          <w:tcPr>
            <w:tcW w:w="701" w:type="dxa"/>
          </w:tcPr>
          <w:p w:rsidR="00926A0D" w:rsidRPr="00553B46" w:rsidRDefault="00926A0D">
            <w:pPr>
              <w:ind w:right="-29"/>
              <w:jc w:val="center"/>
              <w:rPr>
                <w:noProof/>
                <w:sz w:val="18"/>
              </w:rPr>
            </w:pPr>
          </w:p>
        </w:tc>
        <w:tc>
          <w:tcPr>
            <w:tcW w:w="504" w:type="dxa"/>
            <w:tcBorders>
              <w:right w:val="dashSmallGap" w:sz="4" w:space="0" w:color="auto"/>
            </w:tcBorders>
          </w:tcPr>
          <w:p w:rsidR="00926A0D" w:rsidRPr="00553B46" w:rsidRDefault="00926A0D">
            <w:pPr>
              <w:ind w:right="-29"/>
              <w:jc w:val="center"/>
              <w:rPr>
                <w:noProof/>
                <w:sz w:val="18"/>
              </w:rPr>
            </w:pPr>
          </w:p>
        </w:tc>
        <w:tc>
          <w:tcPr>
            <w:tcW w:w="720" w:type="dxa"/>
            <w:tcBorders>
              <w:left w:val="dashSmallGap" w:sz="4" w:space="0" w:color="auto"/>
            </w:tcBorders>
          </w:tcPr>
          <w:p w:rsidR="00926A0D" w:rsidRPr="00553B46" w:rsidRDefault="00926A0D">
            <w:pPr>
              <w:ind w:right="-29"/>
              <w:jc w:val="center"/>
              <w:rPr>
                <w:noProof/>
                <w:sz w:val="18"/>
              </w:rPr>
            </w:pPr>
          </w:p>
        </w:tc>
        <w:tc>
          <w:tcPr>
            <w:tcW w:w="540" w:type="dxa"/>
            <w:tcBorders>
              <w:right w:val="dashSmallGap" w:sz="4" w:space="0" w:color="auto"/>
            </w:tcBorders>
          </w:tcPr>
          <w:p w:rsidR="00926A0D" w:rsidRPr="00553B46" w:rsidRDefault="00926A0D">
            <w:pPr>
              <w:ind w:right="-29"/>
              <w:jc w:val="center"/>
              <w:rPr>
                <w:noProof/>
                <w:sz w:val="18"/>
              </w:rPr>
            </w:pPr>
          </w:p>
        </w:tc>
        <w:tc>
          <w:tcPr>
            <w:tcW w:w="720" w:type="dxa"/>
            <w:tcBorders>
              <w:left w:val="dashSmallGap" w:sz="4" w:space="0" w:color="auto"/>
            </w:tcBorders>
          </w:tcPr>
          <w:p w:rsidR="00926A0D" w:rsidRPr="00553B46" w:rsidRDefault="00926A0D">
            <w:pPr>
              <w:ind w:right="-29"/>
              <w:jc w:val="center"/>
              <w:rPr>
                <w:noProof/>
                <w:sz w:val="18"/>
              </w:rPr>
            </w:pPr>
          </w:p>
        </w:tc>
        <w:tc>
          <w:tcPr>
            <w:tcW w:w="720" w:type="dxa"/>
            <w:tcBorders>
              <w:right w:val="dashSmallGap" w:sz="4" w:space="0" w:color="auto"/>
            </w:tcBorders>
          </w:tcPr>
          <w:p w:rsidR="00926A0D" w:rsidRPr="00553B46" w:rsidRDefault="006023A9">
            <w:pPr>
              <w:ind w:right="-29"/>
              <w:jc w:val="center"/>
              <w:rPr>
                <w:noProof/>
                <w:sz w:val="18"/>
              </w:rPr>
            </w:pPr>
            <w:r w:rsidRPr="00553B46">
              <w:rPr>
                <w:noProof/>
                <w:sz w:val="18"/>
              </w:rPr>
              <w:t>1</w:t>
            </w:r>
          </w:p>
        </w:tc>
        <w:tc>
          <w:tcPr>
            <w:tcW w:w="720" w:type="dxa"/>
            <w:tcBorders>
              <w:left w:val="dashSmallGap" w:sz="4" w:space="0" w:color="auto"/>
            </w:tcBorders>
          </w:tcPr>
          <w:p w:rsidR="00926A0D" w:rsidRPr="00553B46" w:rsidRDefault="006023A9">
            <w:pPr>
              <w:ind w:right="-29"/>
              <w:jc w:val="center"/>
              <w:rPr>
                <w:noProof/>
                <w:sz w:val="18"/>
              </w:rPr>
            </w:pPr>
            <w:r w:rsidRPr="00553B46">
              <w:rPr>
                <w:noProof/>
                <w:sz w:val="18"/>
              </w:rPr>
              <w:t>0</w:t>
            </w:r>
            <w:r w:rsidR="0043450B">
              <w:rPr>
                <w:noProof/>
                <w:sz w:val="18"/>
              </w:rPr>
              <w:t>.</w:t>
            </w:r>
            <w:r w:rsidRPr="00553B46">
              <w:rPr>
                <w:noProof/>
                <w:sz w:val="18"/>
              </w:rPr>
              <w:t>500</w:t>
            </w:r>
          </w:p>
        </w:tc>
        <w:tc>
          <w:tcPr>
            <w:tcW w:w="900" w:type="dxa"/>
            <w:tcBorders>
              <w:right w:val="dashSmallGap" w:sz="4" w:space="0" w:color="auto"/>
            </w:tcBorders>
          </w:tcPr>
          <w:p w:rsidR="00926A0D" w:rsidRPr="00553B46" w:rsidRDefault="006023A9">
            <w:pPr>
              <w:ind w:right="-29"/>
              <w:jc w:val="center"/>
              <w:rPr>
                <w:noProof/>
                <w:sz w:val="18"/>
              </w:rPr>
            </w:pPr>
            <w:r w:rsidRPr="00553B46">
              <w:rPr>
                <w:noProof/>
                <w:sz w:val="18"/>
              </w:rPr>
              <w:t>1</w:t>
            </w:r>
          </w:p>
        </w:tc>
        <w:tc>
          <w:tcPr>
            <w:tcW w:w="720" w:type="dxa"/>
            <w:gridSpan w:val="2"/>
            <w:tcBorders>
              <w:left w:val="dashSmallGap" w:sz="4" w:space="0" w:color="auto"/>
            </w:tcBorders>
          </w:tcPr>
          <w:p w:rsidR="00926A0D" w:rsidRPr="00553B46" w:rsidRDefault="006023A9">
            <w:pPr>
              <w:ind w:right="-29"/>
              <w:jc w:val="center"/>
              <w:rPr>
                <w:noProof/>
                <w:sz w:val="18"/>
              </w:rPr>
            </w:pPr>
            <w:r w:rsidRPr="00553B46">
              <w:rPr>
                <w:noProof/>
                <w:sz w:val="18"/>
              </w:rPr>
              <w:t>0</w:t>
            </w:r>
            <w:r w:rsidR="0043450B">
              <w:rPr>
                <w:noProof/>
                <w:sz w:val="18"/>
              </w:rPr>
              <w:t>.</w:t>
            </w:r>
            <w:r w:rsidRPr="00553B46">
              <w:rPr>
                <w:noProof/>
                <w:sz w:val="18"/>
              </w:rPr>
              <w:t>500</w:t>
            </w:r>
          </w:p>
        </w:tc>
        <w:tc>
          <w:tcPr>
            <w:tcW w:w="540" w:type="dxa"/>
            <w:tcBorders>
              <w:right w:val="dashSmallGap" w:sz="4" w:space="0" w:color="auto"/>
            </w:tcBorders>
          </w:tcPr>
          <w:p w:rsidR="00926A0D" w:rsidRPr="00553B46" w:rsidRDefault="00926A0D">
            <w:pPr>
              <w:ind w:right="-29"/>
              <w:jc w:val="center"/>
              <w:rPr>
                <w:noProof/>
                <w:sz w:val="18"/>
              </w:rPr>
            </w:pPr>
          </w:p>
        </w:tc>
        <w:tc>
          <w:tcPr>
            <w:tcW w:w="648" w:type="dxa"/>
            <w:tcBorders>
              <w:left w:val="dashSmallGap" w:sz="4" w:space="0" w:color="auto"/>
            </w:tcBorders>
          </w:tcPr>
          <w:p w:rsidR="00926A0D" w:rsidRPr="00553B46" w:rsidRDefault="00926A0D">
            <w:pPr>
              <w:ind w:right="-29"/>
              <w:jc w:val="center"/>
              <w:rPr>
                <w:noProof/>
                <w:sz w:val="18"/>
              </w:rPr>
            </w:pPr>
          </w:p>
        </w:tc>
        <w:tc>
          <w:tcPr>
            <w:tcW w:w="432" w:type="dxa"/>
            <w:tcBorders>
              <w:right w:val="dashSmallGap" w:sz="4" w:space="0" w:color="auto"/>
            </w:tcBorders>
          </w:tcPr>
          <w:p w:rsidR="00926A0D" w:rsidRPr="00553B46" w:rsidRDefault="00926A0D">
            <w:pPr>
              <w:ind w:right="-29"/>
              <w:jc w:val="center"/>
              <w:rPr>
                <w:noProof/>
                <w:sz w:val="18"/>
              </w:rPr>
            </w:pPr>
          </w:p>
        </w:tc>
        <w:tc>
          <w:tcPr>
            <w:tcW w:w="720" w:type="dxa"/>
            <w:tcBorders>
              <w:left w:val="dashSmallGap" w:sz="4" w:space="0" w:color="auto"/>
            </w:tcBorders>
          </w:tcPr>
          <w:p w:rsidR="00926A0D" w:rsidRPr="00553B46" w:rsidRDefault="00926A0D">
            <w:pPr>
              <w:ind w:right="-29"/>
              <w:jc w:val="center"/>
              <w:rPr>
                <w:noProof/>
                <w:sz w:val="18"/>
              </w:rPr>
            </w:pPr>
          </w:p>
        </w:tc>
        <w:tc>
          <w:tcPr>
            <w:tcW w:w="540" w:type="dxa"/>
            <w:tcBorders>
              <w:right w:val="dashSmallGap" w:sz="4" w:space="0" w:color="auto"/>
            </w:tcBorders>
          </w:tcPr>
          <w:p w:rsidR="00926A0D" w:rsidRPr="00553B46" w:rsidRDefault="00926A0D">
            <w:pPr>
              <w:ind w:right="-29"/>
              <w:jc w:val="center"/>
              <w:rPr>
                <w:noProof/>
                <w:sz w:val="18"/>
              </w:rPr>
            </w:pPr>
          </w:p>
        </w:tc>
        <w:tc>
          <w:tcPr>
            <w:tcW w:w="720" w:type="dxa"/>
            <w:tcBorders>
              <w:left w:val="dashSmallGap" w:sz="4" w:space="0" w:color="auto"/>
            </w:tcBorders>
          </w:tcPr>
          <w:p w:rsidR="00926A0D" w:rsidRPr="00553B46" w:rsidRDefault="00926A0D">
            <w:pPr>
              <w:ind w:right="-29"/>
              <w:jc w:val="center"/>
              <w:rPr>
                <w:noProof/>
                <w:sz w:val="18"/>
              </w:rPr>
            </w:pPr>
          </w:p>
        </w:tc>
        <w:tc>
          <w:tcPr>
            <w:tcW w:w="1620" w:type="dxa"/>
            <w:gridSpan w:val="2"/>
          </w:tcPr>
          <w:p w:rsidR="00926A0D" w:rsidRPr="00553B46" w:rsidRDefault="0057422E">
            <w:pPr>
              <w:ind w:right="-29"/>
              <w:jc w:val="center"/>
              <w:rPr>
                <w:noProof/>
                <w:sz w:val="18"/>
              </w:rPr>
            </w:pPr>
            <w:r w:rsidRPr="00553B46">
              <w:rPr>
                <w:sz w:val="18"/>
              </w:rPr>
              <w:t>1</w:t>
            </w:r>
            <w:r w:rsidR="0043450B">
              <w:rPr>
                <w:sz w:val="18"/>
              </w:rPr>
              <w:t>.</w:t>
            </w:r>
            <w:r w:rsidRPr="00553B46">
              <w:rPr>
                <w:sz w:val="18"/>
              </w:rPr>
              <w:t>000</w:t>
            </w:r>
            <w:r w:rsidRPr="00553B46">
              <w:rPr>
                <w:noProof/>
                <w:sz w:val="18"/>
              </w:rPr>
              <w:t xml:space="preserve"> </w:t>
            </w:r>
          </w:p>
        </w:tc>
      </w:tr>
      <w:tr w:rsidR="00926A0D">
        <w:trPr>
          <w:trHeight w:hRule="exact" w:val="369"/>
          <w:jc w:val="center"/>
        </w:trPr>
        <w:tc>
          <w:tcPr>
            <w:tcW w:w="1423" w:type="dxa"/>
          </w:tcPr>
          <w:p w:rsidR="00926A0D" w:rsidRPr="00553B46" w:rsidRDefault="006023A9">
            <w:pPr>
              <w:ind w:right="-29"/>
              <w:jc w:val="center"/>
              <w:rPr>
                <w:noProof/>
                <w:sz w:val="18"/>
              </w:rPr>
            </w:pPr>
            <w:r w:rsidRPr="00553B46">
              <w:rPr>
                <w:noProof/>
                <w:sz w:val="18"/>
              </w:rPr>
              <w:t>- Output</w:t>
            </w:r>
          </w:p>
        </w:tc>
        <w:tc>
          <w:tcPr>
            <w:tcW w:w="720" w:type="dxa"/>
          </w:tcPr>
          <w:p w:rsidR="00926A0D" w:rsidRPr="00553B46" w:rsidRDefault="00926A0D">
            <w:pPr>
              <w:ind w:right="-29"/>
              <w:jc w:val="center"/>
              <w:rPr>
                <w:noProof/>
                <w:sz w:val="18"/>
              </w:rPr>
            </w:pPr>
          </w:p>
        </w:tc>
        <w:tc>
          <w:tcPr>
            <w:tcW w:w="701" w:type="dxa"/>
          </w:tcPr>
          <w:p w:rsidR="00926A0D" w:rsidRPr="00553B46" w:rsidRDefault="00926A0D">
            <w:pPr>
              <w:ind w:right="-29"/>
              <w:jc w:val="center"/>
              <w:rPr>
                <w:noProof/>
                <w:sz w:val="18"/>
              </w:rPr>
            </w:pPr>
          </w:p>
        </w:tc>
        <w:tc>
          <w:tcPr>
            <w:tcW w:w="504" w:type="dxa"/>
          </w:tcPr>
          <w:p w:rsidR="00926A0D" w:rsidRPr="00553B46" w:rsidRDefault="00926A0D">
            <w:pPr>
              <w:ind w:right="-29"/>
              <w:jc w:val="center"/>
              <w:rPr>
                <w:noProof/>
                <w:sz w:val="18"/>
              </w:rPr>
            </w:pPr>
          </w:p>
        </w:tc>
        <w:tc>
          <w:tcPr>
            <w:tcW w:w="720" w:type="dxa"/>
          </w:tcPr>
          <w:p w:rsidR="00926A0D" w:rsidRPr="00553B46" w:rsidRDefault="00926A0D">
            <w:pPr>
              <w:ind w:right="-29"/>
              <w:jc w:val="center"/>
              <w:rPr>
                <w:noProof/>
                <w:sz w:val="18"/>
              </w:rPr>
            </w:pPr>
          </w:p>
        </w:tc>
        <w:tc>
          <w:tcPr>
            <w:tcW w:w="540" w:type="dxa"/>
          </w:tcPr>
          <w:p w:rsidR="00926A0D" w:rsidRPr="00553B46" w:rsidRDefault="00926A0D">
            <w:pPr>
              <w:ind w:right="-29"/>
              <w:jc w:val="center"/>
              <w:rPr>
                <w:noProof/>
                <w:sz w:val="18"/>
              </w:rPr>
            </w:pPr>
          </w:p>
        </w:tc>
        <w:tc>
          <w:tcPr>
            <w:tcW w:w="720" w:type="dxa"/>
          </w:tcPr>
          <w:p w:rsidR="00926A0D" w:rsidRPr="00553B46" w:rsidRDefault="00926A0D">
            <w:pPr>
              <w:ind w:right="-29"/>
              <w:jc w:val="center"/>
              <w:rPr>
                <w:noProof/>
                <w:sz w:val="18"/>
              </w:rPr>
            </w:pPr>
          </w:p>
        </w:tc>
        <w:tc>
          <w:tcPr>
            <w:tcW w:w="720" w:type="dxa"/>
          </w:tcPr>
          <w:p w:rsidR="00926A0D" w:rsidRPr="00553B46" w:rsidRDefault="00926A0D">
            <w:pPr>
              <w:ind w:right="-29"/>
              <w:jc w:val="center"/>
              <w:rPr>
                <w:noProof/>
                <w:sz w:val="18"/>
              </w:rPr>
            </w:pPr>
          </w:p>
        </w:tc>
        <w:tc>
          <w:tcPr>
            <w:tcW w:w="720" w:type="dxa"/>
          </w:tcPr>
          <w:p w:rsidR="00926A0D" w:rsidRPr="00553B46" w:rsidRDefault="00926A0D">
            <w:pPr>
              <w:ind w:right="-29"/>
              <w:jc w:val="center"/>
              <w:rPr>
                <w:noProof/>
                <w:sz w:val="18"/>
              </w:rPr>
            </w:pPr>
          </w:p>
        </w:tc>
        <w:tc>
          <w:tcPr>
            <w:tcW w:w="900" w:type="dxa"/>
          </w:tcPr>
          <w:p w:rsidR="00926A0D" w:rsidRPr="00553B46" w:rsidRDefault="00926A0D">
            <w:pPr>
              <w:ind w:right="-29"/>
              <w:jc w:val="center"/>
              <w:rPr>
                <w:noProof/>
                <w:sz w:val="18"/>
              </w:rPr>
            </w:pPr>
          </w:p>
        </w:tc>
        <w:tc>
          <w:tcPr>
            <w:tcW w:w="720" w:type="dxa"/>
            <w:gridSpan w:val="2"/>
          </w:tcPr>
          <w:p w:rsidR="00926A0D" w:rsidRPr="00553B46" w:rsidRDefault="00926A0D">
            <w:pPr>
              <w:ind w:right="-29"/>
              <w:jc w:val="center"/>
              <w:rPr>
                <w:noProof/>
                <w:sz w:val="18"/>
              </w:rPr>
            </w:pPr>
          </w:p>
        </w:tc>
        <w:tc>
          <w:tcPr>
            <w:tcW w:w="540" w:type="dxa"/>
          </w:tcPr>
          <w:p w:rsidR="00926A0D" w:rsidRPr="00553B46" w:rsidRDefault="00926A0D">
            <w:pPr>
              <w:ind w:right="-29"/>
              <w:jc w:val="center"/>
              <w:rPr>
                <w:noProof/>
                <w:sz w:val="18"/>
              </w:rPr>
            </w:pPr>
          </w:p>
        </w:tc>
        <w:tc>
          <w:tcPr>
            <w:tcW w:w="648" w:type="dxa"/>
          </w:tcPr>
          <w:p w:rsidR="00926A0D" w:rsidRPr="00553B46" w:rsidRDefault="00926A0D">
            <w:pPr>
              <w:ind w:right="-29"/>
              <w:jc w:val="center"/>
              <w:rPr>
                <w:noProof/>
                <w:sz w:val="18"/>
              </w:rPr>
            </w:pPr>
          </w:p>
        </w:tc>
        <w:tc>
          <w:tcPr>
            <w:tcW w:w="432" w:type="dxa"/>
          </w:tcPr>
          <w:p w:rsidR="00926A0D" w:rsidRPr="00553B46" w:rsidRDefault="00926A0D">
            <w:pPr>
              <w:ind w:right="-29"/>
              <w:jc w:val="center"/>
              <w:rPr>
                <w:noProof/>
                <w:sz w:val="18"/>
              </w:rPr>
            </w:pPr>
          </w:p>
        </w:tc>
        <w:tc>
          <w:tcPr>
            <w:tcW w:w="720" w:type="dxa"/>
          </w:tcPr>
          <w:p w:rsidR="00926A0D" w:rsidRPr="00553B46" w:rsidRDefault="00926A0D">
            <w:pPr>
              <w:ind w:right="-29"/>
              <w:jc w:val="center"/>
              <w:rPr>
                <w:noProof/>
                <w:sz w:val="18"/>
              </w:rPr>
            </w:pPr>
          </w:p>
        </w:tc>
        <w:tc>
          <w:tcPr>
            <w:tcW w:w="540" w:type="dxa"/>
          </w:tcPr>
          <w:p w:rsidR="00926A0D" w:rsidRPr="00553B46" w:rsidRDefault="00926A0D">
            <w:pPr>
              <w:ind w:right="-29"/>
              <w:jc w:val="center"/>
              <w:rPr>
                <w:noProof/>
                <w:sz w:val="18"/>
              </w:rPr>
            </w:pPr>
          </w:p>
        </w:tc>
        <w:tc>
          <w:tcPr>
            <w:tcW w:w="720" w:type="dxa"/>
          </w:tcPr>
          <w:p w:rsidR="00926A0D" w:rsidRPr="00553B46" w:rsidRDefault="00926A0D">
            <w:pPr>
              <w:ind w:right="-29"/>
              <w:jc w:val="center"/>
              <w:rPr>
                <w:noProof/>
                <w:sz w:val="18"/>
              </w:rPr>
            </w:pPr>
          </w:p>
        </w:tc>
        <w:tc>
          <w:tcPr>
            <w:tcW w:w="1620" w:type="dxa"/>
            <w:gridSpan w:val="2"/>
          </w:tcPr>
          <w:p w:rsidR="00926A0D" w:rsidRPr="00553B46" w:rsidRDefault="00926A0D">
            <w:pPr>
              <w:ind w:right="-29"/>
              <w:jc w:val="center"/>
              <w:rPr>
                <w:noProof/>
                <w:sz w:val="18"/>
              </w:rPr>
            </w:pPr>
          </w:p>
        </w:tc>
      </w:tr>
      <w:tr w:rsidR="00926A0D">
        <w:trPr>
          <w:jc w:val="center"/>
        </w:trPr>
        <w:tc>
          <w:tcPr>
            <w:tcW w:w="2844" w:type="dxa"/>
            <w:gridSpan w:val="3"/>
            <w:tcBorders>
              <w:bottom w:val="single" w:sz="12" w:space="0" w:color="auto"/>
            </w:tcBorders>
            <w:vAlign w:val="center"/>
          </w:tcPr>
          <w:p w:rsidR="00926A0D" w:rsidRPr="00553B46" w:rsidRDefault="006023A9">
            <w:pPr>
              <w:ind w:right="-29"/>
              <w:jc w:val="center"/>
              <w:rPr>
                <w:noProof/>
                <w:sz w:val="18"/>
              </w:rPr>
            </w:pPr>
            <w:r w:rsidRPr="00553B46">
              <w:rPr>
                <w:noProof/>
                <w:sz w:val="18"/>
              </w:rPr>
              <w:t>Subtotal for specific objective No 1</w:t>
            </w:r>
          </w:p>
        </w:tc>
        <w:tc>
          <w:tcPr>
            <w:tcW w:w="504" w:type="dxa"/>
            <w:tcBorders>
              <w:bottom w:val="single" w:sz="12" w:space="0" w:color="auto"/>
            </w:tcBorders>
          </w:tcPr>
          <w:p w:rsidR="00926A0D" w:rsidRPr="00553B46" w:rsidRDefault="00926A0D">
            <w:pPr>
              <w:ind w:right="-29"/>
              <w:jc w:val="center"/>
              <w:rPr>
                <w:noProof/>
                <w:sz w:val="18"/>
              </w:rPr>
            </w:pPr>
          </w:p>
        </w:tc>
        <w:tc>
          <w:tcPr>
            <w:tcW w:w="720" w:type="dxa"/>
            <w:tcBorders>
              <w:bottom w:val="single" w:sz="12" w:space="0" w:color="auto"/>
            </w:tcBorders>
          </w:tcPr>
          <w:p w:rsidR="00926A0D" w:rsidRPr="00553B46" w:rsidRDefault="00926A0D">
            <w:pPr>
              <w:ind w:right="-29"/>
              <w:jc w:val="center"/>
              <w:rPr>
                <w:noProof/>
                <w:sz w:val="18"/>
              </w:rPr>
            </w:pPr>
          </w:p>
        </w:tc>
        <w:tc>
          <w:tcPr>
            <w:tcW w:w="540" w:type="dxa"/>
            <w:tcBorders>
              <w:bottom w:val="single" w:sz="12" w:space="0" w:color="auto"/>
            </w:tcBorders>
          </w:tcPr>
          <w:p w:rsidR="00926A0D" w:rsidRPr="00553B46" w:rsidRDefault="006023A9">
            <w:pPr>
              <w:ind w:right="-29"/>
              <w:jc w:val="center"/>
              <w:rPr>
                <w:noProof/>
                <w:sz w:val="18"/>
              </w:rPr>
            </w:pPr>
            <w:r w:rsidRPr="00553B46">
              <w:rPr>
                <w:noProof/>
                <w:sz w:val="18"/>
              </w:rPr>
              <w:t>1</w:t>
            </w:r>
          </w:p>
        </w:tc>
        <w:tc>
          <w:tcPr>
            <w:tcW w:w="720" w:type="dxa"/>
            <w:tcBorders>
              <w:bottom w:val="single" w:sz="12" w:space="0" w:color="auto"/>
            </w:tcBorders>
          </w:tcPr>
          <w:p w:rsidR="00926A0D" w:rsidRPr="00553B46" w:rsidRDefault="006023A9">
            <w:pPr>
              <w:ind w:right="-29"/>
              <w:jc w:val="center"/>
              <w:rPr>
                <w:noProof/>
                <w:sz w:val="18"/>
              </w:rPr>
            </w:pPr>
            <w:r w:rsidRPr="00553B46">
              <w:rPr>
                <w:noProof/>
                <w:sz w:val="18"/>
              </w:rPr>
              <w:t>0</w:t>
            </w:r>
            <w:r w:rsidR="0043450B">
              <w:rPr>
                <w:noProof/>
                <w:sz w:val="18"/>
              </w:rPr>
              <w:t>.</w:t>
            </w:r>
            <w:r w:rsidRPr="00553B46">
              <w:rPr>
                <w:noProof/>
                <w:sz w:val="18"/>
              </w:rPr>
              <w:t>250</w:t>
            </w:r>
          </w:p>
        </w:tc>
        <w:tc>
          <w:tcPr>
            <w:tcW w:w="720" w:type="dxa"/>
            <w:tcBorders>
              <w:bottom w:val="single" w:sz="12" w:space="0" w:color="auto"/>
            </w:tcBorders>
          </w:tcPr>
          <w:p w:rsidR="00926A0D" w:rsidRPr="00553B46" w:rsidRDefault="006023A9">
            <w:pPr>
              <w:ind w:right="-29"/>
              <w:jc w:val="center"/>
              <w:rPr>
                <w:noProof/>
                <w:sz w:val="18"/>
              </w:rPr>
            </w:pPr>
            <w:r w:rsidRPr="00553B46">
              <w:rPr>
                <w:noProof/>
                <w:sz w:val="18"/>
              </w:rPr>
              <w:t>1</w:t>
            </w:r>
          </w:p>
        </w:tc>
        <w:tc>
          <w:tcPr>
            <w:tcW w:w="720" w:type="dxa"/>
            <w:tcBorders>
              <w:bottom w:val="single" w:sz="12" w:space="0" w:color="auto"/>
            </w:tcBorders>
          </w:tcPr>
          <w:p w:rsidR="00926A0D" w:rsidRPr="00553B46" w:rsidRDefault="006023A9">
            <w:pPr>
              <w:ind w:right="-29"/>
              <w:jc w:val="center"/>
              <w:rPr>
                <w:noProof/>
                <w:sz w:val="18"/>
              </w:rPr>
            </w:pPr>
            <w:r w:rsidRPr="00553B46">
              <w:rPr>
                <w:noProof/>
                <w:sz w:val="18"/>
              </w:rPr>
              <w:t>0</w:t>
            </w:r>
            <w:r w:rsidR="0043450B">
              <w:rPr>
                <w:noProof/>
                <w:sz w:val="18"/>
              </w:rPr>
              <w:t>.</w:t>
            </w:r>
            <w:r w:rsidRPr="00553B46">
              <w:rPr>
                <w:noProof/>
                <w:sz w:val="18"/>
              </w:rPr>
              <w:t>500</w:t>
            </w:r>
          </w:p>
        </w:tc>
        <w:tc>
          <w:tcPr>
            <w:tcW w:w="900" w:type="dxa"/>
            <w:tcBorders>
              <w:bottom w:val="single" w:sz="12" w:space="0" w:color="auto"/>
            </w:tcBorders>
          </w:tcPr>
          <w:p w:rsidR="00926A0D" w:rsidRPr="00553B46" w:rsidRDefault="006023A9">
            <w:pPr>
              <w:ind w:right="-29"/>
              <w:jc w:val="center"/>
              <w:rPr>
                <w:noProof/>
                <w:sz w:val="18"/>
              </w:rPr>
            </w:pPr>
            <w:r w:rsidRPr="00553B46">
              <w:rPr>
                <w:noProof/>
                <w:sz w:val="18"/>
              </w:rPr>
              <w:t>1</w:t>
            </w:r>
          </w:p>
        </w:tc>
        <w:tc>
          <w:tcPr>
            <w:tcW w:w="720" w:type="dxa"/>
            <w:gridSpan w:val="2"/>
            <w:tcBorders>
              <w:bottom w:val="single" w:sz="12" w:space="0" w:color="auto"/>
            </w:tcBorders>
          </w:tcPr>
          <w:p w:rsidR="00926A0D" w:rsidRPr="00553B46" w:rsidRDefault="006023A9">
            <w:pPr>
              <w:ind w:right="-29"/>
              <w:jc w:val="center"/>
              <w:rPr>
                <w:noProof/>
                <w:sz w:val="18"/>
              </w:rPr>
            </w:pPr>
            <w:r w:rsidRPr="00553B46">
              <w:rPr>
                <w:noProof/>
                <w:sz w:val="18"/>
              </w:rPr>
              <w:t>0</w:t>
            </w:r>
            <w:r w:rsidR="0043450B">
              <w:rPr>
                <w:noProof/>
                <w:sz w:val="18"/>
              </w:rPr>
              <w:t>.</w:t>
            </w:r>
            <w:r w:rsidRPr="00553B46">
              <w:rPr>
                <w:noProof/>
                <w:sz w:val="18"/>
              </w:rPr>
              <w:t>500</w:t>
            </w:r>
          </w:p>
        </w:tc>
        <w:tc>
          <w:tcPr>
            <w:tcW w:w="540" w:type="dxa"/>
            <w:tcBorders>
              <w:bottom w:val="single" w:sz="12" w:space="0" w:color="auto"/>
            </w:tcBorders>
          </w:tcPr>
          <w:p w:rsidR="00926A0D" w:rsidRPr="00553B46" w:rsidRDefault="00926A0D">
            <w:pPr>
              <w:ind w:right="-29"/>
              <w:jc w:val="center"/>
              <w:rPr>
                <w:noProof/>
                <w:sz w:val="18"/>
              </w:rPr>
            </w:pPr>
          </w:p>
        </w:tc>
        <w:tc>
          <w:tcPr>
            <w:tcW w:w="648" w:type="dxa"/>
            <w:tcBorders>
              <w:bottom w:val="single" w:sz="12" w:space="0" w:color="auto"/>
            </w:tcBorders>
          </w:tcPr>
          <w:p w:rsidR="00926A0D" w:rsidRPr="00553B46" w:rsidRDefault="00926A0D">
            <w:pPr>
              <w:ind w:right="-29"/>
              <w:jc w:val="center"/>
              <w:rPr>
                <w:noProof/>
                <w:sz w:val="18"/>
              </w:rPr>
            </w:pPr>
          </w:p>
        </w:tc>
        <w:tc>
          <w:tcPr>
            <w:tcW w:w="432" w:type="dxa"/>
            <w:tcBorders>
              <w:bottom w:val="single" w:sz="12" w:space="0" w:color="auto"/>
            </w:tcBorders>
          </w:tcPr>
          <w:p w:rsidR="00926A0D" w:rsidRPr="00553B46" w:rsidRDefault="00926A0D">
            <w:pPr>
              <w:ind w:right="-29"/>
              <w:jc w:val="center"/>
              <w:rPr>
                <w:noProof/>
                <w:sz w:val="18"/>
              </w:rPr>
            </w:pPr>
          </w:p>
        </w:tc>
        <w:tc>
          <w:tcPr>
            <w:tcW w:w="720" w:type="dxa"/>
            <w:tcBorders>
              <w:bottom w:val="single" w:sz="12" w:space="0" w:color="auto"/>
            </w:tcBorders>
          </w:tcPr>
          <w:p w:rsidR="00926A0D" w:rsidRPr="00553B46" w:rsidRDefault="00926A0D">
            <w:pPr>
              <w:ind w:right="-29"/>
              <w:jc w:val="center"/>
              <w:rPr>
                <w:noProof/>
                <w:sz w:val="18"/>
              </w:rPr>
            </w:pPr>
          </w:p>
        </w:tc>
        <w:tc>
          <w:tcPr>
            <w:tcW w:w="540" w:type="dxa"/>
            <w:tcBorders>
              <w:bottom w:val="single" w:sz="12" w:space="0" w:color="auto"/>
            </w:tcBorders>
          </w:tcPr>
          <w:p w:rsidR="00926A0D" w:rsidRPr="00553B46" w:rsidRDefault="00926A0D">
            <w:pPr>
              <w:ind w:right="-29"/>
              <w:jc w:val="center"/>
              <w:rPr>
                <w:noProof/>
                <w:sz w:val="18"/>
              </w:rPr>
            </w:pPr>
          </w:p>
        </w:tc>
        <w:tc>
          <w:tcPr>
            <w:tcW w:w="720" w:type="dxa"/>
            <w:tcBorders>
              <w:bottom w:val="single" w:sz="12" w:space="0" w:color="auto"/>
            </w:tcBorders>
          </w:tcPr>
          <w:p w:rsidR="00926A0D" w:rsidRPr="00553B46" w:rsidRDefault="00926A0D">
            <w:pPr>
              <w:ind w:right="-29"/>
              <w:jc w:val="center"/>
              <w:rPr>
                <w:noProof/>
                <w:sz w:val="18"/>
              </w:rPr>
            </w:pPr>
          </w:p>
        </w:tc>
        <w:tc>
          <w:tcPr>
            <w:tcW w:w="1620" w:type="dxa"/>
            <w:gridSpan w:val="2"/>
            <w:tcBorders>
              <w:bottom w:val="single" w:sz="12" w:space="0" w:color="auto"/>
            </w:tcBorders>
          </w:tcPr>
          <w:p w:rsidR="00926A0D" w:rsidRPr="00553B46" w:rsidRDefault="0057422E">
            <w:pPr>
              <w:ind w:right="-29"/>
              <w:jc w:val="center"/>
              <w:rPr>
                <w:noProof/>
                <w:sz w:val="18"/>
              </w:rPr>
            </w:pPr>
            <w:r w:rsidRPr="00553B46">
              <w:rPr>
                <w:sz w:val="18"/>
              </w:rPr>
              <w:t>1</w:t>
            </w:r>
            <w:r w:rsidR="0043450B">
              <w:rPr>
                <w:sz w:val="18"/>
              </w:rPr>
              <w:t>.</w:t>
            </w:r>
            <w:r w:rsidRPr="00553B46">
              <w:rPr>
                <w:sz w:val="18"/>
              </w:rPr>
              <w:t>250</w:t>
            </w:r>
          </w:p>
        </w:tc>
      </w:tr>
      <w:tr w:rsidR="00926A0D">
        <w:trPr>
          <w:jc w:val="center"/>
        </w:trPr>
        <w:tc>
          <w:tcPr>
            <w:tcW w:w="2844" w:type="dxa"/>
            <w:gridSpan w:val="3"/>
            <w:vAlign w:val="center"/>
          </w:tcPr>
          <w:p w:rsidR="00926A0D" w:rsidRDefault="006023A9">
            <w:pPr>
              <w:spacing w:before="60" w:after="60"/>
              <w:ind w:right="-29"/>
              <w:jc w:val="center"/>
              <w:rPr>
                <w:noProof/>
                <w:sz w:val="18"/>
              </w:rPr>
            </w:pPr>
            <w:r>
              <w:rPr>
                <w:noProof/>
                <w:sz w:val="18"/>
              </w:rPr>
              <w:t>SPECIFIC OBJECTIVE No 2 ...</w:t>
            </w:r>
          </w:p>
        </w:tc>
        <w:tc>
          <w:tcPr>
            <w:tcW w:w="504" w:type="dxa"/>
            <w:tcBorders>
              <w:top w:val="nil"/>
              <w:left w:val="nil"/>
              <w:bottom w:val="nil"/>
              <w:right w:val="nil"/>
            </w:tcBorders>
          </w:tcPr>
          <w:p w:rsidR="00926A0D" w:rsidRDefault="00926A0D">
            <w:pPr>
              <w:spacing w:before="60" w:after="60"/>
              <w:ind w:right="-29"/>
              <w:jc w:val="center"/>
              <w:rPr>
                <w:noProof/>
                <w:sz w:val="18"/>
              </w:rPr>
            </w:pPr>
          </w:p>
        </w:tc>
        <w:tc>
          <w:tcPr>
            <w:tcW w:w="720" w:type="dxa"/>
            <w:tcBorders>
              <w:top w:val="nil"/>
              <w:left w:val="nil"/>
              <w:bottom w:val="nil"/>
              <w:right w:val="nil"/>
            </w:tcBorders>
          </w:tcPr>
          <w:p w:rsidR="00926A0D" w:rsidRDefault="00926A0D">
            <w:pPr>
              <w:spacing w:before="60" w:after="60"/>
              <w:ind w:right="-29"/>
              <w:jc w:val="center"/>
              <w:rPr>
                <w:noProof/>
                <w:sz w:val="18"/>
              </w:rPr>
            </w:pPr>
          </w:p>
        </w:tc>
        <w:tc>
          <w:tcPr>
            <w:tcW w:w="540" w:type="dxa"/>
            <w:tcBorders>
              <w:top w:val="nil"/>
              <w:left w:val="nil"/>
              <w:bottom w:val="nil"/>
              <w:right w:val="nil"/>
            </w:tcBorders>
          </w:tcPr>
          <w:p w:rsidR="00926A0D" w:rsidRDefault="00926A0D">
            <w:pPr>
              <w:spacing w:before="60" w:after="60"/>
              <w:ind w:right="-29"/>
              <w:jc w:val="center"/>
              <w:rPr>
                <w:noProof/>
                <w:sz w:val="18"/>
              </w:rPr>
            </w:pPr>
          </w:p>
        </w:tc>
        <w:tc>
          <w:tcPr>
            <w:tcW w:w="720" w:type="dxa"/>
            <w:tcBorders>
              <w:top w:val="nil"/>
              <w:left w:val="nil"/>
              <w:bottom w:val="nil"/>
              <w:right w:val="nil"/>
            </w:tcBorders>
          </w:tcPr>
          <w:p w:rsidR="00926A0D" w:rsidRDefault="00926A0D">
            <w:pPr>
              <w:spacing w:before="60" w:after="60"/>
              <w:ind w:right="-29"/>
              <w:jc w:val="center"/>
              <w:rPr>
                <w:noProof/>
                <w:sz w:val="18"/>
              </w:rPr>
            </w:pPr>
          </w:p>
        </w:tc>
        <w:tc>
          <w:tcPr>
            <w:tcW w:w="720" w:type="dxa"/>
            <w:tcBorders>
              <w:top w:val="nil"/>
              <w:left w:val="nil"/>
              <w:bottom w:val="nil"/>
              <w:right w:val="nil"/>
            </w:tcBorders>
          </w:tcPr>
          <w:p w:rsidR="00926A0D" w:rsidRDefault="00926A0D">
            <w:pPr>
              <w:spacing w:before="60" w:after="60"/>
              <w:ind w:right="-29"/>
              <w:jc w:val="center"/>
              <w:rPr>
                <w:noProof/>
                <w:sz w:val="18"/>
              </w:rPr>
            </w:pPr>
          </w:p>
        </w:tc>
        <w:tc>
          <w:tcPr>
            <w:tcW w:w="720" w:type="dxa"/>
            <w:tcBorders>
              <w:top w:val="nil"/>
              <w:left w:val="nil"/>
              <w:bottom w:val="nil"/>
              <w:right w:val="nil"/>
            </w:tcBorders>
          </w:tcPr>
          <w:p w:rsidR="00926A0D" w:rsidRDefault="00926A0D">
            <w:pPr>
              <w:spacing w:before="60" w:after="60"/>
              <w:ind w:right="-29"/>
              <w:jc w:val="center"/>
              <w:rPr>
                <w:noProof/>
                <w:sz w:val="18"/>
              </w:rPr>
            </w:pPr>
          </w:p>
        </w:tc>
        <w:tc>
          <w:tcPr>
            <w:tcW w:w="900" w:type="dxa"/>
            <w:tcBorders>
              <w:top w:val="nil"/>
              <w:left w:val="nil"/>
              <w:bottom w:val="nil"/>
              <w:right w:val="nil"/>
            </w:tcBorders>
          </w:tcPr>
          <w:p w:rsidR="00926A0D" w:rsidRDefault="00926A0D">
            <w:pPr>
              <w:spacing w:before="60" w:after="60"/>
              <w:ind w:right="-29"/>
              <w:jc w:val="center"/>
              <w:rPr>
                <w:noProof/>
                <w:sz w:val="18"/>
              </w:rPr>
            </w:pPr>
          </w:p>
        </w:tc>
        <w:tc>
          <w:tcPr>
            <w:tcW w:w="720" w:type="dxa"/>
            <w:gridSpan w:val="2"/>
            <w:tcBorders>
              <w:top w:val="nil"/>
              <w:left w:val="nil"/>
              <w:bottom w:val="nil"/>
              <w:right w:val="nil"/>
            </w:tcBorders>
          </w:tcPr>
          <w:p w:rsidR="00926A0D" w:rsidRDefault="00926A0D">
            <w:pPr>
              <w:spacing w:before="60" w:after="60"/>
              <w:ind w:right="-29"/>
              <w:jc w:val="center"/>
              <w:rPr>
                <w:noProof/>
                <w:sz w:val="18"/>
              </w:rPr>
            </w:pPr>
          </w:p>
        </w:tc>
        <w:tc>
          <w:tcPr>
            <w:tcW w:w="540" w:type="dxa"/>
            <w:tcBorders>
              <w:top w:val="nil"/>
              <w:left w:val="nil"/>
              <w:bottom w:val="nil"/>
              <w:right w:val="nil"/>
            </w:tcBorders>
          </w:tcPr>
          <w:p w:rsidR="00926A0D" w:rsidRDefault="00926A0D">
            <w:pPr>
              <w:spacing w:before="60" w:after="60"/>
              <w:ind w:right="-29"/>
              <w:jc w:val="center"/>
              <w:rPr>
                <w:noProof/>
                <w:sz w:val="18"/>
              </w:rPr>
            </w:pPr>
          </w:p>
        </w:tc>
        <w:tc>
          <w:tcPr>
            <w:tcW w:w="648" w:type="dxa"/>
            <w:tcBorders>
              <w:top w:val="nil"/>
              <w:left w:val="nil"/>
              <w:bottom w:val="nil"/>
              <w:right w:val="nil"/>
            </w:tcBorders>
          </w:tcPr>
          <w:p w:rsidR="00926A0D" w:rsidRDefault="00926A0D">
            <w:pPr>
              <w:spacing w:before="60" w:after="60"/>
              <w:ind w:right="-29"/>
              <w:jc w:val="center"/>
              <w:rPr>
                <w:noProof/>
                <w:sz w:val="18"/>
              </w:rPr>
            </w:pPr>
          </w:p>
        </w:tc>
        <w:tc>
          <w:tcPr>
            <w:tcW w:w="432" w:type="dxa"/>
            <w:tcBorders>
              <w:top w:val="nil"/>
              <w:left w:val="nil"/>
              <w:bottom w:val="nil"/>
              <w:right w:val="nil"/>
            </w:tcBorders>
          </w:tcPr>
          <w:p w:rsidR="00926A0D" w:rsidRDefault="00926A0D">
            <w:pPr>
              <w:spacing w:before="60" w:after="60"/>
              <w:ind w:right="-29"/>
              <w:jc w:val="center"/>
              <w:rPr>
                <w:noProof/>
                <w:sz w:val="18"/>
              </w:rPr>
            </w:pPr>
          </w:p>
        </w:tc>
        <w:tc>
          <w:tcPr>
            <w:tcW w:w="720" w:type="dxa"/>
            <w:tcBorders>
              <w:top w:val="nil"/>
              <w:left w:val="nil"/>
              <w:bottom w:val="nil"/>
              <w:right w:val="nil"/>
            </w:tcBorders>
          </w:tcPr>
          <w:p w:rsidR="00926A0D" w:rsidRDefault="00926A0D">
            <w:pPr>
              <w:spacing w:before="60" w:after="60"/>
              <w:ind w:right="-29"/>
              <w:jc w:val="center"/>
              <w:rPr>
                <w:noProof/>
                <w:sz w:val="18"/>
              </w:rPr>
            </w:pPr>
          </w:p>
        </w:tc>
        <w:tc>
          <w:tcPr>
            <w:tcW w:w="540" w:type="dxa"/>
            <w:tcBorders>
              <w:top w:val="nil"/>
              <w:left w:val="nil"/>
              <w:bottom w:val="nil"/>
              <w:right w:val="nil"/>
            </w:tcBorders>
          </w:tcPr>
          <w:p w:rsidR="00926A0D" w:rsidRDefault="00926A0D">
            <w:pPr>
              <w:spacing w:before="60" w:after="60"/>
              <w:ind w:right="-29"/>
              <w:jc w:val="center"/>
              <w:rPr>
                <w:noProof/>
                <w:sz w:val="18"/>
              </w:rPr>
            </w:pPr>
          </w:p>
        </w:tc>
        <w:tc>
          <w:tcPr>
            <w:tcW w:w="720" w:type="dxa"/>
            <w:tcBorders>
              <w:top w:val="nil"/>
              <w:left w:val="nil"/>
              <w:bottom w:val="nil"/>
              <w:right w:val="nil"/>
            </w:tcBorders>
          </w:tcPr>
          <w:p w:rsidR="00926A0D" w:rsidRDefault="00926A0D">
            <w:pPr>
              <w:spacing w:before="60" w:after="60"/>
              <w:ind w:right="-29"/>
              <w:jc w:val="center"/>
              <w:rPr>
                <w:noProof/>
                <w:sz w:val="18"/>
              </w:rPr>
            </w:pPr>
          </w:p>
        </w:tc>
        <w:tc>
          <w:tcPr>
            <w:tcW w:w="720" w:type="dxa"/>
            <w:tcBorders>
              <w:top w:val="nil"/>
              <w:left w:val="nil"/>
              <w:bottom w:val="nil"/>
              <w:right w:val="nil"/>
            </w:tcBorders>
          </w:tcPr>
          <w:p w:rsidR="00926A0D" w:rsidRDefault="00926A0D">
            <w:pPr>
              <w:spacing w:before="60" w:after="60"/>
              <w:ind w:right="-29"/>
              <w:jc w:val="center"/>
              <w:rPr>
                <w:noProof/>
                <w:sz w:val="18"/>
              </w:rPr>
            </w:pPr>
          </w:p>
        </w:tc>
        <w:tc>
          <w:tcPr>
            <w:tcW w:w="900" w:type="dxa"/>
            <w:tcBorders>
              <w:top w:val="nil"/>
              <w:left w:val="nil"/>
              <w:bottom w:val="nil"/>
              <w:right w:val="nil"/>
            </w:tcBorders>
          </w:tcPr>
          <w:p w:rsidR="00926A0D" w:rsidRDefault="00926A0D">
            <w:pPr>
              <w:spacing w:before="60" w:after="60"/>
              <w:ind w:right="-29"/>
              <w:jc w:val="center"/>
              <w:rPr>
                <w:noProof/>
                <w:sz w:val="18"/>
              </w:rPr>
            </w:pPr>
          </w:p>
        </w:tc>
      </w:tr>
      <w:tr w:rsidR="00926A0D">
        <w:trPr>
          <w:trHeight w:hRule="exact" w:val="369"/>
          <w:jc w:val="center"/>
        </w:trPr>
        <w:tc>
          <w:tcPr>
            <w:tcW w:w="1423" w:type="dxa"/>
          </w:tcPr>
          <w:p w:rsidR="00926A0D" w:rsidRDefault="006023A9">
            <w:pPr>
              <w:ind w:right="-29"/>
              <w:jc w:val="center"/>
              <w:rPr>
                <w:noProof/>
                <w:sz w:val="18"/>
              </w:rPr>
            </w:pPr>
            <w:r>
              <w:rPr>
                <w:noProof/>
                <w:sz w:val="18"/>
              </w:rPr>
              <w:t>- Output</w:t>
            </w:r>
          </w:p>
        </w:tc>
        <w:tc>
          <w:tcPr>
            <w:tcW w:w="720" w:type="dxa"/>
          </w:tcPr>
          <w:p w:rsidR="00926A0D" w:rsidRDefault="00926A0D">
            <w:pPr>
              <w:ind w:right="-29"/>
              <w:jc w:val="center"/>
              <w:rPr>
                <w:noProof/>
                <w:sz w:val="18"/>
              </w:rPr>
            </w:pPr>
          </w:p>
        </w:tc>
        <w:tc>
          <w:tcPr>
            <w:tcW w:w="701" w:type="dxa"/>
          </w:tcPr>
          <w:p w:rsidR="00926A0D" w:rsidRDefault="00926A0D">
            <w:pPr>
              <w:ind w:right="-29"/>
              <w:jc w:val="center"/>
              <w:rPr>
                <w:noProof/>
                <w:sz w:val="18"/>
              </w:rPr>
            </w:pPr>
          </w:p>
        </w:tc>
        <w:tc>
          <w:tcPr>
            <w:tcW w:w="504" w:type="dxa"/>
          </w:tcPr>
          <w:p w:rsidR="00926A0D" w:rsidRDefault="00926A0D">
            <w:pPr>
              <w:ind w:right="-29"/>
              <w:jc w:val="center"/>
              <w:rPr>
                <w:noProof/>
                <w:sz w:val="18"/>
              </w:rPr>
            </w:pPr>
          </w:p>
        </w:tc>
        <w:tc>
          <w:tcPr>
            <w:tcW w:w="720" w:type="dxa"/>
          </w:tcPr>
          <w:p w:rsidR="00926A0D" w:rsidRDefault="00926A0D">
            <w:pPr>
              <w:ind w:right="-29"/>
              <w:jc w:val="center"/>
              <w:rPr>
                <w:noProof/>
                <w:sz w:val="18"/>
              </w:rPr>
            </w:pPr>
          </w:p>
        </w:tc>
        <w:tc>
          <w:tcPr>
            <w:tcW w:w="540" w:type="dxa"/>
          </w:tcPr>
          <w:p w:rsidR="00926A0D" w:rsidRDefault="00926A0D">
            <w:pPr>
              <w:ind w:right="-29"/>
              <w:jc w:val="center"/>
              <w:rPr>
                <w:noProof/>
                <w:sz w:val="18"/>
              </w:rPr>
            </w:pPr>
          </w:p>
        </w:tc>
        <w:tc>
          <w:tcPr>
            <w:tcW w:w="720" w:type="dxa"/>
          </w:tcPr>
          <w:p w:rsidR="00926A0D" w:rsidRDefault="00926A0D">
            <w:pPr>
              <w:ind w:right="-29"/>
              <w:jc w:val="center"/>
              <w:rPr>
                <w:noProof/>
                <w:sz w:val="18"/>
              </w:rPr>
            </w:pPr>
          </w:p>
        </w:tc>
        <w:tc>
          <w:tcPr>
            <w:tcW w:w="720" w:type="dxa"/>
          </w:tcPr>
          <w:p w:rsidR="00926A0D" w:rsidRDefault="00926A0D">
            <w:pPr>
              <w:ind w:right="-29"/>
              <w:jc w:val="center"/>
              <w:rPr>
                <w:noProof/>
                <w:sz w:val="18"/>
              </w:rPr>
            </w:pPr>
          </w:p>
        </w:tc>
        <w:tc>
          <w:tcPr>
            <w:tcW w:w="720" w:type="dxa"/>
          </w:tcPr>
          <w:p w:rsidR="00926A0D" w:rsidRDefault="00926A0D">
            <w:pPr>
              <w:ind w:right="-29"/>
              <w:jc w:val="center"/>
              <w:rPr>
                <w:noProof/>
                <w:sz w:val="18"/>
              </w:rPr>
            </w:pPr>
          </w:p>
        </w:tc>
        <w:tc>
          <w:tcPr>
            <w:tcW w:w="900" w:type="dxa"/>
          </w:tcPr>
          <w:p w:rsidR="00926A0D" w:rsidRDefault="00926A0D">
            <w:pPr>
              <w:ind w:right="-29"/>
              <w:jc w:val="center"/>
              <w:rPr>
                <w:noProof/>
                <w:sz w:val="18"/>
              </w:rPr>
            </w:pPr>
          </w:p>
        </w:tc>
        <w:tc>
          <w:tcPr>
            <w:tcW w:w="720" w:type="dxa"/>
            <w:gridSpan w:val="2"/>
          </w:tcPr>
          <w:p w:rsidR="00926A0D" w:rsidRDefault="00926A0D">
            <w:pPr>
              <w:ind w:right="-29"/>
              <w:jc w:val="center"/>
              <w:rPr>
                <w:noProof/>
                <w:sz w:val="18"/>
              </w:rPr>
            </w:pPr>
          </w:p>
        </w:tc>
        <w:tc>
          <w:tcPr>
            <w:tcW w:w="540" w:type="dxa"/>
          </w:tcPr>
          <w:p w:rsidR="00926A0D" w:rsidRDefault="00926A0D">
            <w:pPr>
              <w:ind w:right="-29"/>
              <w:jc w:val="center"/>
              <w:rPr>
                <w:noProof/>
                <w:sz w:val="18"/>
              </w:rPr>
            </w:pPr>
          </w:p>
        </w:tc>
        <w:tc>
          <w:tcPr>
            <w:tcW w:w="648" w:type="dxa"/>
          </w:tcPr>
          <w:p w:rsidR="00926A0D" w:rsidRDefault="00926A0D">
            <w:pPr>
              <w:ind w:right="-29"/>
              <w:jc w:val="center"/>
              <w:rPr>
                <w:noProof/>
                <w:sz w:val="18"/>
              </w:rPr>
            </w:pPr>
          </w:p>
        </w:tc>
        <w:tc>
          <w:tcPr>
            <w:tcW w:w="432" w:type="dxa"/>
          </w:tcPr>
          <w:p w:rsidR="00926A0D" w:rsidRDefault="00926A0D">
            <w:pPr>
              <w:ind w:right="-29"/>
              <w:jc w:val="center"/>
              <w:rPr>
                <w:noProof/>
                <w:sz w:val="18"/>
              </w:rPr>
            </w:pPr>
          </w:p>
        </w:tc>
        <w:tc>
          <w:tcPr>
            <w:tcW w:w="720" w:type="dxa"/>
          </w:tcPr>
          <w:p w:rsidR="00926A0D" w:rsidRDefault="00926A0D">
            <w:pPr>
              <w:ind w:right="-29"/>
              <w:jc w:val="center"/>
              <w:rPr>
                <w:noProof/>
                <w:sz w:val="18"/>
              </w:rPr>
            </w:pPr>
          </w:p>
        </w:tc>
        <w:tc>
          <w:tcPr>
            <w:tcW w:w="540" w:type="dxa"/>
          </w:tcPr>
          <w:p w:rsidR="00926A0D" w:rsidRDefault="00926A0D">
            <w:pPr>
              <w:ind w:right="-29"/>
              <w:jc w:val="center"/>
              <w:rPr>
                <w:noProof/>
                <w:sz w:val="18"/>
              </w:rPr>
            </w:pPr>
          </w:p>
        </w:tc>
        <w:tc>
          <w:tcPr>
            <w:tcW w:w="720" w:type="dxa"/>
          </w:tcPr>
          <w:p w:rsidR="00926A0D" w:rsidRDefault="00926A0D">
            <w:pPr>
              <w:ind w:right="-29"/>
              <w:jc w:val="center"/>
              <w:rPr>
                <w:noProof/>
                <w:sz w:val="18"/>
              </w:rPr>
            </w:pPr>
          </w:p>
        </w:tc>
        <w:tc>
          <w:tcPr>
            <w:tcW w:w="720" w:type="dxa"/>
          </w:tcPr>
          <w:p w:rsidR="00926A0D" w:rsidRDefault="00926A0D">
            <w:pPr>
              <w:ind w:right="-29"/>
              <w:jc w:val="center"/>
              <w:rPr>
                <w:noProof/>
                <w:sz w:val="18"/>
              </w:rPr>
            </w:pPr>
          </w:p>
        </w:tc>
        <w:tc>
          <w:tcPr>
            <w:tcW w:w="900" w:type="dxa"/>
          </w:tcPr>
          <w:p w:rsidR="00926A0D" w:rsidRDefault="00926A0D">
            <w:pPr>
              <w:ind w:right="-29"/>
              <w:jc w:val="center"/>
              <w:rPr>
                <w:noProof/>
                <w:sz w:val="18"/>
              </w:rPr>
            </w:pPr>
          </w:p>
        </w:tc>
      </w:tr>
      <w:tr w:rsidR="00926A0D">
        <w:trPr>
          <w:jc w:val="center"/>
        </w:trPr>
        <w:tc>
          <w:tcPr>
            <w:tcW w:w="2844" w:type="dxa"/>
            <w:gridSpan w:val="3"/>
            <w:tcBorders>
              <w:bottom w:val="single" w:sz="12" w:space="0" w:color="auto"/>
            </w:tcBorders>
            <w:vAlign w:val="center"/>
          </w:tcPr>
          <w:p w:rsidR="00926A0D" w:rsidRDefault="006023A9">
            <w:pPr>
              <w:jc w:val="center"/>
              <w:rPr>
                <w:noProof/>
                <w:sz w:val="18"/>
              </w:rPr>
            </w:pPr>
            <w:r>
              <w:rPr>
                <w:noProof/>
                <w:sz w:val="18"/>
              </w:rPr>
              <w:t>Subtotal for specific objective No 2</w:t>
            </w:r>
          </w:p>
        </w:tc>
        <w:tc>
          <w:tcPr>
            <w:tcW w:w="504" w:type="dxa"/>
            <w:tcBorders>
              <w:bottom w:val="single" w:sz="12" w:space="0" w:color="auto"/>
            </w:tcBorders>
          </w:tcPr>
          <w:p w:rsidR="00926A0D" w:rsidRDefault="00926A0D">
            <w:pPr>
              <w:ind w:right="-29"/>
              <w:jc w:val="center"/>
              <w:rPr>
                <w:noProof/>
                <w:sz w:val="18"/>
              </w:rPr>
            </w:pPr>
          </w:p>
        </w:tc>
        <w:tc>
          <w:tcPr>
            <w:tcW w:w="720" w:type="dxa"/>
            <w:tcBorders>
              <w:bottom w:val="single" w:sz="12" w:space="0" w:color="auto"/>
            </w:tcBorders>
          </w:tcPr>
          <w:p w:rsidR="00926A0D" w:rsidRDefault="00926A0D">
            <w:pPr>
              <w:ind w:right="-29"/>
              <w:jc w:val="center"/>
              <w:rPr>
                <w:noProof/>
                <w:sz w:val="18"/>
              </w:rPr>
            </w:pPr>
          </w:p>
        </w:tc>
        <w:tc>
          <w:tcPr>
            <w:tcW w:w="540" w:type="dxa"/>
            <w:tcBorders>
              <w:bottom w:val="single" w:sz="12" w:space="0" w:color="auto"/>
            </w:tcBorders>
          </w:tcPr>
          <w:p w:rsidR="00926A0D" w:rsidRDefault="00926A0D">
            <w:pPr>
              <w:ind w:right="-29"/>
              <w:jc w:val="center"/>
              <w:rPr>
                <w:noProof/>
                <w:sz w:val="18"/>
              </w:rPr>
            </w:pPr>
          </w:p>
        </w:tc>
        <w:tc>
          <w:tcPr>
            <w:tcW w:w="720" w:type="dxa"/>
            <w:tcBorders>
              <w:bottom w:val="single" w:sz="12" w:space="0" w:color="auto"/>
            </w:tcBorders>
          </w:tcPr>
          <w:p w:rsidR="00926A0D" w:rsidRDefault="00926A0D">
            <w:pPr>
              <w:ind w:right="-29"/>
              <w:jc w:val="center"/>
              <w:rPr>
                <w:noProof/>
                <w:sz w:val="18"/>
              </w:rPr>
            </w:pPr>
          </w:p>
        </w:tc>
        <w:tc>
          <w:tcPr>
            <w:tcW w:w="720" w:type="dxa"/>
            <w:tcBorders>
              <w:bottom w:val="single" w:sz="12" w:space="0" w:color="auto"/>
            </w:tcBorders>
          </w:tcPr>
          <w:p w:rsidR="00926A0D" w:rsidRDefault="00926A0D">
            <w:pPr>
              <w:ind w:right="-29"/>
              <w:jc w:val="center"/>
              <w:rPr>
                <w:noProof/>
                <w:sz w:val="18"/>
              </w:rPr>
            </w:pPr>
          </w:p>
        </w:tc>
        <w:tc>
          <w:tcPr>
            <w:tcW w:w="720" w:type="dxa"/>
            <w:tcBorders>
              <w:bottom w:val="single" w:sz="12" w:space="0" w:color="auto"/>
            </w:tcBorders>
          </w:tcPr>
          <w:p w:rsidR="00926A0D" w:rsidRDefault="00926A0D">
            <w:pPr>
              <w:ind w:right="-29"/>
              <w:jc w:val="center"/>
              <w:rPr>
                <w:noProof/>
                <w:sz w:val="18"/>
              </w:rPr>
            </w:pPr>
          </w:p>
        </w:tc>
        <w:tc>
          <w:tcPr>
            <w:tcW w:w="951" w:type="dxa"/>
            <w:gridSpan w:val="2"/>
            <w:tcBorders>
              <w:bottom w:val="single" w:sz="12" w:space="0" w:color="auto"/>
            </w:tcBorders>
          </w:tcPr>
          <w:p w:rsidR="00926A0D" w:rsidRDefault="00926A0D">
            <w:pPr>
              <w:ind w:right="-29"/>
              <w:jc w:val="center"/>
              <w:rPr>
                <w:noProof/>
                <w:sz w:val="18"/>
              </w:rPr>
            </w:pPr>
          </w:p>
        </w:tc>
        <w:tc>
          <w:tcPr>
            <w:tcW w:w="669" w:type="dxa"/>
            <w:tcBorders>
              <w:bottom w:val="single" w:sz="12" w:space="0" w:color="auto"/>
            </w:tcBorders>
          </w:tcPr>
          <w:p w:rsidR="00926A0D" w:rsidRDefault="00926A0D">
            <w:pPr>
              <w:ind w:right="-29"/>
              <w:jc w:val="center"/>
              <w:rPr>
                <w:noProof/>
                <w:sz w:val="18"/>
              </w:rPr>
            </w:pPr>
          </w:p>
        </w:tc>
        <w:tc>
          <w:tcPr>
            <w:tcW w:w="540" w:type="dxa"/>
            <w:tcBorders>
              <w:bottom w:val="single" w:sz="12" w:space="0" w:color="auto"/>
            </w:tcBorders>
          </w:tcPr>
          <w:p w:rsidR="00926A0D" w:rsidRDefault="00926A0D">
            <w:pPr>
              <w:ind w:right="-29"/>
              <w:jc w:val="center"/>
              <w:rPr>
                <w:noProof/>
                <w:sz w:val="18"/>
              </w:rPr>
            </w:pPr>
          </w:p>
        </w:tc>
        <w:tc>
          <w:tcPr>
            <w:tcW w:w="648" w:type="dxa"/>
            <w:tcBorders>
              <w:bottom w:val="single" w:sz="12" w:space="0" w:color="auto"/>
            </w:tcBorders>
          </w:tcPr>
          <w:p w:rsidR="00926A0D" w:rsidRDefault="00926A0D">
            <w:pPr>
              <w:ind w:right="-29"/>
              <w:jc w:val="center"/>
              <w:rPr>
                <w:noProof/>
                <w:sz w:val="18"/>
              </w:rPr>
            </w:pPr>
          </w:p>
        </w:tc>
        <w:tc>
          <w:tcPr>
            <w:tcW w:w="432" w:type="dxa"/>
            <w:tcBorders>
              <w:bottom w:val="single" w:sz="12" w:space="0" w:color="auto"/>
            </w:tcBorders>
          </w:tcPr>
          <w:p w:rsidR="00926A0D" w:rsidRDefault="00926A0D">
            <w:pPr>
              <w:ind w:right="-29"/>
              <w:jc w:val="center"/>
              <w:rPr>
                <w:noProof/>
                <w:sz w:val="18"/>
              </w:rPr>
            </w:pPr>
          </w:p>
        </w:tc>
        <w:tc>
          <w:tcPr>
            <w:tcW w:w="720" w:type="dxa"/>
            <w:tcBorders>
              <w:bottom w:val="single" w:sz="12" w:space="0" w:color="auto"/>
            </w:tcBorders>
          </w:tcPr>
          <w:p w:rsidR="00926A0D" w:rsidRDefault="00926A0D">
            <w:pPr>
              <w:ind w:right="-29"/>
              <w:jc w:val="center"/>
              <w:rPr>
                <w:noProof/>
                <w:sz w:val="18"/>
              </w:rPr>
            </w:pPr>
          </w:p>
        </w:tc>
        <w:tc>
          <w:tcPr>
            <w:tcW w:w="540" w:type="dxa"/>
            <w:tcBorders>
              <w:bottom w:val="single" w:sz="12" w:space="0" w:color="auto"/>
            </w:tcBorders>
          </w:tcPr>
          <w:p w:rsidR="00926A0D" w:rsidRDefault="00926A0D">
            <w:pPr>
              <w:ind w:right="-29"/>
              <w:jc w:val="center"/>
              <w:rPr>
                <w:noProof/>
                <w:sz w:val="18"/>
              </w:rPr>
            </w:pPr>
          </w:p>
        </w:tc>
        <w:tc>
          <w:tcPr>
            <w:tcW w:w="720" w:type="dxa"/>
            <w:tcBorders>
              <w:bottom w:val="single" w:sz="12" w:space="0" w:color="auto"/>
            </w:tcBorders>
          </w:tcPr>
          <w:p w:rsidR="00926A0D" w:rsidRDefault="00926A0D">
            <w:pPr>
              <w:ind w:right="-29"/>
              <w:jc w:val="center"/>
              <w:rPr>
                <w:noProof/>
                <w:sz w:val="18"/>
              </w:rPr>
            </w:pPr>
          </w:p>
        </w:tc>
        <w:tc>
          <w:tcPr>
            <w:tcW w:w="720" w:type="dxa"/>
            <w:tcBorders>
              <w:bottom w:val="single" w:sz="12" w:space="0" w:color="auto"/>
            </w:tcBorders>
          </w:tcPr>
          <w:p w:rsidR="00926A0D" w:rsidRDefault="00926A0D">
            <w:pPr>
              <w:ind w:right="-29"/>
              <w:jc w:val="center"/>
              <w:rPr>
                <w:noProof/>
                <w:sz w:val="18"/>
              </w:rPr>
            </w:pPr>
          </w:p>
        </w:tc>
        <w:tc>
          <w:tcPr>
            <w:tcW w:w="900" w:type="dxa"/>
            <w:tcBorders>
              <w:bottom w:val="single" w:sz="12" w:space="0" w:color="auto"/>
            </w:tcBorders>
          </w:tcPr>
          <w:p w:rsidR="00926A0D" w:rsidRDefault="00926A0D">
            <w:pPr>
              <w:ind w:right="-29"/>
              <w:jc w:val="center"/>
              <w:rPr>
                <w:noProof/>
                <w:sz w:val="18"/>
              </w:rPr>
            </w:pPr>
          </w:p>
        </w:tc>
      </w:tr>
      <w:tr w:rsidR="00926A0D">
        <w:trPr>
          <w:jc w:val="center"/>
        </w:trPr>
        <w:tc>
          <w:tcPr>
            <w:tcW w:w="2844" w:type="dxa"/>
            <w:gridSpan w:val="3"/>
            <w:tcBorders>
              <w:top w:val="single" w:sz="12" w:space="0" w:color="auto"/>
              <w:left w:val="single" w:sz="12" w:space="0" w:color="auto"/>
              <w:bottom w:val="single" w:sz="12" w:space="0" w:color="auto"/>
            </w:tcBorders>
            <w:vAlign w:val="center"/>
          </w:tcPr>
          <w:p w:rsidR="00926A0D" w:rsidRPr="00553B46" w:rsidRDefault="006023A9">
            <w:pPr>
              <w:ind w:right="-29"/>
              <w:jc w:val="center"/>
              <w:rPr>
                <w:noProof/>
                <w:sz w:val="18"/>
              </w:rPr>
            </w:pPr>
            <w:r w:rsidRPr="00553B46">
              <w:rPr>
                <w:b/>
                <w:noProof/>
                <w:sz w:val="18"/>
              </w:rPr>
              <w:lastRenderedPageBreak/>
              <w:t>TOTAL COST</w:t>
            </w:r>
          </w:p>
        </w:tc>
        <w:tc>
          <w:tcPr>
            <w:tcW w:w="504" w:type="dxa"/>
            <w:tcBorders>
              <w:top w:val="single" w:sz="12" w:space="0" w:color="auto"/>
              <w:bottom w:val="single" w:sz="12" w:space="0" w:color="auto"/>
            </w:tcBorders>
          </w:tcPr>
          <w:p w:rsidR="00926A0D" w:rsidRPr="00553B46" w:rsidRDefault="00926A0D">
            <w:pPr>
              <w:spacing w:before="180" w:after="180"/>
              <w:ind w:right="-29"/>
              <w:jc w:val="center"/>
              <w:rPr>
                <w:noProof/>
                <w:sz w:val="18"/>
              </w:rPr>
            </w:pPr>
          </w:p>
        </w:tc>
        <w:tc>
          <w:tcPr>
            <w:tcW w:w="720" w:type="dxa"/>
            <w:tcBorders>
              <w:top w:val="single" w:sz="12" w:space="0" w:color="auto"/>
              <w:bottom w:val="single" w:sz="12" w:space="0" w:color="auto"/>
            </w:tcBorders>
          </w:tcPr>
          <w:p w:rsidR="00926A0D" w:rsidRPr="00553B46" w:rsidRDefault="00926A0D">
            <w:pPr>
              <w:spacing w:before="180" w:after="180"/>
              <w:ind w:right="-29"/>
              <w:jc w:val="center"/>
              <w:rPr>
                <w:noProof/>
                <w:sz w:val="18"/>
              </w:rPr>
            </w:pPr>
          </w:p>
        </w:tc>
        <w:tc>
          <w:tcPr>
            <w:tcW w:w="540" w:type="dxa"/>
            <w:tcBorders>
              <w:top w:val="single" w:sz="12" w:space="0" w:color="auto"/>
              <w:bottom w:val="single" w:sz="12" w:space="0" w:color="auto"/>
            </w:tcBorders>
          </w:tcPr>
          <w:p w:rsidR="00926A0D" w:rsidRPr="00553B46" w:rsidRDefault="006023A9">
            <w:pPr>
              <w:spacing w:before="180" w:after="180"/>
              <w:ind w:right="-29"/>
              <w:jc w:val="center"/>
              <w:rPr>
                <w:noProof/>
                <w:sz w:val="18"/>
              </w:rPr>
            </w:pPr>
            <w:r w:rsidRPr="00553B46">
              <w:rPr>
                <w:noProof/>
                <w:sz w:val="18"/>
              </w:rPr>
              <w:t>1</w:t>
            </w:r>
          </w:p>
        </w:tc>
        <w:tc>
          <w:tcPr>
            <w:tcW w:w="720" w:type="dxa"/>
            <w:tcBorders>
              <w:top w:val="single" w:sz="12" w:space="0" w:color="auto"/>
              <w:bottom w:val="single" w:sz="12" w:space="0" w:color="auto"/>
            </w:tcBorders>
          </w:tcPr>
          <w:p w:rsidR="00926A0D" w:rsidRPr="00553B46" w:rsidRDefault="006023A9">
            <w:pPr>
              <w:spacing w:before="180" w:after="180"/>
              <w:ind w:right="-29"/>
              <w:jc w:val="center"/>
              <w:rPr>
                <w:noProof/>
                <w:sz w:val="18"/>
              </w:rPr>
            </w:pPr>
            <w:r w:rsidRPr="00553B46">
              <w:rPr>
                <w:noProof/>
                <w:sz w:val="18"/>
              </w:rPr>
              <w:t>0</w:t>
            </w:r>
            <w:r w:rsidR="0043450B">
              <w:rPr>
                <w:noProof/>
                <w:sz w:val="18"/>
              </w:rPr>
              <w:t>.</w:t>
            </w:r>
            <w:r w:rsidRPr="00553B46">
              <w:rPr>
                <w:noProof/>
                <w:sz w:val="18"/>
              </w:rPr>
              <w:t>250</w:t>
            </w:r>
          </w:p>
        </w:tc>
        <w:tc>
          <w:tcPr>
            <w:tcW w:w="720" w:type="dxa"/>
            <w:tcBorders>
              <w:top w:val="single" w:sz="12" w:space="0" w:color="auto"/>
              <w:bottom w:val="single" w:sz="12" w:space="0" w:color="auto"/>
            </w:tcBorders>
          </w:tcPr>
          <w:p w:rsidR="00926A0D" w:rsidRPr="00553B46" w:rsidRDefault="006023A9">
            <w:pPr>
              <w:spacing w:before="180" w:after="180"/>
              <w:ind w:right="-29"/>
              <w:jc w:val="center"/>
              <w:rPr>
                <w:noProof/>
                <w:sz w:val="18"/>
              </w:rPr>
            </w:pPr>
            <w:r w:rsidRPr="00553B46">
              <w:rPr>
                <w:noProof/>
                <w:sz w:val="18"/>
              </w:rPr>
              <w:t>1</w:t>
            </w:r>
          </w:p>
        </w:tc>
        <w:tc>
          <w:tcPr>
            <w:tcW w:w="720" w:type="dxa"/>
            <w:tcBorders>
              <w:top w:val="single" w:sz="12" w:space="0" w:color="auto"/>
              <w:bottom w:val="single" w:sz="12" w:space="0" w:color="auto"/>
            </w:tcBorders>
          </w:tcPr>
          <w:p w:rsidR="00926A0D" w:rsidRPr="00553B46" w:rsidRDefault="006023A9">
            <w:pPr>
              <w:spacing w:before="180" w:after="180"/>
              <w:ind w:right="-29"/>
              <w:jc w:val="center"/>
              <w:rPr>
                <w:noProof/>
                <w:sz w:val="18"/>
              </w:rPr>
            </w:pPr>
            <w:r w:rsidRPr="00553B46">
              <w:rPr>
                <w:noProof/>
                <w:sz w:val="18"/>
              </w:rPr>
              <w:t>0</w:t>
            </w:r>
            <w:r w:rsidR="0043450B">
              <w:rPr>
                <w:noProof/>
                <w:sz w:val="18"/>
              </w:rPr>
              <w:t>.</w:t>
            </w:r>
            <w:r w:rsidRPr="00553B46">
              <w:rPr>
                <w:noProof/>
                <w:sz w:val="18"/>
              </w:rPr>
              <w:t>500</w:t>
            </w:r>
          </w:p>
        </w:tc>
        <w:tc>
          <w:tcPr>
            <w:tcW w:w="900" w:type="dxa"/>
            <w:tcBorders>
              <w:top w:val="single" w:sz="12" w:space="0" w:color="auto"/>
              <w:bottom w:val="single" w:sz="12" w:space="0" w:color="auto"/>
            </w:tcBorders>
          </w:tcPr>
          <w:p w:rsidR="00926A0D" w:rsidRPr="00553B46" w:rsidRDefault="006023A9">
            <w:pPr>
              <w:spacing w:before="180" w:after="180"/>
              <w:ind w:right="-29"/>
              <w:jc w:val="center"/>
              <w:rPr>
                <w:noProof/>
                <w:sz w:val="18"/>
              </w:rPr>
            </w:pPr>
            <w:r w:rsidRPr="00553B46">
              <w:rPr>
                <w:noProof/>
                <w:sz w:val="18"/>
              </w:rPr>
              <w:t>1</w:t>
            </w:r>
          </w:p>
        </w:tc>
        <w:tc>
          <w:tcPr>
            <w:tcW w:w="720" w:type="dxa"/>
            <w:gridSpan w:val="2"/>
            <w:tcBorders>
              <w:top w:val="single" w:sz="12" w:space="0" w:color="auto"/>
              <w:bottom w:val="single" w:sz="12" w:space="0" w:color="auto"/>
            </w:tcBorders>
          </w:tcPr>
          <w:p w:rsidR="00926A0D" w:rsidRPr="00553B46" w:rsidRDefault="006023A9">
            <w:pPr>
              <w:spacing w:before="180" w:after="180"/>
              <w:ind w:right="-29"/>
              <w:jc w:val="center"/>
              <w:rPr>
                <w:noProof/>
                <w:sz w:val="18"/>
              </w:rPr>
            </w:pPr>
            <w:r w:rsidRPr="00553B46">
              <w:rPr>
                <w:noProof/>
                <w:sz w:val="18"/>
              </w:rPr>
              <w:t>0</w:t>
            </w:r>
            <w:r w:rsidR="0043450B">
              <w:rPr>
                <w:noProof/>
                <w:sz w:val="18"/>
              </w:rPr>
              <w:t>.</w:t>
            </w:r>
            <w:r w:rsidRPr="00553B46">
              <w:rPr>
                <w:noProof/>
                <w:sz w:val="18"/>
              </w:rPr>
              <w:t>500</w:t>
            </w:r>
          </w:p>
        </w:tc>
        <w:tc>
          <w:tcPr>
            <w:tcW w:w="540" w:type="dxa"/>
            <w:tcBorders>
              <w:top w:val="single" w:sz="12" w:space="0" w:color="auto"/>
              <w:bottom w:val="single" w:sz="12" w:space="0" w:color="auto"/>
            </w:tcBorders>
          </w:tcPr>
          <w:p w:rsidR="00926A0D" w:rsidRPr="00553B46" w:rsidRDefault="00926A0D">
            <w:pPr>
              <w:spacing w:before="180" w:after="180"/>
              <w:ind w:right="-29"/>
              <w:jc w:val="center"/>
              <w:rPr>
                <w:noProof/>
                <w:sz w:val="18"/>
              </w:rPr>
            </w:pPr>
          </w:p>
        </w:tc>
        <w:tc>
          <w:tcPr>
            <w:tcW w:w="648" w:type="dxa"/>
            <w:tcBorders>
              <w:top w:val="single" w:sz="12" w:space="0" w:color="auto"/>
              <w:bottom w:val="single" w:sz="12" w:space="0" w:color="auto"/>
            </w:tcBorders>
          </w:tcPr>
          <w:p w:rsidR="00926A0D" w:rsidRPr="00553B46" w:rsidRDefault="00926A0D">
            <w:pPr>
              <w:spacing w:before="180" w:after="180"/>
              <w:ind w:right="-29"/>
              <w:jc w:val="center"/>
              <w:rPr>
                <w:noProof/>
                <w:sz w:val="18"/>
              </w:rPr>
            </w:pPr>
          </w:p>
        </w:tc>
        <w:tc>
          <w:tcPr>
            <w:tcW w:w="432" w:type="dxa"/>
            <w:tcBorders>
              <w:top w:val="single" w:sz="12" w:space="0" w:color="auto"/>
              <w:bottom w:val="single" w:sz="12" w:space="0" w:color="auto"/>
            </w:tcBorders>
          </w:tcPr>
          <w:p w:rsidR="00926A0D" w:rsidRPr="00553B46" w:rsidRDefault="00926A0D">
            <w:pPr>
              <w:spacing w:before="180" w:after="180"/>
              <w:ind w:right="-29"/>
              <w:jc w:val="center"/>
              <w:rPr>
                <w:noProof/>
                <w:sz w:val="18"/>
              </w:rPr>
            </w:pPr>
          </w:p>
        </w:tc>
        <w:tc>
          <w:tcPr>
            <w:tcW w:w="720" w:type="dxa"/>
            <w:tcBorders>
              <w:top w:val="single" w:sz="12" w:space="0" w:color="auto"/>
              <w:bottom w:val="single" w:sz="12" w:space="0" w:color="auto"/>
            </w:tcBorders>
          </w:tcPr>
          <w:p w:rsidR="00926A0D" w:rsidRPr="00553B46" w:rsidRDefault="00926A0D">
            <w:pPr>
              <w:spacing w:before="180" w:after="180"/>
              <w:ind w:right="-29"/>
              <w:jc w:val="center"/>
              <w:rPr>
                <w:noProof/>
                <w:sz w:val="18"/>
              </w:rPr>
            </w:pPr>
          </w:p>
        </w:tc>
        <w:tc>
          <w:tcPr>
            <w:tcW w:w="540" w:type="dxa"/>
            <w:tcBorders>
              <w:top w:val="single" w:sz="12" w:space="0" w:color="auto"/>
              <w:bottom w:val="single" w:sz="12" w:space="0" w:color="auto"/>
            </w:tcBorders>
          </w:tcPr>
          <w:p w:rsidR="00926A0D" w:rsidRPr="00553B46" w:rsidRDefault="00926A0D">
            <w:pPr>
              <w:spacing w:before="180" w:after="180"/>
              <w:ind w:right="-29"/>
              <w:jc w:val="center"/>
              <w:rPr>
                <w:noProof/>
                <w:sz w:val="18"/>
              </w:rPr>
            </w:pPr>
          </w:p>
        </w:tc>
        <w:tc>
          <w:tcPr>
            <w:tcW w:w="720" w:type="dxa"/>
            <w:tcBorders>
              <w:top w:val="single" w:sz="12" w:space="0" w:color="auto"/>
              <w:bottom w:val="single" w:sz="12" w:space="0" w:color="auto"/>
            </w:tcBorders>
          </w:tcPr>
          <w:p w:rsidR="00926A0D" w:rsidRPr="00553B46" w:rsidRDefault="00926A0D">
            <w:pPr>
              <w:spacing w:before="180" w:after="180"/>
              <w:ind w:right="-29"/>
              <w:jc w:val="center"/>
              <w:rPr>
                <w:noProof/>
                <w:sz w:val="18"/>
              </w:rPr>
            </w:pPr>
          </w:p>
        </w:tc>
        <w:tc>
          <w:tcPr>
            <w:tcW w:w="1620" w:type="dxa"/>
            <w:gridSpan w:val="2"/>
            <w:tcBorders>
              <w:top w:val="single" w:sz="12" w:space="0" w:color="auto"/>
              <w:bottom w:val="single" w:sz="12" w:space="0" w:color="auto"/>
              <w:right w:val="single" w:sz="12" w:space="0" w:color="auto"/>
            </w:tcBorders>
          </w:tcPr>
          <w:p w:rsidR="00926A0D" w:rsidRDefault="00A87A3B">
            <w:pPr>
              <w:spacing w:before="180" w:after="180"/>
              <w:ind w:right="-29"/>
              <w:jc w:val="center"/>
              <w:rPr>
                <w:noProof/>
                <w:sz w:val="18"/>
              </w:rPr>
            </w:pPr>
            <w:r w:rsidRPr="00553B46">
              <w:rPr>
                <w:noProof/>
                <w:sz w:val="18"/>
              </w:rPr>
              <w:t>1</w:t>
            </w:r>
            <w:r w:rsidR="0043450B">
              <w:rPr>
                <w:noProof/>
                <w:sz w:val="18"/>
              </w:rPr>
              <w:t>.</w:t>
            </w:r>
            <w:r w:rsidRPr="00553B46">
              <w:rPr>
                <w:noProof/>
                <w:sz w:val="18"/>
              </w:rPr>
              <w:t>250</w:t>
            </w:r>
          </w:p>
        </w:tc>
      </w:tr>
    </w:tbl>
    <w:p w:rsidR="00926A0D" w:rsidRDefault="00926A0D">
      <w:pPr>
        <w:rPr>
          <w:noProof/>
        </w:rPr>
        <w:sectPr w:rsidR="00926A0D" w:rsidSect="00211F8F">
          <w:pgSz w:w="15840" w:h="12240" w:orient="landscape"/>
          <w:pgMar w:top="1418" w:right="902" w:bottom="902" w:left="567" w:header="709" w:footer="709" w:gutter="0"/>
          <w:cols w:space="720"/>
          <w:docGrid w:linePitch="326"/>
        </w:sectPr>
      </w:pPr>
    </w:p>
    <w:p w:rsidR="00926A0D" w:rsidRDefault="003312D8">
      <w:pPr>
        <w:pStyle w:val="ManualHeading3"/>
        <w:rPr>
          <w:bCs/>
          <w:noProof/>
          <w:szCs w:val="24"/>
        </w:rPr>
      </w:pPr>
      <w:r>
        <w:lastRenderedPageBreak/>
        <w:t>3</w:t>
      </w:r>
      <w:r w:rsidR="006023A9">
        <w:t>.2.3.</w:t>
      </w:r>
      <w:r w:rsidR="006023A9">
        <w:tab/>
      </w:r>
      <w:r w:rsidR="006023A9">
        <w:rPr>
          <w:noProof/>
        </w:rPr>
        <w:t xml:space="preserve">Estimated impact on EEA's human resources </w:t>
      </w:r>
    </w:p>
    <w:p w:rsidR="00926A0D" w:rsidRDefault="003312D8">
      <w:pPr>
        <w:pStyle w:val="ManualHeading4"/>
        <w:rPr>
          <w:bCs/>
          <w:noProof/>
          <w:szCs w:val="24"/>
        </w:rPr>
      </w:pPr>
      <w:r>
        <w:t>3</w:t>
      </w:r>
      <w:r w:rsidR="006023A9">
        <w:t>.2.3.1.</w:t>
      </w:r>
      <w:r w:rsidR="006023A9">
        <w:tab/>
      </w:r>
      <w:r w:rsidR="006023A9">
        <w:rPr>
          <w:noProof/>
        </w:rPr>
        <w:t xml:space="preserve">Summary </w:t>
      </w:r>
    </w:p>
    <w:p w:rsidR="00926A0D" w:rsidRDefault="006023A9" w:rsidP="0076006B">
      <w:pPr>
        <w:pStyle w:val="ListDash1"/>
        <w:numPr>
          <w:ilvl w:val="0"/>
          <w:numId w:val="32"/>
        </w:numPr>
        <w:rPr>
          <w:noProof/>
        </w:rPr>
      </w:pPr>
      <w:r>
        <w:rPr>
          <w:noProof/>
        </w:rPr>
        <w:sym w:font="Wingdings" w:char="F0A8"/>
      </w:r>
      <w:r>
        <w:rPr>
          <w:noProof/>
        </w:rPr>
        <w:tab/>
        <w:t xml:space="preserve">The proposal/initiative does not require the use of appropriations of an administrative nature </w:t>
      </w:r>
    </w:p>
    <w:p w:rsidR="00926A0D" w:rsidRDefault="006023A9" w:rsidP="0076006B">
      <w:pPr>
        <w:pStyle w:val="ListDash1"/>
        <w:numPr>
          <w:ilvl w:val="0"/>
          <w:numId w:val="32"/>
        </w:numPr>
        <w:rPr>
          <w:noProof/>
        </w:rPr>
      </w:pPr>
      <w:r>
        <w:rPr>
          <w:noProof/>
        </w:rPr>
        <w:t>x</w:t>
      </w:r>
      <w:r>
        <w:rPr>
          <w:noProof/>
        </w:rPr>
        <w:tab/>
        <w:t>The proposal/initiative requires the use of appropriations of an administrative nature, as explained below:</w:t>
      </w:r>
    </w:p>
    <w:p w:rsidR="00926A0D" w:rsidRDefault="006023A9">
      <w:pPr>
        <w:rPr>
          <w:noProof/>
          <w:sz w:val="20"/>
        </w:rPr>
      </w:pPr>
      <w:r>
        <w:rPr>
          <w:noProof/>
          <w:sz w:val="20"/>
        </w:rPr>
        <w:t>EUR million (to three decimal places)</w:t>
      </w:r>
    </w:p>
    <w:p w:rsidR="00926A0D" w:rsidRDefault="00926A0D">
      <w:pPr>
        <w:rPr>
          <w:noProof/>
        </w:rPr>
      </w:pPr>
    </w:p>
    <w:p w:rsidR="00926A0D" w:rsidRPr="001349D8" w:rsidRDefault="006023A9">
      <w:pPr>
        <w:rPr>
          <w:noProof/>
          <w:u w:val="single"/>
        </w:rPr>
      </w:pPr>
      <w:r w:rsidRPr="001349D8">
        <w:rPr>
          <w:noProof/>
          <w:u w:val="single"/>
        </w:rPr>
        <w:t>Estimated impact on the staff (additional) – external personnel</w:t>
      </w:r>
    </w:p>
    <w:tbl>
      <w:tblPr>
        <w:tblW w:w="9796" w:type="dxa"/>
        <w:tblInd w:w="93" w:type="dxa"/>
        <w:tblCellMar>
          <w:left w:w="0" w:type="dxa"/>
          <w:right w:w="0" w:type="dxa"/>
        </w:tblCellMar>
        <w:tblLook w:val="04A0" w:firstRow="1" w:lastRow="0" w:firstColumn="1" w:lastColumn="0" w:noHBand="0" w:noVBand="1"/>
      </w:tblPr>
      <w:tblGrid>
        <w:gridCol w:w="2920"/>
        <w:gridCol w:w="1348"/>
        <w:gridCol w:w="1348"/>
        <w:gridCol w:w="1348"/>
        <w:gridCol w:w="2832"/>
      </w:tblGrid>
      <w:tr w:rsidR="00926A0D" w:rsidRPr="001349D8">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rsidR="00926A0D" w:rsidRPr="001349D8" w:rsidRDefault="006023A9">
            <w:pPr>
              <w:jc w:val="center"/>
              <w:rPr>
                <w:rFonts w:ascii="Calibri" w:eastAsia="Calibri" w:hAnsi="Calibri" w:cs="Calibri"/>
                <w:noProof/>
                <w:color w:val="000000"/>
                <w:sz w:val="22"/>
              </w:rPr>
            </w:pPr>
            <w:r w:rsidRPr="001349D8">
              <w:rPr>
                <w:noProof/>
                <w:color w:val="000000"/>
              </w:rPr>
              <w:t>Contract agents</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926A0D" w:rsidRPr="001349D8" w:rsidRDefault="00223329">
            <w:pPr>
              <w:jc w:val="center"/>
              <w:rPr>
                <w:rFonts w:eastAsia="Calibri"/>
                <w:noProof/>
                <w:color w:val="000000"/>
                <w:sz w:val="22"/>
              </w:rPr>
            </w:pPr>
            <w:r w:rsidRPr="001349D8">
              <w:rPr>
                <w:rFonts w:eastAsia="Calibri"/>
                <w:noProof/>
                <w:color w:val="000000"/>
                <w:sz w:val="22"/>
              </w:rPr>
              <w:t>2018</w:t>
            </w:r>
          </w:p>
        </w:tc>
        <w:tc>
          <w:tcPr>
            <w:tcW w:w="1348" w:type="dxa"/>
            <w:tcBorders>
              <w:top w:val="single" w:sz="8" w:space="0" w:color="auto"/>
              <w:left w:val="single" w:sz="8" w:space="0" w:color="auto"/>
              <w:bottom w:val="single" w:sz="8" w:space="0" w:color="auto"/>
              <w:right w:val="single" w:sz="8" w:space="0" w:color="auto"/>
            </w:tcBorders>
            <w:vAlign w:val="bottom"/>
          </w:tcPr>
          <w:p w:rsidR="00926A0D" w:rsidRPr="001349D8" w:rsidRDefault="00223329">
            <w:pPr>
              <w:jc w:val="center"/>
              <w:rPr>
                <w:rFonts w:eastAsia="Calibri"/>
                <w:noProof/>
                <w:color w:val="000000"/>
                <w:sz w:val="22"/>
              </w:rPr>
            </w:pPr>
            <w:r w:rsidRPr="001349D8">
              <w:rPr>
                <w:rFonts w:eastAsia="Calibri"/>
                <w:noProof/>
                <w:color w:val="000000"/>
                <w:sz w:val="22"/>
              </w:rPr>
              <w:t>2019</w:t>
            </w:r>
          </w:p>
        </w:tc>
        <w:tc>
          <w:tcPr>
            <w:tcW w:w="1348" w:type="dxa"/>
            <w:tcBorders>
              <w:top w:val="single" w:sz="8" w:space="0" w:color="auto"/>
              <w:left w:val="single" w:sz="8" w:space="0" w:color="auto"/>
              <w:bottom w:val="single" w:sz="8" w:space="0" w:color="auto"/>
              <w:right w:val="single" w:sz="8" w:space="0" w:color="auto"/>
            </w:tcBorders>
            <w:vAlign w:val="bottom"/>
          </w:tcPr>
          <w:p w:rsidR="00926A0D" w:rsidRPr="001349D8" w:rsidRDefault="00223329">
            <w:pPr>
              <w:jc w:val="center"/>
              <w:rPr>
                <w:rFonts w:eastAsia="Calibri"/>
                <w:noProof/>
                <w:color w:val="000000"/>
                <w:sz w:val="22"/>
              </w:rPr>
            </w:pPr>
            <w:r w:rsidRPr="001349D8">
              <w:rPr>
                <w:rFonts w:eastAsia="Calibri"/>
                <w:noProof/>
                <w:color w:val="000000"/>
                <w:sz w:val="22"/>
              </w:rPr>
              <w:t>2020</w:t>
            </w:r>
          </w:p>
        </w:tc>
        <w:tc>
          <w:tcPr>
            <w:tcW w:w="2832" w:type="dxa"/>
            <w:tcBorders>
              <w:top w:val="single" w:sz="8" w:space="0" w:color="auto"/>
              <w:left w:val="single" w:sz="8" w:space="0" w:color="auto"/>
              <w:bottom w:val="single" w:sz="8" w:space="0" w:color="auto"/>
              <w:right w:val="single" w:sz="8" w:space="0" w:color="auto"/>
            </w:tcBorders>
            <w:vAlign w:val="bottom"/>
          </w:tcPr>
          <w:p w:rsidR="00926A0D" w:rsidRPr="001349D8" w:rsidRDefault="006023A9">
            <w:pPr>
              <w:jc w:val="center"/>
              <w:rPr>
                <w:rFonts w:ascii="Calibri" w:eastAsia="Calibri" w:hAnsi="Calibri" w:cs="Calibri"/>
                <w:noProof/>
                <w:color w:val="000000"/>
                <w:sz w:val="22"/>
              </w:rPr>
            </w:pPr>
            <w:r w:rsidRPr="001349D8">
              <w:rPr>
                <w:sz w:val="20"/>
              </w:rPr>
              <w:t>Enter as many years as necessary to show the duration of the impact (see point 1.6)</w:t>
            </w:r>
          </w:p>
        </w:tc>
      </w:tr>
      <w:tr w:rsidR="00926A0D" w:rsidRPr="001349D8">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926A0D" w:rsidRPr="001349D8" w:rsidRDefault="006023A9">
            <w:pPr>
              <w:jc w:val="center"/>
              <w:rPr>
                <w:rFonts w:ascii="Calibri" w:eastAsia="Calibri" w:hAnsi="Calibri" w:cs="Calibri"/>
                <w:noProof/>
                <w:color w:val="000000"/>
                <w:sz w:val="22"/>
              </w:rPr>
            </w:pPr>
            <w:r w:rsidRPr="001349D8">
              <w:rPr>
                <w:noProof/>
                <w:color w:val="000000"/>
              </w:rPr>
              <w:t>Function group IV</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926A0D" w:rsidRPr="001349D8" w:rsidRDefault="00F36B69">
            <w:pPr>
              <w:jc w:val="center"/>
              <w:rPr>
                <w:rFonts w:ascii="Calibri" w:eastAsia="Calibri" w:hAnsi="Calibri"/>
                <w:color w:val="000000"/>
                <w:sz w:val="22"/>
              </w:rPr>
            </w:pPr>
            <w:r w:rsidRPr="001349D8">
              <w:rPr>
                <w:rFonts w:ascii="Calibri" w:eastAsia="Calibri" w:hAnsi="Calibri"/>
                <w:color w:val="000000"/>
                <w:sz w:val="22"/>
              </w:rPr>
              <w:t>0</w:t>
            </w:r>
            <w:r w:rsidR="0043450B">
              <w:rPr>
                <w:rFonts w:ascii="Calibri" w:eastAsia="Calibri" w:hAnsi="Calibri"/>
                <w:color w:val="000000"/>
                <w:sz w:val="22"/>
              </w:rPr>
              <w:t>.</w:t>
            </w:r>
            <w:r w:rsidRPr="001349D8">
              <w:rPr>
                <w:rFonts w:ascii="Calibri" w:eastAsia="Calibri" w:hAnsi="Calibri"/>
                <w:color w:val="000000"/>
                <w:sz w:val="22"/>
              </w:rPr>
              <w:t>5</w:t>
            </w:r>
            <w:r w:rsidR="001349D8">
              <w:rPr>
                <w:rFonts w:ascii="Calibri" w:eastAsia="Calibri" w:hAnsi="Calibri"/>
                <w:color w:val="000000"/>
                <w:sz w:val="22"/>
              </w:rPr>
              <w:t xml:space="preserve"> CA</w:t>
            </w:r>
          </w:p>
        </w:tc>
        <w:tc>
          <w:tcPr>
            <w:tcW w:w="1348" w:type="dxa"/>
            <w:tcBorders>
              <w:top w:val="nil"/>
              <w:left w:val="single" w:sz="8" w:space="0" w:color="auto"/>
              <w:bottom w:val="nil"/>
              <w:right w:val="single" w:sz="8" w:space="0" w:color="auto"/>
            </w:tcBorders>
            <w:vAlign w:val="bottom"/>
          </w:tcPr>
          <w:p w:rsidR="00926A0D" w:rsidRPr="001349D8" w:rsidRDefault="00F36B69">
            <w:pPr>
              <w:jc w:val="center"/>
              <w:rPr>
                <w:color w:val="000000"/>
              </w:rPr>
            </w:pPr>
            <w:r w:rsidRPr="001349D8">
              <w:rPr>
                <w:color w:val="000000"/>
              </w:rPr>
              <w:t>2</w:t>
            </w:r>
            <w:r w:rsidR="001349D8">
              <w:rPr>
                <w:color w:val="000000"/>
              </w:rPr>
              <w:t xml:space="preserve"> CA</w:t>
            </w:r>
          </w:p>
        </w:tc>
        <w:tc>
          <w:tcPr>
            <w:tcW w:w="1348" w:type="dxa"/>
            <w:tcBorders>
              <w:top w:val="nil"/>
              <w:left w:val="single" w:sz="8" w:space="0" w:color="auto"/>
              <w:bottom w:val="nil"/>
              <w:right w:val="single" w:sz="8" w:space="0" w:color="auto"/>
            </w:tcBorders>
            <w:vAlign w:val="bottom"/>
          </w:tcPr>
          <w:p w:rsidR="00926A0D" w:rsidRPr="001349D8" w:rsidRDefault="00F36B69">
            <w:pPr>
              <w:jc w:val="center"/>
              <w:rPr>
                <w:color w:val="000000"/>
              </w:rPr>
            </w:pPr>
            <w:r w:rsidRPr="001349D8">
              <w:rPr>
                <w:color w:val="000000"/>
              </w:rPr>
              <w:t>3</w:t>
            </w:r>
            <w:r w:rsidR="001349D8">
              <w:rPr>
                <w:color w:val="000000"/>
              </w:rPr>
              <w:t xml:space="preserve"> CA</w:t>
            </w:r>
          </w:p>
        </w:tc>
        <w:tc>
          <w:tcPr>
            <w:tcW w:w="2832" w:type="dxa"/>
            <w:tcBorders>
              <w:top w:val="nil"/>
              <w:left w:val="single" w:sz="8" w:space="0" w:color="auto"/>
              <w:bottom w:val="nil"/>
              <w:right w:val="single" w:sz="8" w:space="0" w:color="auto"/>
            </w:tcBorders>
            <w:vAlign w:val="bottom"/>
          </w:tcPr>
          <w:p w:rsidR="00926A0D" w:rsidRPr="001349D8" w:rsidRDefault="003A43AA">
            <w:pPr>
              <w:jc w:val="center"/>
              <w:rPr>
                <w:noProof/>
                <w:color w:val="000000"/>
              </w:rPr>
            </w:pPr>
            <w:r w:rsidRPr="001349D8">
              <w:rPr>
                <w:color w:val="000000"/>
              </w:rPr>
              <w:t>Unlimited duration</w:t>
            </w:r>
          </w:p>
        </w:tc>
      </w:tr>
      <w:tr w:rsidR="00926A0D" w:rsidRPr="001349D8">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926A0D" w:rsidRPr="001349D8" w:rsidRDefault="006023A9">
            <w:pPr>
              <w:jc w:val="center"/>
              <w:rPr>
                <w:rFonts w:ascii="Calibri" w:eastAsia="Calibri" w:hAnsi="Calibri" w:cs="Calibri"/>
                <w:noProof/>
                <w:color w:val="000000"/>
                <w:sz w:val="22"/>
              </w:rPr>
            </w:pPr>
            <w:r w:rsidRPr="001349D8">
              <w:rPr>
                <w:noProof/>
                <w:color w:val="000000"/>
              </w:rPr>
              <w:t>Function group III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926A0D" w:rsidRPr="001349D8" w:rsidRDefault="00926A0D">
            <w:pPr>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rsidR="00926A0D" w:rsidRPr="001349D8" w:rsidRDefault="00926A0D">
            <w:pPr>
              <w:jc w:val="center"/>
              <w:rPr>
                <w:noProof/>
                <w:color w:val="000000"/>
              </w:rPr>
            </w:pPr>
          </w:p>
        </w:tc>
        <w:tc>
          <w:tcPr>
            <w:tcW w:w="1348" w:type="dxa"/>
            <w:tcBorders>
              <w:top w:val="nil"/>
              <w:left w:val="single" w:sz="8" w:space="0" w:color="auto"/>
              <w:bottom w:val="nil"/>
              <w:right w:val="single" w:sz="8" w:space="0" w:color="auto"/>
            </w:tcBorders>
            <w:vAlign w:val="bottom"/>
          </w:tcPr>
          <w:p w:rsidR="00926A0D" w:rsidRPr="001349D8" w:rsidRDefault="00926A0D">
            <w:pPr>
              <w:jc w:val="center"/>
              <w:rPr>
                <w:noProof/>
                <w:color w:val="000000"/>
              </w:rPr>
            </w:pPr>
          </w:p>
        </w:tc>
        <w:tc>
          <w:tcPr>
            <w:tcW w:w="2832" w:type="dxa"/>
            <w:tcBorders>
              <w:top w:val="nil"/>
              <w:left w:val="single" w:sz="8" w:space="0" w:color="auto"/>
              <w:bottom w:val="nil"/>
              <w:right w:val="single" w:sz="8" w:space="0" w:color="auto"/>
            </w:tcBorders>
            <w:vAlign w:val="bottom"/>
          </w:tcPr>
          <w:p w:rsidR="00926A0D" w:rsidRPr="001349D8" w:rsidRDefault="00926A0D">
            <w:pPr>
              <w:jc w:val="center"/>
              <w:rPr>
                <w:noProof/>
                <w:color w:val="000000"/>
              </w:rPr>
            </w:pPr>
          </w:p>
        </w:tc>
      </w:tr>
      <w:tr w:rsidR="00926A0D" w:rsidRPr="001349D8">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926A0D" w:rsidRPr="001349D8" w:rsidRDefault="006023A9">
            <w:pPr>
              <w:jc w:val="center"/>
              <w:rPr>
                <w:rFonts w:ascii="Calibri" w:eastAsia="Calibri" w:hAnsi="Calibri" w:cs="Calibri"/>
                <w:noProof/>
                <w:color w:val="000000"/>
                <w:sz w:val="22"/>
              </w:rPr>
            </w:pPr>
            <w:r w:rsidRPr="001349D8">
              <w:rPr>
                <w:noProof/>
                <w:color w:val="000000"/>
              </w:rPr>
              <w:t>Function group 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926A0D" w:rsidRPr="001349D8" w:rsidRDefault="00926A0D">
            <w:pPr>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rsidR="00926A0D" w:rsidRPr="001349D8" w:rsidRDefault="00926A0D">
            <w:pPr>
              <w:jc w:val="center"/>
              <w:rPr>
                <w:noProof/>
                <w:color w:val="000000"/>
              </w:rPr>
            </w:pPr>
          </w:p>
        </w:tc>
        <w:tc>
          <w:tcPr>
            <w:tcW w:w="1348" w:type="dxa"/>
            <w:tcBorders>
              <w:top w:val="nil"/>
              <w:left w:val="single" w:sz="8" w:space="0" w:color="auto"/>
              <w:bottom w:val="nil"/>
              <w:right w:val="single" w:sz="8" w:space="0" w:color="auto"/>
            </w:tcBorders>
            <w:vAlign w:val="bottom"/>
          </w:tcPr>
          <w:p w:rsidR="00926A0D" w:rsidRPr="001349D8" w:rsidRDefault="00926A0D">
            <w:pPr>
              <w:jc w:val="center"/>
              <w:rPr>
                <w:noProof/>
                <w:color w:val="000000"/>
              </w:rPr>
            </w:pPr>
          </w:p>
        </w:tc>
        <w:tc>
          <w:tcPr>
            <w:tcW w:w="2832" w:type="dxa"/>
            <w:tcBorders>
              <w:top w:val="nil"/>
              <w:left w:val="single" w:sz="8" w:space="0" w:color="auto"/>
              <w:bottom w:val="nil"/>
              <w:right w:val="single" w:sz="8" w:space="0" w:color="auto"/>
            </w:tcBorders>
            <w:vAlign w:val="bottom"/>
          </w:tcPr>
          <w:p w:rsidR="00926A0D" w:rsidRPr="001349D8" w:rsidRDefault="00926A0D">
            <w:pPr>
              <w:jc w:val="center"/>
              <w:rPr>
                <w:noProof/>
                <w:color w:val="000000"/>
              </w:rPr>
            </w:pPr>
          </w:p>
        </w:tc>
      </w:tr>
      <w:tr w:rsidR="00926A0D" w:rsidRPr="001349D8">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926A0D" w:rsidRPr="001349D8" w:rsidRDefault="006023A9">
            <w:pPr>
              <w:jc w:val="center"/>
              <w:rPr>
                <w:rFonts w:ascii="Calibri" w:eastAsia="Calibri" w:hAnsi="Calibri" w:cs="Calibri"/>
                <w:noProof/>
                <w:color w:val="000000"/>
                <w:sz w:val="22"/>
              </w:rPr>
            </w:pPr>
            <w:r w:rsidRPr="001349D8">
              <w:rPr>
                <w:noProof/>
                <w:color w:val="000000"/>
              </w:rPr>
              <w:t>Function group 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926A0D" w:rsidRPr="001349D8" w:rsidRDefault="00926A0D">
            <w:pPr>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rsidR="00926A0D" w:rsidRPr="001349D8" w:rsidRDefault="00926A0D">
            <w:pPr>
              <w:jc w:val="center"/>
              <w:rPr>
                <w:noProof/>
                <w:color w:val="000000"/>
              </w:rPr>
            </w:pPr>
          </w:p>
        </w:tc>
        <w:tc>
          <w:tcPr>
            <w:tcW w:w="1348" w:type="dxa"/>
            <w:tcBorders>
              <w:top w:val="nil"/>
              <w:left w:val="single" w:sz="8" w:space="0" w:color="auto"/>
              <w:bottom w:val="nil"/>
              <w:right w:val="single" w:sz="8" w:space="0" w:color="auto"/>
            </w:tcBorders>
            <w:vAlign w:val="bottom"/>
          </w:tcPr>
          <w:p w:rsidR="00926A0D" w:rsidRPr="001349D8" w:rsidRDefault="00926A0D">
            <w:pPr>
              <w:jc w:val="center"/>
              <w:rPr>
                <w:noProof/>
                <w:color w:val="000000"/>
              </w:rPr>
            </w:pPr>
          </w:p>
        </w:tc>
        <w:tc>
          <w:tcPr>
            <w:tcW w:w="2832" w:type="dxa"/>
            <w:tcBorders>
              <w:top w:val="nil"/>
              <w:left w:val="single" w:sz="8" w:space="0" w:color="auto"/>
              <w:bottom w:val="nil"/>
              <w:right w:val="single" w:sz="8" w:space="0" w:color="auto"/>
            </w:tcBorders>
            <w:vAlign w:val="bottom"/>
          </w:tcPr>
          <w:p w:rsidR="00926A0D" w:rsidRPr="001349D8" w:rsidRDefault="00926A0D">
            <w:pPr>
              <w:jc w:val="center"/>
              <w:rPr>
                <w:noProof/>
                <w:color w:val="000000"/>
              </w:rPr>
            </w:pPr>
          </w:p>
        </w:tc>
      </w:tr>
      <w:tr w:rsidR="00926A0D">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rsidR="00926A0D" w:rsidRPr="001349D8" w:rsidRDefault="006023A9">
            <w:pPr>
              <w:jc w:val="center"/>
              <w:rPr>
                <w:rFonts w:ascii="Calibri" w:eastAsia="Calibri" w:hAnsi="Calibri"/>
                <w:color w:val="000000"/>
                <w:sz w:val="22"/>
              </w:rPr>
            </w:pPr>
            <w:r w:rsidRPr="001349D8">
              <w:rPr>
                <w:color w:val="000000"/>
              </w:rPr>
              <w:t>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26A0D" w:rsidRPr="001349D8" w:rsidRDefault="00FC6EE7">
            <w:pPr>
              <w:jc w:val="center"/>
              <w:rPr>
                <w:sz w:val="20"/>
              </w:rPr>
            </w:pPr>
            <w:r w:rsidRPr="001349D8">
              <w:rPr>
                <w:sz w:val="20"/>
              </w:rPr>
              <w:t>0</w:t>
            </w:r>
            <w:r w:rsidR="0043450B">
              <w:rPr>
                <w:sz w:val="20"/>
              </w:rPr>
              <w:t>.</w:t>
            </w:r>
            <w:r w:rsidRPr="001349D8">
              <w:rPr>
                <w:sz w:val="20"/>
              </w:rPr>
              <w:t>5 CA</w:t>
            </w:r>
          </w:p>
        </w:tc>
        <w:tc>
          <w:tcPr>
            <w:tcW w:w="1348" w:type="dxa"/>
            <w:tcBorders>
              <w:top w:val="single" w:sz="8" w:space="0" w:color="auto"/>
              <w:left w:val="single" w:sz="8" w:space="0" w:color="auto"/>
              <w:bottom w:val="single" w:sz="8" w:space="0" w:color="auto"/>
              <w:right w:val="single" w:sz="8" w:space="0" w:color="auto"/>
            </w:tcBorders>
            <w:vAlign w:val="bottom"/>
          </w:tcPr>
          <w:p w:rsidR="00926A0D" w:rsidRPr="001349D8" w:rsidRDefault="00FC6EE7">
            <w:pPr>
              <w:jc w:val="center"/>
              <w:rPr>
                <w:sz w:val="20"/>
              </w:rPr>
            </w:pPr>
            <w:r w:rsidRPr="001349D8">
              <w:rPr>
                <w:sz w:val="20"/>
              </w:rPr>
              <w:t>2</w:t>
            </w:r>
            <w:r w:rsidR="001349D8">
              <w:rPr>
                <w:sz w:val="20"/>
              </w:rPr>
              <w:t xml:space="preserve"> </w:t>
            </w:r>
            <w:r w:rsidRPr="001349D8">
              <w:rPr>
                <w:sz w:val="20"/>
              </w:rPr>
              <w:t>CA</w:t>
            </w:r>
          </w:p>
        </w:tc>
        <w:tc>
          <w:tcPr>
            <w:tcW w:w="1348" w:type="dxa"/>
            <w:tcBorders>
              <w:top w:val="single" w:sz="8" w:space="0" w:color="auto"/>
              <w:left w:val="single" w:sz="8" w:space="0" w:color="auto"/>
              <w:bottom w:val="single" w:sz="8" w:space="0" w:color="auto"/>
              <w:right w:val="single" w:sz="8" w:space="0" w:color="auto"/>
            </w:tcBorders>
            <w:vAlign w:val="bottom"/>
          </w:tcPr>
          <w:p w:rsidR="00926A0D" w:rsidRDefault="00FC6EE7">
            <w:pPr>
              <w:jc w:val="center"/>
              <w:rPr>
                <w:noProof/>
                <w:sz w:val="20"/>
                <w:szCs w:val="20"/>
              </w:rPr>
            </w:pPr>
            <w:r w:rsidRPr="001349D8">
              <w:rPr>
                <w:sz w:val="20"/>
              </w:rPr>
              <w:t>3</w:t>
            </w:r>
            <w:r w:rsidR="001349D8">
              <w:rPr>
                <w:sz w:val="20"/>
              </w:rPr>
              <w:t xml:space="preserve"> </w:t>
            </w:r>
            <w:r w:rsidRPr="001349D8">
              <w:rPr>
                <w:sz w:val="20"/>
              </w:rPr>
              <w:t>CA</w:t>
            </w:r>
          </w:p>
        </w:tc>
        <w:tc>
          <w:tcPr>
            <w:tcW w:w="2832" w:type="dxa"/>
            <w:tcBorders>
              <w:top w:val="single" w:sz="8" w:space="0" w:color="auto"/>
              <w:left w:val="single" w:sz="8" w:space="0" w:color="auto"/>
              <w:bottom w:val="single" w:sz="8" w:space="0" w:color="auto"/>
              <w:right w:val="single" w:sz="8" w:space="0" w:color="auto"/>
            </w:tcBorders>
            <w:vAlign w:val="bottom"/>
          </w:tcPr>
          <w:p w:rsidR="00926A0D" w:rsidRDefault="00926A0D">
            <w:pPr>
              <w:rPr>
                <w:noProof/>
                <w:sz w:val="20"/>
                <w:szCs w:val="20"/>
              </w:rPr>
            </w:pPr>
          </w:p>
        </w:tc>
      </w:tr>
    </w:tbl>
    <w:p w:rsidR="00926A0D" w:rsidRDefault="00926A0D">
      <w:pPr>
        <w:rPr>
          <w:noProof/>
          <w:u w:val="single"/>
        </w:rPr>
      </w:pPr>
    </w:p>
    <w:tbl>
      <w:tblPr>
        <w:tblW w:w="9796" w:type="dxa"/>
        <w:tblInd w:w="9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20"/>
        <w:gridCol w:w="1348"/>
        <w:gridCol w:w="1348"/>
        <w:gridCol w:w="1348"/>
        <w:gridCol w:w="2832"/>
      </w:tblGrid>
      <w:tr w:rsidR="00926A0D">
        <w:trPr>
          <w:trHeight w:val="300"/>
        </w:trPr>
        <w:tc>
          <w:tcPr>
            <w:tcW w:w="2920" w:type="dxa"/>
            <w:noWrap/>
            <w:tcMar>
              <w:top w:w="0" w:type="dxa"/>
              <w:left w:w="108" w:type="dxa"/>
              <w:bottom w:w="0" w:type="dxa"/>
              <w:right w:w="108" w:type="dxa"/>
            </w:tcMar>
            <w:vAlign w:val="bottom"/>
            <w:hideMark/>
          </w:tcPr>
          <w:p w:rsidR="00926A0D" w:rsidRDefault="00926A0D">
            <w:pPr>
              <w:jc w:val="center"/>
              <w:rPr>
                <w:rFonts w:ascii="Calibri" w:eastAsia="Calibri" w:hAnsi="Calibri" w:cs="Calibri"/>
                <w:noProof/>
                <w:color w:val="000000"/>
                <w:sz w:val="22"/>
              </w:rPr>
            </w:pPr>
          </w:p>
        </w:tc>
        <w:tc>
          <w:tcPr>
            <w:tcW w:w="1348" w:type="dxa"/>
            <w:noWrap/>
            <w:tcMar>
              <w:top w:w="0" w:type="dxa"/>
              <w:left w:w="108" w:type="dxa"/>
              <w:bottom w:w="0" w:type="dxa"/>
              <w:right w:w="108" w:type="dxa"/>
            </w:tcMar>
            <w:vAlign w:val="bottom"/>
          </w:tcPr>
          <w:p w:rsidR="00926A0D" w:rsidRDefault="00926A0D">
            <w:pPr>
              <w:jc w:val="center"/>
              <w:rPr>
                <w:rFonts w:eastAsia="Calibri"/>
                <w:noProof/>
                <w:color w:val="000000"/>
                <w:sz w:val="22"/>
              </w:rPr>
            </w:pPr>
          </w:p>
        </w:tc>
        <w:tc>
          <w:tcPr>
            <w:tcW w:w="1348" w:type="dxa"/>
            <w:vAlign w:val="bottom"/>
          </w:tcPr>
          <w:p w:rsidR="00926A0D" w:rsidRDefault="00926A0D">
            <w:pPr>
              <w:jc w:val="center"/>
              <w:rPr>
                <w:rFonts w:eastAsia="Calibri"/>
                <w:noProof/>
                <w:color w:val="000000"/>
                <w:sz w:val="22"/>
              </w:rPr>
            </w:pPr>
          </w:p>
        </w:tc>
        <w:tc>
          <w:tcPr>
            <w:tcW w:w="1348" w:type="dxa"/>
            <w:vAlign w:val="bottom"/>
          </w:tcPr>
          <w:p w:rsidR="00926A0D" w:rsidRDefault="00926A0D">
            <w:pPr>
              <w:jc w:val="center"/>
              <w:rPr>
                <w:rFonts w:eastAsia="Calibri"/>
                <w:noProof/>
                <w:color w:val="000000"/>
                <w:sz w:val="22"/>
              </w:rPr>
            </w:pPr>
          </w:p>
        </w:tc>
        <w:tc>
          <w:tcPr>
            <w:tcW w:w="2832" w:type="dxa"/>
            <w:vAlign w:val="bottom"/>
          </w:tcPr>
          <w:p w:rsidR="00926A0D" w:rsidRDefault="00926A0D">
            <w:pPr>
              <w:jc w:val="center"/>
              <w:rPr>
                <w:rFonts w:ascii="Calibri" w:eastAsia="Calibri" w:hAnsi="Calibri" w:cs="Calibri"/>
                <w:noProof/>
                <w:color w:val="000000"/>
                <w:sz w:val="22"/>
              </w:rPr>
            </w:pPr>
          </w:p>
        </w:tc>
      </w:tr>
      <w:tr w:rsidR="00926A0D">
        <w:trPr>
          <w:trHeight w:val="300"/>
        </w:trPr>
        <w:tc>
          <w:tcPr>
            <w:tcW w:w="2920" w:type="dxa"/>
            <w:noWrap/>
            <w:tcMar>
              <w:top w:w="0" w:type="dxa"/>
              <w:left w:w="108" w:type="dxa"/>
              <w:bottom w:w="0" w:type="dxa"/>
              <w:right w:w="108" w:type="dxa"/>
            </w:tcMar>
            <w:vAlign w:val="bottom"/>
            <w:hideMark/>
          </w:tcPr>
          <w:p w:rsidR="00926A0D" w:rsidRDefault="00926A0D">
            <w:pPr>
              <w:jc w:val="center"/>
              <w:rPr>
                <w:rFonts w:ascii="Calibri" w:eastAsia="Calibri" w:hAnsi="Calibri" w:cs="Calibri"/>
                <w:noProof/>
                <w:color w:val="000000"/>
                <w:sz w:val="22"/>
              </w:rPr>
            </w:pPr>
          </w:p>
        </w:tc>
        <w:tc>
          <w:tcPr>
            <w:tcW w:w="1348" w:type="dxa"/>
            <w:noWrap/>
            <w:tcMar>
              <w:top w:w="0" w:type="dxa"/>
              <w:left w:w="108" w:type="dxa"/>
              <w:bottom w:w="0" w:type="dxa"/>
              <w:right w:w="108" w:type="dxa"/>
            </w:tcMar>
            <w:vAlign w:val="bottom"/>
          </w:tcPr>
          <w:p w:rsidR="00926A0D" w:rsidRDefault="00926A0D">
            <w:pPr>
              <w:jc w:val="center"/>
              <w:rPr>
                <w:rFonts w:ascii="Calibri" w:eastAsia="Calibri" w:hAnsi="Calibri" w:cs="Calibri"/>
                <w:noProof/>
                <w:color w:val="000000"/>
                <w:sz w:val="22"/>
              </w:rPr>
            </w:pPr>
          </w:p>
        </w:tc>
        <w:tc>
          <w:tcPr>
            <w:tcW w:w="1348" w:type="dxa"/>
            <w:vAlign w:val="bottom"/>
          </w:tcPr>
          <w:p w:rsidR="00926A0D" w:rsidRDefault="00926A0D">
            <w:pPr>
              <w:jc w:val="center"/>
              <w:rPr>
                <w:noProof/>
                <w:color w:val="000000"/>
              </w:rPr>
            </w:pPr>
          </w:p>
        </w:tc>
        <w:tc>
          <w:tcPr>
            <w:tcW w:w="1348" w:type="dxa"/>
            <w:vAlign w:val="bottom"/>
          </w:tcPr>
          <w:p w:rsidR="00926A0D" w:rsidRDefault="00926A0D">
            <w:pPr>
              <w:jc w:val="center"/>
              <w:rPr>
                <w:noProof/>
                <w:color w:val="000000"/>
              </w:rPr>
            </w:pPr>
          </w:p>
        </w:tc>
        <w:tc>
          <w:tcPr>
            <w:tcW w:w="2832" w:type="dxa"/>
            <w:vAlign w:val="bottom"/>
          </w:tcPr>
          <w:p w:rsidR="00926A0D" w:rsidRDefault="00926A0D">
            <w:pPr>
              <w:jc w:val="center"/>
              <w:rPr>
                <w:noProof/>
                <w:color w:val="000000"/>
              </w:rPr>
            </w:pPr>
          </w:p>
        </w:tc>
      </w:tr>
    </w:tbl>
    <w:p w:rsidR="00926A0D" w:rsidRDefault="00926A0D">
      <w:pPr>
        <w:spacing w:before="0"/>
        <w:rPr>
          <w:b/>
          <w:bCs/>
          <w:noProof/>
        </w:rPr>
      </w:pPr>
    </w:p>
    <w:p w:rsidR="00926A0D" w:rsidRPr="00596CAE" w:rsidRDefault="001349D8">
      <w:pPr>
        <w:spacing w:before="0"/>
        <w:rPr>
          <w:bCs/>
          <w:noProof/>
        </w:rPr>
      </w:pPr>
      <w:r w:rsidRPr="00596CAE">
        <w:rPr>
          <w:bCs/>
          <w:noProof/>
        </w:rPr>
        <w:t>Over and above the 9 temporary agents (4</w:t>
      </w:r>
      <w:r>
        <w:rPr>
          <w:bCs/>
          <w:noProof/>
        </w:rPr>
        <w:t xml:space="preserve"> </w:t>
      </w:r>
      <w:r w:rsidRPr="00596CAE">
        <w:rPr>
          <w:bCs/>
          <w:noProof/>
        </w:rPr>
        <w:t>AD</w:t>
      </w:r>
      <w:r>
        <w:rPr>
          <w:bCs/>
          <w:noProof/>
        </w:rPr>
        <w:t xml:space="preserve"> </w:t>
      </w:r>
      <w:r w:rsidRPr="00596CAE">
        <w:rPr>
          <w:bCs/>
          <w:noProof/>
        </w:rPr>
        <w:t>+</w:t>
      </w:r>
      <w:r>
        <w:rPr>
          <w:bCs/>
          <w:noProof/>
        </w:rPr>
        <w:t xml:space="preserve"> </w:t>
      </w:r>
      <w:r w:rsidRPr="00596CAE">
        <w:rPr>
          <w:bCs/>
          <w:noProof/>
        </w:rPr>
        <w:t>5</w:t>
      </w:r>
      <w:r>
        <w:rPr>
          <w:bCs/>
          <w:noProof/>
        </w:rPr>
        <w:t xml:space="preserve"> </w:t>
      </w:r>
      <w:r w:rsidRPr="00596CAE">
        <w:rPr>
          <w:bCs/>
          <w:noProof/>
        </w:rPr>
        <w:t>AST) currently working in the EEA on tasks related to this Regulation, t</w:t>
      </w:r>
      <w:r w:rsidR="006023A9" w:rsidRPr="00596CAE">
        <w:rPr>
          <w:bCs/>
          <w:noProof/>
        </w:rPr>
        <w:t xml:space="preserve">he EEA needs </w:t>
      </w:r>
      <w:r w:rsidR="0088239F" w:rsidRPr="00596CAE">
        <w:rPr>
          <w:bCs/>
          <w:noProof/>
        </w:rPr>
        <w:t>3</w:t>
      </w:r>
      <w:r w:rsidR="006023A9" w:rsidRPr="00596CAE">
        <w:rPr>
          <w:bCs/>
          <w:noProof/>
        </w:rPr>
        <w:t xml:space="preserve"> additional </w:t>
      </w:r>
      <w:r w:rsidRPr="00596CAE">
        <w:rPr>
          <w:bCs/>
          <w:noProof/>
        </w:rPr>
        <w:t>contract</w:t>
      </w:r>
      <w:r>
        <w:rPr>
          <w:b/>
          <w:bCs/>
          <w:noProof/>
        </w:rPr>
        <w:t xml:space="preserve"> </w:t>
      </w:r>
      <w:r w:rsidRPr="00596CAE">
        <w:rPr>
          <w:bCs/>
          <w:noProof/>
        </w:rPr>
        <w:t>agents to cover</w:t>
      </w:r>
      <w:r w:rsidR="006023A9" w:rsidRPr="00596CAE">
        <w:rPr>
          <w:bCs/>
          <w:noProof/>
        </w:rPr>
        <w:t>:</w:t>
      </w:r>
    </w:p>
    <w:p w:rsidR="00926A0D" w:rsidRDefault="006023A9" w:rsidP="00AF12E0">
      <w:pPr>
        <w:pStyle w:val="Bullet1"/>
        <w:numPr>
          <w:ilvl w:val="0"/>
          <w:numId w:val="55"/>
        </w:numPr>
        <w:rPr>
          <w:noProof/>
        </w:rPr>
      </w:pPr>
      <w:r>
        <w:rPr>
          <w:noProof/>
        </w:rPr>
        <w:t>Climate mitigation and renewables, which includes assessment of information on national projections/trajectories, policies and measures and biomass,</w:t>
      </w:r>
    </w:p>
    <w:p w:rsidR="00926A0D" w:rsidRDefault="006023A9">
      <w:pPr>
        <w:pStyle w:val="Bullet1"/>
        <w:rPr>
          <w:noProof/>
        </w:rPr>
      </w:pPr>
      <w:r>
        <w:rPr>
          <w:noProof/>
        </w:rPr>
        <w:t xml:space="preserve">Climate mitigation and energy efficiency, which includes assessment of information on national projections/trajectories, policies and measures, and </w:t>
      </w:r>
    </w:p>
    <w:p w:rsidR="00926A0D" w:rsidRDefault="006023A9">
      <w:pPr>
        <w:pStyle w:val="Bullet1"/>
        <w:rPr>
          <w:noProof/>
        </w:rPr>
      </w:pPr>
      <w:r>
        <w:rPr>
          <w:noProof/>
        </w:rPr>
        <w:t>Integrated climate and energy reporting;</w:t>
      </w:r>
    </w:p>
    <w:p w:rsidR="00926A0D" w:rsidRDefault="00BF7AB2" w:rsidP="00BF7AB2">
      <w:pPr>
        <w:pStyle w:val="Bullet1"/>
        <w:rPr>
          <w:noProof/>
        </w:rPr>
      </w:pPr>
      <w:r>
        <w:rPr>
          <w:noProof/>
        </w:rPr>
        <w:t>E</w:t>
      </w:r>
      <w:r w:rsidR="006023A9">
        <w:rPr>
          <w:noProof/>
        </w:rPr>
        <w:t>stablish</w:t>
      </w:r>
      <w:r>
        <w:rPr>
          <w:noProof/>
        </w:rPr>
        <w:t>ment</w:t>
      </w:r>
      <w:r w:rsidR="006023A9">
        <w:rPr>
          <w:noProof/>
        </w:rPr>
        <w:t>, manage</w:t>
      </w:r>
      <w:r>
        <w:rPr>
          <w:noProof/>
        </w:rPr>
        <w:t>ment</w:t>
      </w:r>
      <w:r w:rsidR="006023A9">
        <w:rPr>
          <w:noProof/>
        </w:rPr>
        <w:t xml:space="preserve"> and maintain</w:t>
      </w:r>
      <w:r>
        <w:rPr>
          <w:noProof/>
        </w:rPr>
        <w:t>ing</w:t>
      </w:r>
      <w:r w:rsidR="006023A9">
        <w:rPr>
          <w:noProof/>
        </w:rPr>
        <w:t xml:space="preserve"> new reporting streams and e-reporting infrastructure, in relation with the data flows under its responsibility.</w:t>
      </w:r>
    </w:p>
    <w:p w:rsidR="00926A0D" w:rsidRDefault="00926A0D">
      <w:pPr>
        <w:rPr>
          <w:noProof/>
        </w:rPr>
        <w:sectPr w:rsidR="00926A0D" w:rsidSect="00211F8F">
          <w:headerReference w:type="default" r:id="rId33"/>
          <w:footerReference w:type="default" r:id="rId34"/>
          <w:headerReference w:type="first" r:id="rId35"/>
          <w:footerReference w:type="first" r:id="rId36"/>
          <w:pgSz w:w="11907" w:h="16839"/>
          <w:pgMar w:top="1134" w:right="1417" w:bottom="1134" w:left="1417" w:header="709" w:footer="709" w:gutter="0"/>
          <w:cols w:space="720"/>
          <w:docGrid w:linePitch="326"/>
        </w:sectPr>
      </w:pPr>
    </w:p>
    <w:p w:rsidR="00926A0D" w:rsidRDefault="00926A0D">
      <w:pPr>
        <w:rPr>
          <w:noProof/>
        </w:rPr>
      </w:pPr>
    </w:p>
    <w:p w:rsidR="00926A0D" w:rsidRDefault="006023A9">
      <w:pPr>
        <w:rPr>
          <w:noProof/>
        </w:rPr>
      </w:pPr>
      <w:r>
        <w:rPr>
          <w:noProof/>
        </w:rPr>
        <w:t xml:space="preserve">Description of the calculation of cost for FTE units should be included in the Annex V, section 3. </w:t>
      </w:r>
    </w:p>
    <w:p w:rsidR="00926A0D" w:rsidRDefault="00926A0D">
      <w:pPr>
        <w:rPr>
          <w:noProof/>
        </w:rPr>
        <w:sectPr w:rsidR="00926A0D" w:rsidSect="00211F8F">
          <w:pgSz w:w="11907" w:h="16839"/>
          <w:pgMar w:top="1134" w:right="1417" w:bottom="1134" w:left="1417" w:header="709" w:footer="709" w:gutter="0"/>
          <w:cols w:space="720"/>
          <w:docGrid w:linePitch="326"/>
        </w:sectPr>
      </w:pPr>
    </w:p>
    <w:p w:rsidR="00926A0D" w:rsidRDefault="003312D8">
      <w:pPr>
        <w:pStyle w:val="ManualHeading3"/>
        <w:rPr>
          <w:bCs/>
          <w:noProof/>
          <w:szCs w:val="24"/>
        </w:rPr>
      </w:pPr>
      <w:r>
        <w:lastRenderedPageBreak/>
        <w:t>3</w:t>
      </w:r>
      <w:r w:rsidR="006023A9">
        <w:t>.2.4.</w:t>
      </w:r>
      <w:r w:rsidR="006023A9">
        <w:tab/>
      </w:r>
      <w:r w:rsidR="006023A9">
        <w:rPr>
          <w:noProof/>
        </w:rPr>
        <w:t xml:space="preserve">Compatibility with the current multiannual financial framework </w:t>
      </w:r>
    </w:p>
    <w:p w:rsidR="00926A0D" w:rsidRDefault="006023A9" w:rsidP="0076006B">
      <w:pPr>
        <w:pStyle w:val="ListDash1"/>
        <w:numPr>
          <w:ilvl w:val="0"/>
          <w:numId w:val="32"/>
        </w:numPr>
        <w:rPr>
          <w:noProof/>
        </w:rPr>
      </w:pPr>
      <w:r>
        <w:rPr>
          <w:noProof/>
        </w:rPr>
        <w:t>x</w:t>
      </w:r>
      <w:r>
        <w:rPr>
          <w:noProof/>
        </w:rPr>
        <w:tab/>
        <w:t>The proposal/initiative is compatible the current multiannual financial framework.</w:t>
      </w:r>
    </w:p>
    <w:p w:rsidR="00926A0D" w:rsidRDefault="006023A9" w:rsidP="0076006B">
      <w:pPr>
        <w:pStyle w:val="ListDash1"/>
        <w:numPr>
          <w:ilvl w:val="0"/>
          <w:numId w:val="32"/>
        </w:numPr>
        <w:rPr>
          <w:noProof/>
        </w:rPr>
      </w:pPr>
      <w:r>
        <w:rPr>
          <w:noProof/>
        </w:rPr>
        <w:sym w:font="Wingdings" w:char="F0A8"/>
      </w:r>
      <w:r>
        <w:rPr>
          <w:noProof/>
        </w:rPr>
        <w:tab/>
        <w:t>The proposal/initiative will entail reprogramming of the relevant heading in the multiannual financial framework.</w:t>
      </w:r>
    </w:p>
    <w:p w:rsidR="00926A0D" w:rsidRDefault="006023A9">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reprogramming is required, specifying the budget lines concerned and the corresponding amounts.</w:t>
      </w:r>
    </w:p>
    <w:p w:rsidR="00926A0D" w:rsidRDefault="00926A0D">
      <w:pPr>
        <w:pStyle w:val="Text1"/>
        <w:pBdr>
          <w:top w:val="single" w:sz="4" w:space="1" w:color="auto"/>
          <w:left w:val="single" w:sz="4" w:space="4" w:color="auto"/>
          <w:bottom w:val="single" w:sz="4" w:space="1" w:color="auto"/>
          <w:right w:val="single" w:sz="4" w:space="4" w:color="auto"/>
        </w:pBdr>
        <w:rPr>
          <w:noProof/>
          <w:sz w:val="20"/>
        </w:rPr>
      </w:pPr>
    </w:p>
    <w:p w:rsidR="00926A0D" w:rsidRDefault="006023A9" w:rsidP="0076006B">
      <w:pPr>
        <w:pStyle w:val="ListDash1"/>
        <w:numPr>
          <w:ilvl w:val="0"/>
          <w:numId w:val="32"/>
        </w:numPr>
        <w:rPr>
          <w:noProof/>
        </w:rPr>
      </w:pPr>
      <w:r>
        <w:rPr>
          <w:noProof/>
        </w:rPr>
        <w:sym w:font="Wingdings" w:char="F0A8"/>
      </w:r>
      <w:r>
        <w:rPr>
          <w:noProof/>
        </w:rPr>
        <w:tab/>
        <w:t>The proposal/initiative requires application of the flexibility instrument or revision of the multiannual financial framework</w:t>
      </w:r>
      <w:r>
        <w:rPr>
          <w:rStyle w:val="FootnoteReference"/>
          <w:noProof/>
        </w:rPr>
        <w:footnoteReference w:id="66"/>
      </w:r>
      <w:r>
        <w:rPr>
          <w:noProof/>
        </w:rPr>
        <w:t>.</w:t>
      </w:r>
    </w:p>
    <w:p w:rsidR="00926A0D" w:rsidRDefault="006023A9">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rsidR="00926A0D" w:rsidRDefault="00926A0D">
      <w:pPr>
        <w:pStyle w:val="Text1"/>
        <w:pBdr>
          <w:top w:val="single" w:sz="4" w:space="1" w:color="auto"/>
          <w:left w:val="single" w:sz="4" w:space="4" w:color="auto"/>
          <w:bottom w:val="single" w:sz="4" w:space="1" w:color="auto"/>
          <w:right w:val="single" w:sz="4" w:space="4" w:color="auto"/>
        </w:pBdr>
      </w:pPr>
    </w:p>
    <w:p w:rsidR="00926A0D" w:rsidRDefault="003312D8">
      <w:pPr>
        <w:pStyle w:val="ManualHeading3"/>
        <w:rPr>
          <w:bCs/>
          <w:noProof/>
          <w:szCs w:val="24"/>
        </w:rPr>
      </w:pPr>
      <w:r>
        <w:t>3</w:t>
      </w:r>
      <w:r w:rsidR="006023A9">
        <w:t>.2.5.</w:t>
      </w:r>
      <w:r w:rsidR="006023A9">
        <w:tab/>
      </w:r>
      <w:r w:rsidR="006023A9">
        <w:rPr>
          <w:noProof/>
        </w:rPr>
        <w:t xml:space="preserve">Third-party contributions </w:t>
      </w:r>
    </w:p>
    <w:p w:rsidR="00926A0D" w:rsidRDefault="006023A9" w:rsidP="0076006B">
      <w:pPr>
        <w:pStyle w:val="ListDash1"/>
        <w:numPr>
          <w:ilvl w:val="0"/>
          <w:numId w:val="32"/>
        </w:numPr>
        <w:rPr>
          <w:noProof/>
        </w:rPr>
      </w:pPr>
      <w:r>
        <w:rPr>
          <w:noProof/>
        </w:rPr>
        <w:t xml:space="preserve">The proposal/initiative does not provide for co-financing by third parties. </w:t>
      </w:r>
    </w:p>
    <w:p w:rsidR="00926A0D" w:rsidRDefault="006023A9" w:rsidP="0076006B">
      <w:pPr>
        <w:pStyle w:val="ListDash1"/>
        <w:numPr>
          <w:ilvl w:val="0"/>
          <w:numId w:val="32"/>
        </w:numPr>
        <w:rPr>
          <w:noProof/>
        </w:rPr>
      </w:pPr>
      <w:r>
        <w:rPr>
          <w:noProof/>
        </w:rPr>
        <w:t>The proposal/initiative provides for the co-financing estimated below:</w:t>
      </w:r>
    </w:p>
    <w:p w:rsidR="00926A0D" w:rsidRDefault="006023A9">
      <w:pPr>
        <w:jc w:val="right"/>
        <w:rPr>
          <w:noProof/>
          <w:sz w:val="20"/>
        </w:rPr>
      </w:pPr>
      <w:r>
        <w:rPr>
          <w:noProof/>
          <w:sz w:val="20"/>
        </w:rPr>
        <w:t>EUR million (to three decimal places)</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926A0D">
        <w:trPr>
          <w:cantSplit/>
        </w:trPr>
        <w:tc>
          <w:tcPr>
            <w:tcW w:w="2340" w:type="dxa"/>
          </w:tcPr>
          <w:p w:rsidR="00926A0D" w:rsidRDefault="00926A0D">
            <w:pPr>
              <w:spacing w:before="60" w:after="60"/>
              <w:rPr>
                <w:noProof/>
                <w:sz w:val="20"/>
              </w:rPr>
            </w:pPr>
          </w:p>
        </w:tc>
        <w:tc>
          <w:tcPr>
            <w:tcW w:w="964" w:type="dxa"/>
            <w:vAlign w:val="center"/>
          </w:tcPr>
          <w:p w:rsidR="00926A0D" w:rsidRDefault="006023A9">
            <w:pPr>
              <w:jc w:val="center"/>
              <w:rPr>
                <w:noProof/>
                <w:sz w:val="20"/>
              </w:rPr>
            </w:pPr>
            <w:r>
              <w:rPr>
                <w:noProof/>
                <w:sz w:val="20"/>
              </w:rPr>
              <w:t>Year</w:t>
            </w:r>
            <w:r>
              <w:rPr>
                <w:noProof/>
                <w:sz w:val="22"/>
              </w:rPr>
              <w:br/>
            </w:r>
            <w:r>
              <w:rPr>
                <w:b/>
                <w:noProof/>
                <w:sz w:val="20"/>
              </w:rPr>
              <w:t>N</w:t>
            </w:r>
          </w:p>
        </w:tc>
        <w:tc>
          <w:tcPr>
            <w:tcW w:w="964" w:type="dxa"/>
            <w:vAlign w:val="center"/>
          </w:tcPr>
          <w:p w:rsidR="00926A0D" w:rsidRDefault="006023A9">
            <w:pPr>
              <w:jc w:val="center"/>
              <w:rPr>
                <w:noProof/>
                <w:sz w:val="20"/>
              </w:rPr>
            </w:pPr>
            <w:r>
              <w:rPr>
                <w:noProof/>
                <w:sz w:val="20"/>
              </w:rPr>
              <w:t>Year</w:t>
            </w:r>
            <w:r>
              <w:rPr>
                <w:noProof/>
                <w:sz w:val="22"/>
              </w:rPr>
              <w:br/>
            </w:r>
            <w:r>
              <w:rPr>
                <w:b/>
                <w:noProof/>
                <w:sz w:val="20"/>
              </w:rPr>
              <w:t>N+1</w:t>
            </w:r>
          </w:p>
        </w:tc>
        <w:tc>
          <w:tcPr>
            <w:tcW w:w="964" w:type="dxa"/>
            <w:vAlign w:val="center"/>
          </w:tcPr>
          <w:p w:rsidR="00926A0D" w:rsidRDefault="006023A9">
            <w:pPr>
              <w:jc w:val="center"/>
              <w:rPr>
                <w:noProof/>
                <w:sz w:val="20"/>
              </w:rPr>
            </w:pPr>
            <w:r>
              <w:rPr>
                <w:noProof/>
                <w:sz w:val="20"/>
              </w:rPr>
              <w:t>Year</w:t>
            </w:r>
            <w:r>
              <w:rPr>
                <w:noProof/>
                <w:sz w:val="22"/>
              </w:rPr>
              <w:br/>
            </w:r>
            <w:r>
              <w:rPr>
                <w:b/>
                <w:noProof/>
                <w:sz w:val="20"/>
              </w:rPr>
              <w:t>N+2</w:t>
            </w:r>
          </w:p>
        </w:tc>
        <w:tc>
          <w:tcPr>
            <w:tcW w:w="964" w:type="dxa"/>
            <w:vAlign w:val="center"/>
          </w:tcPr>
          <w:p w:rsidR="00926A0D" w:rsidRDefault="006023A9">
            <w:pPr>
              <w:jc w:val="center"/>
              <w:rPr>
                <w:noProof/>
                <w:sz w:val="20"/>
              </w:rPr>
            </w:pPr>
            <w:r>
              <w:rPr>
                <w:noProof/>
                <w:sz w:val="20"/>
              </w:rPr>
              <w:t>Year</w:t>
            </w:r>
            <w:r>
              <w:rPr>
                <w:noProof/>
                <w:sz w:val="22"/>
              </w:rPr>
              <w:br/>
            </w:r>
            <w:r>
              <w:rPr>
                <w:b/>
                <w:noProof/>
                <w:sz w:val="20"/>
              </w:rPr>
              <w:t>N+3</w:t>
            </w:r>
          </w:p>
        </w:tc>
        <w:tc>
          <w:tcPr>
            <w:tcW w:w="2892" w:type="dxa"/>
            <w:gridSpan w:val="3"/>
            <w:vAlign w:val="center"/>
          </w:tcPr>
          <w:p w:rsidR="00926A0D" w:rsidRDefault="006023A9">
            <w:pPr>
              <w:jc w:val="center"/>
              <w:rPr>
                <w:b/>
                <w:noProof/>
                <w:sz w:val="20"/>
              </w:rPr>
            </w:pPr>
            <w:r>
              <w:rPr>
                <w:noProof/>
                <w:sz w:val="20"/>
              </w:rPr>
              <w:t>Enter as many years as necessary to show the duration of the impact (see point 1.6)</w:t>
            </w:r>
          </w:p>
        </w:tc>
        <w:tc>
          <w:tcPr>
            <w:tcW w:w="1158" w:type="dxa"/>
            <w:vAlign w:val="center"/>
          </w:tcPr>
          <w:p w:rsidR="00926A0D" w:rsidRDefault="006023A9">
            <w:pPr>
              <w:spacing w:before="60" w:after="60"/>
              <w:jc w:val="center"/>
              <w:rPr>
                <w:noProof/>
                <w:sz w:val="20"/>
              </w:rPr>
            </w:pPr>
            <w:r>
              <w:rPr>
                <w:noProof/>
                <w:sz w:val="20"/>
              </w:rPr>
              <w:t>Total</w:t>
            </w:r>
          </w:p>
        </w:tc>
      </w:tr>
      <w:tr w:rsidR="00926A0D">
        <w:trPr>
          <w:cantSplit/>
        </w:trPr>
        <w:tc>
          <w:tcPr>
            <w:tcW w:w="2340" w:type="dxa"/>
          </w:tcPr>
          <w:p w:rsidR="00926A0D" w:rsidRDefault="006023A9">
            <w:pPr>
              <w:rPr>
                <w:noProof/>
              </w:rPr>
            </w:pPr>
            <w:r>
              <w:rPr>
                <w:noProof/>
                <w:sz w:val="20"/>
              </w:rPr>
              <w:t>Specify the co-financing body</w:t>
            </w:r>
            <w:r>
              <w:rPr>
                <w:i/>
                <w:noProof/>
                <w:sz w:val="20"/>
              </w:rPr>
              <w:t xml:space="preserve"> </w:t>
            </w:r>
          </w:p>
        </w:tc>
        <w:tc>
          <w:tcPr>
            <w:tcW w:w="964" w:type="dxa"/>
            <w:vAlign w:val="center"/>
          </w:tcPr>
          <w:p w:rsidR="00926A0D" w:rsidRDefault="00926A0D">
            <w:pPr>
              <w:spacing w:before="60" w:after="60"/>
              <w:jc w:val="center"/>
              <w:rPr>
                <w:noProof/>
                <w:sz w:val="20"/>
              </w:rPr>
            </w:pPr>
          </w:p>
        </w:tc>
        <w:tc>
          <w:tcPr>
            <w:tcW w:w="964" w:type="dxa"/>
            <w:vAlign w:val="center"/>
          </w:tcPr>
          <w:p w:rsidR="00926A0D" w:rsidRDefault="00926A0D">
            <w:pPr>
              <w:spacing w:before="60" w:after="60"/>
              <w:jc w:val="center"/>
              <w:rPr>
                <w:noProof/>
                <w:sz w:val="20"/>
              </w:rPr>
            </w:pPr>
          </w:p>
        </w:tc>
        <w:tc>
          <w:tcPr>
            <w:tcW w:w="964" w:type="dxa"/>
            <w:vAlign w:val="center"/>
          </w:tcPr>
          <w:p w:rsidR="00926A0D" w:rsidRDefault="00926A0D">
            <w:pPr>
              <w:spacing w:before="60" w:after="60"/>
              <w:jc w:val="center"/>
              <w:rPr>
                <w:noProof/>
                <w:sz w:val="20"/>
              </w:rPr>
            </w:pPr>
          </w:p>
        </w:tc>
        <w:tc>
          <w:tcPr>
            <w:tcW w:w="964" w:type="dxa"/>
            <w:vAlign w:val="center"/>
          </w:tcPr>
          <w:p w:rsidR="00926A0D" w:rsidRDefault="00926A0D">
            <w:pPr>
              <w:spacing w:before="60" w:after="60"/>
              <w:jc w:val="center"/>
              <w:rPr>
                <w:noProof/>
                <w:sz w:val="20"/>
              </w:rPr>
            </w:pPr>
          </w:p>
        </w:tc>
        <w:tc>
          <w:tcPr>
            <w:tcW w:w="964" w:type="dxa"/>
            <w:vAlign w:val="center"/>
          </w:tcPr>
          <w:p w:rsidR="00926A0D" w:rsidRDefault="00926A0D">
            <w:pPr>
              <w:spacing w:before="60" w:after="60"/>
              <w:jc w:val="center"/>
              <w:rPr>
                <w:noProof/>
                <w:sz w:val="20"/>
              </w:rPr>
            </w:pPr>
          </w:p>
        </w:tc>
        <w:tc>
          <w:tcPr>
            <w:tcW w:w="964" w:type="dxa"/>
            <w:vAlign w:val="center"/>
          </w:tcPr>
          <w:p w:rsidR="00926A0D" w:rsidRDefault="00926A0D">
            <w:pPr>
              <w:spacing w:before="60" w:after="60"/>
              <w:jc w:val="center"/>
              <w:rPr>
                <w:noProof/>
                <w:sz w:val="20"/>
              </w:rPr>
            </w:pPr>
          </w:p>
        </w:tc>
        <w:tc>
          <w:tcPr>
            <w:tcW w:w="964" w:type="dxa"/>
            <w:vAlign w:val="center"/>
          </w:tcPr>
          <w:p w:rsidR="00926A0D" w:rsidRDefault="00926A0D">
            <w:pPr>
              <w:spacing w:before="60" w:after="60"/>
              <w:jc w:val="center"/>
              <w:rPr>
                <w:noProof/>
                <w:sz w:val="20"/>
              </w:rPr>
            </w:pPr>
          </w:p>
        </w:tc>
        <w:tc>
          <w:tcPr>
            <w:tcW w:w="1158" w:type="dxa"/>
            <w:vAlign w:val="center"/>
          </w:tcPr>
          <w:p w:rsidR="00926A0D" w:rsidRDefault="00926A0D">
            <w:pPr>
              <w:spacing w:before="60" w:after="60"/>
              <w:jc w:val="center"/>
              <w:rPr>
                <w:noProof/>
                <w:sz w:val="20"/>
              </w:rPr>
            </w:pPr>
          </w:p>
        </w:tc>
      </w:tr>
      <w:tr w:rsidR="00926A0D">
        <w:trPr>
          <w:cantSplit/>
        </w:trPr>
        <w:tc>
          <w:tcPr>
            <w:tcW w:w="2340" w:type="dxa"/>
          </w:tcPr>
          <w:p w:rsidR="00926A0D" w:rsidRDefault="006023A9">
            <w:pPr>
              <w:spacing w:before="60" w:after="60"/>
              <w:rPr>
                <w:noProof/>
                <w:sz w:val="20"/>
              </w:rPr>
            </w:pPr>
            <w:r>
              <w:rPr>
                <w:noProof/>
                <w:sz w:val="20"/>
              </w:rPr>
              <w:t xml:space="preserve">TOTAL appropriations co-financed </w:t>
            </w:r>
          </w:p>
        </w:tc>
        <w:tc>
          <w:tcPr>
            <w:tcW w:w="964" w:type="dxa"/>
            <w:vAlign w:val="center"/>
          </w:tcPr>
          <w:p w:rsidR="00926A0D" w:rsidRDefault="00926A0D">
            <w:pPr>
              <w:spacing w:before="60" w:after="60"/>
              <w:jc w:val="center"/>
              <w:rPr>
                <w:noProof/>
                <w:sz w:val="20"/>
              </w:rPr>
            </w:pPr>
          </w:p>
        </w:tc>
        <w:tc>
          <w:tcPr>
            <w:tcW w:w="964" w:type="dxa"/>
            <w:vAlign w:val="center"/>
          </w:tcPr>
          <w:p w:rsidR="00926A0D" w:rsidRDefault="00926A0D">
            <w:pPr>
              <w:spacing w:before="60" w:after="60"/>
              <w:jc w:val="center"/>
              <w:rPr>
                <w:noProof/>
                <w:sz w:val="20"/>
              </w:rPr>
            </w:pPr>
          </w:p>
        </w:tc>
        <w:tc>
          <w:tcPr>
            <w:tcW w:w="964" w:type="dxa"/>
            <w:vAlign w:val="center"/>
          </w:tcPr>
          <w:p w:rsidR="00926A0D" w:rsidRDefault="00926A0D">
            <w:pPr>
              <w:spacing w:before="60" w:after="60"/>
              <w:jc w:val="center"/>
              <w:rPr>
                <w:noProof/>
                <w:sz w:val="20"/>
              </w:rPr>
            </w:pPr>
          </w:p>
        </w:tc>
        <w:tc>
          <w:tcPr>
            <w:tcW w:w="964" w:type="dxa"/>
            <w:vAlign w:val="center"/>
          </w:tcPr>
          <w:p w:rsidR="00926A0D" w:rsidRDefault="00926A0D">
            <w:pPr>
              <w:spacing w:before="60" w:after="60"/>
              <w:jc w:val="center"/>
              <w:rPr>
                <w:noProof/>
                <w:sz w:val="20"/>
              </w:rPr>
            </w:pPr>
          </w:p>
        </w:tc>
        <w:tc>
          <w:tcPr>
            <w:tcW w:w="964" w:type="dxa"/>
            <w:vAlign w:val="center"/>
          </w:tcPr>
          <w:p w:rsidR="00926A0D" w:rsidRDefault="00926A0D">
            <w:pPr>
              <w:spacing w:before="60" w:after="60"/>
              <w:jc w:val="center"/>
              <w:rPr>
                <w:noProof/>
                <w:sz w:val="20"/>
              </w:rPr>
            </w:pPr>
          </w:p>
        </w:tc>
        <w:tc>
          <w:tcPr>
            <w:tcW w:w="964" w:type="dxa"/>
            <w:vAlign w:val="center"/>
          </w:tcPr>
          <w:p w:rsidR="00926A0D" w:rsidRDefault="00926A0D">
            <w:pPr>
              <w:spacing w:before="60" w:after="60"/>
              <w:jc w:val="center"/>
              <w:rPr>
                <w:noProof/>
                <w:sz w:val="20"/>
              </w:rPr>
            </w:pPr>
          </w:p>
        </w:tc>
        <w:tc>
          <w:tcPr>
            <w:tcW w:w="964" w:type="dxa"/>
            <w:vAlign w:val="center"/>
          </w:tcPr>
          <w:p w:rsidR="00926A0D" w:rsidRDefault="00926A0D">
            <w:pPr>
              <w:spacing w:before="60" w:after="60"/>
              <w:jc w:val="center"/>
              <w:rPr>
                <w:noProof/>
                <w:sz w:val="20"/>
              </w:rPr>
            </w:pPr>
          </w:p>
        </w:tc>
        <w:tc>
          <w:tcPr>
            <w:tcW w:w="1158" w:type="dxa"/>
            <w:vAlign w:val="center"/>
          </w:tcPr>
          <w:p w:rsidR="00926A0D" w:rsidRDefault="00926A0D">
            <w:pPr>
              <w:spacing w:before="60" w:after="60"/>
              <w:jc w:val="center"/>
              <w:rPr>
                <w:noProof/>
                <w:sz w:val="20"/>
              </w:rPr>
            </w:pPr>
          </w:p>
        </w:tc>
      </w:tr>
    </w:tbl>
    <w:p w:rsidR="00926A0D" w:rsidRDefault="006023A9">
      <w:pPr>
        <w:rPr>
          <w:noProof/>
        </w:rPr>
      </w:pPr>
      <w:r>
        <w:rPr>
          <w:noProof/>
        </w:rPr>
        <w:br/>
      </w:r>
    </w:p>
    <w:p w:rsidR="00926A0D" w:rsidRDefault="006023A9">
      <w:pPr>
        <w:pStyle w:val="ManualHeading2"/>
        <w:rPr>
          <w:bCs/>
          <w:noProof/>
          <w:szCs w:val="24"/>
        </w:rPr>
      </w:pPr>
      <w:r>
        <w:rPr>
          <w:noProof/>
        </w:rPr>
        <w:br w:type="page"/>
      </w:r>
      <w:r w:rsidR="003312D8">
        <w:lastRenderedPageBreak/>
        <w:t>3</w:t>
      </w:r>
      <w:r>
        <w:t>.3.</w:t>
      </w:r>
      <w:r>
        <w:tab/>
      </w:r>
      <w:r>
        <w:rPr>
          <w:noProof/>
        </w:rPr>
        <w:t xml:space="preserve">Estimated impact on revenue </w:t>
      </w:r>
    </w:p>
    <w:p w:rsidR="00926A0D" w:rsidRDefault="006023A9" w:rsidP="0076006B">
      <w:pPr>
        <w:pStyle w:val="ListDash1"/>
        <w:numPr>
          <w:ilvl w:val="0"/>
          <w:numId w:val="32"/>
        </w:numPr>
        <w:rPr>
          <w:noProof/>
        </w:rPr>
      </w:pPr>
      <w:r>
        <w:rPr>
          <w:noProof/>
        </w:rPr>
        <w:sym w:font="Wingdings" w:char="F0A8"/>
      </w:r>
      <w:r>
        <w:rPr>
          <w:noProof/>
        </w:rPr>
        <w:tab/>
        <w:t>The proposal/initiative has no financial impact on revenue.</w:t>
      </w:r>
    </w:p>
    <w:p w:rsidR="00926A0D" w:rsidRDefault="006023A9" w:rsidP="0076006B">
      <w:pPr>
        <w:pStyle w:val="ListDash1"/>
        <w:numPr>
          <w:ilvl w:val="0"/>
          <w:numId w:val="32"/>
        </w:numPr>
        <w:rPr>
          <w:noProof/>
        </w:rPr>
      </w:pPr>
      <w:r>
        <w:rPr>
          <w:noProof/>
        </w:rPr>
        <w:sym w:font="Wingdings" w:char="F0A8"/>
      </w:r>
      <w:r>
        <w:rPr>
          <w:noProof/>
        </w:rPr>
        <w:tab/>
        <w:t>The proposal/initiative has the following financial impact:</w:t>
      </w:r>
    </w:p>
    <w:p w:rsidR="00926A0D" w:rsidRDefault="006023A9" w:rsidP="0076006B">
      <w:pPr>
        <w:pStyle w:val="ListNumberLevel3"/>
        <w:numPr>
          <w:ilvl w:val="2"/>
          <w:numId w:val="30"/>
        </w:numPr>
        <w:rPr>
          <w:noProof/>
        </w:rPr>
      </w:pPr>
      <w:r>
        <w:rPr>
          <w:noProof/>
        </w:rPr>
        <w:sym w:font="Wingdings" w:char="F0A8"/>
      </w:r>
      <w:r>
        <w:rPr>
          <w:noProof/>
        </w:rPr>
        <w:tab/>
        <w:t xml:space="preserve">on own resources </w:t>
      </w:r>
    </w:p>
    <w:p w:rsidR="00926A0D" w:rsidRDefault="006023A9" w:rsidP="0076006B">
      <w:pPr>
        <w:pStyle w:val="ListNumberLevel3"/>
        <w:numPr>
          <w:ilvl w:val="2"/>
          <w:numId w:val="30"/>
        </w:numPr>
        <w:rPr>
          <w:noProof/>
        </w:rPr>
      </w:pPr>
      <w:r>
        <w:rPr>
          <w:noProof/>
        </w:rPr>
        <w:sym w:font="Wingdings" w:char="F0A8"/>
      </w:r>
      <w:r>
        <w:rPr>
          <w:noProof/>
        </w:rPr>
        <w:tab/>
        <w:t xml:space="preserve">on miscellaneous revenue </w:t>
      </w:r>
    </w:p>
    <w:p w:rsidR="00926A0D" w:rsidRDefault="006023A9">
      <w:pPr>
        <w:jc w:val="right"/>
        <w:rPr>
          <w:i/>
          <w:noProof/>
          <w:sz w:val="20"/>
        </w:rPr>
      </w:pPr>
      <w:r>
        <w:rPr>
          <w:noProof/>
          <w:sz w:val="20"/>
        </w:rPr>
        <w:t>EUR million (to three decimal places)</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926A0D">
        <w:trPr>
          <w:trHeight w:val="388"/>
        </w:trPr>
        <w:tc>
          <w:tcPr>
            <w:tcW w:w="2144" w:type="dxa"/>
            <w:vMerge w:val="restart"/>
            <w:vAlign w:val="center"/>
          </w:tcPr>
          <w:p w:rsidR="00926A0D" w:rsidRDefault="006023A9">
            <w:pPr>
              <w:spacing w:before="40" w:after="40"/>
              <w:rPr>
                <w:noProof/>
                <w:sz w:val="18"/>
              </w:rPr>
            </w:pPr>
            <w:r>
              <w:rPr>
                <w:noProof/>
                <w:sz w:val="18"/>
              </w:rPr>
              <w:t>Budget revenue line:</w:t>
            </w:r>
          </w:p>
        </w:tc>
        <w:tc>
          <w:tcPr>
            <w:tcW w:w="1276" w:type="dxa"/>
            <w:vMerge w:val="restart"/>
            <w:vAlign w:val="center"/>
          </w:tcPr>
          <w:p w:rsidR="00926A0D" w:rsidRDefault="006023A9">
            <w:pPr>
              <w:jc w:val="center"/>
              <w:rPr>
                <w:noProof/>
                <w:sz w:val="18"/>
              </w:rPr>
            </w:pPr>
            <w:r>
              <w:rPr>
                <w:noProof/>
                <w:sz w:val="18"/>
              </w:rPr>
              <w:t>Appropriations available for the current financial year</w:t>
            </w:r>
          </w:p>
        </w:tc>
        <w:tc>
          <w:tcPr>
            <w:tcW w:w="7200" w:type="dxa"/>
            <w:gridSpan w:val="7"/>
            <w:vAlign w:val="center"/>
          </w:tcPr>
          <w:p w:rsidR="00926A0D" w:rsidRDefault="006023A9">
            <w:pPr>
              <w:jc w:val="center"/>
              <w:rPr>
                <w:noProof/>
                <w:sz w:val="18"/>
              </w:rPr>
            </w:pPr>
            <w:r>
              <w:rPr>
                <w:noProof/>
                <w:sz w:val="18"/>
              </w:rPr>
              <w:t>Impact of the proposal/initiative</w:t>
            </w:r>
            <w:r>
              <w:rPr>
                <w:rStyle w:val="FootnoteReference"/>
                <w:noProof/>
                <w:sz w:val="18"/>
              </w:rPr>
              <w:footnoteReference w:id="67"/>
            </w:r>
          </w:p>
        </w:tc>
      </w:tr>
      <w:tr w:rsidR="00926A0D">
        <w:trPr>
          <w:trHeight w:val="388"/>
        </w:trPr>
        <w:tc>
          <w:tcPr>
            <w:tcW w:w="2144" w:type="dxa"/>
            <w:vMerge/>
            <w:vAlign w:val="center"/>
          </w:tcPr>
          <w:p w:rsidR="00926A0D" w:rsidRDefault="00926A0D">
            <w:pPr>
              <w:rPr>
                <w:noProof/>
                <w:sz w:val="18"/>
              </w:rPr>
            </w:pPr>
          </w:p>
        </w:tc>
        <w:tc>
          <w:tcPr>
            <w:tcW w:w="1276" w:type="dxa"/>
            <w:vMerge/>
            <w:vAlign w:val="center"/>
          </w:tcPr>
          <w:p w:rsidR="00926A0D" w:rsidRDefault="00926A0D">
            <w:pPr>
              <w:rPr>
                <w:noProof/>
                <w:sz w:val="18"/>
              </w:rPr>
            </w:pPr>
          </w:p>
        </w:tc>
        <w:tc>
          <w:tcPr>
            <w:tcW w:w="1080" w:type="dxa"/>
            <w:vAlign w:val="center"/>
          </w:tcPr>
          <w:p w:rsidR="00926A0D" w:rsidRDefault="006023A9">
            <w:pPr>
              <w:jc w:val="center"/>
              <w:rPr>
                <w:noProof/>
                <w:sz w:val="18"/>
              </w:rPr>
            </w:pPr>
            <w:r>
              <w:rPr>
                <w:noProof/>
                <w:sz w:val="18"/>
              </w:rPr>
              <w:t>Year</w:t>
            </w:r>
            <w:r>
              <w:rPr>
                <w:noProof/>
                <w:sz w:val="22"/>
              </w:rPr>
              <w:br/>
            </w:r>
            <w:r>
              <w:rPr>
                <w:b/>
                <w:noProof/>
                <w:sz w:val="18"/>
              </w:rPr>
              <w:t>N</w:t>
            </w:r>
          </w:p>
        </w:tc>
        <w:tc>
          <w:tcPr>
            <w:tcW w:w="900" w:type="dxa"/>
            <w:vAlign w:val="center"/>
          </w:tcPr>
          <w:p w:rsidR="00926A0D" w:rsidRDefault="006023A9">
            <w:pPr>
              <w:jc w:val="center"/>
              <w:rPr>
                <w:noProof/>
                <w:sz w:val="18"/>
              </w:rPr>
            </w:pPr>
            <w:r>
              <w:rPr>
                <w:noProof/>
                <w:sz w:val="18"/>
              </w:rPr>
              <w:t>Year</w:t>
            </w:r>
            <w:r>
              <w:rPr>
                <w:noProof/>
                <w:sz w:val="22"/>
              </w:rPr>
              <w:br/>
            </w:r>
            <w:r>
              <w:rPr>
                <w:b/>
                <w:noProof/>
                <w:sz w:val="18"/>
              </w:rPr>
              <w:t>N+1</w:t>
            </w:r>
          </w:p>
        </w:tc>
        <w:tc>
          <w:tcPr>
            <w:tcW w:w="900" w:type="dxa"/>
            <w:vAlign w:val="center"/>
          </w:tcPr>
          <w:p w:rsidR="00926A0D" w:rsidRDefault="006023A9">
            <w:pPr>
              <w:jc w:val="center"/>
              <w:rPr>
                <w:noProof/>
                <w:sz w:val="18"/>
              </w:rPr>
            </w:pPr>
            <w:r>
              <w:rPr>
                <w:noProof/>
                <w:sz w:val="18"/>
              </w:rPr>
              <w:t>Year</w:t>
            </w:r>
            <w:r>
              <w:rPr>
                <w:noProof/>
                <w:sz w:val="22"/>
              </w:rPr>
              <w:br/>
            </w:r>
            <w:r>
              <w:rPr>
                <w:b/>
                <w:noProof/>
                <w:sz w:val="18"/>
              </w:rPr>
              <w:t>N+2</w:t>
            </w:r>
          </w:p>
        </w:tc>
        <w:tc>
          <w:tcPr>
            <w:tcW w:w="1080" w:type="dxa"/>
            <w:vAlign w:val="center"/>
          </w:tcPr>
          <w:p w:rsidR="00926A0D" w:rsidRDefault="006023A9">
            <w:pPr>
              <w:jc w:val="center"/>
              <w:rPr>
                <w:noProof/>
                <w:sz w:val="18"/>
              </w:rPr>
            </w:pPr>
            <w:r>
              <w:rPr>
                <w:noProof/>
                <w:sz w:val="18"/>
              </w:rPr>
              <w:t>Year</w:t>
            </w:r>
            <w:r>
              <w:rPr>
                <w:noProof/>
                <w:sz w:val="22"/>
              </w:rPr>
              <w:br/>
            </w:r>
            <w:r>
              <w:rPr>
                <w:b/>
                <w:noProof/>
                <w:sz w:val="18"/>
              </w:rPr>
              <w:t>N+3</w:t>
            </w:r>
          </w:p>
        </w:tc>
        <w:tc>
          <w:tcPr>
            <w:tcW w:w="3240" w:type="dxa"/>
            <w:gridSpan w:val="3"/>
            <w:vAlign w:val="center"/>
          </w:tcPr>
          <w:p w:rsidR="00926A0D" w:rsidRDefault="006023A9">
            <w:pPr>
              <w:jc w:val="center"/>
              <w:rPr>
                <w:b/>
                <w:noProof/>
                <w:sz w:val="18"/>
              </w:rPr>
            </w:pPr>
            <w:r>
              <w:rPr>
                <w:noProof/>
                <w:sz w:val="18"/>
              </w:rPr>
              <w:t>Enter as many years as necessary to show the duration of the impact (see point 1.6)</w:t>
            </w:r>
          </w:p>
        </w:tc>
      </w:tr>
      <w:tr w:rsidR="00926A0D">
        <w:trPr>
          <w:trHeight w:val="388"/>
        </w:trPr>
        <w:tc>
          <w:tcPr>
            <w:tcW w:w="2144" w:type="dxa"/>
            <w:vAlign w:val="center"/>
          </w:tcPr>
          <w:p w:rsidR="00926A0D" w:rsidRDefault="006023A9">
            <w:pPr>
              <w:spacing w:before="40" w:after="40"/>
              <w:rPr>
                <w:noProof/>
                <w:sz w:val="18"/>
              </w:rPr>
            </w:pPr>
            <w:r>
              <w:rPr>
                <w:noProof/>
                <w:sz w:val="18"/>
              </w:rPr>
              <w:t>Article ………….</w:t>
            </w:r>
          </w:p>
        </w:tc>
        <w:tc>
          <w:tcPr>
            <w:tcW w:w="1276" w:type="dxa"/>
          </w:tcPr>
          <w:p w:rsidR="00926A0D" w:rsidRDefault="00926A0D">
            <w:pPr>
              <w:spacing w:beforeLines="40" w:before="96" w:afterLines="40" w:after="96"/>
              <w:jc w:val="center"/>
              <w:rPr>
                <w:i/>
                <w:noProof/>
                <w:sz w:val="18"/>
              </w:rPr>
            </w:pPr>
          </w:p>
        </w:tc>
        <w:tc>
          <w:tcPr>
            <w:tcW w:w="1080" w:type="dxa"/>
          </w:tcPr>
          <w:p w:rsidR="00926A0D" w:rsidRDefault="00926A0D">
            <w:pPr>
              <w:spacing w:beforeLines="40" w:before="96" w:afterLines="40" w:after="96"/>
              <w:jc w:val="center"/>
              <w:rPr>
                <w:noProof/>
                <w:sz w:val="18"/>
              </w:rPr>
            </w:pPr>
          </w:p>
        </w:tc>
        <w:tc>
          <w:tcPr>
            <w:tcW w:w="900" w:type="dxa"/>
          </w:tcPr>
          <w:p w:rsidR="00926A0D" w:rsidRDefault="00926A0D">
            <w:pPr>
              <w:spacing w:beforeLines="40" w:before="96" w:afterLines="40" w:after="96"/>
              <w:jc w:val="center"/>
              <w:rPr>
                <w:noProof/>
                <w:sz w:val="18"/>
              </w:rPr>
            </w:pPr>
          </w:p>
        </w:tc>
        <w:tc>
          <w:tcPr>
            <w:tcW w:w="900" w:type="dxa"/>
          </w:tcPr>
          <w:p w:rsidR="00926A0D" w:rsidRDefault="00926A0D">
            <w:pPr>
              <w:spacing w:beforeLines="40" w:before="96" w:afterLines="40" w:after="96"/>
              <w:jc w:val="center"/>
              <w:rPr>
                <w:noProof/>
                <w:sz w:val="18"/>
              </w:rPr>
            </w:pPr>
          </w:p>
        </w:tc>
        <w:tc>
          <w:tcPr>
            <w:tcW w:w="1080" w:type="dxa"/>
          </w:tcPr>
          <w:p w:rsidR="00926A0D" w:rsidRDefault="00926A0D">
            <w:pPr>
              <w:spacing w:beforeLines="40" w:before="96" w:afterLines="40" w:after="96"/>
              <w:jc w:val="center"/>
              <w:rPr>
                <w:noProof/>
                <w:sz w:val="18"/>
              </w:rPr>
            </w:pPr>
          </w:p>
        </w:tc>
        <w:tc>
          <w:tcPr>
            <w:tcW w:w="1080" w:type="dxa"/>
          </w:tcPr>
          <w:p w:rsidR="00926A0D" w:rsidRDefault="00926A0D">
            <w:pPr>
              <w:spacing w:beforeLines="40" w:before="96" w:afterLines="40" w:after="96"/>
              <w:jc w:val="center"/>
              <w:rPr>
                <w:noProof/>
                <w:sz w:val="18"/>
              </w:rPr>
            </w:pPr>
          </w:p>
        </w:tc>
        <w:tc>
          <w:tcPr>
            <w:tcW w:w="1080" w:type="dxa"/>
          </w:tcPr>
          <w:p w:rsidR="00926A0D" w:rsidRDefault="00926A0D">
            <w:pPr>
              <w:spacing w:beforeLines="40" w:before="96" w:afterLines="40" w:after="96"/>
              <w:jc w:val="center"/>
              <w:rPr>
                <w:noProof/>
                <w:sz w:val="18"/>
              </w:rPr>
            </w:pPr>
          </w:p>
        </w:tc>
        <w:tc>
          <w:tcPr>
            <w:tcW w:w="1080" w:type="dxa"/>
          </w:tcPr>
          <w:p w:rsidR="00926A0D" w:rsidRDefault="00926A0D">
            <w:pPr>
              <w:spacing w:beforeLines="40" w:before="96" w:afterLines="40" w:after="96"/>
              <w:jc w:val="center"/>
              <w:rPr>
                <w:noProof/>
                <w:sz w:val="18"/>
              </w:rPr>
            </w:pPr>
          </w:p>
        </w:tc>
      </w:tr>
    </w:tbl>
    <w:p w:rsidR="00926A0D" w:rsidRDefault="006023A9">
      <w:pPr>
        <w:pStyle w:val="Text1"/>
        <w:rPr>
          <w:noProof/>
          <w:sz w:val="20"/>
        </w:rPr>
      </w:pPr>
      <w:r>
        <w:rPr>
          <w:noProof/>
          <w:sz w:val="20"/>
        </w:rPr>
        <w:t>For miscellaneous ‘assigned’ revenue, specify the budget expenditure line(s) affected.</w:t>
      </w:r>
    </w:p>
    <w:p w:rsidR="00926A0D" w:rsidRDefault="00926A0D">
      <w:pPr>
        <w:pStyle w:val="Text1"/>
        <w:pBdr>
          <w:top w:val="single" w:sz="4" w:space="1" w:color="auto"/>
          <w:left w:val="single" w:sz="4" w:space="4" w:color="auto"/>
          <w:bottom w:val="single" w:sz="4" w:space="1" w:color="auto"/>
          <w:right w:val="single" w:sz="4" w:space="4" w:color="auto"/>
        </w:pBdr>
        <w:rPr>
          <w:noProof/>
        </w:rPr>
      </w:pPr>
    </w:p>
    <w:p w:rsidR="00926A0D" w:rsidRDefault="006023A9">
      <w:pPr>
        <w:pStyle w:val="Text1"/>
        <w:rPr>
          <w:noProof/>
          <w:sz w:val="20"/>
        </w:rPr>
      </w:pPr>
      <w:r>
        <w:rPr>
          <w:noProof/>
          <w:sz w:val="20"/>
        </w:rPr>
        <w:t>Specify the method for calculating the impact on revenue.</w:t>
      </w:r>
    </w:p>
    <w:p w:rsidR="00926A0D" w:rsidRDefault="00926A0D">
      <w:pPr>
        <w:pStyle w:val="Text1"/>
        <w:pBdr>
          <w:top w:val="single" w:sz="4" w:space="1" w:color="auto"/>
          <w:left w:val="single" w:sz="4" w:space="4" w:color="auto"/>
          <w:bottom w:val="single" w:sz="4" w:space="1" w:color="auto"/>
          <w:right w:val="single" w:sz="4" w:space="4" w:color="auto"/>
        </w:pBdr>
        <w:rPr>
          <w:noProof/>
        </w:rPr>
      </w:pPr>
    </w:p>
    <w:p w:rsidR="00926A0D" w:rsidRDefault="00926A0D">
      <w:pPr>
        <w:rPr>
          <w:noProof/>
        </w:rPr>
      </w:pPr>
    </w:p>
    <w:sectPr w:rsidR="00926A0D" w:rsidSect="00211F8F">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D0A" w:rsidRDefault="005E6D0A">
      <w:pPr>
        <w:spacing w:before="0" w:after="0"/>
      </w:pPr>
      <w:r>
        <w:separator/>
      </w:r>
    </w:p>
  </w:endnote>
  <w:endnote w:type="continuationSeparator" w:id="0">
    <w:p w:rsidR="005E6D0A" w:rsidRDefault="005E6D0A">
      <w:pPr>
        <w:spacing w:before="0" w:after="0"/>
      </w:pPr>
      <w:r>
        <w:continuationSeparator/>
      </w:r>
    </w:p>
  </w:endnote>
  <w:endnote w:type="continuationNotice" w:id="1">
    <w:p w:rsidR="005E6D0A" w:rsidRDefault="005E6D0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93D" w:rsidRDefault="00E6093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DB" w:rsidRPr="00211F8F" w:rsidRDefault="00211F8F" w:rsidP="00211F8F">
    <w:pPr>
      <w:pStyle w:val="FooterLandscape"/>
      <w:rPr>
        <w:rFonts w:ascii="Arial" w:hAnsi="Arial" w:cs="Arial"/>
        <w:b/>
        <w:sz w:val="48"/>
      </w:rPr>
    </w:pPr>
    <w:r w:rsidRPr="00211F8F">
      <w:rPr>
        <w:rFonts w:ascii="Arial" w:hAnsi="Arial" w:cs="Arial"/>
        <w:b/>
        <w:sz w:val="48"/>
      </w:rPr>
      <w:t>EN</w:t>
    </w:r>
    <w:r w:rsidRPr="00211F8F">
      <w:rPr>
        <w:rFonts w:ascii="Arial" w:hAnsi="Arial" w:cs="Arial"/>
        <w:b/>
        <w:sz w:val="48"/>
      </w:rPr>
      <w:tab/>
    </w:r>
    <w:r>
      <w:fldChar w:fldCharType="begin"/>
    </w:r>
    <w:r>
      <w:instrText xml:space="preserve"> PAGE  \* MERGEFORMAT </w:instrText>
    </w:r>
    <w:r>
      <w:fldChar w:fldCharType="separate"/>
    </w:r>
    <w:r w:rsidR="00E6093D">
      <w:rPr>
        <w:noProof/>
      </w:rPr>
      <w:t>86</w:t>
    </w:r>
    <w:r>
      <w:fldChar w:fldCharType="end"/>
    </w:r>
    <w:r>
      <w:tab/>
    </w:r>
    <w:r w:rsidR="00E6093D">
      <w:fldChar w:fldCharType="begin"/>
    </w:r>
    <w:r w:rsidR="00E6093D">
      <w:instrText xml:space="preserve"> DOCVARIABLE "LW_Confidence" \* MERGEFORMAT </w:instrText>
    </w:r>
    <w:r w:rsidR="00E6093D">
      <w:fldChar w:fldCharType="separate"/>
    </w:r>
    <w:r>
      <w:t xml:space="preserve"> </w:t>
    </w:r>
    <w:r w:rsidR="00E6093D">
      <w:fldChar w:fldCharType="end"/>
    </w:r>
    <w:r w:rsidRPr="00211F8F">
      <w:tab/>
    </w:r>
    <w:r w:rsidRPr="00211F8F">
      <w:rPr>
        <w:rFonts w:ascii="Arial" w:hAnsi="Arial" w:cs="Arial"/>
        <w:b/>
        <w:sz w:val="48"/>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F8F" w:rsidRPr="00211F8F" w:rsidRDefault="00211F8F" w:rsidP="00211F8F">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DB" w:rsidRPr="00211F8F" w:rsidRDefault="00211F8F" w:rsidP="00211F8F">
    <w:pPr>
      <w:pStyle w:val="Footer"/>
      <w:rPr>
        <w:rFonts w:ascii="Arial" w:hAnsi="Arial" w:cs="Arial"/>
        <w:b/>
        <w:sz w:val="48"/>
      </w:rPr>
    </w:pPr>
    <w:r w:rsidRPr="00211F8F">
      <w:rPr>
        <w:rFonts w:ascii="Arial" w:hAnsi="Arial" w:cs="Arial"/>
        <w:b/>
        <w:sz w:val="48"/>
      </w:rPr>
      <w:t>EN</w:t>
    </w:r>
    <w:r w:rsidRPr="00211F8F">
      <w:rPr>
        <w:rFonts w:ascii="Arial" w:hAnsi="Arial" w:cs="Arial"/>
        <w:b/>
        <w:sz w:val="48"/>
      </w:rPr>
      <w:tab/>
    </w:r>
    <w:r>
      <w:fldChar w:fldCharType="begin"/>
    </w:r>
    <w:r>
      <w:instrText xml:space="preserve"> PAGE  \* MERGEFORMAT </w:instrText>
    </w:r>
    <w:r>
      <w:fldChar w:fldCharType="separate"/>
    </w:r>
    <w:r w:rsidR="00E6093D">
      <w:rPr>
        <w:noProof/>
      </w:rPr>
      <w:t>90</w:t>
    </w:r>
    <w:r>
      <w:fldChar w:fldCharType="end"/>
    </w:r>
    <w:r>
      <w:tab/>
    </w:r>
    <w:r w:rsidR="00E6093D">
      <w:fldChar w:fldCharType="begin"/>
    </w:r>
    <w:r w:rsidR="00E6093D">
      <w:instrText xml:space="preserve"> DOCVARIABLE "LW_Confidence" \* MERGEFORMAT </w:instrText>
    </w:r>
    <w:r w:rsidR="00E6093D">
      <w:fldChar w:fldCharType="separate"/>
    </w:r>
    <w:r>
      <w:t xml:space="preserve"> </w:t>
    </w:r>
    <w:r w:rsidR="00E6093D">
      <w:fldChar w:fldCharType="end"/>
    </w:r>
    <w:r w:rsidRPr="00211F8F">
      <w:tab/>
    </w:r>
    <w:r w:rsidRPr="00211F8F">
      <w:rPr>
        <w:rFonts w:ascii="Arial" w:hAnsi="Arial" w:cs="Arial"/>
        <w:b/>
        <w:sz w:val="48"/>
      </w:rPr>
      <w:t>EN</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F8F" w:rsidRPr="00211F8F" w:rsidRDefault="00211F8F" w:rsidP="00211F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DB" w:rsidRPr="00211F8F" w:rsidRDefault="00211F8F" w:rsidP="00211F8F">
    <w:pPr>
      <w:pStyle w:val="Footer"/>
      <w:rPr>
        <w:rFonts w:ascii="Arial" w:hAnsi="Arial" w:cs="Arial"/>
        <w:b/>
        <w:sz w:val="48"/>
      </w:rPr>
    </w:pPr>
    <w:r w:rsidRPr="00211F8F">
      <w:rPr>
        <w:rFonts w:ascii="Arial" w:hAnsi="Arial" w:cs="Arial"/>
        <w:b/>
        <w:sz w:val="48"/>
      </w:rPr>
      <w:t>EN</w:t>
    </w:r>
    <w:r w:rsidRPr="00211F8F">
      <w:rPr>
        <w:rFonts w:ascii="Arial" w:hAnsi="Arial" w:cs="Arial"/>
        <w:b/>
        <w:sz w:val="48"/>
      </w:rPr>
      <w:tab/>
    </w:r>
    <w:r w:rsidRPr="00211F8F">
      <w:rPr>
        <w:rFonts w:ascii="Arial" w:hAnsi="Arial" w:cs="Arial"/>
        <w:b/>
        <w:sz w:val="48"/>
      </w:rPr>
      <w:tab/>
    </w:r>
    <w:r w:rsidR="00E6093D">
      <w:fldChar w:fldCharType="begin"/>
    </w:r>
    <w:r w:rsidR="00E6093D">
      <w:instrText xml:space="preserve"> DOCVARIABLE "LW_Confidence" \* MERGEFORMAT </w:instrText>
    </w:r>
    <w:r w:rsidR="00E6093D">
      <w:fldChar w:fldCharType="separate"/>
    </w:r>
    <w:r>
      <w:t xml:space="preserve"> </w:t>
    </w:r>
    <w:r w:rsidR="00E6093D">
      <w:fldChar w:fldCharType="end"/>
    </w:r>
    <w:r w:rsidRPr="00211F8F">
      <w:tab/>
    </w:r>
    <w:proofErr w:type="spellStart"/>
    <w:r w:rsidRPr="00211F8F">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93D" w:rsidRDefault="00E6093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DB" w:rsidRPr="00211F8F" w:rsidRDefault="00211F8F" w:rsidP="00211F8F">
    <w:pPr>
      <w:pStyle w:val="Footer"/>
      <w:rPr>
        <w:rFonts w:ascii="Arial" w:hAnsi="Arial" w:cs="Arial"/>
        <w:b/>
        <w:sz w:val="48"/>
      </w:rPr>
    </w:pPr>
    <w:r w:rsidRPr="00211F8F">
      <w:rPr>
        <w:rFonts w:ascii="Arial" w:hAnsi="Arial" w:cs="Arial"/>
        <w:b/>
        <w:sz w:val="48"/>
      </w:rPr>
      <w:t>EN</w:t>
    </w:r>
    <w:r w:rsidRPr="00211F8F">
      <w:rPr>
        <w:rFonts w:ascii="Arial" w:hAnsi="Arial" w:cs="Arial"/>
        <w:b/>
        <w:sz w:val="48"/>
      </w:rPr>
      <w:tab/>
    </w:r>
    <w:r>
      <w:fldChar w:fldCharType="begin"/>
    </w:r>
    <w:r>
      <w:instrText xml:space="preserve"> PAGE  \* MERGEFORMAT </w:instrText>
    </w:r>
    <w:r>
      <w:fldChar w:fldCharType="separate"/>
    </w:r>
    <w:r w:rsidR="00E6093D">
      <w:rPr>
        <w:noProof/>
      </w:rPr>
      <w:t>3</w:t>
    </w:r>
    <w:r>
      <w:fldChar w:fldCharType="end"/>
    </w:r>
    <w:r>
      <w:tab/>
    </w:r>
    <w:r w:rsidR="00E6093D">
      <w:fldChar w:fldCharType="begin"/>
    </w:r>
    <w:r w:rsidR="00E6093D">
      <w:instrText xml:space="preserve"> DOCVARIABLE "LW_Confidence" \* MERGEFORMAT </w:instrText>
    </w:r>
    <w:r w:rsidR="00E6093D">
      <w:fldChar w:fldCharType="separate"/>
    </w:r>
    <w:r>
      <w:t xml:space="preserve"> </w:t>
    </w:r>
    <w:r w:rsidR="00E6093D">
      <w:fldChar w:fldCharType="end"/>
    </w:r>
    <w:r w:rsidRPr="00211F8F">
      <w:tab/>
    </w:r>
    <w:r w:rsidRPr="00211F8F">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F8F" w:rsidRPr="00211F8F" w:rsidRDefault="00211F8F" w:rsidP="00211F8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DB" w:rsidRPr="00211F8F" w:rsidRDefault="00211F8F" w:rsidP="00211F8F">
    <w:pPr>
      <w:pStyle w:val="FooterLandscape"/>
      <w:rPr>
        <w:rFonts w:ascii="Arial" w:hAnsi="Arial" w:cs="Arial"/>
        <w:b/>
        <w:sz w:val="48"/>
      </w:rPr>
    </w:pPr>
    <w:r w:rsidRPr="00211F8F">
      <w:rPr>
        <w:rFonts w:ascii="Arial" w:hAnsi="Arial" w:cs="Arial"/>
        <w:b/>
        <w:sz w:val="48"/>
      </w:rPr>
      <w:t>EN</w:t>
    </w:r>
    <w:r w:rsidRPr="00211F8F">
      <w:rPr>
        <w:rFonts w:ascii="Arial" w:hAnsi="Arial" w:cs="Arial"/>
        <w:b/>
        <w:sz w:val="48"/>
      </w:rPr>
      <w:tab/>
    </w:r>
    <w:r>
      <w:fldChar w:fldCharType="begin"/>
    </w:r>
    <w:r>
      <w:instrText xml:space="preserve"> PAGE  \* MERGEFORMAT </w:instrText>
    </w:r>
    <w:r>
      <w:fldChar w:fldCharType="separate"/>
    </w:r>
    <w:r w:rsidR="00E6093D">
      <w:rPr>
        <w:noProof/>
      </w:rPr>
      <w:t>71</w:t>
    </w:r>
    <w:r>
      <w:fldChar w:fldCharType="end"/>
    </w:r>
    <w:r>
      <w:tab/>
    </w:r>
    <w:r w:rsidR="00E6093D">
      <w:fldChar w:fldCharType="begin"/>
    </w:r>
    <w:r w:rsidR="00E6093D">
      <w:instrText xml:space="preserve"> DOCVARIABLE "LW_Confidence" \* MERGEFORMAT </w:instrText>
    </w:r>
    <w:r w:rsidR="00E6093D">
      <w:fldChar w:fldCharType="separate"/>
    </w:r>
    <w:r>
      <w:t xml:space="preserve"> </w:t>
    </w:r>
    <w:r w:rsidR="00E6093D">
      <w:fldChar w:fldCharType="end"/>
    </w:r>
    <w:r w:rsidRPr="00211F8F">
      <w:tab/>
    </w:r>
    <w:r w:rsidRPr="00211F8F">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F8F" w:rsidRPr="00211F8F" w:rsidRDefault="00211F8F" w:rsidP="00211F8F">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DB" w:rsidRPr="00211F8F" w:rsidRDefault="00211F8F" w:rsidP="00211F8F">
    <w:pPr>
      <w:pStyle w:val="Footer"/>
      <w:rPr>
        <w:rFonts w:ascii="Arial" w:hAnsi="Arial" w:cs="Arial"/>
        <w:b/>
        <w:sz w:val="48"/>
      </w:rPr>
    </w:pPr>
    <w:r w:rsidRPr="00211F8F">
      <w:rPr>
        <w:rFonts w:ascii="Arial" w:hAnsi="Arial" w:cs="Arial"/>
        <w:b/>
        <w:sz w:val="48"/>
      </w:rPr>
      <w:t>EN</w:t>
    </w:r>
    <w:r w:rsidRPr="00211F8F">
      <w:rPr>
        <w:rFonts w:ascii="Arial" w:hAnsi="Arial" w:cs="Arial"/>
        <w:b/>
        <w:sz w:val="48"/>
      </w:rPr>
      <w:tab/>
    </w:r>
    <w:r>
      <w:fldChar w:fldCharType="begin"/>
    </w:r>
    <w:r>
      <w:instrText xml:space="preserve"> PAGE  \* MERGEFORMAT </w:instrText>
    </w:r>
    <w:r>
      <w:fldChar w:fldCharType="separate"/>
    </w:r>
    <w:r w:rsidR="00E6093D">
      <w:rPr>
        <w:noProof/>
      </w:rPr>
      <w:t>83</w:t>
    </w:r>
    <w:r>
      <w:fldChar w:fldCharType="end"/>
    </w:r>
    <w:r>
      <w:tab/>
    </w:r>
    <w:r w:rsidR="00E6093D">
      <w:fldChar w:fldCharType="begin"/>
    </w:r>
    <w:r w:rsidR="00E6093D">
      <w:instrText xml:space="preserve"> DOCVARIABLE "LW_Confidence" \* MERGEFORMAT </w:instrText>
    </w:r>
    <w:r w:rsidR="00E6093D">
      <w:fldChar w:fldCharType="separate"/>
    </w:r>
    <w:r>
      <w:t xml:space="preserve"> </w:t>
    </w:r>
    <w:r w:rsidR="00E6093D">
      <w:fldChar w:fldCharType="end"/>
    </w:r>
    <w:r w:rsidRPr="00211F8F">
      <w:tab/>
    </w:r>
    <w:r w:rsidRPr="00211F8F">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F8F" w:rsidRPr="00211F8F" w:rsidRDefault="00211F8F" w:rsidP="00211F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D0A" w:rsidRDefault="005E6D0A">
      <w:pPr>
        <w:spacing w:before="0" w:after="0"/>
      </w:pPr>
      <w:r>
        <w:separator/>
      </w:r>
    </w:p>
  </w:footnote>
  <w:footnote w:type="continuationSeparator" w:id="0">
    <w:p w:rsidR="005E6D0A" w:rsidRDefault="005E6D0A">
      <w:pPr>
        <w:spacing w:before="0" w:after="0"/>
      </w:pPr>
      <w:r>
        <w:continuationSeparator/>
      </w:r>
    </w:p>
  </w:footnote>
  <w:footnote w:type="continuationNotice" w:id="1">
    <w:p w:rsidR="005E6D0A" w:rsidRDefault="005E6D0A">
      <w:pPr>
        <w:spacing w:before="0" w:after="0"/>
      </w:pPr>
    </w:p>
  </w:footnote>
  <w:footnote w:id="2">
    <w:p w:rsidR="002A6B1F" w:rsidRDefault="002A6B1F">
      <w:pPr>
        <w:pStyle w:val="FootnoteText"/>
      </w:pPr>
      <w:r>
        <w:rPr>
          <w:rStyle w:val="FootnoteReference"/>
        </w:rPr>
        <w:footnoteRef/>
      </w:r>
      <w:r>
        <w:tab/>
      </w:r>
      <w:proofErr w:type="gramStart"/>
      <w:r>
        <w:t>Adopted at the 21st Conference of the Parties of the United Nations Framework Convention on Climate Change (UNFCCC) in December 2015.</w:t>
      </w:r>
      <w:proofErr w:type="gramEnd"/>
    </w:p>
  </w:footnote>
  <w:footnote w:id="3">
    <w:p w:rsidR="002A6B1F" w:rsidRDefault="002A6B1F">
      <w:pPr>
        <w:pStyle w:val="FootnoteText"/>
      </w:pPr>
      <w:r>
        <w:rPr>
          <w:rStyle w:val="FootnoteReference"/>
        </w:rPr>
        <w:footnoteRef/>
      </w:r>
      <w:r>
        <w:tab/>
        <w:t xml:space="preserve">Based around </w:t>
      </w:r>
      <w:r>
        <w:rPr>
          <w:rFonts w:eastAsia="Arial Unicode MS"/>
        </w:rPr>
        <w:t xml:space="preserve">a climate target of at least </w:t>
      </w:r>
      <w:r>
        <w:t>40% domestic reduction in economy-wide greenhouse gas emissions by 2030 compared to 1990</w:t>
      </w:r>
      <w:r>
        <w:rPr>
          <w:rFonts w:eastAsia="Arial Unicode MS"/>
        </w:rPr>
        <w:t>, an EU-level binding target of at least 27% for the share of renewable energy consumed in the EU by 2030, an indicative target at the EU level of at least 27% for improving energy efficiency in 2030 and a target of 15% for interconnections. The Conclusions also stated that the energy efficiency targets will be reviewed by 2020, having in mind an EU level of 30%.</w:t>
      </w:r>
    </w:p>
  </w:footnote>
  <w:footnote w:id="4">
    <w:p w:rsidR="002A6B1F" w:rsidRDefault="002A6B1F">
      <w:pPr>
        <w:pStyle w:val="FootnoteText"/>
      </w:pPr>
      <w:r>
        <w:rPr>
          <w:rStyle w:val="FootnoteReference"/>
        </w:rPr>
        <w:footnoteRef/>
      </w:r>
      <w:r>
        <w:tab/>
      </w:r>
      <w:r>
        <w:rPr>
          <w:rFonts w:eastAsia="Arial Unicode MS"/>
        </w:rPr>
        <w:t>Commission Communication of 22 January 2014 entitled "A policy framework for climate and energy in the period from 2020 to 2030"</w:t>
      </w:r>
      <w:r>
        <w:t xml:space="preserve"> (</w:t>
      </w:r>
      <w:r>
        <w:rPr>
          <w:rFonts w:eastAsia="Arial Unicode MS"/>
        </w:rPr>
        <w:t>COM/2014/015 final).</w:t>
      </w:r>
    </w:p>
  </w:footnote>
  <w:footnote w:id="5">
    <w:p w:rsidR="002A6B1F" w:rsidRPr="000E5E2A" w:rsidRDefault="002A6B1F">
      <w:pPr>
        <w:pStyle w:val="FootnoteText"/>
      </w:pPr>
      <w:r>
        <w:rPr>
          <w:rStyle w:val="FootnoteReference"/>
        </w:rPr>
        <w:footnoteRef/>
      </w:r>
      <w:r>
        <w:rPr>
          <w:lang w:val="en-US"/>
        </w:rPr>
        <w:tab/>
      </w:r>
      <w:r w:rsidRPr="000E5E2A">
        <w:rPr>
          <w:lang w:val="en-US"/>
        </w:rPr>
        <w:t>Executive Summary of the Impact Assessment Accompanying the document Proposal for a Regulation of the European Parliament and the Council on the Governance of the Energy Union, amending Directive 94/22/EC, Directive 98/70/EC, Directive 2009/31/EC, Regulation (E</w:t>
      </w:r>
      <w:r>
        <w:rPr>
          <w:lang w:val="en-US"/>
        </w:rPr>
        <w:t>C</w:t>
      </w:r>
      <w:r w:rsidRPr="000E5E2A">
        <w:rPr>
          <w:lang w:val="en-US"/>
        </w:rPr>
        <w:t>) No 663/2009, Regulation (E</w:t>
      </w:r>
      <w:r>
        <w:rPr>
          <w:lang w:val="en-US"/>
        </w:rPr>
        <w:t>C</w:t>
      </w:r>
      <w:r w:rsidRPr="000E5E2A">
        <w:rPr>
          <w:lang w:val="en-US"/>
        </w:rPr>
        <w:t>) No 715/2009, Directive 2009/73/EC, Council Directive 2009/119/EC, Directive 2010/31/EU, Directive 2012/27/EU, Directive 2013/30/EU and Council Directive (EU) 2015/652 and repealing Regulation (EU) No 525/2013 (Commission Staff working document)</w:t>
      </w:r>
      <w:r>
        <w:rPr>
          <w:lang w:val="en-US"/>
        </w:rPr>
        <w:t>.</w:t>
      </w:r>
    </w:p>
  </w:footnote>
  <w:footnote w:id="6">
    <w:p w:rsidR="002A6B1F" w:rsidRPr="00596CAE" w:rsidRDefault="002A6B1F">
      <w:pPr>
        <w:pStyle w:val="FootnoteText"/>
        <w:rPr>
          <w:lang w:val="en-US"/>
        </w:rPr>
      </w:pPr>
      <w:r>
        <w:rPr>
          <w:rStyle w:val="FootnoteReference"/>
        </w:rPr>
        <w:footnoteRef/>
      </w:r>
      <w:r>
        <w:rPr>
          <w:lang w:val="en-US"/>
        </w:rPr>
        <w:tab/>
      </w:r>
      <w:r w:rsidRPr="000E5E2A">
        <w:rPr>
          <w:lang w:val="en-US"/>
        </w:rPr>
        <w:t xml:space="preserve">RSB Opinion accompanying the document Proposal for a Regulation of the European Parliament and the Council on the Governance of the Energy Union, amending Directive 94/22/EC, Directive 98/70/EC, Directive 2009/31/EC, Regulation </w:t>
      </w:r>
      <w:r>
        <w:rPr>
          <w:lang w:val="en-US"/>
        </w:rPr>
        <w:t xml:space="preserve">(EC) No </w:t>
      </w:r>
      <w:r w:rsidRPr="000E5E2A">
        <w:rPr>
          <w:lang w:val="en-US"/>
        </w:rPr>
        <w:t xml:space="preserve">663/2009, Regulation </w:t>
      </w:r>
      <w:r>
        <w:rPr>
          <w:lang w:val="en-US"/>
        </w:rPr>
        <w:t xml:space="preserve">(EC) No </w:t>
      </w:r>
      <w:r w:rsidRPr="000E5E2A">
        <w:rPr>
          <w:lang w:val="en-US"/>
        </w:rPr>
        <w:t>715/2009, Directive 2009/73/EC, Council Directive 2009/119/EC, Directive 2010/31/EU, Directive 2012/27/EU, Directive 2013/30/EU and Council Directive (EU) 2015/652 and repealing Regulation (EU) No 525/2013</w:t>
      </w:r>
      <w:r>
        <w:rPr>
          <w:lang w:val="en-US"/>
        </w:rPr>
        <w:t>.</w:t>
      </w:r>
    </w:p>
  </w:footnote>
  <w:footnote w:id="7">
    <w:p w:rsidR="002A6B1F" w:rsidRDefault="002A6B1F">
      <w:pPr>
        <w:pStyle w:val="FootnoteText"/>
      </w:pPr>
      <w:r>
        <w:rPr>
          <w:rStyle w:val="FootnoteReference"/>
        </w:rPr>
        <w:footnoteRef/>
      </w:r>
      <w:r>
        <w:tab/>
        <w:t>The consultation focused on: i) how current planning and reporting obligations in the energy and climate field could be streamlined to better serve the objectives of the Energy Union; ii) how to best proceed to develop integrated planning, reporting and monitoring tools and; iii) how to set up a Governance process conducive to the attainment of the objectives of the Energy Union.</w:t>
      </w:r>
    </w:p>
  </w:footnote>
  <w:footnote w:id="8">
    <w:p w:rsidR="002A6B1F" w:rsidRDefault="002A6B1F">
      <w:pPr>
        <w:pStyle w:val="FootnoteText"/>
      </w:pPr>
      <w:r>
        <w:rPr>
          <w:rStyle w:val="FootnoteReference"/>
        </w:rPr>
        <w:footnoteRef/>
      </w:r>
      <w:r>
        <w:tab/>
        <w:t xml:space="preserve">Belgium, Cyprus, Czech Republic, Denmark, Estonia, Finland, Germany, Hungary, Latvia, Lithuania, Malta, </w:t>
      </w:r>
      <w:proofErr w:type="gramStart"/>
      <w:r>
        <w:t>The</w:t>
      </w:r>
      <w:proofErr w:type="gramEnd"/>
      <w:r>
        <w:t xml:space="preserve"> Netherlands, Poland, Slovakia and Sweden.</w:t>
      </w:r>
    </w:p>
  </w:footnote>
  <w:footnote w:id="9">
    <w:p w:rsidR="002A6B1F" w:rsidRDefault="002A6B1F">
      <w:pPr>
        <w:pStyle w:val="FootnoteText"/>
      </w:pPr>
      <w:r>
        <w:rPr>
          <w:rStyle w:val="FootnoteReference"/>
        </w:rPr>
        <w:footnoteRef/>
      </w:r>
      <w:r>
        <w:tab/>
      </w:r>
      <w:proofErr w:type="gramStart"/>
      <w:r>
        <w:t xml:space="preserve">I.e. </w:t>
      </w:r>
      <w:r>
        <w:rPr>
          <w:rFonts w:eastAsia="Arial Unicode MS"/>
        </w:rPr>
        <w:t>the National Renewable Energy Action Plans (NREAPs), the National Energy Efficiency Action Plans (NEEAPs), and climate planning requirements.</w:t>
      </w:r>
      <w:proofErr w:type="gramEnd"/>
    </w:p>
  </w:footnote>
  <w:footnote w:id="10">
    <w:p w:rsidR="002A6B1F" w:rsidRPr="00596CAE" w:rsidRDefault="002A6B1F" w:rsidP="0023686E">
      <w:pPr>
        <w:pStyle w:val="FootnoteText"/>
        <w:rPr>
          <w:lang w:val="pt-PT"/>
        </w:rPr>
      </w:pPr>
      <w:r>
        <w:rPr>
          <w:rStyle w:val="FootnoteReference"/>
        </w:rPr>
        <w:footnoteRef/>
      </w:r>
      <w:r>
        <w:rPr>
          <w:lang w:val="pt-PT"/>
        </w:rPr>
        <w:tab/>
      </w:r>
      <w:r w:rsidRPr="00D64702">
        <w:rPr>
          <w:lang w:val="pt-PT"/>
        </w:rPr>
        <w:t>COM/2016/0482 final - 2016/0231 (COD).</w:t>
      </w:r>
      <w:r w:rsidRPr="00596CAE">
        <w:rPr>
          <w:lang w:val="pt-PT"/>
        </w:rPr>
        <w:t xml:space="preserve"> </w:t>
      </w:r>
    </w:p>
  </w:footnote>
  <w:footnote w:id="11">
    <w:p w:rsidR="002A6B1F" w:rsidRPr="00596CAE" w:rsidRDefault="002A6B1F">
      <w:pPr>
        <w:pStyle w:val="FootnoteText"/>
        <w:rPr>
          <w:lang w:val="pt-PT"/>
        </w:rPr>
      </w:pPr>
      <w:r>
        <w:rPr>
          <w:rStyle w:val="FootnoteReference"/>
        </w:rPr>
        <w:footnoteRef/>
      </w:r>
      <w:r w:rsidRPr="00D64702">
        <w:rPr>
          <w:lang w:val="pt-PT"/>
        </w:rPr>
        <w:tab/>
      </w:r>
      <w:r w:rsidRPr="00596CAE">
        <w:rPr>
          <w:lang w:val="pt-PT"/>
        </w:rPr>
        <w:t>COM/2016/0479 final - 2016/0230 (COD</w:t>
      </w:r>
      <w:r w:rsidRPr="00D64702">
        <w:rPr>
          <w:lang w:val="pt-PT"/>
        </w:rPr>
        <w:t>).</w:t>
      </w:r>
    </w:p>
  </w:footnote>
  <w:footnote w:id="12">
    <w:p w:rsidR="002A6B1F" w:rsidRPr="004D775E" w:rsidRDefault="002A6B1F">
      <w:pPr>
        <w:pStyle w:val="FootnoteText"/>
      </w:pPr>
      <w:r>
        <w:rPr>
          <w:rStyle w:val="FootnoteReference"/>
        </w:rPr>
        <w:footnoteRef/>
      </w:r>
      <w:r w:rsidRPr="004D775E">
        <w:tab/>
        <w:t xml:space="preserve">OJ </w:t>
      </w:r>
      <w:proofErr w:type="gramStart"/>
      <w:r w:rsidRPr="004D775E">
        <w:t>C ,</w:t>
      </w:r>
      <w:proofErr w:type="gramEnd"/>
      <w:r w:rsidRPr="004D775E">
        <w:t xml:space="preserve"> , p. .</w:t>
      </w:r>
    </w:p>
  </w:footnote>
  <w:footnote w:id="13">
    <w:p w:rsidR="002A6B1F" w:rsidRDefault="002A6B1F">
      <w:pPr>
        <w:pStyle w:val="FootnoteText"/>
      </w:pPr>
      <w:r>
        <w:rPr>
          <w:rStyle w:val="FootnoteReference"/>
        </w:rPr>
        <w:footnoteRef/>
      </w:r>
      <w:r>
        <w:tab/>
        <w:t xml:space="preserve">OJ </w:t>
      </w:r>
      <w:proofErr w:type="gramStart"/>
      <w:r>
        <w:t>C ,</w:t>
      </w:r>
      <w:proofErr w:type="gramEnd"/>
      <w:r>
        <w:t xml:space="preserve"> , p. .</w:t>
      </w:r>
    </w:p>
  </w:footnote>
  <w:footnote w:id="14">
    <w:p w:rsidR="002A6B1F" w:rsidRDefault="002A6B1F">
      <w:pPr>
        <w:pStyle w:val="FootnoteText"/>
      </w:pPr>
      <w:r>
        <w:rPr>
          <w:rStyle w:val="FootnoteReference"/>
        </w:rPr>
        <w:footnoteRef/>
      </w:r>
      <w:r>
        <w:tab/>
        <w:t>Council Decision (EU) 2016/1841 of 5 October 2016 on the conclusion, on behalf of the European Union, of the Paris Agreement adopted under the United Nations Framework Convention on Climate Change (OJ L 282, 19.10.2016, p. 1).</w:t>
      </w:r>
    </w:p>
  </w:footnote>
  <w:footnote w:id="15">
    <w:p w:rsidR="002A6B1F" w:rsidRDefault="002A6B1F">
      <w:pPr>
        <w:pStyle w:val="FootnoteText"/>
      </w:pPr>
      <w:r>
        <w:rPr>
          <w:rStyle w:val="FootnoteReference"/>
        </w:rPr>
        <w:footnoteRef/>
      </w:r>
      <w:r>
        <w:tab/>
      </w:r>
      <w:proofErr w:type="gramStart"/>
      <w:r>
        <w:t>Conclusions of the European Council 23 - 24 October 2014 (EUCO 169/14).</w:t>
      </w:r>
      <w:proofErr w:type="gramEnd"/>
    </w:p>
  </w:footnote>
  <w:footnote w:id="16">
    <w:p w:rsidR="002A6B1F" w:rsidRDefault="002A6B1F">
      <w:pPr>
        <w:pStyle w:val="FootnoteText"/>
      </w:pPr>
      <w:r>
        <w:rPr>
          <w:rStyle w:val="FootnoteReference"/>
        </w:rPr>
        <w:footnoteRef/>
      </w:r>
      <w:r>
        <w:tab/>
        <w:t>Communication State of the Energy Union 2015</w:t>
      </w:r>
      <w:r>
        <w:rPr>
          <w:b/>
          <w:bCs/>
        </w:rPr>
        <w:t xml:space="preserve"> </w:t>
      </w:r>
      <w:r>
        <w:t xml:space="preserve">of 18.11.2015, </w:t>
      </w:r>
      <w:proofErr w:type="gramStart"/>
      <w:r>
        <w:t>COM(</w:t>
      </w:r>
      <w:proofErr w:type="gramEnd"/>
      <w:r>
        <w:t xml:space="preserve">2015)572 final. </w:t>
      </w:r>
    </w:p>
  </w:footnote>
  <w:footnote w:id="17">
    <w:p w:rsidR="002A6B1F" w:rsidRDefault="002A6B1F">
      <w:pPr>
        <w:pStyle w:val="FootnoteText"/>
      </w:pPr>
      <w:r>
        <w:rPr>
          <w:rStyle w:val="FootnoteReference"/>
        </w:rPr>
        <w:footnoteRef/>
      </w:r>
      <w:r>
        <w:tab/>
      </w:r>
      <w:proofErr w:type="gramStart"/>
      <w:r>
        <w:t>Conclusions of the Council of 26 November 2015 (14632/15).</w:t>
      </w:r>
      <w:proofErr w:type="gramEnd"/>
    </w:p>
  </w:footnote>
  <w:footnote w:id="18">
    <w:p w:rsidR="002A6B1F" w:rsidRDefault="002A6B1F">
      <w:pPr>
        <w:pStyle w:val="FootnoteText"/>
      </w:pPr>
      <w:r>
        <w:rPr>
          <w:rStyle w:val="FootnoteReference"/>
        </w:rPr>
        <w:footnoteRef/>
      </w:r>
      <w:r>
        <w:tab/>
      </w:r>
      <w:proofErr w:type="gramStart"/>
      <w:r>
        <w:t>European Parliament resolution of 15 December 2015 on "Towards a European Energy Union" (2015/2113(INI)).</w:t>
      </w:r>
      <w:proofErr w:type="gramEnd"/>
    </w:p>
  </w:footnote>
  <w:footnote w:id="19">
    <w:p w:rsidR="002A6B1F" w:rsidRDefault="002A6B1F">
      <w:pPr>
        <w:pStyle w:val="FootnoteText"/>
      </w:pPr>
      <w:r>
        <w:rPr>
          <w:rStyle w:val="FootnoteReference"/>
        </w:rPr>
        <w:footnoteRef/>
      </w:r>
      <w:r>
        <w:tab/>
        <w:t>Directive 2001/81/EC of the European Parliament and the Council on National Emission Ceilings for certain pollutants (OJ L 309, 27.11.2001, p. 22).</w:t>
      </w:r>
    </w:p>
  </w:footnote>
  <w:footnote w:id="20">
    <w:p w:rsidR="002A6B1F" w:rsidRDefault="002A6B1F">
      <w:pPr>
        <w:pStyle w:val="FootnoteText"/>
        <w:rPr>
          <w:bCs/>
        </w:rPr>
      </w:pPr>
      <w:r>
        <w:rPr>
          <w:rStyle w:val="FootnoteReference"/>
        </w:rPr>
        <w:footnoteRef/>
      </w:r>
      <w:r>
        <w:rPr>
          <w:lang w:val="en-US"/>
        </w:rPr>
        <w:tab/>
      </w:r>
      <w:r>
        <w:t>Regulation (EU) No 525/2013 of the European Parliament and of the Council of 21 May 2013 on a mechanism for monitoring and reporting greenhouse gas emissions and for reporting other information at national and Union level relevant to climate change and repealing Decision No 280/2004/EC</w:t>
      </w:r>
      <w:r>
        <w:rPr>
          <w:bCs/>
        </w:rPr>
        <w:t xml:space="preserve"> (OJ L 165, 18.6.2013, p. 13).</w:t>
      </w:r>
    </w:p>
  </w:footnote>
  <w:footnote w:id="21">
    <w:p w:rsidR="002A6B1F" w:rsidRDefault="002A6B1F">
      <w:pPr>
        <w:pStyle w:val="FootnoteText"/>
      </w:pPr>
      <w:r>
        <w:rPr>
          <w:rStyle w:val="FootnoteReference"/>
        </w:rPr>
        <w:footnoteRef/>
      </w:r>
      <w:r>
        <w:tab/>
        <w:t>Directive 2003/87/EC of the European Parliament and of the Council of 13 October 2003 establishing a scheme for greenhouse gas emission allowance trading within the Community (OJ L 275, 25.10.2003, p. 32).</w:t>
      </w:r>
    </w:p>
  </w:footnote>
  <w:footnote w:id="22">
    <w:p w:rsidR="002A6B1F" w:rsidRDefault="002A6B1F">
      <w:pPr>
        <w:pStyle w:val="FootnoteText"/>
      </w:pPr>
      <w:r>
        <w:rPr>
          <w:rStyle w:val="FootnoteReference"/>
        </w:rPr>
        <w:footnoteRef/>
      </w:r>
      <w:r>
        <w:tab/>
        <w:t>Regulation (EC) No 166/2006 of the European Parliament and of the Council of 18 January 2006 concerning the establishment of a European Pollutant Release and Transfer Register (OJ L 33, 4.2.2006, p. 1).</w:t>
      </w:r>
    </w:p>
  </w:footnote>
  <w:footnote w:id="23">
    <w:p w:rsidR="002A6B1F" w:rsidRDefault="002A6B1F" w:rsidP="002A6B1F">
      <w:pPr>
        <w:pStyle w:val="FootnoteText"/>
      </w:pPr>
      <w:r w:rsidRPr="00A64888">
        <w:rPr>
          <w:rStyle w:val="FootnoteReference"/>
        </w:rPr>
        <w:footnoteRef/>
      </w:r>
      <w:r w:rsidRPr="00A64888">
        <w:tab/>
        <w:t>Regulation (EC) No 1099/2008 of the European Parliament and of the Council of 22 October 2008 on energy statistics (OJ L 304, 14.11.2008, p. 1).</w:t>
      </w:r>
    </w:p>
  </w:footnote>
  <w:footnote w:id="24">
    <w:p w:rsidR="002A6B1F" w:rsidRDefault="002A6B1F">
      <w:pPr>
        <w:pStyle w:val="FootnoteText"/>
      </w:pPr>
      <w:r>
        <w:rPr>
          <w:rStyle w:val="FootnoteReference"/>
        </w:rPr>
        <w:footnoteRef/>
      </w:r>
      <w:r>
        <w:tab/>
        <w:t>Regulation (EC) No 517/2014 of the European Parliament and of the Council of 16 April 2014 on fluorinated greenhouse gases and repealing Regulation (EC) No 842/2006 (OJ L 150, 20.5.2014, p. 195).</w:t>
      </w:r>
    </w:p>
  </w:footnote>
  <w:footnote w:id="25">
    <w:p w:rsidR="002A6B1F" w:rsidRDefault="002A6B1F">
      <w:pPr>
        <w:pStyle w:val="FootnoteText"/>
      </w:pPr>
      <w:r>
        <w:rPr>
          <w:rStyle w:val="FootnoteReference"/>
        </w:rPr>
        <w:footnoteRef/>
      </w:r>
      <w:r>
        <w:tab/>
        <w:t>Directive 2001/42/EC of the European Parliament and of the Council of 27 June 2001 on the assessment of the effects of certain plans and programmes on the environment (OJ L 197, 21.7.2001, p.30).</w:t>
      </w:r>
    </w:p>
  </w:footnote>
  <w:footnote w:id="26">
    <w:p w:rsidR="002A6B1F" w:rsidRDefault="002A6B1F">
      <w:pPr>
        <w:pStyle w:val="FootnoteText"/>
      </w:pPr>
      <w:r>
        <w:rPr>
          <w:rStyle w:val="FootnoteReference"/>
        </w:rPr>
        <w:footnoteRef/>
      </w:r>
      <w:r>
        <w:tab/>
        <w:t xml:space="preserve">OJ L […], […], p. […].  </w:t>
      </w:r>
    </w:p>
  </w:footnote>
  <w:footnote w:id="27">
    <w:p w:rsidR="002A6B1F" w:rsidRDefault="002A6B1F">
      <w:pPr>
        <w:pStyle w:val="FootnoteText"/>
      </w:pPr>
      <w:r>
        <w:rPr>
          <w:rStyle w:val="FootnoteReference"/>
        </w:rPr>
        <w:footnoteRef/>
      </w:r>
      <w:r>
        <w:tab/>
        <w:t xml:space="preserve">OJ L […], […], p. […].  </w:t>
      </w:r>
    </w:p>
  </w:footnote>
  <w:footnote w:id="28">
    <w:p w:rsidR="002A6B1F" w:rsidRPr="00596CAE" w:rsidRDefault="002A6B1F">
      <w:pPr>
        <w:pStyle w:val="FootnoteText"/>
        <w:rPr>
          <w:lang w:val="en"/>
        </w:rPr>
      </w:pPr>
      <w:r>
        <w:rPr>
          <w:rStyle w:val="FootnoteReference"/>
        </w:rPr>
        <w:footnoteRef/>
      </w:r>
      <w:r w:rsidRPr="00596CAE">
        <w:tab/>
        <w:t xml:space="preserve">Regulation (EC) No 223/2009 of the European Parliament and of the Council of 11 March 2009 on European statistics and repealing Regulation (EC, </w:t>
      </w:r>
      <w:proofErr w:type="spellStart"/>
      <w:r w:rsidRPr="00596CAE">
        <w:t>Euratom</w:t>
      </w:r>
      <w:proofErr w:type="spellEnd"/>
      <w:r w:rsidRPr="00596CAE">
        <w:t xml:space="preserve">) No 1101/2008 of the European Parliament and of the Council on the transmission of data subject to statistical confidentiality to the Statistical Office of the European Communities, Council Regulation (EC) No 322/97 on Community Statistics, and Council Decision 89/382/EEC, </w:t>
      </w:r>
      <w:proofErr w:type="spellStart"/>
      <w:r w:rsidRPr="00596CAE">
        <w:t>Euratom</w:t>
      </w:r>
      <w:proofErr w:type="spellEnd"/>
      <w:r w:rsidRPr="00596CAE">
        <w:t xml:space="preserve"> establishing a Committee on the Statistical Programmes of the European Communities</w:t>
      </w:r>
      <w:r>
        <w:rPr>
          <w:bCs/>
        </w:rPr>
        <w:t xml:space="preserve"> </w:t>
      </w:r>
      <w:r w:rsidRPr="00F75EF0">
        <w:rPr>
          <w:bCs/>
        </w:rPr>
        <w:t>(</w:t>
      </w:r>
      <w:r w:rsidRPr="00596CAE">
        <w:rPr>
          <w:iCs/>
        </w:rPr>
        <w:t>OJ L 87, 31.3.2009, p. 164)</w:t>
      </w:r>
      <w:r w:rsidRPr="000F6613">
        <w:rPr>
          <w:i/>
          <w:iCs/>
        </w:rPr>
        <w:t>.</w:t>
      </w:r>
      <w:r w:rsidRPr="000F6613" w:rsidDel="000F6613">
        <w:t xml:space="preserve"> </w:t>
      </w:r>
    </w:p>
  </w:footnote>
  <w:footnote w:id="29">
    <w:p w:rsidR="002A6B1F" w:rsidRPr="003C4AC6" w:rsidRDefault="002A6B1F" w:rsidP="00596CAE">
      <w:pPr>
        <w:ind w:left="720" w:hanging="720"/>
        <w:rPr>
          <w:sz w:val="20"/>
          <w:szCs w:val="20"/>
          <w:lang w:val="mt-MT"/>
        </w:rPr>
      </w:pPr>
      <w:r>
        <w:rPr>
          <w:rStyle w:val="FootnoteReference"/>
        </w:rPr>
        <w:footnoteRef/>
      </w:r>
      <w:r>
        <w:rPr>
          <w:lang w:val="mt-MT"/>
        </w:rPr>
        <w:tab/>
      </w:r>
      <w:r w:rsidRPr="003C4AC6">
        <w:rPr>
          <w:sz w:val="20"/>
          <w:szCs w:val="20"/>
        </w:rPr>
        <w:t>Decision No 406/2009/EC of the European Parliament and of the Council of 23 April 2009 on the effort of Member States to reduce their greenhouse gas emissions to meet the Community’s greenhouse gas emission reduction commitments up to 2020</w:t>
      </w:r>
      <w:r w:rsidRPr="003C4AC6">
        <w:rPr>
          <w:sz w:val="20"/>
          <w:szCs w:val="20"/>
          <w:lang w:val="mt-MT"/>
        </w:rPr>
        <w:t xml:space="preserve"> (OJ L 140, 5.6.2009, p. 136).</w:t>
      </w:r>
    </w:p>
  </w:footnote>
  <w:footnote w:id="30">
    <w:p w:rsidR="00AA4922" w:rsidRPr="00AA4922" w:rsidRDefault="00AA4922">
      <w:pPr>
        <w:pStyle w:val="FootnoteText"/>
      </w:pPr>
      <w:r w:rsidRPr="006C5B08">
        <w:rPr>
          <w:rStyle w:val="FootnoteReference"/>
        </w:rPr>
        <w:footnoteRef/>
      </w:r>
      <w:r w:rsidR="006C5B08">
        <w:tab/>
      </w:r>
      <w:proofErr w:type="spellStart"/>
      <w:r w:rsidRPr="006C5B08">
        <w:rPr>
          <w:lang w:val="sk-SK"/>
        </w:rPr>
        <w:t>Regulation</w:t>
      </w:r>
      <w:proofErr w:type="spellEnd"/>
      <w:r w:rsidRPr="006C5B08">
        <w:rPr>
          <w:lang w:val="sk-SK"/>
        </w:rPr>
        <w:t xml:space="preserve"> (EU) No 182/2011 </w:t>
      </w:r>
      <w:proofErr w:type="spellStart"/>
      <w:r w:rsidRPr="006C5B08">
        <w:rPr>
          <w:lang w:val="sk-SK"/>
        </w:rPr>
        <w:t>of</w:t>
      </w:r>
      <w:proofErr w:type="spellEnd"/>
      <w:r w:rsidRPr="006C5B08">
        <w:rPr>
          <w:lang w:val="sk-SK"/>
        </w:rPr>
        <w:t xml:space="preserve"> </w:t>
      </w:r>
      <w:proofErr w:type="spellStart"/>
      <w:r w:rsidRPr="006C5B08">
        <w:rPr>
          <w:lang w:val="sk-SK"/>
        </w:rPr>
        <w:t>the</w:t>
      </w:r>
      <w:proofErr w:type="spellEnd"/>
      <w:r w:rsidRPr="006C5B08">
        <w:rPr>
          <w:lang w:val="sk-SK"/>
        </w:rPr>
        <w:t xml:space="preserve"> European </w:t>
      </w:r>
      <w:proofErr w:type="spellStart"/>
      <w:r w:rsidRPr="006C5B08">
        <w:rPr>
          <w:lang w:val="sk-SK"/>
        </w:rPr>
        <w:t>Parliament</w:t>
      </w:r>
      <w:proofErr w:type="spellEnd"/>
      <w:r w:rsidRPr="006C5B08">
        <w:rPr>
          <w:lang w:val="sk-SK"/>
        </w:rPr>
        <w:t xml:space="preserve"> and </w:t>
      </w:r>
      <w:proofErr w:type="spellStart"/>
      <w:r w:rsidRPr="006C5B08">
        <w:rPr>
          <w:lang w:val="sk-SK"/>
        </w:rPr>
        <w:t>of</w:t>
      </w:r>
      <w:proofErr w:type="spellEnd"/>
      <w:r w:rsidRPr="006C5B08">
        <w:rPr>
          <w:lang w:val="sk-SK"/>
        </w:rPr>
        <w:t xml:space="preserve"> </w:t>
      </w:r>
      <w:proofErr w:type="spellStart"/>
      <w:r w:rsidRPr="006C5B08">
        <w:rPr>
          <w:lang w:val="sk-SK"/>
        </w:rPr>
        <w:t>the</w:t>
      </w:r>
      <w:proofErr w:type="spellEnd"/>
      <w:r w:rsidRPr="006C5B08">
        <w:rPr>
          <w:lang w:val="sk-SK"/>
        </w:rPr>
        <w:t xml:space="preserve"> </w:t>
      </w:r>
      <w:proofErr w:type="spellStart"/>
      <w:r w:rsidRPr="006C5B08">
        <w:rPr>
          <w:lang w:val="sk-SK"/>
        </w:rPr>
        <w:t>Council</w:t>
      </w:r>
      <w:proofErr w:type="spellEnd"/>
      <w:r w:rsidRPr="006C5B08">
        <w:rPr>
          <w:lang w:val="sk-SK"/>
        </w:rPr>
        <w:t xml:space="preserve"> </w:t>
      </w:r>
      <w:proofErr w:type="spellStart"/>
      <w:r w:rsidRPr="006C5B08">
        <w:rPr>
          <w:lang w:val="sk-SK"/>
        </w:rPr>
        <w:t>of</w:t>
      </w:r>
      <w:proofErr w:type="spellEnd"/>
      <w:r w:rsidRPr="006C5B08">
        <w:rPr>
          <w:lang w:val="sk-SK"/>
        </w:rPr>
        <w:t xml:space="preserve"> 16 </w:t>
      </w:r>
      <w:proofErr w:type="spellStart"/>
      <w:r w:rsidRPr="006C5B08">
        <w:rPr>
          <w:lang w:val="sk-SK"/>
        </w:rPr>
        <w:t>February</w:t>
      </w:r>
      <w:proofErr w:type="spellEnd"/>
      <w:r w:rsidRPr="006C5B08">
        <w:rPr>
          <w:lang w:val="sk-SK"/>
        </w:rPr>
        <w:t xml:space="preserve"> 2011 </w:t>
      </w:r>
      <w:proofErr w:type="spellStart"/>
      <w:r w:rsidRPr="006C5B08">
        <w:rPr>
          <w:lang w:val="sk-SK"/>
        </w:rPr>
        <w:t>laying</w:t>
      </w:r>
      <w:proofErr w:type="spellEnd"/>
      <w:r w:rsidRPr="006C5B08">
        <w:rPr>
          <w:lang w:val="sk-SK"/>
        </w:rPr>
        <w:t xml:space="preserve"> </w:t>
      </w:r>
      <w:proofErr w:type="spellStart"/>
      <w:r w:rsidRPr="006C5B08">
        <w:rPr>
          <w:lang w:val="sk-SK"/>
        </w:rPr>
        <w:t>down</w:t>
      </w:r>
      <w:proofErr w:type="spellEnd"/>
      <w:r w:rsidRPr="006C5B08">
        <w:rPr>
          <w:lang w:val="sk-SK"/>
        </w:rPr>
        <w:t xml:space="preserve"> </w:t>
      </w:r>
      <w:proofErr w:type="spellStart"/>
      <w:r w:rsidRPr="006C5B08">
        <w:rPr>
          <w:lang w:val="sk-SK"/>
        </w:rPr>
        <w:t>the</w:t>
      </w:r>
      <w:proofErr w:type="spellEnd"/>
      <w:r w:rsidRPr="006C5B08">
        <w:rPr>
          <w:lang w:val="sk-SK"/>
        </w:rPr>
        <w:t xml:space="preserve"> </w:t>
      </w:r>
      <w:proofErr w:type="spellStart"/>
      <w:r w:rsidRPr="006C5B08">
        <w:rPr>
          <w:lang w:val="sk-SK"/>
        </w:rPr>
        <w:t>rules</w:t>
      </w:r>
      <w:proofErr w:type="spellEnd"/>
      <w:r w:rsidRPr="006C5B08">
        <w:rPr>
          <w:lang w:val="sk-SK"/>
        </w:rPr>
        <w:t xml:space="preserve"> and </w:t>
      </w:r>
      <w:proofErr w:type="spellStart"/>
      <w:r w:rsidRPr="006C5B08">
        <w:rPr>
          <w:lang w:val="sk-SK"/>
        </w:rPr>
        <w:t>general</w:t>
      </w:r>
      <w:proofErr w:type="spellEnd"/>
      <w:r w:rsidRPr="006C5B08">
        <w:rPr>
          <w:lang w:val="sk-SK"/>
        </w:rPr>
        <w:t xml:space="preserve"> </w:t>
      </w:r>
      <w:proofErr w:type="spellStart"/>
      <w:r w:rsidRPr="006C5B08">
        <w:rPr>
          <w:lang w:val="sk-SK"/>
        </w:rPr>
        <w:t>principles</w:t>
      </w:r>
      <w:proofErr w:type="spellEnd"/>
      <w:r w:rsidRPr="006C5B08">
        <w:rPr>
          <w:lang w:val="sk-SK"/>
        </w:rPr>
        <w:t xml:space="preserve"> </w:t>
      </w:r>
      <w:proofErr w:type="spellStart"/>
      <w:r w:rsidRPr="006C5B08">
        <w:rPr>
          <w:lang w:val="sk-SK"/>
        </w:rPr>
        <w:t>concerning</w:t>
      </w:r>
      <w:proofErr w:type="spellEnd"/>
      <w:r w:rsidRPr="006C5B08">
        <w:rPr>
          <w:lang w:val="sk-SK"/>
        </w:rPr>
        <w:t xml:space="preserve"> </w:t>
      </w:r>
      <w:proofErr w:type="spellStart"/>
      <w:r w:rsidRPr="006C5B08">
        <w:rPr>
          <w:lang w:val="sk-SK"/>
        </w:rPr>
        <w:t>mechanisms</w:t>
      </w:r>
      <w:proofErr w:type="spellEnd"/>
      <w:r w:rsidRPr="006C5B08">
        <w:rPr>
          <w:lang w:val="sk-SK"/>
        </w:rPr>
        <w:t xml:space="preserve"> </w:t>
      </w:r>
      <w:proofErr w:type="spellStart"/>
      <w:r w:rsidRPr="006C5B08">
        <w:rPr>
          <w:lang w:val="sk-SK"/>
        </w:rPr>
        <w:t>for</w:t>
      </w:r>
      <w:proofErr w:type="spellEnd"/>
      <w:r w:rsidRPr="006C5B08">
        <w:rPr>
          <w:lang w:val="sk-SK"/>
        </w:rPr>
        <w:t xml:space="preserve"> </w:t>
      </w:r>
      <w:proofErr w:type="spellStart"/>
      <w:r w:rsidRPr="006C5B08">
        <w:rPr>
          <w:lang w:val="sk-SK"/>
        </w:rPr>
        <w:t>control</w:t>
      </w:r>
      <w:proofErr w:type="spellEnd"/>
      <w:r w:rsidRPr="006C5B08">
        <w:rPr>
          <w:lang w:val="sk-SK"/>
        </w:rPr>
        <w:t xml:space="preserve"> by </w:t>
      </w:r>
      <w:proofErr w:type="spellStart"/>
      <w:r w:rsidRPr="006C5B08">
        <w:rPr>
          <w:lang w:val="sk-SK"/>
        </w:rPr>
        <w:t>Member</w:t>
      </w:r>
      <w:proofErr w:type="spellEnd"/>
      <w:r w:rsidRPr="006C5B08">
        <w:rPr>
          <w:lang w:val="sk-SK"/>
        </w:rPr>
        <w:t xml:space="preserve"> </w:t>
      </w:r>
      <w:proofErr w:type="spellStart"/>
      <w:r w:rsidRPr="006C5B08">
        <w:rPr>
          <w:lang w:val="sk-SK"/>
        </w:rPr>
        <w:t>States</w:t>
      </w:r>
      <w:proofErr w:type="spellEnd"/>
      <w:r w:rsidRPr="006C5B08">
        <w:rPr>
          <w:lang w:val="sk-SK"/>
        </w:rPr>
        <w:t xml:space="preserve"> </w:t>
      </w:r>
      <w:proofErr w:type="spellStart"/>
      <w:r w:rsidRPr="006C5B08">
        <w:rPr>
          <w:lang w:val="sk-SK"/>
        </w:rPr>
        <w:t>of</w:t>
      </w:r>
      <w:proofErr w:type="spellEnd"/>
      <w:r w:rsidRPr="006C5B08">
        <w:rPr>
          <w:lang w:val="sk-SK"/>
        </w:rPr>
        <w:t xml:space="preserve"> </w:t>
      </w:r>
      <w:proofErr w:type="spellStart"/>
      <w:r w:rsidRPr="006C5B08">
        <w:rPr>
          <w:lang w:val="sk-SK"/>
        </w:rPr>
        <w:t>the</w:t>
      </w:r>
      <w:proofErr w:type="spellEnd"/>
      <w:r w:rsidRPr="006C5B08">
        <w:rPr>
          <w:lang w:val="sk-SK"/>
        </w:rPr>
        <w:t xml:space="preserve"> </w:t>
      </w:r>
      <w:proofErr w:type="spellStart"/>
      <w:r w:rsidRPr="006C5B08">
        <w:rPr>
          <w:lang w:val="sk-SK"/>
        </w:rPr>
        <w:t>Commission’s</w:t>
      </w:r>
      <w:proofErr w:type="spellEnd"/>
      <w:r w:rsidRPr="006C5B08">
        <w:rPr>
          <w:lang w:val="sk-SK"/>
        </w:rPr>
        <w:t xml:space="preserve"> </w:t>
      </w:r>
      <w:proofErr w:type="spellStart"/>
      <w:r w:rsidRPr="006C5B08">
        <w:rPr>
          <w:lang w:val="sk-SK"/>
        </w:rPr>
        <w:t>exercise</w:t>
      </w:r>
      <w:proofErr w:type="spellEnd"/>
      <w:r w:rsidRPr="006C5B08">
        <w:rPr>
          <w:lang w:val="sk-SK"/>
        </w:rPr>
        <w:t xml:space="preserve"> </w:t>
      </w:r>
      <w:proofErr w:type="spellStart"/>
      <w:r w:rsidRPr="006C5B08">
        <w:rPr>
          <w:lang w:val="sk-SK"/>
        </w:rPr>
        <w:t>of</w:t>
      </w:r>
      <w:proofErr w:type="spellEnd"/>
      <w:r w:rsidRPr="006C5B08">
        <w:rPr>
          <w:lang w:val="sk-SK"/>
        </w:rPr>
        <w:t xml:space="preserve"> </w:t>
      </w:r>
      <w:proofErr w:type="spellStart"/>
      <w:r w:rsidRPr="006C5B08">
        <w:rPr>
          <w:lang w:val="sk-SK"/>
        </w:rPr>
        <w:t>implementing</w:t>
      </w:r>
      <w:proofErr w:type="spellEnd"/>
      <w:r w:rsidRPr="006C5B08">
        <w:rPr>
          <w:lang w:val="sk-SK"/>
        </w:rPr>
        <w:t xml:space="preserve"> </w:t>
      </w:r>
      <w:proofErr w:type="spellStart"/>
      <w:r w:rsidRPr="006C5B08">
        <w:rPr>
          <w:lang w:val="sk-SK"/>
        </w:rPr>
        <w:t>powers</w:t>
      </w:r>
      <w:proofErr w:type="spellEnd"/>
      <w:r w:rsidRPr="006C5B08">
        <w:rPr>
          <w:lang w:val="sk-SK"/>
        </w:rPr>
        <w:t xml:space="preserve"> (OJ L   55, 28.2.2011, p. 13).</w:t>
      </w:r>
    </w:p>
  </w:footnote>
  <w:footnote w:id="31">
    <w:p w:rsidR="002A6B1F" w:rsidRPr="00566A82" w:rsidRDefault="002A6B1F" w:rsidP="00403369">
      <w:pPr>
        <w:pStyle w:val="FootnoteText"/>
        <w:rPr>
          <w:lang w:val="pl-PL"/>
        </w:rPr>
      </w:pPr>
      <w:r>
        <w:rPr>
          <w:rStyle w:val="FootnoteReference"/>
        </w:rPr>
        <w:footnoteRef/>
      </w:r>
      <w:r w:rsidRPr="00566A82">
        <w:rPr>
          <w:lang w:val="pl-PL"/>
        </w:rPr>
        <w:tab/>
        <w:t xml:space="preserve">OJ L 164, 30.6.1994, </w:t>
      </w:r>
      <w:proofErr w:type="gramStart"/>
      <w:r w:rsidRPr="00566A82">
        <w:rPr>
          <w:lang w:val="pl-PL"/>
        </w:rPr>
        <w:t>p</w:t>
      </w:r>
      <w:proofErr w:type="gramEnd"/>
      <w:r w:rsidRPr="00566A82">
        <w:rPr>
          <w:lang w:val="pl-PL"/>
        </w:rPr>
        <w:t>. 3.</w:t>
      </w:r>
    </w:p>
  </w:footnote>
  <w:footnote w:id="32">
    <w:p w:rsidR="002A6B1F" w:rsidRPr="00566A82" w:rsidRDefault="002A6B1F" w:rsidP="00403369">
      <w:pPr>
        <w:pStyle w:val="FootnoteText"/>
        <w:rPr>
          <w:lang w:val="pl-PL"/>
        </w:rPr>
      </w:pPr>
      <w:r>
        <w:rPr>
          <w:rStyle w:val="FootnoteReference"/>
        </w:rPr>
        <w:footnoteRef/>
      </w:r>
      <w:r w:rsidRPr="00566A82">
        <w:rPr>
          <w:lang w:val="pl-PL"/>
        </w:rPr>
        <w:tab/>
        <w:t xml:space="preserve">OJ L 350, 28.12.1998, </w:t>
      </w:r>
      <w:proofErr w:type="gramStart"/>
      <w:r w:rsidRPr="00566A82">
        <w:rPr>
          <w:lang w:val="pl-PL"/>
        </w:rPr>
        <w:t>p</w:t>
      </w:r>
      <w:proofErr w:type="gramEnd"/>
      <w:r w:rsidRPr="00566A82">
        <w:rPr>
          <w:lang w:val="pl-PL"/>
        </w:rPr>
        <w:t>. 58.</w:t>
      </w:r>
    </w:p>
  </w:footnote>
  <w:footnote w:id="33">
    <w:p w:rsidR="002A6B1F" w:rsidRPr="00566A82" w:rsidRDefault="002A6B1F">
      <w:pPr>
        <w:pStyle w:val="FootnoteText"/>
        <w:rPr>
          <w:lang w:val="pl-PL"/>
        </w:rPr>
      </w:pPr>
      <w:r>
        <w:rPr>
          <w:rStyle w:val="FootnoteReference"/>
        </w:rPr>
        <w:footnoteRef/>
      </w:r>
      <w:r w:rsidRPr="00566A82">
        <w:rPr>
          <w:lang w:val="pl-PL"/>
        </w:rPr>
        <w:tab/>
        <w:t xml:space="preserve">OJ L 140, 5.6.2009, </w:t>
      </w:r>
      <w:proofErr w:type="gramStart"/>
      <w:r w:rsidRPr="00566A82">
        <w:rPr>
          <w:lang w:val="pl-PL"/>
        </w:rPr>
        <w:t>p</w:t>
      </w:r>
      <w:proofErr w:type="gramEnd"/>
      <w:r w:rsidRPr="00566A82">
        <w:rPr>
          <w:lang w:val="pl-PL"/>
        </w:rPr>
        <w:t>. 114.</w:t>
      </w:r>
    </w:p>
  </w:footnote>
  <w:footnote w:id="34">
    <w:p w:rsidR="002A6B1F" w:rsidRPr="00566A82" w:rsidRDefault="002A6B1F" w:rsidP="00403369">
      <w:pPr>
        <w:pStyle w:val="FootnoteText"/>
        <w:rPr>
          <w:lang w:val="pl-PL"/>
        </w:rPr>
      </w:pPr>
      <w:r>
        <w:rPr>
          <w:rStyle w:val="FootnoteReference"/>
        </w:rPr>
        <w:footnoteRef/>
      </w:r>
      <w:r w:rsidRPr="00566A82">
        <w:rPr>
          <w:lang w:val="pl-PL"/>
        </w:rPr>
        <w:tab/>
        <w:t xml:space="preserve">OJ L 200, 31.7.2009, </w:t>
      </w:r>
      <w:proofErr w:type="gramStart"/>
      <w:r w:rsidRPr="00566A82">
        <w:rPr>
          <w:lang w:val="pl-PL"/>
        </w:rPr>
        <w:t>p</w:t>
      </w:r>
      <w:proofErr w:type="gramEnd"/>
      <w:r w:rsidRPr="00566A82">
        <w:rPr>
          <w:lang w:val="pl-PL"/>
        </w:rPr>
        <w:t>. 31.</w:t>
      </w:r>
    </w:p>
  </w:footnote>
  <w:footnote w:id="35">
    <w:p w:rsidR="002A6B1F" w:rsidRPr="00566A82" w:rsidRDefault="002A6B1F" w:rsidP="00403369">
      <w:pPr>
        <w:pStyle w:val="FootnoteText"/>
        <w:rPr>
          <w:lang w:val="pl-PL"/>
        </w:rPr>
      </w:pPr>
      <w:r>
        <w:rPr>
          <w:rStyle w:val="FootnoteReference"/>
        </w:rPr>
        <w:footnoteRef/>
      </w:r>
      <w:r w:rsidRPr="00566A82">
        <w:rPr>
          <w:lang w:val="pl-PL"/>
        </w:rPr>
        <w:tab/>
        <w:t xml:space="preserve">OJ L 211, 14.8.2009, </w:t>
      </w:r>
      <w:proofErr w:type="gramStart"/>
      <w:r w:rsidRPr="00566A82">
        <w:rPr>
          <w:lang w:val="pl-PL"/>
        </w:rPr>
        <w:t>p</w:t>
      </w:r>
      <w:proofErr w:type="gramEnd"/>
      <w:r w:rsidRPr="00566A82">
        <w:rPr>
          <w:lang w:val="pl-PL"/>
        </w:rPr>
        <w:t>. 36.</w:t>
      </w:r>
    </w:p>
  </w:footnote>
  <w:footnote w:id="36">
    <w:p w:rsidR="002A6B1F" w:rsidRPr="00566A82" w:rsidRDefault="002A6B1F" w:rsidP="00403369">
      <w:pPr>
        <w:pStyle w:val="FootnoteText"/>
        <w:rPr>
          <w:lang w:val="pl-PL"/>
        </w:rPr>
      </w:pPr>
      <w:r>
        <w:rPr>
          <w:rStyle w:val="FootnoteReference"/>
        </w:rPr>
        <w:footnoteRef/>
      </w:r>
      <w:r w:rsidRPr="00566A82">
        <w:rPr>
          <w:lang w:val="pl-PL"/>
        </w:rPr>
        <w:tab/>
        <w:t xml:space="preserve">OJ L 211, 14.8.2009, </w:t>
      </w:r>
      <w:proofErr w:type="gramStart"/>
      <w:r w:rsidRPr="00566A82">
        <w:rPr>
          <w:lang w:val="pl-PL"/>
        </w:rPr>
        <w:t>p</w:t>
      </w:r>
      <w:proofErr w:type="gramEnd"/>
      <w:r w:rsidRPr="00566A82">
        <w:rPr>
          <w:lang w:val="pl-PL"/>
        </w:rPr>
        <w:t>. 94</w:t>
      </w:r>
    </w:p>
  </w:footnote>
  <w:footnote w:id="37">
    <w:p w:rsidR="002A6B1F" w:rsidRPr="003C4AC6" w:rsidRDefault="002A6B1F" w:rsidP="00403369">
      <w:pPr>
        <w:pStyle w:val="FootnoteText"/>
        <w:rPr>
          <w:rStyle w:val="FootnoteReference"/>
          <w:lang w:val="pl-PL"/>
        </w:rPr>
      </w:pPr>
      <w:r>
        <w:rPr>
          <w:rStyle w:val="FootnoteReference"/>
        </w:rPr>
        <w:footnoteRef/>
      </w:r>
      <w:r w:rsidRPr="003C4AC6">
        <w:rPr>
          <w:rStyle w:val="FootnoteReference"/>
          <w:lang w:val="pl-PL"/>
        </w:rPr>
        <w:tab/>
      </w:r>
      <w:r w:rsidRPr="003C4AC6">
        <w:rPr>
          <w:lang w:val="pl-PL"/>
        </w:rPr>
        <w:t xml:space="preserve">OJ L 265, 9.10.2009, </w:t>
      </w:r>
      <w:proofErr w:type="gramStart"/>
      <w:r w:rsidRPr="003C4AC6">
        <w:rPr>
          <w:lang w:val="pl-PL"/>
        </w:rPr>
        <w:t>p</w:t>
      </w:r>
      <w:proofErr w:type="gramEnd"/>
      <w:r w:rsidRPr="003C4AC6">
        <w:rPr>
          <w:lang w:val="pl-PL"/>
        </w:rPr>
        <w:t>. 9.</w:t>
      </w:r>
    </w:p>
  </w:footnote>
  <w:footnote w:id="38">
    <w:p w:rsidR="002A6B1F" w:rsidRPr="003C4AC6" w:rsidRDefault="002A6B1F" w:rsidP="00403369">
      <w:pPr>
        <w:pStyle w:val="FootnoteText"/>
        <w:rPr>
          <w:lang w:val="pl-PL"/>
        </w:rPr>
      </w:pPr>
      <w:r>
        <w:rPr>
          <w:rStyle w:val="FootnoteReference"/>
        </w:rPr>
        <w:footnoteRef/>
      </w:r>
      <w:r w:rsidRPr="003C4AC6">
        <w:rPr>
          <w:lang w:val="pl-PL"/>
        </w:rPr>
        <w:tab/>
        <w:t xml:space="preserve">OJ L 153, 18.6.2010, </w:t>
      </w:r>
      <w:proofErr w:type="gramStart"/>
      <w:r w:rsidRPr="003C4AC6">
        <w:rPr>
          <w:lang w:val="pl-PL"/>
        </w:rPr>
        <w:t>p</w:t>
      </w:r>
      <w:proofErr w:type="gramEnd"/>
      <w:r w:rsidRPr="003C4AC6">
        <w:rPr>
          <w:lang w:val="pl-PL"/>
        </w:rPr>
        <w:t>. 13.</w:t>
      </w:r>
    </w:p>
  </w:footnote>
  <w:footnote w:id="39">
    <w:p w:rsidR="002A6B1F" w:rsidRPr="003C4AC6" w:rsidRDefault="002A6B1F" w:rsidP="00403369">
      <w:pPr>
        <w:pStyle w:val="FootnoteText"/>
        <w:rPr>
          <w:lang w:val="pl-PL"/>
        </w:rPr>
      </w:pPr>
      <w:r>
        <w:rPr>
          <w:rStyle w:val="FootnoteReference"/>
        </w:rPr>
        <w:footnoteRef/>
      </w:r>
      <w:r w:rsidRPr="003C4AC6">
        <w:rPr>
          <w:lang w:val="pl-PL"/>
        </w:rPr>
        <w:tab/>
        <w:t xml:space="preserve">OJ L 315, 14.11.2012, </w:t>
      </w:r>
      <w:proofErr w:type="gramStart"/>
      <w:r w:rsidRPr="003C4AC6">
        <w:rPr>
          <w:lang w:val="pl-PL"/>
        </w:rPr>
        <w:t>p</w:t>
      </w:r>
      <w:proofErr w:type="gramEnd"/>
      <w:r w:rsidRPr="003C4AC6">
        <w:rPr>
          <w:lang w:val="pl-PL"/>
        </w:rPr>
        <w:t>. 1.</w:t>
      </w:r>
    </w:p>
  </w:footnote>
  <w:footnote w:id="40">
    <w:p w:rsidR="002A6B1F" w:rsidRPr="003C4AC6" w:rsidRDefault="002A6B1F" w:rsidP="00403369">
      <w:pPr>
        <w:pStyle w:val="FootnoteText"/>
        <w:rPr>
          <w:color w:val="000000" w:themeColor="text1"/>
        </w:rPr>
      </w:pPr>
      <w:r>
        <w:rPr>
          <w:rStyle w:val="FootnoteReference"/>
        </w:rPr>
        <w:footnoteRef/>
      </w:r>
      <w:r>
        <w:tab/>
      </w:r>
      <w:r w:rsidRPr="003C4AC6">
        <w:rPr>
          <w:color w:val="000000" w:themeColor="text1"/>
        </w:rPr>
        <w:t>OJ L 178, 28.6.2013, p. 66.</w:t>
      </w:r>
    </w:p>
  </w:footnote>
  <w:footnote w:id="41">
    <w:p w:rsidR="002A6B1F" w:rsidRDefault="002A6B1F" w:rsidP="00403369">
      <w:pPr>
        <w:pStyle w:val="FootnoteText"/>
      </w:pPr>
      <w:r>
        <w:rPr>
          <w:rStyle w:val="FootnoteReference"/>
        </w:rPr>
        <w:footnoteRef/>
      </w:r>
      <w:r>
        <w:tab/>
        <w:t>OJ L 107, 25.4.2015, p. 26.</w:t>
      </w:r>
    </w:p>
  </w:footnote>
  <w:footnote w:id="42">
    <w:p w:rsidR="002A6B1F" w:rsidRDefault="002A6B1F">
      <w:pPr>
        <w:pStyle w:val="FootnoteText"/>
        <w:rPr>
          <w:szCs w:val="24"/>
        </w:rPr>
      </w:pPr>
      <w:r>
        <w:rPr>
          <w:rStyle w:val="FootnoteReference"/>
        </w:rPr>
        <w:footnoteRef/>
      </w:r>
      <w:r>
        <w:tab/>
        <w:t>ABM: activity-based management; ABB: activity-based budgeting.</w:t>
      </w:r>
    </w:p>
  </w:footnote>
  <w:footnote w:id="43">
    <w:p w:rsidR="002A6B1F" w:rsidRDefault="002A6B1F">
      <w:pPr>
        <w:pStyle w:val="FootnoteText"/>
        <w:rPr>
          <w:szCs w:val="24"/>
        </w:rPr>
      </w:pPr>
      <w:r>
        <w:rPr>
          <w:rStyle w:val="FootnoteReference"/>
        </w:rPr>
        <w:footnoteRef/>
      </w:r>
      <w:r>
        <w:tab/>
        <w:t>As referred to in Article 54(2</w:t>
      </w:r>
      <w:proofErr w:type="gramStart"/>
      <w:r>
        <w:t>)(</w:t>
      </w:r>
      <w:proofErr w:type="gramEnd"/>
      <w:r>
        <w:t>a) or (b) of the Financial Regulation.</w:t>
      </w:r>
    </w:p>
  </w:footnote>
  <w:footnote w:id="44">
    <w:p w:rsidR="002A6B1F" w:rsidRDefault="002A6B1F">
      <w:pPr>
        <w:pStyle w:val="FootnoteText"/>
        <w:rPr>
          <w:szCs w:val="24"/>
        </w:rPr>
      </w:pPr>
      <w:r>
        <w:rPr>
          <w:rStyle w:val="FootnoteReference"/>
        </w:rPr>
        <w:footnoteRef/>
      </w:r>
      <w:r>
        <w:tab/>
        <w:t xml:space="preserve">Details of management modes and references to the Financial Regulation may be found on the </w:t>
      </w:r>
      <w:proofErr w:type="spellStart"/>
      <w:r>
        <w:t>BudgWeb</w:t>
      </w:r>
      <w:proofErr w:type="spellEnd"/>
      <w:r>
        <w:t xml:space="preserve"> site: </w:t>
      </w:r>
      <w:hyperlink r:id="rId1" w:history="1">
        <w:r>
          <w:rPr>
            <w:rStyle w:val="Hyperlink"/>
            <w:sz w:val="18"/>
          </w:rPr>
          <w:t>http://www.cc.cec/budg/man/budgmanag/budgmanag_en.html</w:t>
        </w:r>
      </w:hyperlink>
    </w:p>
  </w:footnote>
  <w:footnote w:id="45">
    <w:p w:rsidR="002A6B1F" w:rsidRDefault="002A6B1F">
      <w:pPr>
        <w:pStyle w:val="FootnoteText"/>
        <w:rPr>
          <w:szCs w:val="24"/>
        </w:rPr>
      </w:pPr>
      <w:r>
        <w:rPr>
          <w:rStyle w:val="FootnoteReference"/>
        </w:rPr>
        <w:footnoteRef/>
      </w:r>
      <w:r>
        <w:tab/>
        <w:t>Diff. = Differentiated appropriations / Non-diff. = Non-differentiated appropriations.</w:t>
      </w:r>
    </w:p>
  </w:footnote>
  <w:footnote w:id="46">
    <w:p w:rsidR="002A6B1F" w:rsidRDefault="002A6B1F">
      <w:pPr>
        <w:pStyle w:val="FootnoteText"/>
        <w:rPr>
          <w:szCs w:val="24"/>
        </w:rPr>
      </w:pPr>
      <w:r>
        <w:rPr>
          <w:rStyle w:val="FootnoteReference"/>
        </w:rPr>
        <w:footnoteRef/>
      </w:r>
      <w:r>
        <w:tab/>
        <w:t xml:space="preserve">EFTA: European Free Trade Association. </w:t>
      </w:r>
    </w:p>
  </w:footnote>
  <w:footnote w:id="47">
    <w:p w:rsidR="002A6B1F" w:rsidRDefault="002A6B1F">
      <w:pPr>
        <w:pStyle w:val="FootnoteText"/>
        <w:rPr>
          <w:szCs w:val="24"/>
        </w:rPr>
      </w:pPr>
      <w:r>
        <w:rPr>
          <w:rStyle w:val="FootnoteReference"/>
        </w:rPr>
        <w:footnoteRef/>
      </w:r>
      <w:r>
        <w:tab/>
      </w:r>
      <w:proofErr w:type="gramStart"/>
      <w:r>
        <w:t>Candidate countries and, where applicable, potential candidate countries from the Western Balkans.</w:t>
      </w:r>
      <w:proofErr w:type="gramEnd"/>
    </w:p>
  </w:footnote>
  <w:footnote w:id="48">
    <w:p w:rsidR="002A6B1F" w:rsidRDefault="002A6B1F">
      <w:pPr>
        <w:pStyle w:val="FootnoteText"/>
        <w:rPr>
          <w:szCs w:val="24"/>
        </w:rPr>
      </w:pPr>
      <w:r>
        <w:rPr>
          <w:rStyle w:val="FootnoteReference"/>
        </w:rPr>
        <w:footnoteRef/>
      </w:r>
      <w:r>
        <w:tab/>
      </w:r>
      <w:proofErr w:type="gramStart"/>
      <w:r>
        <w:t>Technical and/or administrative assistance and expenditure in support of the implementation of EU programmes and/or actions (former ‘BA’ lines), indirect research, direct research.</w:t>
      </w:r>
      <w:proofErr w:type="gramEnd"/>
    </w:p>
  </w:footnote>
  <w:footnote w:id="49">
    <w:p w:rsidR="002A6B1F" w:rsidRDefault="002A6B1F">
      <w:pPr>
        <w:pStyle w:val="FootnoteText"/>
        <w:rPr>
          <w:szCs w:val="24"/>
        </w:rPr>
      </w:pPr>
      <w:r>
        <w:rPr>
          <w:rStyle w:val="FootnoteReference"/>
        </w:rPr>
        <w:footnoteRef/>
      </w:r>
      <w:r>
        <w:tab/>
      </w:r>
      <w:proofErr w:type="gramStart"/>
      <w:r>
        <w:t>Technical and/or administrative assistance and expenditure in support of the implementation of EU programmes and/or actions (former ‘BA’ lines), indirect research, direct research.</w:t>
      </w:r>
      <w:proofErr w:type="gramEnd"/>
    </w:p>
  </w:footnote>
  <w:footnote w:id="50">
    <w:p w:rsidR="002A6B1F" w:rsidRDefault="002A6B1F">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51">
    <w:p w:rsidR="002A6B1F" w:rsidRDefault="002A6B1F">
      <w:pPr>
        <w:pStyle w:val="FootnoteText"/>
        <w:rPr>
          <w:szCs w:val="24"/>
        </w:rPr>
      </w:pPr>
      <w:r>
        <w:rPr>
          <w:rStyle w:val="FootnoteReference"/>
        </w:rPr>
        <w:footnoteRef/>
      </w:r>
      <w:r>
        <w:tab/>
        <w:t xml:space="preserve">As described in point 1.4.2. ‘Specific objective(s)…’ </w:t>
      </w:r>
    </w:p>
  </w:footnote>
  <w:footnote w:id="52">
    <w:p w:rsidR="002A6B1F" w:rsidRDefault="002A6B1F">
      <w:pPr>
        <w:pStyle w:val="FootnoteText"/>
      </w:pPr>
      <w:r>
        <w:rPr>
          <w:rStyle w:val="FootnoteReference"/>
        </w:rPr>
        <w:footnoteRef/>
      </w:r>
      <w:r>
        <w:tab/>
        <w:t xml:space="preserve">Such assistance could cover reports assessment, interviews with stakeholders, organisation of workshops and conferences etc. </w:t>
      </w:r>
    </w:p>
  </w:footnote>
  <w:footnote w:id="53">
    <w:p w:rsidR="002A6B1F" w:rsidRDefault="002A6B1F">
      <w:pPr>
        <w:pStyle w:val="FootnoteText"/>
        <w:rPr>
          <w:szCs w:val="24"/>
        </w:rPr>
      </w:pPr>
      <w:r>
        <w:rPr>
          <w:rStyle w:val="FootnoteReference"/>
        </w:rPr>
        <w:footnoteRef/>
      </w:r>
      <w:r>
        <w:tab/>
      </w:r>
      <w:proofErr w:type="gramStart"/>
      <w:r>
        <w:t>Technical and/or administrative assistance and expenditure in support of the implementation of EU programmes and/or actions (former ‘BA’ lines), indirect research, direct research.</w:t>
      </w:r>
      <w:proofErr w:type="gramEnd"/>
    </w:p>
  </w:footnote>
  <w:footnote w:id="54">
    <w:p w:rsidR="002A6B1F" w:rsidRDefault="002A6B1F">
      <w:pPr>
        <w:pStyle w:val="FootnoteText"/>
        <w:rPr>
          <w:szCs w:val="24"/>
        </w:rPr>
      </w:pPr>
      <w:r>
        <w:rPr>
          <w:rStyle w:val="FootnoteReference"/>
        </w:rPr>
        <w:footnoteRef/>
      </w:r>
      <w:r>
        <w:tab/>
        <w:t xml:space="preserve">AC= Contract Staff; AL = Local Staff; END= Seconded National Expert; INT = agency staff; JED= Junior Experts in Delegations. </w:t>
      </w:r>
    </w:p>
  </w:footnote>
  <w:footnote w:id="55">
    <w:p w:rsidR="002A6B1F" w:rsidRDefault="002A6B1F">
      <w:pPr>
        <w:pStyle w:val="FootnoteText"/>
        <w:rPr>
          <w:szCs w:val="24"/>
        </w:rPr>
      </w:pPr>
      <w:r>
        <w:rPr>
          <w:rStyle w:val="FootnoteReference"/>
        </w:rPr>
        <w:footnoteRef/>
      </w:r>
      <w:r>
        <w:tab/>
      </w:r>
      <w:proofErr w:type="gramStart"/>
      <w:r>
        <w:t>Sub-ceiling for external staff covered by operational appropriations (former ‘BA’ lines).</w:t>
      </w:r>
      <w:proofErr w:type="gramEnd"/>
    </w:p>
  </w:footnote>
  <w:footnote w:id="56">
    <w:p w:rsidR="002A6B1F" w:rsidRDefault="002A6B1F">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 w:id="57">
    <w:p w:rsidR="002A6B1F" w:rsidRDefault="002A6B1F">
      <w:pPr>
        <w:pStyle w:val="FootnoteText"/>
        <w:rPr>
          <w:szCs w:val="24"/>
        </w:rPr>
      </w:pPr>
      <w:r>
        <w:rPr>
          <w:rStyle w:val="FootnoteReference"/>
        </w:rPr>
        <w:footnoteRef/>
      </w:r>
      <w:r>
        <w:tab/>
        <w:t>ABM: activity-based management; ABB: activity-based budgeting.</w:t>
      </w:r>
    </w:p>
  </w:footnote>
  <w:footnote w:id="58">
    <w:p w:rsidR="002A6B1F" w:rsidRDefault="002A6B1F">
      <w:pPr>
        <w:pStyle w:val="FootnoteText"/>
        <w:rPr>
          <w:szCs w:val="24"/>
        </w:rPr>
      </w:pPr>
      <w:r>
        <w:rPr>
          <w:rStyle w:val="FootnoteReference"/>
        </w:rPr>
        <w:footnoteRef/>
      </w:r>
      <w:r>
        <w:tab/>
        <w:t>As referred to in Article 54(2</w:t>
      </w:r>
      <w:proofErr w:type="gramStart"/>
      <w:r>
        <w:t>)(</w:t>
      </w:r>
      <w:proofErr w:type="gramEnd"/>
      <w:r>
        <w:t>a) or (b) of the Financial Regulation.</w:t>
      </w:r>
    </w:p>
  </w:footnote>
  <w:footnote w:id="59">
    <w:p w:rsidR="002A6B1F" w:rsidRDefault="002A6B1F">
      <w:pPr>
        <w:pStyle w:val="FootnoteText"/>
        <w:rPr>
          <w:szCs w:val="24"/>
        </w:rPr>
      </w:pPr>
      <w:r>
        <w:rPr>
          <w:rStyle w:val="FootnoteReference"/>
        </w:rPr>
        <w:footnoteRef/>
      </w:r>
      <w:r>
        <w:tab/>
        <w:t xml:space="preserve">Details of management modes and references to the Financial Regulation may be found on the </w:t>
      </w:r>
      <w:proofErr w:type="spellStart"/>
      <w:r>
        <w:t>BudgWeb</w:t>
      </w:r>
      <w:proofErr w:type="spellEnd"/>
      <w:r>
        <w:t xml:space="preserve"> site: </w:t>
      </w:r>
      <w:hyperlink r:id="rId2" w:history="1">
        <w:r>
          <w:rPr>
            <w:rStyle w:val="Hyperlink"/>
            <w:sz w:val="18"/>
          </w:rPr>
          <w:t>http://www.cc.cec/budg/man/budgmanag/budgmanag_en.html</w:t>
        </w:r>
      </w:hyperlink>
    </w:p>
  </w:footnote>
  <w:footnote w:id="60">
    <w:p w:rsidR="002A6B1F" w:rsidRDefault="002A6B1F">
      <w:pPr>
        <w:pStyle w:val="FootnoteText"/>
        <w:rPr>
          <w:szCs w:val="24"/>
        </w:rPr>
      </w:pPr>
      <w:r>
        <w:rPr>
          <w:rStyle w:val="FootnoteReference"/>
        </w:rPr>
        <w:footnoteRef/>
      </w:r>
      <w:r>
        <w:tab/>
        <w:t>Diff. = Differentiated appropriations / Non-diff. = Non-differentiated appropriations.</w:t>
      </w:r>
    </w:p>
  </w:footnote>
  <w:footnote w:id="61">
    <w:p w:rsidR="002A6B1F" w:rsidRDefault="002A6B1F">
      <w:pPr>
        <w:pStyle w:val="FootnoteText"/>
        <w:rPr>
          <w:szCs w:val="24"/>
        </w:rPr>
      </w:pPr>
      <w:r>
        <w:rPr>
          <w:rStyle w:val="FootnoteReference"/>
        </w:rPr>
        <w:footnoteRef/>
      </w:r>
      <w:r>
        <w:tab/>
        <w:t xml:space="preserve">EFTA: European Free Trade Association. </w:t>
      </w:r>
    </w:p>
  </w:footnote>
  <w:footnote w:id="62">
    <w:p w:rsidR="002A6B1F" w:rsidRDefault="002A6B1F">
      <w:pPr>
        <w:pStyle w:val="FootnoteText"/>
        <w:rPr>
          <w:szCs w:val="24"/>
        </w:rPr>
      </w:pPr>
      <w:r>
        <w:rPr>
          <w:rStyle w:val="FootnoteReference"/>
        </w:rPr>
        <w:footnoteRef/>
      </w:r>
      <w:r>
        <w:tab/>
      </w:r>
      <w:proofErr w:type="gramStart"/>
      <w:r>
        <w:t>Candidate countries and, where applicable, potential candidates from the Western Balkans.</w:t>
      </w:r>
      <w:proofErr w:type="gramEnd"/>
    </w:p>
  </w:footnote>
  <w:footnote w:id="63">
    <w:p w:rsidR="002A6B1F" w:rsidRDefault="002A6B1F">
      <w:pPr>
        <w:pStyle w:val="FootnoteText"/>
        <w:rPr>
          <w:szCs w:val="24"/>
        </w:rPr>
      </w:pPr>
      <w:r>
        <w:rPr>
          <w:rStyle w:val="FootnoteReference"/>
        </w:rPr>
        <w:footnoteRef/>
      </w:r>
      <w:r>
        <w:tab/>
        <w:t>Year N is the year in which implementation of the proposal/initiative starts.</w:t>
      </w:r>
    </w:p>
  </w:footnote>
  <w:footnote w:id="64">
    <w:p w:rsidR="002A6B1F" w:rsidRDefault="002A6B1F">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65">
    <w:p w:rsidR="002A6B1F" w:rsidRDefault="002A6B1F">
      <w:pPr>
        <w:pStyle w:val="FootnoteText"/>
        <w:rPr>
          <w:szCs w:val="24"/>
        </w:rPr>
      </w:pPr>
      <w:r>
        <w:rPr>
          <w:rStyle w:val="FootnoteReference"/>
        </w:rPr>
        <w:footnoteRef/>
      </w:r>
      <w:r>
        <w:tab/>
        <w:t>As described in point 1.4.2. ‘Specific objective(s)…’</w:t>
      </w:r>
    </w:p>
  </w:footnote>
  <w:footnote w:id="66">
    <w:p w:rsidR="002A6B1F" w:rsidRDefault="002A6B1F">
      <w:pPr>
        <w:pStyle w:val="FootnoteText"/>
        <w:rPr>
          <w:szCs w:val="24"/>
        </w:rPr>
      </w:pPr>
      <w:r>
        <w:rPr>
          <w:rStyle w:val="FootnoteReference"/>
        </w:rPr>
        <w:footnoteRef/>
      </w:r>
      <w:r>
        <w:tab/>
        <w:t xml:space="preserve">See Articles 11 and 17 of Council Regulation (EU, </w:t>
      </w:r>
      <w:proofErr w:type="spellStart"/>
      <w:proofErr w:type="gramStart"/>
      <w:r>
        <w:t>Euratom</w:t>
      </w:r>
      <w:proofErr w:type="spellEnd"/>
      <w:proofErr w:type="gramEnd"/>
      <w:r>
        <w:t>) No 1311/2013 laying down the multiannual financial framework for the years 2014-2020.</w:t>
      </w:r>
    </w:p>
  </w:footnote>
  <w:footnote w:id="67">
    <w:p w:rsidR="002A6B1F" w:rsidRDefault="002A6B1F">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93D" w:rsidRDefault="00E6093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DB" w:rsidRPr="00465FDB" w:rsidRDefault="00465FDB" w:rsidP="00211F8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F8F" w:rsidRPr="00211F8F" w:rsidRDefault="00211F8F" w:rsidP="00211F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93D" w:rsidRDefault="00E609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93D" w:rsidRDefault="00E6093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DB" w:rsidRPr="00465FDB" w:rsidRDefault="00465FDB" w:rsidP="00211F8F">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F8F" w:rsidRPr="00211F8F" w:rsidRDefault="00211F8F" w:rsidP="00211F8F">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DB" w:rsidRPr="00465FDB" w:rsidRDefault="00465FDB" w:rsidP="00211F8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F8F" w:rsidRPr="00211F8F" w:rsidRDefault="00211F8F" w:rsidP="00211F8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DB" w:rsidRPr="00465FDB" w:rsidRDefault="00465FDB" w:rsidP="00211F8F">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F8F" w:rsidRPr="00211F8F" w:rsidRDefault="00211F8F" w:rsidP="00211F8F">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44A68D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198990E"/>
    <w:lvl w:ilvl="0">
      <w:start w:val="1"/>
      <w:numFmt w:val="decimal"/>
      <w:pStyle w:val="ListNumber3"/>
      <w:lvlText w:val="%1."/>
      <w:lvlJc w:val="left"/>
      <w:pPr>
        <w:tabs>
          <w:tab w:val="num" w:pos="926"/>
        </w:tabs>
        <w:ind w:left="926" w:hanging="360"/>
      </w:pPr>
    </w:lvl>
  </w:abstractNum>
  <w:abstractNum w:abstractNumId="2">
    <w:nsid w:val="FFFFFF7F"/>
    <w:multiLevelType w:val="singleLevel"/>
    <w:tmpl w:val="C674068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9CE15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ADEEB6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83B2429"/>
    <w:multiLevelType w:val="hybridMultilevel"/>
    <w:tmpl w:val="01D6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5F8C3B69"/>
    <w:multiLevelType w:val="multilevel"/>
    <w:tmpl w:val="9B14DAA8"/>
    <w:name w:val="List Number"/>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62A8042C"/>
    <w:multiLevelType w:val="singleLevel"/>
    <w:tmpl w:val="CCF20C06"/>
    <w:lvl w:ilvl="0">
      <w:start w:val="1"/>
      <w:numFmt w:val="bullet"/>
      <w:lvlText w:val="–"/>
      <w:lvlJc w:val="left"/>
      <w:pPr>
        <w:tabs>
          <w:tab w:val="num" w:pos="1134"/>
        </w:tabs>
        <w:ind w:left="1134" w:hanging="283"/>
      </w:pPr>
      <w:rPr>
        <w:rFonts w:ascii="Times New Roman" w:hAnsi="Times New Roman"/>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6A6901C1"/>
    <w:multiLevelType w:val="singleLevel"/>
    <w:tmpl w:val="208841AE"/>
    <w:lvl w:ilvl="0">
      <w:start w:val="1"/>
      <w:numFmt w:val="bullet"/>
      <w:lvlText w:val=""/>
      <w:lvlJc w:val="left"/>
      <w:pPr>
        <w:tabs>
          <w:tab w:val="num" w:pos="1134"/>
        </w:tabs>
        <w:ind w:left="1134" w:hanging="283"/>
      </w:pPr>
      <w:rPr>
        <w:rFonts w:ascii="Symbol" w:hAnsi="Symbol" w:hint="default"/>
      </w:rPr>
    </w:lvl>
  </w:abstractNum>
  <w:abstractNum w:abstractNumId="26">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5"/>
  </w:num>
  <w:num w:numId="3">
    <w:abstractNumId w:val="14"/>
  </w:num>
  <w:num w:numId="4">
    <w:abstractNumId w:val="26"/>
  </w:num>
  <w:num w:numId="5">
    <w:abstractNumId w:val="20"/>
  </w:num>
  <w:num w:numId="6">
    <w:abstractNumId w:val="27"/>
  </w:num>
  <w:num w:numId="7">
    <w:abstractNumId w:val="4"/>
  </w:num>
  <w:num w:numId="8">
    <w:abstractNumId w:val="3"/>
  </w:num>
  <w:num w:numId="9">
    <w:abstractNumId w:val="2"/>
  </w:num>
  <w:num w:numId="10">
    <w:abstractNumId w:val="1"/>
  </w:num>
  <w:num w:numId="11">
    <w:abstractNumId w:val="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2"/>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 w:ilvl="0">
        <w:start w:val="1"/>
        <w:numFmt w:val="decimal"/>
        <w:lvlRestart w:val="0"/>
        <w:pStyle w:val="Point0number"/>
        <w:lvlText w:val="(%1)"/>
        <w:lvlJc w:val="left"/>
        <w:pPr>
          <w:tabs>
            <w:tab w:val="num" w:pos="8170"/>
          </w:tabs>
          <w:ind w:left="8170" w:hanging="850"/>
        </w:pPr>
        <w:rPr>
          <w:rFonts w:hint="default"/>
        </w:rPr>
      </w:lvl>
    </w:lvlOverride>
    <w:lvlOverride w:ilvl="1">
      <w:startOverride w:val="1"/>
      <w:lvl w:ilvl="1">
        <w:start w:val="1"/>
        <w:numFmt w:val="lowerLetter"/>
        <w:pStyle w:val="Point0letter"/>
        <w:lvlText w:val="(%2)"/>
        <w:lvlJc w:val="left"/>
        <w:pPr>
          <w:tabs>
            <w:tab w:val="num" w:pos="850"/>
          </w:tabs>
          <w:ind w:left="850" w:hanging="850"/>
        </w:pPr>
        <w:rPr>
          <w:rFonts w:hint="default"/>
        </w:rPr>
      </w:lvl>
    </w:lvlOverride>
    <w:lvlOverride w:ilvl="2">
      <w:startOverride w:val="1"/>
      <w:lvl w:ilvl="2">
        <w:start w:val="1"/>
        <w:numFmt w:val="decimal"/>
        <w:pStyle w:val="Point1number"/>
        <w:lvlText w:val="(%3)"/>
        <w:lvlJc w:val="left"/>
        <w:pPr>
          <w:tabs>
            <w:tab w:val="num" w:pos="1417"/>
          </w:tabs>
          <w:ind w:left="0" w:firstLine="850"/>
        </w:pPr>
        <w:rPr>
          <w:rFonts w:hint="default"/>
        </w:rPr>
      </w:lvl>
    </w:lvlOverride>
    <w:lvlOverride w:ilvl="3">
      <w:startOverride w:val="1"/>
      <w:lvl w:ilvl="3">
        <w:start w:val="1"/>
        <w:numFmt w:val="lowerLetter"/>
        <w:pStyle w:val="Point1letter"/>
        <w:lvlText w:val="(%4)"/>
        <w:lvlJc w:val="left"/>
        <w:pPr>
          <w:tabs>
            <w:tab w:val="num" w:pos="1417"/>
          </w:tabs>
          <w:ind w:left="1417" w:hanging="567"/>
        </w:pPr>
        <w:rPr>
          <w:rFonts w:hint="default"/>
        </w:rPr>
      </w:lvl>
    </w:lvlOverride>
    <w:lvlOverride w:ilvl="4">
      <w:startOverride w:val="1"/>
      <w:lvl w:ilvl="4">
        <w:start w:val="1"/>
        <w:numFmt w:val="decimal"/>
        <w:pStyle w:val="Point2number"/>
        <w:lvlText w:val="(%5)"/>
        <w:lvlJc w:val="left"/>
        <w:pPr>
          <w:tabs>
            <w:tab w:val="num" w:pos="1984"/>
          </w:tabs>
          <w:ind w:left="1984" w:hanging="567"/>
        </w:pPr>
        <w:rPr>
          <w:rFonts w:hint="default"/>
        </w:rPr>
      </w:lvl>
    </w:lvlOverride>
    <w:lvlOverride w:ilvl="5">
      <w:startOverride w:val="1"/>
      <w:lvl w:ilvl="5">
        <w:start w:val="1"/>
        <w:numFmt w:val="lowerLetter"/>
        <w:pStyle w:val="Point2letter"/>
        <w:lvlText w:val="(%6)"/>
        <w:lvlJc w:val="left"/>
        <w:pPr>
          <w:tabs>
            <w:tab w:val="num" w:pos="1984"/>
          </w:tabs>
          <w:ind w:left="1984" w:hanging="567"/>
        </w:pPr>
        <w:rPr>
          <w:rFonts w:hint="default"/>
        </w:rPr>
      </w:lvl>
    </w:lvlOverride>
    <w:lvlOverride w:ilvl="6">
      <w:startOverride w:val="1"/>
      <w:lvl w:ilvl="6">
        <w:start w:val="1"/>
        <w:numFmt w:val="decimal"/>
        <w:pStyle w:val="Point3number"/>
        <w:lvlText w:val="(%7)"/>
        <w:lvlJc w:val="left"/>
        <w:pPr>
          <w:tabs>
            <w:tab w:val="num" w:pos="2551"/>
          </w:tabs>
          <w:ind w:left="2551" w:hanging="567"/>
        </w:pPr>
        <w:rPr>
          <w:rFonts w:hint="default"/>
        </w:rPr>
      </w:lvl>
    </w:lvlOverride>
    <w:lvlOverride w:ilvl="7">
      <w:startOverride w:val="1"/>
      <w:lvl w:ilvl="7">
        <w:start w:val="1"/>
        <w:numFmt w:val="lowerLetter"/>
        <w:pStyle w:val="Point3letter"/>
        <w:lvlText w:val="(%8)"/>
        <w:lvlJc w:val="left"/>
        <w:pPr>
          <w:tabs>
            <w:tab w:val="num" w:pos="2551"/>
          </w:tabs>
          <w:ind w:left="2551" w:hanging="567"/>
        </w:pPr>
        <w:rPr>
          <w:rFonts w:hint="default"/>
        </w:rPr>
      </w:lvl>
    </w:lvlOverride>
    <w:lvlOverride w:ilvl="8">
      <w:startOverride w:val="1"/>
      <w:lvl w:ilvl="8">
        <w:start w:val="1"/>
        <w:numFmt w:val="lowerLetter"/>
        <w:pStyle w:val="Point4letter"/>
        <w:lvlText w:val="(%9)"/>
        <w:lvlJc w:val="left"/>
        <w:pPr>
          <w:tabs>
            <w:tab w:val="num" w:pos="3118"/>
          </w:tabs>
          <w:ind w:left="3118" w:hanging="567"/>
        </w:pPr>
        <w:rPr>
          <w:rFonts w:hint="default"/>
        </w:rPr>
      </w:lvl>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 w:ilvl="0">
        <w:start w:val="1"/>
        <w:numFmt w:val="decimal"/>
        <w:lvlRestart w:val="0"/>
        <w:pStyle w:val="Point0number"/>
        <w:lvlText w:val="(%1)"/>
        <w:lvlJc w:val="left"/>
        <w:pPr>
          <w:tabs>
            <w:tab w:val="num" w:pos="850"/>
          </w:tabs>
          <w:ind w:left="850" w:hanging="850"/>
        </w:pPr>
        <w:rPr>
          <w:rFonts w:hint="default"/>
        </w:rPr>
      </w:lvl>
    </w:lvlOverride>
    <w:lvlOverride w:ilvl="1">
      <w:startOverride w:val="1"/>
      <w:lvl w:ilvl="1">
        <w:start w:val="1"/>
        <w:numFmt w:val="lowerLetter"/>
        <w:pStyle w:val="Point0letter"/>
        <w:lvlText w:val="(%2)"/>
        <w:lvlJc w:val="left"/>
        <w:pPr>
          <w:tabs>
            <w:tab w:val="num" w:pos="850"/>
          </w:tabs>
          <w:ind w:left="850" w:hanging="850"/>
        </w:pPr>
        <w:rPr>
          <w:rFonts w:hint="default"/>
        </w:rPr>
      </w:lvl>
    </w:lvlOverride>
    <w:lvlOverride w:ilvl="2">
      <w:startOverride w:val="1"/>
      <w:lvl w:ilvl="2">
        <w:start w:val="1"/>
        <w:numFmt w:val="decimal"/>
        <w:pStyle w:val="Point1number"/>
        <w:lvlText w:val="(%3)"/>
        <w:lvlJc w:val="left"/>
        <w:pPr>
          <w:tabs>
            <w:tab w:val="num" w:pos="1417"/>
          </w:tabs>
          <w:ind w:left="1417" w:hanging="567"/>
        </w:pPr>
        <w:rPr>
          <w:rFonts w:hint="default"/>
        </w:rPr>
      </w:lvl>
    </w:lvlOverride>
    <w:lvlOverride w:ilvl="3">
      <w:startOverride w:val="1"/>
      <w:lvl w:ilvl="3">
        <w:start w:val="1"/>
        <w:numFmt w:val="lowerLetter"/>
        <w:pStyle w:val="Point1letter"/>
        <w:lvlText w:val="(%4)"/>
        <w:lvlJc w:val="left"/>
        <w:pPr>
          <w:tabs>
            <w:tab w:val="num" w:pos="1417"/>
          </w:tabs>
          <w:ind w:left="1417" w:hanging="567"/>
        </w:pPr>
        <w:rPr>
          <w:rFonts w:hint="default"/>
        </w:rPr>
      </w:lvl>
    </w:lvlOverride>
    <w:lvlOverride w:ilvl="4">
      <w:startOverride w:val="1"/>
      <w:lvl w:ilvl="4">
        <w:start w:val="1"/>
        <w:numFmt w:val="decimal"/>
        <w:pStyle w:val="Point2number"/>
        <w:lvlText w:val="(%5)"/>
        <w:lvlJc w:val="left"/>
        <w:pPr>
          <w:tabs>
            <w:tab w:val="num" w:pos="1984"/>
          </w:tabs>
          <w:ind w:left="1984" w:hanging="567"/>
        </w:pPr>
        <w:rPr>
          <w:rFonts w:hint="default"/>
        </w:rPr>
      </w:lvl>
    </w:lvlOverride>
    <w:lvlOverride w:ilvl="5">
      <w:startOverride w:val="1"/>
      <w:lvl w:ilvl="5">
        <w:start w:val="1"/>
        <w:numFmt w:val="lowerLetter"/>
        <w:pStyle w:val="Point2letter"/>
        <w:lvlText w:val="(%6)"/>
        <w:lvlJc w:val="left"/>
        <w:pPr>
          <w:tabs>
            <w:tab w:val="num" w:pos="1984"/>
          </w:tabs>
          <w:ind w:left="1984" w:hanging="567"/>
        </w:pPr>
        <w:rPr>
          <w:rFonts w:hint="default"/>
        </w:rPr>
      </w:lvl>
    </w:lvlOverride>
    <w:lvlOverride w:ilvl="6">
      <w:startOverride w:val="1"/>
      <w:lvl w:ilvl="6">
        <w:start w:val="1"/>
        <w:numFmt w:val="decimal"/>
        <w:pStyle w:val="Point3number"/>
        <w:lvlText w:val="(%7)"/>
        <w:lvlJc w:val="left"/>
        <w:pPr>
          <w:tabs>
            <w:tab w:val="num" w:pos="2551"/>
          </w:tabs>
          <w:ind w:left="2551" w:hanging="567"/>
        </w:pPr>
        <w:rPr>
          <w:rFonts w:hint="default"/>
        </w:rPr>
      </w:lvl>
    </w:lvlOverride>
    <w:lvlOverride w:ilvl="7">
      <w:startOverride w:val="1"/>
      <w:lvl w:ilvl="7">
        <w:start w:val="1"/>
        <w:numFmt w:val="lowerLetter"/>
        <w:pStyle w:val="Point3letter"/>
        <w:lvlText w:val="(%8)"/>
        <w:lvlJc w:val="left"/>
        <w:pPr>
          <w:tabs>
            <w:tab w:val="num" w:pos="2551"/>
          </w:tabs>
          <w:ind w:left="2551" w:hanging="567"/>
        </w:pPr>
        <w:rPr>
          <w:rFonts w:hint="default"/>
        </w:rPr>
      </w:lvl>
    </w:lvlOverride>
    <w:lvlOverride w:ilvl="8">
      <w:startOverride w:val="1"/>
      <w:lvl w:ilvl="8">
        <w:start w:val="1"/>
        <w:numFmt w:val="lowerLetter"/>
        <w:pStyle w:val="Point4letter"/>
        <w:lvlText w:val="(%9)"/>
        <w:lvlJc w:val="left"/>
        <w:pPr>
          <w:tabs>
            <w:tab w:val="num" w:pos="3118"/>
          </w:tabs>
          <w:ind w:left="3118" w:hanging="567"/>
        </w:pPr>
        <w:rPr>
          <w:rFonts w:hint="default"/>
        </w:rPr>
      </w:lvl>
    </w:lvlOverride>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lvlOverride w:ilvl="0">
      <w:startOverride w:val="1"/>
    </w:lvlOverride>
  </w:num>
  <w:num w:numId="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startOverride w:val="1"/>
    </w:lvlOverride>
  </w:num>
  <w:num w:numId="60">
    <w:abstractNumId w:val="19"/>
  </w:num>
  <w:num w:numId="61">
    <w:abstractNumId w:val="11"/>
  </w:num>
  <w:num w:numId="62">
    <w:abstractNumId w:val="24"/>
  </w:num>
  <w:num w:numId="63">
    <w:abstractNumId w:val="10"/>
  </w:num>
  <w:num w:numId="64">
    <w:abstractNumId w:val="12"/>
  </w:num>
  <w:num w:numId="65">
    <w:abstractNumId w:val="7"/>
  </w:num>
  <w:num w:numId="66">
    <w:abstractNumId w:val="23"/>
  </w:num>
  <w:num w:numId="67">
    <w:abstractNumId w:val="6"/>
  </w:num>
  <w:num w:numId="68">
    <w:abstractNumId w:val="13"/>
  </w:num>
  <w:num w:numId="69">
    <w:abstractNumId w:val="17"/>
  </w:num>
  <w:num w:numId="70">
    <w:abstractNumId w:val="18"/>
  </w:num>
  <w:num w:numId="71">
    <w:abstractNumId w:val="9"/>
  </w:num>
  <w:num w:numId="72">
    <w:abstractNumId w:val="16"/>
  </w:num>
  <w:num w:numId="73">
    <w:abstractNumId w:val="2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proofState w:spelling="clean" w:grammar="clean"/>
  <w:attachedTemplate r:id="rId1"/>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2-22 17:16:2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4"/>
    <w:docVar w:name="DQCResult_ModifiedMarkers" w:val="0;0"/>
    <w:docVar w:name="DQCResult_ModifiedNumbering" w:val="0;0"/>
    <w:docVar w:name="DQCResult_Objects" w:val="0;0"/>
    <w:docVar w:name="DQCResult_Sections" w:val="0;0"/>
    <w:docVar w:name="DQCResult_StructureCheck" w:val="0;0"/>
    <w:docVar w:name="DQCResult_SuperfluousWhitespace" w:val="0;46"/>
    <w:docVar w:name="DQCResult_UnknownFonts" w:val="0;0"/>
    <w:docVar w:name="DQCResult_UnknownStyles" w:val="0;1"/>
    <w:docVar w:name="DQCStatus" w:val="Green"/>
    <w:docVar w:name="DQCVersion" w:val="3"/>
    <w:docVar w:name="DQCWithWarnings" w:val="0"/>
    <w:docVar w:name="LW_CONFIDENCE" w:val=" "/>
    <w:docVar w:name="LW_CONST_RESTREINT_UE" w:val="RESTREINT UE/EU RESTRICTED"/>
    <w:docVar w:name="LW_CORRIGENDUM" w:val="CORRIGENDUM_x000b_This document corrects document COM (2016) 759 final of 30.11.2016_x000b_Concerns all language versions._x000b_The text shall read as follows:"/>
    <w:docVar w:name="LW_COVERPAGE_GUID" w:val="015AAECBF75F48C48545559ED3E68BFC"/>
    <w:docVar w:name="LW_CROSSREFERENCE" w:val="{SWD(2016) 394 final}_x000a_{SWD(2016) 395 final}_x000a_{SWD(2016) 396 final}_x000a_{SWD(2016) 397 final}"/>
    <w:docVar w:name="LW_DocType" w:val="COM"/>
    <w:docVar w:name="LW_EMISSION" w:val="23.2.2017"/>
    <w:docVar w:name="LW_EMISSION_ISODATE" w:val="2017-02-23"/>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375"/>
    <w:docVar w:name="LW_REF.II.NEW.CP_YEAR" w:val="2016"/>
    <w:docVar w:name="LW_REF.INST.NEW" w:val="COM"/>
    <w:docVar w:name="LW_REF.INST.NEW_ADOPTED" w:val="final/2"/>
    <w:docVar w:name="LW_REF.INST.NEW_TEXT" w:val="(2016) 759"/>
    <w:docVar w:name="LW_REF.INTERNE" w:val="&lt;UNUSED&gt;"/>
    <w:docVar w:name="LW_SOUS.TITRE.OBJ.CP" w:val="&lt;UNUSED&gt;"/>
    <w:docVar w:name="LW_STATUT.CP" w:val="Proposal for a"/>
    <w:docVar w:name="LW_SUPERTITRE" w:val="&lt;UNUSED&gt;"/>
    <w:docVar w:name="LW_TITRE.OBJ.CP" w:val="on the Governance of the Energy Union,_x000b__x000b_amending Directive 94/22/EC, Directive 98/70/EC, Directive 2009/31/EC, Regulation (EC) No 663/2009, Regulation (EC) No 715/2009, Directive 2009/73/EC, Council Directive 2009/119/EC, Directive 2010/31/EU, _x000b_Directive 2012/27/EU, Directive 2013/30/EU and Council Directive (EU) 2015/652 and repealing Regulation (EU) No 525/2013"/>
    <w:docVar w:name="LW_TYPE.DOC.CP" w:val="REGULATION OF THE EUROPEAN PARLIAMENT AND OF THE COUNCIL"/>
  </w:docVars>
  <w:rsids>
    <w:rsidRoot w:val="00926A0D"/>
    <w:rsid w:val="000105BF"/>
    <w:rsid w:val="00017B6C"/>
    <w:rsid w:val="0002032C"/>
    <w:rsid w:val="000231AA"/>
    <w:rsid w:val="00023DB2"/>
    <w:rsid w:val="00027B18"/>
    <w:rsid w:val="00027D87"/>
    <w:rsid w:val="000307A4"/>
    <w:rsid w:val="00042B2E"/>
    <w:rsid w:val="0004434E"/>
    <w:rsid w:val="00044A1D"/>
    <w:rsid w:val="00052756"/>
    <w:rsid w:val="00061188"/>
    <w:rsid w:val="00070CE6"/>
    <w:rsid w:val="00074FB1"/>
    <w:rsid w:val="00076988"/>
    <w:rsid w:val="00076F72"/>
    <w:rsid w:val="00080827"/>
    <w:rsid w:val="0008217B"/>
    <w:rsid w:val="000B53B5"/>
    <w:rsid w:val="000B5EE1"/>
    <w:rsid w:val="000C3B4D"/>
    <w:rsid w:val="000C5384"/>
    <w:rsid w:val="000C70E0"/>
    <w:rsid w:val="000D25E7"/>
    <w:rsid w:val="000D501B"/>
    <w:rsid w:val="000D6E3E"/>
    <w:rsid w:val="000D77DD"/>
    <w:rsid w:val="000E0664"/>
    <w:rsid w:val="000E225B"/>
    <w:rsid w:val="000E5E2A"/>
    <w:rsid w:val="000F10E4"/>
    <w:rsid w:val="000F2A54"/>
    <w:rsid w:val="000F5928"/>
    <w:rsid w:val="000F6613"/>
    <w:rsid w:val="00101F4A"/>
    <w:rsid w:val="00102FD9"/>
    <w:rsid w:val="00107031"/>
    <w:rsid w:val="00107AA2"/>
    <w:rsid w:val="001121D4"/>
    <w:rsid w:val="001136E5"/>
    <w:rsid w:val="00114FE3"/>
    <w:rsid w:val="0011501F"/>
    <w:rsid w:val="00120856"/>
    <w:rsid w:val="00121FB7"/>
    <w:rsid w:val="00131F39"/>
    <w:rsid w:val="0013316D"/>
    <w:rsid w:val="0013319B"/>
    <w:rsid w:val="001349D8"/>
    <w:rsid w:val="0013701A"/>
    <w:rsid w:val="001413AB"/>
    <w:rsid w:val="001471A9"/>
    <w:rsid w:val="001478C8"/>
    <w:rsid w:val="00154D34"/>
    <w:rsid w:val="001611B7"/>
    <w:rsid w:val="0017704E"/>
    <w:rsid w:val="001921F7"/>
    <w:rsid w:val="001A0A6A"/>
    <w:rsid w:val="001B657E"/>
    <w:rsid w:val="001D3C48"/>
    <w:rsid w:val="001D53FE"/>
    <w:rsid w:val="001D5DEF"/>
    <w:rsid w:val="001D677E"/>
    <w:rsid w:val="001E4FA8"/>
    <w:rsid w:val="001E66DF"/>
    <w:rsid w:val="001E7A43"/>
    <w:rsid w:val="001F6418"/>
    <w:rsid w:val="00200EF8"/>
    <w:rsid w:val="00201113"/>
    <w:rsid w:val="00205724"/>
    <w:rsid w:val="002057BE"/>
    <w:rsid w:val="00207662"/>
    <w:rsid w:val="00210DD6"/>
    <w:rsid w:val="00211F8F"/>
    <w:rsid w:val="0021396E"/>
    <w:rsid w:val="00223329"/>
    <w:rsid w:val="00224349"/>
    <w:rsid w:val="00224592"/>
    <w:rsid w:val="00234E68"/>
    <w:rsid w:val="00235156"/>
    <w:rsid w:val="0023686E"/>
    <w:rsid w:val="002404F7"/>
    <w:rsid w:val="00247D23"/>
    <w:rsid w:val="00247FF9"/>
    <w:rsid w:val="0025314E"/>
    <w:rsid w:val="00255C5F"/>
    <w:rsid w:val="0026065D"/>
    <w:rsid w:val="00260C04"/>
    <w:rsid w:val="002627AD"/>
    <w:rsid w:val="00264032"/>
    <w:rsid w:val="00264F68"/>
    <w:rsid w:val="0026530F"/>
    <w:rsid w:val="002664A8"/>
    <w:rsid w:val="00266BB4"/>
    <w:rsid w:val="00273F3B"/>
    <w:rsid w:val="00284007"/>
    <w:rsid w:val="00284AC9"/>
    <w:rsid w:val="002870B3"/>
    <w:rsid w:val="002A04CB"/>
    <w:rsid w:val="002A469F"/>
    <w:rsid w:val="002A685B"/>
    <w:rsid w:val="002A6B1F"/>
    <w:rsid w:val="002B058A"/>
    <w:rsid w:val="002B199E"/>
    <w:rsid w:val="002B200C"/>
    <w:rsid w:val="002B3CBF"/>
    <w:rsid w:val="002C326A"/>
    <w:rsid w:val="002C76F8"/>
    <w:rsid w:val="002D134D"/>
    <w:rsid w:val="002D1B15"/>
    <w:rsid w:val="002D38C6"/>
    <w:rsid w:val="002E5A82"/>
    <w:rsid w:val="002E651B"/>
    <w:rsid w:val="002F1FA2"/>
    <w:rsid w:val="002F5B90"/>
    <w:rsid w:val="00300AC6"/>
    <w:rsid w:val="0030257C"/>
    <w:rsid w:val="003035FA"/>
    <w:rsid w:val="003052A6"/>
    <w:rsid w:val="0030551F"/>
    <w:rsid w:val="00305A19"/>
    <w:rsid w:val="00306949"/>
    <w:rsid w:val="0031037D"/>
    <w:rsid w:val="00314F9D"/>
    <w:rsid w:val="00317244"/>
    <w:rsid w:val="00320627"/>
    <w:rsid w:val="003238ED"/>
    <w:rsid w:val="00327B44"/>
    <w:rsid w:val="003312D8"/>
    <w:rsid w:val="00340087"/>
    <w:rsid w:val="00346BE7"/>
    <w:rsid w:val="00363179"/>
    <w:rsid w:val="00363CDF"/>
    <w:rsid w:val="00364847"/>
    <w:rsid w:val="003709A9"/>
    <w:rsid w:val="00382135"/>
    <w:rsid w:val="003923F0"/>
    <w:rsid w:val="00392663"/>
    <w:rsid w:val="00394F91"/>
    <w:rsid w:val="003978A8"/>
    <w:rsid w:val="003A38C8"/>
    <w:rsid w:val="003A43AA"/>
    <w:rsid w:val="003B098C"/>
    <w:rsid w:val="003B5525"/>
    <w:rsid w:val="003B6625"/>
    <w:rsid w:val="003B75EB"/>
    <w:rsid w:val="003C4AC6"/>
    <w:rsid w:val="003D7AC1"/>
    <w:rsid w:val="003E3D8A"/>
    <w:rsid w:val="003F27F6"/>
    <w:rsid w:val="003F309E"/>
    <w:rsid w:val="00403369"/>
    <w:rsid w:val="0040336F"/>
    <w:rsid w:val="00403A1A"/>
    <w:rsid w:val="004052F4"/>
    <w:rsid w:val="00412DB4"/>
    <w:rsid w:val="0041681C"/>
    <w:rsid w:val="00416ACD"/>
    <w:rsid w:val="00421A2C"/>
    <w:rsid w:val="00425806"/>
    <w:rsid w:val="00427A74"/>
    <w:rsid w:val="00431DF9"/>
    <w:rsid w:val="00433080"/>
    <w:rsid w:val="0043450B"/>
    <w:rsid w:val="00434B82"/>
    <w:rsid w:val="00443D02"/>
    <w:rsid w:val="00445D1B"/>
    <w:rsid w:val="00452760"/>
    <w:rsid w:val="00463144"/>
    <w:rsid w:val="00464B3C"/>
    <w:rsid w:val="00465FDB"/>
    <w:rsid w:val="004676F8"/>
    <w:rsid w:val="0047396E"/>
    <w:rsid w:val="0047770F"/>
    <w:rsid w:val="004802C1"/>
    <w:rsid w:val="004851F4"/>
    <w:rsid w:val="00485289"/>
    <w:rsid w:val="00494B99"/>
    <w:rsid w:val="004A3E8E"/>
    <w:rsid w:val="004A7F69"/>
    <w:rsid w:val="004B047A"/>
    <w:rsid w:val="004B1F00"/>
    <w:rsid w:val="004B28E2"/>
    <w:rsid w:val="004B4094"/>
    <w:rsid w:val="004B54F6"/>
    <w:rsid w:val="004C003B"/>
    <w:rsid w:val="004C141D"/>
    <w:rsid w:val="004C195B"/>
    <w:rsid w:val="004C46A7"/>
    <w:rsid w:val="004C7455"/>
    <w:rsid w:val="004D33EB"/>
    <w:rsid w:val="004D3524"/>
    <w:rsid w:val="004D5BE5"/>
    <w:rsid w:val="004D775E"/>
    <w:rsid w:val="004E167F"/>
    <w:rsid w:val="004E23FA"/>
    <w:rsid w:val="004F51EE"/>
    <w:rsid w:val="004F77A8"/>
    <w:rsid w:val="004F7BD6"/>
    <w:rsid w:val="005002DD"/>
    <w:rsid w:val="00516D16"/>
    <w:rsid w:val="00522ADF"/>
    <w:rsid w:val="00522D04"/>
    <w:rsid w:val="005254CF"/>
    <w:rsid w:val="00531626"/>
    <w:rsid w:val="0053638E"/>
    <w:rsid w:val="00541374"/>
    <w:rsid w:val="00550EDE"/>
    <w:rsid w:val="0055306B"/>
    <w:rsid w:val="00553B46"/>
    <w:rsid w:val="0055685B"/>
    <w:rsid w:val="00560228"/>
    <w:rsid w:val="0056144C"/>
    <w:rsid w:val="005669BF"/>
    <w:rsid w:val="00566A82"/>
    <w:rsid w:val="00571AE1"/>
    <w:rsid w:val="00571C81"/>
    <w:rsid w:val="0057422E"/>
    <w:rsid w:val="0057737E"/>
    <w:rsid w:val="00582B8B"/>
    <w:rsid w:val="005844E9"/>
    <w:rsid w:val="005902E0"/>
    <w:rsid w:val="00590E84"/>
    <w:rsid w:val="00594389"/>
    <w:rsid w:val="00594EDF"/>
    <w:rsid w:val="00596CAE"/>
    <w:rsid w:val="00597949"/>
    <w:rsid w:val="005A412C"/>
    <w:rsid w:val="005B2AB3"/>
    <w:rsid w:val="005C5447"/>
    <w:rsid w:val="005C6C39"/>
    <w:rsid w:val="005D36D3"/>
    <w:rsid w:val="005D4B8C"/>
    <w:rsid w:val="005D6D99"/>
    <w:rsid w:val="005E6D0A"/>
    <w:rsid w:val="005E7873"/>
    <w:rsid w:val="005F026B"/>
    <w:rsid w:val="005F38BE"/>
    <w:rsid w:val="005F49E4"/>
    <w:rsid w:val="005F6E4F"/>
    <w:rsid w:val="00600129"/>
    <w:rsid w:val="00600BC0"/>
    <w:rsid w:val="006023A9"/>
    <w:rsid w:val="00604EFF"/>
    <w:rsid w:val="006051C9"/>
    <w:rsid w:val="00611765"/>
    <w:rsid w:val="006149C7"/>
    <w:rsid w:val="006217A7"/>
    <w:rsid w:val="0062499D"/>
    <w:rsid w:val="006271A8"/>
    <w:rsid w:val="00632312"/>
    <w:rsid w:val="00634DDC"/>
    <w:rsid w:val="00637F42"/>
    <w:rsid w:val="0064512D"/>
    <w:rsid w:val="0065314E"/>
    <w:rsid w:val="00653612"/>
    <w:rsid w:val="006714E4"/>
    <w:rsid w:val="006777D8"/>
    <w:rsid w:val="006855F2"/>
    <w:rsid w:val="006924C3"/>
    <w:rsid w:val="00692878"/>
    <w:rsid w:val="00692EB6"/>
    <w:rsid w:val="00697665"/>
    <w:rsid w:val="006A55B9"/>
    <w:rsid w:val="006A6DB6"/>
    <w:rsid w:val="006B082F"/>
    <w:rsid w:val="006B0ED5"/>
    <w:rsid w:val="006B4353"/>
    <w:rsid w:val="006B4A87"/>
    <w:rsid w:val="006B6A6F"/>
    <w:rsid w:val="006C32A3"/>
    <w:rsid w:val="006C386F"/>
    <w:rsid w:val="006C5B08"/>
    <w:rsid w:val="006D16E3"/>
    <w:rsid w:val="006D31E8"/>
    <w:rsid w:val="006D3FD3"/>
    <w:rsid w:val="006D47B5"/>
    <w:rsid w:val="006D5663"/>
    <w:rsid w:val="006D5B0E"/>
    <w:rsid w:val="006E09B3"/>
    <w:rsid w:val="006E1DBE"/>
    <w:rsid w:val="006E22A0"/>
    <w:rsid w:val="006E2D2D"/>
    <w:rsid w:val="006E5B2A"/>
    <w:rsid w:val="006E6CA7"/>
    <w:rsid w:val="006E6D76"/>
    <w:rsid w:val="006F01E6"/>
    <w:rsid w:val="006F47AD"/>
    <w:rsid w:val="006F7A6D"/>
    <w:rsid w:val="007012DA"/>
    <w:rsid w:val="00704A37"/>
    <w:rsid w:val="0070517C"/>
    <w:rsid w:val="0070561F"/>
    <w:rsid w:val="007075CA"/>
    <w:rsid w:val="00712452"/>
    <w:rsid w:val="0071517F"/>
    <w:rsid w:val="007157CE"/>
    <w:rsid w:val="007202B5"/>
    <w:rsid w:val="007235BA"/>
    <w:rsid w:val="00723E3D"/>
    <w:rsid w:val="00727B4C"/>
    <w:rsid w:val="00732180"/>
    <w:rsid w:val="007335F5"/>
    <w:rsid w:val="007343E6"/>
    <w:rsid w:val="0073464D"/>
    <w:rsid w:val="00736C4C"/>
    <w:rsid w:val="00741708"/>
    <w:rsid w:val="0074296B"/>
    <w:rsid w:val="007440D4"/>
    <w:rsid w:val="0074475B"/>
    <w:rsid w:val="00744AB8"/>
    <w:rsid w:val="00750087"/>
    <w:rsid w:val="00750E43"/>
    <w:rsid w:val="00752265"/>
    <w:rsid w:val="0076006B"/>
    <w:rsid w:val="00767536"/>
    <w:rsid w:val="00771F5D"/>
    <w:rsid w:val="007723F3"/>
    <w:rsid w:val="0078020F"/>
    <w:rsid w:val="007875D9"/>
    <w:rsid w:val="00792748"/>
    <w:rsid w:val="00794FD2"/>
    <w:rsid w:val="00796D21"/>
    <w:rsid w:val="007A07B2"/>
    <w:rsid w:val="007A2346"/>
    <w:rsid w:val="007A31E1"/>
    <w:rsid w:val="007A7D6D"/>
    <w:rsid w:val="007B0D16"/>
    <w:rsid w:val="007B13E5"/>
    <w:rsid w:val="007B726C"/>
    <w:rsid w:val="007C173C"/>
    <w:rsid w:val="007C292E"/>
    <w:rsid w:val="007C3F95"/>
    <w:rsid w:val="007C4266"/>
    <w:rsid w:val="007C4B63"/>
    <w:rsid w:val="007D022F"/>
    <w:rsid w:val="007D1223"/>
    <w:rsid w:val="007F0B81"/>
    <w:rsid w:val="007F319A"/>
    <w:rsid w:val="00800761"/>
    <w:rsid w:val="00807716"/>
    <w:rsid w:val="00812DE7"/>
    <w:rsid w:val="00815333"/>
    <w:rsid w:val="008252FA"/>
    <w:rsid w:val="008261FD"/>
    <w:rsid w:val="0083237D"/>
    <w:rsid w:val="00836462"/>
    <w:rsid w:val="008373E2"/>
    <w:rsid w:val="0085013D"/>
    <w:rsid w:val="008526B6"/>
    <w:rsid w:val="0085538C"/>
    <w:rsid w:val="00857402"/>
    <w:rsid w:val="008575F7"/>
    <w:rsid w:val="00860A6B"/>
    <w:rsid w:val="008620EB"/>
    <w:rsid w:val="00862121"/>
    <w:rsid w:val="00866EDD"/>
    <w:rsid w:val="00875968"/>
    <w:rsid w:val="0088142D"/>
    <w:rsid w:val="0088239F"/>
    <w:rsid w:val="00886854"/>
    <w:rsid w:val="00886D84"/>
    <w:rsid w:val="00894D7E"/>
    <w:rsid w:val="00896E7C"/>
    <w:rsid w:val="008A0579"/>
    <w:rsid w:val="008A07BE"/>
    <w:rsid w:val="008A238A"/>
    <w:rsid w:val="008A7092"/>
    <w:rsid w:val="008B0EAE"/>
    <w:rsid w:val="008C07F8"/>
    <w:rsid w:val="008C5BBF"/>
    <w:rsid w:val="008D1DD6"/>
    <w:rsid w:val="008E298A"/>
    <w:rsid w:val="00900FDC"/>
    <w:rsid w:val="00904BC7"/>
    <w:rsid w:val="00910DA5"/>
    <w:rsid w:val="00911A6B"/>
    <w:rsid w:val="009124B0"/>
    <w:rsid w:val="00915BDA"/>
    <w:rsid w:val="009215A0"/>
    <w:rsid w:val="009227A9"/>
    <w:rsid w:val="00926A0D"/>
    <w:rsid w:val="00940EE5"/>
    <w:rsid w:val="0094375E"/>
    <w:rsid w:val="00947518"/>
    <w:rsid w:val="00947FD1"/>
    <w:rsid w:val="009533FE"/>
    <w:rsid w:val="009565AE"/>
    <w:rsid w:val="009571F7"/>
    <w:rsid w:val="00963FDF"/>
    <w:rsid w:val="009654B3"/>
    <w:rsid w:val="00970B8A"/>
    <w:rsid w:val="00982F52"/>
    <w:rsid w:val="00987946"/>
    <w:rsid w:val="0099662A"/>
    <w:rsid w:val="00997643"/>
    <w:rsid w:val="009A01B3"/>
    <w:rsid w:val="009A5A85"/>
    <w:rsid w:val="009B0475"/>
    <w:rsid w:val="009B2C1B"/>
    <w:rsid w:val="009B58D8"/>
    <w:rsid w:val="009C3CAC"/>
    <w:rsid w:val="009C5904"/>
    <w:rsid w:val="009C62E8"/>
    <w:rsid w:val="009C6ABF"/>
    <w:rsid w:val="009D4BDD"/>
    <w:rsid w:val="009E04A9"/>
    <w:rsid w:val="009E0615"/>
    <w:rsid w:val="009E0ED8"/>
    <w:rsid w:val="009E15B8"/>
    <w:rsid w:val="009E4FD6"/>
    <w:rsid w:val="009E5AB6"/>
    <w:rsid w:val="009E66A8"/>
    <w:rsid w:val="009E66C2"/>
    <w:rsid w:val="009E67AD"/>
    <w:rsid w:val="009E6CF1"/>
    <w:rsid w:val="00A00422"/>
    <w:rsid w:val="00A02576"/>
    <w:rsid w:val="00A059E4"/>
    <w:rsid w:val="00A1546A"/>
    <w:rsid w:val="00A27F0C"/>
    <w:rsid w:val="00A27F78"/>
    <w:rsid w:val="00A32FB9"/>
    <w:rsid w:val="00A3449B"/>
    <w:rsid w:val="00A36E4C"/>
    <w:rsid w:val="00A42AFE"/>
    <w:rsid w:val="00A441F9"/>
    <w:rsid w:val="00A46B02"/>
    <w:rsid w:val="00A53968"/>
    <w:rsid w:val="00A56910"/>
    <w:rsid w:val="00A60F55"/>
    <w:rsid w:val="00A61669"/>
    <w:rsid w:val="00A64888"/>
    <w:rsid w:val="00A663FE"/>
    <w:rsid w:val="00A87A3B"/>
    <w:rsid w:val="00A9064C"/>
    <w:rsid w:val="00A950FB"/>
    <w:rsid w:val="00A973EE"/>
    <w:rsid w:val="00AA1EBE"/>
    <w:rsid w:val="00AA4922"/>
    <w:rsid w:val="00AA6545"/>
    <w:rsid w:val="00AB05D7"/>
    <w:rsid w:val="00AC0453"/>
    <w:rsid w:val="00AC4BE0"/>
    <w:rsid w:val="00AC5283"/>
    <w:rsid w:val="00AC7864"/>
    <w:rsid w:val="00AD414D"/>
    <w:rsid w:val="00AD57B2"/>
    <w:rsid w:val="00AD5F18"/>
    <w:rsid w:val="00AD5FD0"/>
    <w:rsid w:val="00AD689C"/>
    <w:rsid w:val="00AE0CD3"/>
    <w:rsid w:val="00AE1582"/>
    <w:rsid w:val="00AE2777"/>
    <w:rsid w:val="00AF12E0"/>
    <w:rsid w:val="00AF6D2E"/>
    <w:rsid w:val="00B005EA"/>
    <w:rsid w:val="00B02388"/>
    <w:rsid w:val="00B02729"/>
    <w:rsid w:val="00B02A06"/>
    <w:rsid w:val="00B03442"/>
    <w:rsid w:val="00B07E7D"/>
    <w:rsid w:val="00B144C0"/>
    <w:rsid w:val="00B14F71"/>
    <w:rsid w:val="00B174BA"/>
    <w:rsid w:val="00B222BE"/>
    <w:rsid w:val="00B22F3D"/>
    <w:rsid w:val="00B26581"/>
    <w:rsid w:val="00B45F31"/>
    <w:rsid w:val="00B46688"/>
    <w:rsid w:val="00B47DD3"/>
    <w:rsid w:val="00B53818"/>
    <w:rsid w:val="00B601BE"/>
    <w:rsid w:val="00B6344A"/>
    <w:rsid w:val="00B70CC5"/>
    <w:rsid w:val="00B71E49"/>
    <w:rsid w:val="00B727C9"/>
    <w:rsid w:val="00B7446E"/>
    <w:rsid w:val="00B757B7"/>
    <w:rsid w:val="00B75F99"/>
    <w:rsid w:val="00B77E50"/>
    <w:rsid w:val="00B80688"/>
    <w:rsid w:val="00B83D08"/>
    <w:rsid w:val="00B83D62"/>
    <w:rsid w:val="00B8716F"/>
    <w:rsid w:val="00B921D1"/>
    <w:rsid w:val="00B933EB"/>
    <w:rsid w:val="00B93F32"/>
    <w:rsid w:val="00B96F88"/>
    <w:rsid w:val="00BB140E"/>
    <w:rsid w:val="00BB1CE7"/>
    <w:rsid w:val="00BB2DCC"/>
    <w:rsid w:val="00BB6AE5"/>
    <w:rsid w:val="00BC6A26"/>
    <w:rsid w:val="00BC7004"/>
    <w:rsid w:val="00BD3F31"/>
    <w:rsid w:val="00BD6AD7"/>
    <w:rsid w:val="00BD7AEB"/>
    <w:rsid w:val="00BE76EE"/>
    <w:rsid w:val="00BF0566"/>
    <w:rsid w:val="00BF3410"/>
    <w:rsid w:val="00BF4D56"/>
    <w:rsid w:val="00BF7AB2"/>
    <w:rsid w:val="00C02E60"/>
    <w:rsid w:val="00C05D8A"/>
    <w:rsid w:val="00C05DBE"/>
    <w:rsid w:val="00C1289D"/>
    <w:rsid w:val="00C14EB0"/>
    <w:rsid w:val="00C17456"/>
    <w:rsid w:val="00C32A28"/>
    <w:rsid w:val="00C40177"/>
    <w:rsid w:val="00C45EB4"/>
    <w:rsid w:val="00C47246"/>
    <w:rsid w:val="00C50C1D"/>
    <w:rsid w:val="00C52B8D"/>
    <w:rsid w:val="00C54C88"/>
    <w:rsid w:val="00C54DF5"/>
    <w:rsid w:val="00C5693A"/>
    <w:rsid w:val="00C61164"/>
    <w:rsid w:val="00C637AF"/>
    <w:rsid w:val="00C66F9A"/>
    <w:rsid w:val="00C70F94"/>
    <w:rsid w:val="00C7269B"/>
    <w:rsid w:val="00C74D9B"/>
    <w:rsid w:val="00C8754A"/>
    <w:rsid w:val="00C908AB"/>
    <w:rsid w:val="00C92229"/>
    <w:rsid w:val="00C92A21"/>
    <w:rsid w:val="00C958A6"/>
    <w:rsid w:val="00CA1373"/>
    <w:rsid w:val="00CA3D58"/>
    <w:rsid w:val="00CA490E"/>
    <w:rsid w:val="00CA5401"/>
    <w:rsid w:val="00CA5585"/>
    <w:rsid w:val="00CA5625"/>
    <w:rsid w:val="00CA59F0"/>
    <w:rsid w:val="00CB0FF6"/>
    <w:rsid w:val="00CB41AE"/>
    <w:rsid w:val="00CB45D6"/>
    <w:rsid w:val="00CC2304"/>
    <w:rsid w:val="00CC3B39"/>
    <w:rsid w:val="00CD0ED4"/>
    <w:rsid w:val="00CD3725"/>
    <w:rsid w:val="00CD7C3C"/>
    <w:rsid w:val="00CE47C0"/>
    <w:rsid w:val="00CE4EDB"/>
    <w:rsid w:val="00CE71E3"/>
    <w:rsid w:val="00CF5A3F"/>
    <w:rsid w:val="00D014D8"/>
    <w:rsid w:val="00D01DCA"/>
    <w:rsid w:val="00D0269E"/>
    <w:rsid w:val="00D0387F"/>
    <w:rsid w:val="00D2571B"/>
    <w:rsid w:val="00D354D6"/>
    <w:rsid w:val="00D3715E"/>
    <w:rsid w:val="00D37D3A"/>
    <w:rsid w:val="00D40192"/>
    <w:rsid w:val="00D40D3F"/>
    <w:rsid w:val="00D43C13"/>
    <w:rsid w:val="00D44586"/>
    <w:rsid w:val="00D46079"/>
    <w:rsid w:val="00D51CDE"/>
    <w:rsid w:val="00D52DF6"/>
    <w:rsid w:val="00D57F6A"/>
    <w:rsid w:val="00D61ACA"/>
    <w:rsid w:val="00D624EC"/>
    <w:rsid w:val="00D638A7"/>
    <w:rsid w:val="00D64702"/>
    <w:rsid w:val="00D83424"/>
    <w:rsid w:val="00D9249E"/>
    <w:rsid w:val="00D968AE"/>
    <w:rsid w:val="00DA5A39"/>
    <w:rsid w:val="00DB4FCE"/>
    <w:rsid w:val="00DC5EF6"/>
    <w:rsid w:val="00DD0399"/>
    <w:rsid w:val="00DD27F4"/>
    <w:rsid w:val="00DD2F98"/>
    <w:rsid w:val="00DE059B"/>
    <w:rsid w:val="00DE4F63"/>
    <w:rsid w:val="00DE5F7C"/>
    <w:rsid w:val="00DE6174"/>
    <w:rsid w:val="00DE6B1D"/>
    <w:rsid w:val="00DF133A"/>
    <w:rsid w:val="00DF76F6"/>
    <w:rsid w:val="00DF79A6"/>
    <w:rsid w:val="00E06829"/>
    <w:rsid w:val="00E10455"/>
    <w:rsid w:val="00E12245"/>
    <w:rsid w:val="00E16BEF"/>
    <w:rsid w:val="00E33C94"/>
    <w:rsid w:val="00E3508D"/>
    <w:rsid w:val="00E35EE3"/>
    <w:rsid w:val="00E403E3"/>
    <w:rsid w:val="00E4665B"/>
    <w:rsid w:val="00E507CD"/>
    <w:rsid w:val="00E6093D"/>
    <w:rsid w:val="00E60F45"/>
    <w:rsid w:val="00E66DE7"/>
    <w:rsid w:val="00E6726B"/>
    <w:rsid w:val="00E67938"/>
    <w:rsid w:val="00E72AFB"/>
    <w:rsid w:val="00E72F3B"/>
    <w:rsid w:val="00E73798"/>
    <w:rsid w:val="00E76B56"/>
    <w:rsid w:val="00E77B9B"/>
    <w:rsid w:val="00E80DCA"/>
    <w:rsid w:val="00E838E4"/>
    <w:rsid w:val="00E923C8"/>
    <w:rsid w:val="00EA2A0F"/>
    <w:rsid w:val="00EA4DC4"/>
    <w:rsid w:val="00EB2993"/>
    <w:rsid w:val="00EC2E92"/>
    <w:rsid w:val="00EC36C0"/>
    <w:rsid w:val="00ED65BC"/>
    <w:rsid w:val="00EE1E6A"/>
    <w:rsid w:val="00EE3B79"/>
    <w:rsid w:val="00EE54DF"/>
    <w:rsid w:val="00EE71B9"/>
    <w:rsid w:val="00EE744B"/>
    <w:rsid w:val="00EF1A2E"/>
    <w:rsid w:val="00EF3290"/>
    <w:rsid w:val="00F04D99"/>
    <w:rsid w:val="00F102A5"/>
    <w:rsid w:val="00F1267B"/>
    <w:rsid w:val="00F218FE"/>
    <w:rsid w:val="00F2264D"/>
    <w:rsid w:val="00F24C9C"/>
    <w:rsid w:val="00F336CD"/>
    <w:rsid w:val="00F36161"/>
    <w:rsid w:val="00F36B69"/>
    <w:rsid w:val="00F41F22"/>
    <w:rsid w:val="00F4741F"/>
    <w:rsid w:val="00F50B2A"/>
    <w:rsid w:val="00F51629"/>
    <w:rsid w:val="00F51C5F"/>
    <w:rsid w:val="00F51E6D"/>
    <w:rsid w:val="00F52199"/>
    <w:rsid w:val="00F536F8"/>
    <w:rsid w:val="00F542BA"/>
    <w:rsid w:val="00F61A56"/>
    <w:rsid w:val="00F72135"/>
    <w:rsid w:val="00F72BEF"/>
    <w:rsid w:val="00F75EF0"/>
    <w:rsid w:val="00F77F48"/>
    <w:rsid w:val="00F84BBB"/>
    <w:rsid w:val="00F94257"/>
    <w:rsid w:val="00FA101B"/>
    <w:rsid w:val="00FA211E"/>
    <w:rsid w:val="00FA2B28"/>
    <w:rsid w:val="00FC1276"/>
    <w:rsid w:val="00FC367A"/>
    <w:rsid w:val="00FC5D7E"/>
    <w:rsid w:val="00FC6EE7"/>
    <w:rsid w:val="00FC7091"/>
    <w:rsid w:val="00FC712A"/>
    <w:rsid w:val="00FD1663"/>
    <w:rsid w:val="00FD3861"/>
    <w:rsid w:val="00FD5B27"/>
    <w:rsid w:val="00FE2A67"/>
    <w:rsid w:val="00FE7EB8"/>
    <w:rsid w:val="00FF6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6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6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66"/>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66"/>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nhideWhenUsed/>
    <w:pPr>
      <w:numPr>
        <w:numId w:val="7"/>
      </w:numPr>
      <w:tabs>
        <w:tab w:val="clear" w:pos="926"/>
        <w:tab w:val="num" w:pos="360"/>
      </w:tabs>
      <w:ind w:left="0" w:firstLine="0"/>
      <w:contextualSpacing/>
    </w:pPr>
  </w:style>
  <w:style w:type="paragraph" w:styleId="ListBullet4">
    <w:name w:val="List Bullet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rPr>
      <w:sz w:val="20"/>
      <w:szCs w:val="20"/>
      <w:lang w:val="en-GB"/>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9"/>
      </w:numPr>
      <w:contextualSpacing/>
    </w:pPr>
  </w:style>
  <w:style w:type="paragraph" w:styleId="ListNumber3">
    <w:name w:val="List Number 3"/>
    <w:basedOn w:val="Normal"/>
    <w:unhideWhenUsed/>
    <w:pPr>
      <w:numPr>
        <w:numId w:val="10"/>
      </w:numPr>
      <w:contextualSpacing/>
    </w:pPr>
  </w:style>
  <w:style w:type="paragraph" w:styleId="ListNumber4">
    <w:name w:val="List Number 4"/>
    <w:basedOn w:val="Normal"/>
    <w:unhideWhenUsed/>
    <w:pPr>
      <w:numPr>
        <w:numId w:val="11"/>
      </w:numPr>
      <w:contextualSpacing/>
    </w:pPr>
  </w:style>
  <w:style w:type="paragraph" w:styleId="CommentSubject">
    <w:name w:val="annotation subject"/>
    <w:basedOn w:val="CommentText"/>
    <w:next w:val="CommentText"/>
    <w:link w:val="CommentSubjectChar"/>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val="en-GB"/>
    </w:rPr>
  </w:style>
  <w:style w:type="paragraph" w:customStyle="1" w:styleId="Normal2">
    <w:name w:val="Normal2"/>
    <w:basedOn w:val="Normal"/>
    <w:pPr>
      <w:spacing w:before="0" w:after="0"/>
    </w:pPr>
    <w:rPr>
      <w:rFonts w:eastAsia="Times New Roman"/>
      <w:szCs w:val="24"/>
      <w:lang w:eastAsia="en-GB"/>
    </w:rPr>
  </w:style>
  <w:style w:type="character" w:styleId="FollowedHyperlink">
    <w:name w:val="FollowedHyperlink"/>
    <w:basedOn w:val="DefaultParagraphFont"/>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lang w:val="en-GB"/>
    </w:rPr>
  </w:style>
  <w:style w:type="character" w:styleId="Strong">
    <w:name w:val="Strong"/>
    <w:basedOn w:val="DefaultParagraphFont"/>
    <w:uiPriority w:val="22"/>
    <w:qFormat/>
    <w:rPr>
      <w:b/>
      <w:bCs/>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character" w:customStyle="1" w:styleId="sub">
    <w:name w:val="sub"/>
    <w:basedOn w:val="DefaultParagraphFont"/>
  </w:style>
  <w:style w:type="paragraph" w:customStyle="1" w:styleId="Point0number0">
    <w:name w:val="Point 0 number"/>
    <w:basedOn w:val="Point1"/>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60"/>
      </w:numPr>
    </w:pPr>
  </w:style>
  <w:style w:type="paragraph" w:customStyle="1" w:styleId="Tiret1">
    <w:name w:val="Tiret 1"/>
    <w:basedOn w:val="Point1"/>
    <w:rsid w:val="007D53B6"/>
    <w:pPr>
      <w:numPr>
        <w:numId w:val="61"/>
      </w:numPr>
    </w:pPr>
  </w:style>
  <w:style w:type="paragraph" w:customStyle="1" w:styleId="Tiret2">
    <w:name w:val="Tiret 2"/>
    <w:basedOn w:val="Point2"/>
    <w:rsid w:val="007D53B6"/>
    <w:pPr>
      <w:numPr>
        <w:numId w:val="62"/>
      </w:numPr>
    </w:pPr>
  </w:style>
  <w:style w:type="paragraph" w:customStyle="1" w:styleId="Tiret3">
    <w:name w:val="Tiret 3"/>
    <w:basedOn w:val="Point3"/>
    <w:rsid w:val="007D53B6"/>
    <w:pPr>
      <w:numPr>
        <w:numId w:val="63"/>
      </w:numPr>
    </w:pPr>
  </w:style>
  <w:style w:type="paragraph" w:customStyle="1" w:styleId="Tiret4">
    <w:name w:val="Tiret 4"/>
    <w:basedOn w:val="Point4"/>
    <w:rsid w:val="007D53B6"/>
    <w:pPr>
      <w:numPr>
        <w:numId w:val="64"/>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65"/>
      </w:numPr>
    </w:pPr>
  </w:style>
  <w:style w:type="paragraph" w:customStyle="1" w:styleId="NumPar2">
    <w:name w:val="NumPar 2"/>
    <w:basedOn w:val="Normal"/>
    <w:next w:val="Text1"/>
    <w:rsid w:val="007D53B6"/>
    <w:pPr>
      <w:numPr>
        <w:ilvl w:val="1"/>
        <w:numId w:val="65"/>
      </w:numPr>
    </w:pPr>
  </w:style>
  <w:style w:type="paragraph" w:customStyle="1" w:styleId="NumPar3">
    <w:name w:val="NumPar 3"/>
    <w:basedOn w:val="Normal"/>
    <w:next w:val="Text1"/>
    <w:rsid w:val="007D53B6"/>
    <w:pPr>
      <w:numPr>
        <w:ilvl w:val="2"/>
        <w:numId w:val="65"/>
      </w:numPr>
    </w:pPr>
  </w:style>
  <w:style w:type="paragraph" w:customStyle="1" w:styleId="NumPar4">
    <w:name w:val="NumPar 4"/>
    <w:basedOn w:val="Normal"/>
    <w:next w:val="Text1"/>
    <w:rsid w:val="007D53B6"/>
    <w:pPr>
      <w:numPr>
        <w:ilvl w:val="3"/>
        <w:numId w:val="65"/>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67"/>
      </w:numPr>
    </w:pPr>
  </w:style>
  <w:style w:type="paragraph" w:customStyle="1" w:styleId="Point1number">
    <w:name w:val="Point 1 (number)"/>
    <w:basedOn w:val="Normal"/>
    <w:rsid w:val="007D53B6"/>
    <w:pPr>
      <w:numPr>
        <w:ilvl w:val="2"/>
        <w:numId w:val="67"/>
      </w:numPr>
    </w:pPr>
  </w:style>
  <w:style w:type="paragraph" w:customStyle="1" w:styleId="Point2number">
    <w:name w:val="Point 2 (number)"/>
    <w:basedOn w:val="Normal"/>
    <w:rsid w:val="007D53B6"/>
    <w:pPr>
      <w:numPr>
        <w:ilvl w:val="4"/>
        <w:numId w:val="67"/>
      </w:numPr>
    </w:pPr>
  </w:style>
  <w:style w:type="paragraph" w:customStyle="1" w:styleId="Point3number">
    <w:name w:val="Point 3 (number)"/>
    <w:basedOn w:val="Normal"/>
    <w:rsid w:val="007D53B6"/>
    <w:pPr>
      <w:numPr>
        <w:ilvl w:val="6"/>
        <w:numId w:val="67"/>
      </w:numPr>
    </w:pPr>
  </w:style>
  <w:style w:type="paragraph" w:customStyle="1" w:styleId="Point0letter">
    <w:name w:val="Point 0 (letter)"/>
    <w:basedOn w:val="Normal"/>
    <w:rsid w:val="007D53B6"/>
    <w:pPr>
      <w:numPr>
        <w:ilvl w:val="1"/>
        <w:numId w:val="67"/>
      </w:numPr>
    </w:pPr>
  </w:style>
  <w:style w:type="paragraph" w:customStyle="1" w:styleId="Point1letter">
    <w:name w:val="Point 1 (letter)"/>
    <w:basedOn w:val="Normal"/>
    <w:rsid w:val="007D53B6"/>
    <w:pPr>
      <w:numPr>
        <w:ilvl w:val="3"/>
        <w:numId w:val="67"/>
      </w:numPr>
    </w:pPr>
  </w:style>
  <w:style w:type="paragraph" w:customStyle="1" w:styleId="Point2letter">
    <w:name w:val="Point 2 (letter)"/>
    <w:basedOn w:val="Normal"/>
    <w:rsid w:val="007D53B6"/>
    <w:pPr>
      <w:numPr>
        <w:ilvl w:val="5"/>
        <w:numId w:val="67"/>
      </w:numPr>
    </w:pPr>
  </w:style>
  <w:style w:type="paragraph" w:customStyle="1" w:styleId="Point3letter">
    <w:name w:val="Point 3 (letter)"/>
    <w:basedOn w:val="Normal"/>
    <w:rsid w:val="007D53B6"/>
    <w:pPr>
      <w:numPr>
        <w:ilvl w:val="7"/>
        <w:numId w:val="67"/>
      </w:numPr>
    </w:pPr>
  </w:style>
  <w:style w:type="paragraph" w:customStyle="1" w:styleId="Point4letter">
    <w:name w:val="Point 4 (letter)"/>
    <w:basedOn w:val="Normal"/>
    <w:rsid w:val="007D53B6"/>
    <w:pPr>
      <w:numPr>
        <w:ilvl w:val="8"/>
        <w:numId w:val="67"/>
      </w:numPr>
    </w:pPr>
  </w:style>
  <w:style w:type="paragraph" w:customStyle="1" w:styleId="Bullet0">
    <w:name w:val="Bullet 0"/>
    <w:basedOn w:val="Normal"/>
    <w:rsid w:val="007D53B6"/>
    <w:pPr>
      <w:numPr>
        <w:numId w:val="68"/>
      </w:numPr>
    </w:pPr>
  </w:style>
  <w:style w:type="paragraph" w:customStyle="1" w:styleId="Bullet1">
    <w:name w:val="Bullet 1"/>
    <w:basedOn w:val="Normal"/>
    <w:rsid w:val="007D53B6"/>
    <w:pPr>
      <w:numPr>
        <w:numId w:val="69"/>
      </w:numPr>
    </w:pPr>
  </w:style>
  <w:style w:type="paragraph" w:customStyle="1" w:styleId="Bullet2">
    <w:name w:val="Bullet 2"/>
    <w:basedOn w:val="Normal"/>
    <w:rsid w:val="007D53B6"/>
    <w:pPr>
      <w:numPr>
        <w:numId w:val="70"/>
      </w:numPr>
    </w:pPr>
  </w:style>
  <w:style w:type="paragraph" w:customStyle="1" w:styleId="Bullet3">
    <w:name w:val="Bullet 3"/>
    <w:basedOn w:val="Normal"/>
    <w:rsid w:val="007D53B6"/>
    <w:pPr>
      <w:numPr>
        <w:numId w:val="71"/>
      </w:numPr>
    </w:pPr>
  </w:style>
  <w:style w:type="paragraph" w:customStyle="1" w:styleId="Bullet4">
    <w:name w:val="Bullet 4"/>
    <w:basedOn w:val="Normal"/>
    <w:rsid w:val="007D53B6"/>
    <w:pPr>
      <w:numPr>
        <w:numId w:val="72"/>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73"/>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6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6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66"/>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66"/>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nhideWhenUsed/>
    <w:pPr>
      <w:numPr>
        <w:numId w:val="7"/>
      </w:numPr>
      <w:tabs>
        <w:tab w:val="clear" w:pos="926"/>
        <w:tab w:val="num" w:pos="360"/>
      </w:tabs>
      <w:ind w:left="0" w:firstLine="0"/>
      <w:contextualSpacing/>
    </w:pPr>
  </w:style>
  <w:style w:type="paragraph" w:styleId="ListBullet4">
    <w:name w:val="List Bullet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rPr>
      <w:sz w:val="20"/>
      <w:szCs w:val="20"/>
      <w:lang w:val="en-GB"/>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9"/>
      </w:numPr>
      <w:contextualSpacing/>
    </w:pPr>
  </w:style>
  <w:style w:type="paragraph" w:styleId="ListNumber3">
    <w:name w:val="List Number 3"/>
    <w:basedOn w:val="Normal"/>
    <w:unhideWhenUsed/>
    <w:pPr>
      <w:numPr>
        <w:numId w:val="10"/>
      </w:numPr>
      <w:contextualSpacing/>
    </w:pPr>
  </w:style>
  <w:style w:type="paragraph" w:styleId="ListNumber4">
    <w:name w:val="List Number 4"/>
    <w:basedOn w:val="Normal"/>
    <w:unhideWhenUsed/>
    <w:pPr>
      <w:numPr>
        <w:numId w:val="11"/>
      </w:numPr>
      <w:contextualSpacing/>
    </w:pPr>
  </w:style>
  <w:style w:type="paragraph" w:styleId="CommentSubject">
    <w:name w:val="annotation subject"/>
    <w:basedOn w:val="CommentText"/>
    <w:next w:val="CommentText"/>
    <w:link w:val="CommentSubjectChar"/>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val="en-GB"/>
    </w:rPr>
  </w:style>
  <w:style w:type="paragraph" w:customStyle="1" w:styleId="Normal2">
    <w:name w:val="Normal2"/>
    <w:basedOn w:val="Normal"/>
    <w:pPr>
      <w:spacing w:before="0" w:after="0"/>
    </w:pPr>
    <w:rPr>
      <w:rFonts w:eastAsia="Times New Roman"/>
      <w:szCs w:val="24"/>
      <w:lang w:eastAsia="en-GB"/>
    </w:rPr>
  </w:style>
  <w:style w:type="character" w:styleId="FollowedHyperlink">
    <w:name w:val="FollowedHyperlink"/>
    <w:basedOn w:val="DefaultParagraphFont"/>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lang w:val="en-GB"/>
    </w:rPr>
  </w:style>
  <w:style w:type="character" w:styleId="Strong">
    <w:name w:val="Strong"/>
    <w:basedOn w:val="DefaultParagraphFont"/>
    <w:uiPriority w:val="22"/>
    <w:qFormat/>
    <w:rPr>
      <w:b/>
      <w:bCs/>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character" w:customStyle="1" w:styleId="sub">
    <w:name w:val="sub"/>
    <w:basedOn w:val="DefaultParagraphFont"/>
  </w:style>
  <w:style w:type="paragraph" w:customStyle="1" w:styleId="Point0number0">
    <w:name w:val="Point 0 number"/>
    <w:basedOn w:val="Point1"/>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60"/>
      </w:numPr>
    </w:pPr>
  </w:style>
  <w:style w:type="paragraph" w:customStyle="1" w:styleId="Tiret1">
    <w:name w:val="Tiret 1"/>
    <w:basedOn w:val="Point1"/>
    <w:rsid w:val="007D53B6"/>
    <w:pPr>
      <w:numPr>
        <w:numId w:val="61"/>
      </w:numPr>
    </w:pPr>
  </w:style>
  <w:style w:type="paragraph" w:customStyle="1" w:styleId="Tiret2">
    <w:name w:val="Tiret 2"/>
    <w:basedOn w:val="Point2"/>
    <w:rsid w:val="007D53B6"/>
    <w:pPr>
      <w:numPr>
        <w:numId w:val="62"/>
      </w:numPr>
    </w:pPr>
  </w:style>
  <w:style w:type="paragraph" w:customStyle="1" w:styleId="Tiret3">
    <w:name w:val="Tiret 3"/>
    <w:basedOn w:val="Point3"/>
    <w:rsid w:val="007D53B6"/>
    <w:pPr>
      <w:numPr>
        <w:numId w:val="63"/>
      </w:numPr>
    </w:pPr>
  </w:style>
  <w:style w:type="paragraph" w:customStyle="1" w:styleId="Tiret4">
    <w:name w:val="Tiret 4"/>
    <w:basedOn w:val="Point4"/>
    <w:rsid w:val="007D53B6"/>
    <w:pPr>
      <w:numPr>
        <w:numId w:val="64"/>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65"/>
      </w:numPr>
    </w:pPr>
  </w:style>
  <w:style w:type="paragraph" w:customStyle="1" w:styleId="NumPar2">
    <w:name w:val="NumPar 2"/>
    <w:basedOn w:val="Normal"/>
    <w:next w:val="Text1"/>
    <w:rsid w:val="007D53B6"/>
    <w:pPr>
      <w:numPr>
        <w:ilvl w:val="1"/>
        <w:numId w:val="65"/>
      </w:numPr>
    </w:pPr>
  </w:style>
  <w:style w:type="paragraph" w:customStyle="1" w:styleId="NumPar3">
    <w:name w:val="NumPar 3"/>
    <w:basedOn w:val="Normal"/>
    <w:next w:val="Text1"/>
    <w:rsid w:val="007D53B6"/>
    <w:pPr>
      <w:numPr>
        <w:ilvl w:val="2"/>
        <w:numId w:val="65"/>
      </w:numPr>
    </w:pPr>
  </w:style>
  <w:style w:type="paragraph" w:customStyle="1" w:styleId="NumPar4">
    <w:name w:val="NumPar 4"/>
    <w:basedOn w:val="Normal"/>
    <w:next w:val="Text1"/>
    <w:rsid w:val="007D53B6"/>
    <w:pPr>
      <w:numPr>
        <w:ilvl w:val="3"/>
        <w:numId w:val="65"/>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67"/>
      </w:numPr>
    </w:pPr>
  </w:style>
  <w:style w:type="paragraph" w:customStyle="1" w:styleId="Point1number">
    <w:name w:val="Point 1 (number)"/>
    <w:basedOn w:val="Normal"/>
    <w:rsid w:val="007D53B6"/>
    <w:pPr>
      <w:numPr>
        <w:ilvl w:val="2"/>
        <w:numId w:val="67"/>
      </w:numPr>
    </w:pPr>
  </w:style>
  <w:style w:type="paragraph" w:customStyle="1" w:styleId="Point2number">
    <w:name w:val="Point 2 (number)"/>
    <w:basedOn w:val="Normal"/>
    <w:rsid w:val="007D53B6"/>
    <w:pPr>
      <w:numPr>
        <w:ilvl w:val="4"/>
        <w:numId w:val="67"/>
      </w:numPr>
    </w:pPr>
  </w:style>
  <w:style w:type="paragraph" w:customStyle="1" w:styleId="Point3number">
    <w:name w:val="Point 3 (number)"/>
    <w:basedOn w:val="Normal"/>
    <w:rsid w:val="007D53B6"/>
    <w:pPr>
      <w:numPr>
        <w:ilvl w:val="6"/>
        <w:numId w:val="67"/>
      </w:numPr>
    </w:pPr>
  </w:style>
  <w:style w:type="paragraph" w:customStyle="1" w:styleId="Point0letter">
    <w:name w:val="Point 0 (letter)"/>
    <w:basedOn w:val="Normal"/>
    <w:rsid w:val="007D53B6"/>
    <w:pPr>
      <w:numPr>
        <w:ilvl w:val="1"/>
        <w:numId w:val="67"/>
      </w:numPr>
    </w:pPr>
  </w:style>
  <w:style w:type="paragraph" w:customStyle="1" w:styleId="Point1letter">
    <w:name w:val="Point 1 (letter)"/>
    <w:basedOn w:val="Normal"/>
    <w:rsid w:val="007D53B6"/>
    <w:pPr>
      <w:numPr>
        <w:ilvl w:val="3"/>
        <w:numId w:val="67"/>
      </w:numPr>
    </w:pPr>
  </w:style>
  <w:style w:type="paragraph" w:customStyle="1" w:styleId="Point2letter">
    <w:name w:val="Point 2 (letter)"/>
    <w:basedOn w:val="Normal"/>
    <w:rsid w:val="007D53B6"/>
    <w:pPr>
      <w:numPr>
        <w:ilvl w:val="5"/>
        <w:numId w:val="67"/>
      </w:numPr>
    </w:pPr>
  </w:style>
  <w:style w:type="paragraph" w:customStyle="1" w:styleId="Point3letter">
    <w:name w:val="Point 3 (letter)"/>
    <w:basedOn w:val="Normal"/>
    <w:rsid w:val="007D53B6"/>
    <w:pPr>
      <w:numPr>
        <w:ilvl w:val="7"/>
        <w:numId w:val="67"/>
      </w:numPr>
    </w:pPr>
  </w:style>
  <w:style w:type="paragraph" w:customStyle="1" w:styleId="Point4letter">
    <w:name w:val="Point 4 (letter)"/>
    <w:basedOn w:val="Normal"/>
    <w:rsid w:val="007D53B6"/>
    <w:pPr>
      <w:numPr>
        <w:ilvl w:val="8"/>
        <w:numId w:val="67"/>
      </w:numPr>
    </w:pPr>
  </w:style>
  <w:style w:type="paragraph" w:customStyle="1" w:styleId="Bullet0">
    <w:name w:val="Bullet 0"/>
    <w:basedOn w:val="Normal"/>
    <w:rsid w:val="007D53B6"/>
    <w:pPr>
      <w:numPr>
        <w:numId w:val="68"/>
      </w:numPr>
    </w:pPr>
  </w:style>
  <w:style w:type="paragraph" w:customStyle="1" w:styleId="Bullet1">
    <w:name w:val="Bullet 1"/>
    <w:basedOn w:val="Normal"/>
    <w:rsid w:val="007D53B6"/>
    <w:pPr>
      <w:numPr>
        <w:numId w:val="69"/>
      </w:numPr>
    </w:pPr>
  </w:style>
  <w:style w:type="paragraph" w:customStyle="1" w:styleId="Bullet2">
    <w:name w:val="Bullet 2"/>
    <w:basedOn w:val="Normal"/>
    <w:rsid w:val="007D53B6"/>
    <w:pPr>
      <w:numPr>
        <w:numId w:val="70"/>
      </w:numPr>
    </w:pPr>
  </w:style>
  <w:style w:type="paragraph" w:customStyle="1" w:styleId="Bullet3">
    <w:name w:val="Bullet 3"/>
    <w:basedOn w:val="Normal"/>
    <w:rsid w:val="007D53B6"/>
    <w:pPr>
      <w:numPr>
        <w:numId w:val="71"/>
      </w:numPr>
    </w:pPr>
  </w:style>
  <w:style w:type="paragraph" w:customStyle="1" w:styleId="Bullet4">
    <w:name w:val="Bullet 4"/>
    <w:basedOn w:val="Normal"/>
    <w:rsid w:val="007D53B6"/>
    <w:pPr>
      <w:numPr>
        <w:numId w:val="72"/>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73"/>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6649">
      <w:bodyDiv w:val="1"/>
      <w:marLeft w:val="0"/>
      <w:marRight w:val="0"/>
      <w:marTop w:val="0"/>
      <w:marBottom w:val="0"/>
      <w:divBdr>
        <w:top w:val="none" w:sz="0" w:space="0" w:color="auto"/>
        <w:left w:val="none" w:sz="0" w:space="0" w:color="auto"/>
        <w:bottom w:val="none" w:sz="0" w:space="0" w:color="auto"/>
        <w:right w:val="none" w:sz="0" w:space="0" w:color="auto"/>
      </w:divBdr>
    </w:div>
    <w:div w:id="145632077">
      <w:bodyDiv w:val="1"/>
      <w:marLeft w:val="0"/>
      <w:marRight w:val="0"/>
      <w:marTop w:val="0"/>
      <w:marBottom w:val="0"/>
      <w:divBdr>
        <w:top w:val="none" w:sz="0" w:space="0" w:color="auto"/>
        <w:left w:val="none" w:sz="0" w:space="0" w:color="auto"/>
        <w:bottom w:val="none" w:sz="0" w:space="0" w:color="auto"/>
        <w:right w:val="none" w:sz="0" w:space="0" w:color="auto"/>
      </w:divBdr>
    </w:div>
    <w:div w:id="166599484">
      <w:bodyDiv w:val="1"/>
      <w:marLeft w:val="0"/>
      <w:marRight w:val="0"/>
      <w:marTop w:val="0"/>
      <w:marBottom w:val="0"/>
      <w:divBdr>
        <w:top w:val="none" w:sz="0" w:space="0" w:color="auto"/>
        <w:left w:val="none" w:sz="0" w:space="0" w:color="auto"/>
        <w:bottom w:val="none" w:sz="0" w:space="0" w:color="auto"/>
        <w:right w:val="none" w:sz="0" w:space="0" w:color="auto"/>
      </w:divBdr>
    </w:div>
    <w:div w:id="271866713">
      <w:bodyDiv w:val="1"/>
      <w:marLeft w:val="0"/>
      <w:marRight w:val="0"/>
      <w:marTop w:val="0"/>
      <w:marBottom w:val="0"/>
      <w:divBdr>
        <w:top w:val="none" w:sz="0" w:space="0" w:color="auto"/>
        <w:left w:val="none" w:sz="0" w:space="0" w:color="auto"/>
        <w:bottom w:val="none" w:sz="0" w:space="0" w:color="auto"/>
        <w:right w:val="none" w:sz="0" w:space="0" w:color="auto"/>
      </w:divBdr>
    </w:div>
    <w:div w:id="320810758">
      <w:bodyDiv w:val="1"/>
      <w:marLeft w:val="0"/>
      <w:marRight w:val="0"/>
      <w:marTop w:val="0"/>
      <w:marBottom w:val="0"/>
      <w:divBdr>
        <w:top w:val="none" w:sz="0" w:space="0" w:color="auto"/>
        <w:left w:val="none" w:sz="0" w:space="0" w:color="auto"/>
        <w:bottom w:val="none" w:sz="0" w:space="0" w:color="auto"/>
        <w:right w:val="none" w:sz="0" w:space="0" w:color="auto"/>
      </w:divBdr>
    </w:div>
    <w:div w:id="412974657">
      <w:bodyDiv w:val="1"/>
      <w:marLeft w:val="0"/>
      <w:marRight w:val="0"/>
      <w:marTop w:val="0"/>
      <w:marBottom w:val="0"/>
      <w:divBdr>
        <w:top w:val="none" w:sz="0" w:space="0" w:color="auto"/>
        <w:left w:val="none" w:sz="0" w:space="0" w:color="auto"/>
        <w:bottom w:val="none" w:sz="0" w:space="0" w:color="auto"/>
        <w:right w:val="none" w:sz="0" w:space="0" w:color="auto"/>
      </w:divBdr>
    </w:div>
    <w:div w:id="509175133">
      <w:bodyDiv w:val="1"/>
      <w:marLeft w:val="0"/>
      <w:marRight w:val="0"/>
      <w:marTop w:val="0"/>
      <w:marBottom w:val="0"/>
      <w:divBdr>
        <w:top w:val="none" w:sz="0" w:space="0" w:color="auto"/>
        <w:left w:val="none" w:sz="0" w:space="0" w:color="auto"/>
        <w:bottom w:val="none" w:sz="0" w:space="0" w:color="auto"/>
        <w:right w:val="none" w:sz="0" w:space="0" w:color="auto"/>
      </w:divBdr>
    </w:div>
    <w:div w:id="571736103">
      <w:bodyDiv w:val="1"/>
      <w:marLeft w:val="0"/>
      <w:marRight w:val="0"/>
      <w:marTop w:val="0"/>
      <w:marBottom w:val="0"/>
      <w:divBdr>
        <w:top w:val="none" w:sz="0" w:space="0" w:color="auto"/>
        <w:left w:val="none" w:sz="0" w:space="0" w:color="auto"/>
        <w:bottom w:val="none" w:sz="0" w:space="0" w:color="auto"/>
        <w:right w:val="none" w:sz="0" w:space="0" w:color="auto"/>
      </w:divBdr>
    </w:div>
    <w:div w:id="634726301">
      <w:bodyDiv w:val="1"/>
      <w:marLeft w:val="0"/>
      <w:marRight w:val="0"/>
      <w:marTop w:val="0"/>
      <w:marBottom w:val="0"/>
      <w:divBdr>
        <w:top w:val="none" w:sz="0" w:space="0" w:color="auto"/>
        <w:left w:val="none" w:sz="0" w:space="0" w:color="auto"/>
        <w:bottom w:val="none" w:sz="0" w:space="0" w:color="auto"/>
        <w:right w:val="none" w:sz="0" w:space="0" w:color="auto"/>
      </w:divBdr>
    </w:div>
    <w:div w:id="782654416">
      <w:bodyDiv w:val="1"/>
      <w:marLeft w:val="0"/>
      <w:marRight w:val="0"/>
      <w:marTop w:val="0"/>
      <w:marBottom w:val="0"/>
      <w:divBdr>
        <w:top w:val="none" w:sz="0" w:space="0" w:color="auto"/>
        <w:left w:val="none" w:sz="0" w:space="0" w:color="auto"/>
        <w:bottom w:val="none" w:sz="0" w:space="0" w:color="auto"/>
        <w:right w:val="none" w:sz="0" w:space="0" w:color="auto"/>
      </w:divBdr>
    </w:div>
    <w:div w:id="813908824">
      <w:bodyDiv w:val="1"/>
      <w:marLeft w:val="0"/>
      <w:marRight w:val="0"/>
      <w:marTop w:val="0"/>
      <w:marBottom w:val="0"/>
      <w:divBdr>
        <w:top w:val="none" w:sz="0" w:space="0" w:color="auto"/>
        <w:left w:val="none" w:sz="0" w:space="0" w:color="auto"/>
        <w:bottom w:val="none" w:sz="0" w:space="0" w:color="auto"/>
        <w:right w:val="none" w:sz="0" w:space="0" w:color="auto"/>
      </w:divBdr>
    </w:div>
    <w:div w:id="957567954">
      <w:bodyDiv w:val="1"/>
      <w:marLeft w:val="0"/>
      <w:marRight w:val="0"/>
      <w:marTop w:val="0"/>
      <w:marBottom w:val="0"/>
      <w:divBdr>
        <w:top w:val="none" w:sz="0" w:space="0" w:color="auto"/>
        <w:left w:val="none" w:sz="0" w:space="0" w:color="auto"/>
        <w:bottom w:val="none" w:sz="0" w:space="0" w:color="auto"/>
        <w:right w:val="none" w:sz="0" w:space="0" w:color="auto"/>
      </w:divBdr>
    </w:div>
    <w:div w:id="1108962430">
      <w:bodyDiv w:val="1"/>
      <w:marLeft w:val="0"/>
      <w:marRight w:val="0"/>
      <w:marTop w:val="0"/>
      <w:marBottom w:val="0"/>
      <w:divBdr>
        <w:top w:val="none" w:sz="0" w:space="0" w:color="auto"/>
        <w:left w:val="none" w:sz="0" w:space="0" w:color="auto"/>
        <w:bottom w:val="none" w:sz="0" w:space="0" w:color="auto"/>
        <w:right w:val="none" w:sz="0" w:space="0" w:color="auto"/>
      </w:divBdr>
    </w:div>
    <w:div w:id="1371608659">
      <w:bodyDiv w:val="1"/>
      <w:marLeft w:val="0"/>
      <w:marRight w:val="0"/>
      <w:marTop w:val="0"/>
      <w:marBottom w:val="0"/>
      <w:divBdr>
        <w:top w:val="none" w:sz="0" w:space="0" w:color="auto"/>
        <w:left w:val="none" w:sz="0" w:space="0" w:color="auto"/>
        <w:bottom w:val="none" w:sz="0" w:space="0" w:color="auto"/>
        <w:right w:val="none" w:sz="0" w:space="0" w:color="auto"/>
      </w:divBdr>
    </w:div>
    <w:div w:id="1406147949">
      <w:bodyDiv w:val="1"/>
      <w:marLeft w:val="0"/>
      <w:marRight w:val="0"/>
      <w:marTop w:val="0"/>
      <w:marBottom w:val="0"/>
      <w:divBdr>
        <w:top w:val="none" w:sz="0" w:space="0" w:color="auto"/>
        <w:left w:val="none" w:sz="0" w:space="0" w:color="auto"/>
        <w:bottom w:val="none" w:sz="0" w:space="0" w:color="auto"/>
        <w:right w:val="none" w:sz="0" w:space="0" w:color="auto"/>
      </w:divBdr>
    </w:div>
    <w:div w:id="1419250330">
      <w:bodyDiv w:val="1"/>
      <w:marLeft w:val="0"/>
      <w:marRight w:val="0"/>
      <w:marTop w:val="0"/>
      <w:marBottom w:val="0"/>
      <w:divBdr>
        <w:top w:val="none" w:sz="0" w:space="0" w:color="auto"/>
        <w:left w:val="none" w:sz="0" w:space="0" w:color="auto"/>
        <w:bottom w:val="none" w:sz="0" w:space="0" w:color="auto"/>
        <w:right w:val="none" w:sz="0" w:space="0" w:color="auto"/>
      </w:divBdr>
    </w:div>
    <w:div w:id="1474060073">
      <w:bodyDiv w:val="1"/>
      <w:marLeft w:val="0"/>
      <w:marRight w:val="0"/>
      <w:marTop w:val="0"/>
      <w:marBottom w:val="0"/>
      <w:divBdr>
        <w:top w:val="none" w:sz="0" w:space="0" w:color="auto"/>
        <w:left w:val="none" w:sz="0" w:space="0" w:color="auto"/>
        <w:bottom w:val="none" w:sz="0" w:space="0" w:color="auto"/>
        <w:right w:val="none" w:sz="0" w:space="0" w:color="auto"/>
      </w:divBdr>
    </w:div>
    <w:div w:id="1534229266">
      <w:bodyDiv w:val="1"/>
      <w:marLeft w:val="0"/>
      <w:marRight w:val="0"/>
      <w:marTop w:val="0"/>
      <w:marBottom w:val="0"/>
      <w:divBdr>
        <w:top w:val="none" w:sz="0" w:space="0" w:color="auto"/>
        <w:left w:val="none" w:sz="0" w:space="0" w:color="auto"/>
        <w:bottom w:val="none" w:sz="0" w:space="0" w:color="auto"/>
        <w:right w:val="none" w:sz="0" w:space="0" w:color="auto"/>
      </w:divBdr>
    </w:div>
    <w:div w:id="1612080276">
      <w:bodyDiv w:val="1"/>
      <w:marLeft w:val="0"/>
      <w:marRight w:val="0"/>
      <w:marTop w:val="0"/>
      <w:marBottom w:val="0"/>
      <w:divBdr>
        <w:top w:val="none" w:sz="0" w:space="0" w:color="auto"/>
        <w:left w:val="none" w:sz="0" w:space="0" w:color="auto"/>
        <w:bottom w:val="none" w:sz="0" w:space="0" w:color="auto"/>
        <w:right w:val="none" w:sz="0" w:space="0" w:color="auto"/>
      </w:divBdr>
    </w:div>
    <w:div w:id="1658727179">
      <w:bodyDiv w:val="1"/>
      <w:marLeft w:val="0"/>
      <w:marRight w:val="0"/>
      <w:marTop w:val="0"/>
      <w:marBottom w:val="0"/>
      <w:divBdr>
        <w:top w:val="none" w:sz="0" w:space="0" w:color="auto"/>
        <w:left w:val="none" w:sz="0" w:space="0" w:color="auto"/>
        <w:bottom w:val="none" w:sz="0" w:space="0" w:color="auto"/>
        <w:right w:val="none" w:sz="0" w:space="0" w:color="auto"/>
      </w:divBdr>
    </w:div>
    <w:div w:id="1680502395">
      <w:bodyDiv w:val="1"/>
      <w:marLeft w:val="0"/>
      <w:marRight w:val="0"/>
      <w:marTop w:val="0"/>
      <w:marBottom w:val="0"/>
      <w:divBdr>
        <w:top w:val="none" w:sz="0" w:space="0" w:color="auto"/>
        <w:left w:val="none" w:sz="0" w:space="0" w:color="auto"/>
        <w:bottom w:val="none" w:sz="0" w:space="0" w:color="auto"/>
        <w:right w:val="none" w:sz="0" w:space="0" w:color="auto"/>
      </w:divBdr>
    </w:div>
    <w:div w:id="1695156146">
      <w:bodyDiv w:val="1"/>
      <w:marLeft w:val="0"/>
      <w:marRight w:val="0"/>
      <w:marTop w:val="0"/>
      <w:marBottom w:val="0"/>
      <w:divBdr>
        <w:top w:val="none" w:sz="0" w:space="0" w:color="auto"/>
        <w:left w:val="none" w:sz="0" w:space="0" w:color="auto"/>
        <w:bottom w:val="none" w:sz="0" w:space="0" w:color="auto"/>
        <w:right w:val="none" w:sz="0" w:space="0" w:color="auto"/>
      </w:divBdr>
    </w:div>
    <w:div w:id="1711803976">
      <w:bodyDiv w:val="1"/>
      <w:marLeft w:val="0"/>
      <w:marRight w:val="0"/>
      <w:marTop w:val="0"/>
      <w:marBottom w:val="0"/>
      <w:divBdr>
        <w:top w:val="none" w:sz="0" w:space="0" w:color="auto"/>
        <w:left w:val="none" w:sz="0" w:space="0" w:color="auto"/>
        <w:bottom w:val="none" w:sz="0" w:space="0" w:color="auto"/>
        <w:right w:val="none" w:sz="0" w:space="0" w:color="auto"/>
      </w:divBdr>
    </w:div>
    <w:div w:id="1744372232">
      <w:bodyDiv w:val="1"/>
      <w:marLeft w:val="0"/>
      <w:marRight w:val="0"/>
      <w:marTop w:val="0"/>
      <w:marBottom w:val="0"/>
      <w:divBdr>
        <w:top w:val="none" w:sz="0" w:space="0" w:color="auto"/>
        <w:left w:val="none" w:sz="0" w:space="0" w:color="auto"/>
        <w:bottom w:val="none" w:sz="0" w:space="0" w:color="auto"/>
        <w:right w:val="none" w:sz="0" w:space="0" w:color="auto"/>
      </w:divBdr>
    </w:div>
    <w:div w:id="1763141833">
      <w:bodyDiv w:val="1"/>
      <w:marLeft w:val="0"/>
      <w:marRight w:val="0"/>
      <w:marTop w:val="0"/>
      <w:marBottom w:val="0"/>
      <w:divBdr>
        <w:top w:val="none" w:sz="0" w:space="0" w:color="auto"/>
        <w:left w:val="none" w:sz="0" w:space="0" w:color="auto"/>
        <w:bottom w:val="none" w:sz="0" w:space="0" w:color="auto"/>
        <w:right w:val="none" w:sz="0" w:space="0" w:color="auto"/>
      </w:divBdr>
    </w:div>
    <w:div w:id="1836845904">
      <w:bodyDiv w:val="1"/>
      <w:marLeft w:val="0"/>
      <w:marRight w:val="0"/>
      <w:marTop w:val="0"/>
      <w:marBottom w:val="0"/>
      <w:divBdr>
        <w:top w:val="none" w:sz="0" w:space="0" w:color="auto"/>
        <w:left w:val="none" w:sz="0" w:space="0" w:color="auto"/>
        <w:bottom w:val="none" w:sz="0" w:space="0" w:color="auto"/>
        <w:right w:val="none" w:sz="0" w:space="0" w:color="auto"/>
      </w:divBdr>
    </w:div>
    <w:div w:id="201938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12.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header" Target="header11.xml"/></Relationships>
</file>

<file path=word/_rels/footnotes.xml.rels><?xml version="1.0" encoding="UTF-8" standalone="yes"?>
<Relationships xmlns="http://schemas.openxmlformats.org/package/2006/relationships"><Relationship Id="rId2" Type="http://schemas.openxmlformats.org/officeDocument/2006/relationships/hyperlink" Target="http://www.cc.cec/budg/man/budgmanag/budgmanag_en.html" TargetMode="External"/><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DBEE660C5C746896B1AF0BD5837D1" ma:contentTypeVersion="0" ma:contentTypeDescription="Create a new document." ma:contentTypeScope="" ma:versionID="b1f6916a3c5d0476c652a027a86a2bb7">
  <xsd:schema xmlns:xsd="http://www.w3.org/2001/XMLSchema" xmlns:xs="http://www.w3.org/2001/XMLSchema" xmlns:p="http://schemas.microsoft.com/office/2006/metadata/properties" targetNamespace="http://schemas.microsoft.com/office/2006/metadata/properties" ma:root="true" ma:fieldsID="ee0df30b8d2a7434fd7c296176a3aa1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32E33-A52E-4545-BB26-A55C280DF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145F69D-430A-4CAB-ACB9-18DA2FA83AE1}">
  <ds:schemaRefs>
    <ds:schemaRef ds:uri="http://schemas.microsoft.com/sharepoint/v3/contenttype/forms"/>
  </ds:schemaRefs>
</ds:datastoreItem>
</file>

<file path=customXml/itemProps3.xml><?xml version="1.0" encoding="utf-8"?>
<ds:datastoreItem xmlns:ds="http://schemas.openxmlformats.org/officeDocument/2006/customXml" ds:itemID="{5E03ABFE-4FDE-4F36-8D2E-862A01FACEAF}">
  <ds:schemaRefs>
    <ds:schemaRef ds:uri="http://schemas.openxmlformats.org/package/2006/metadata/core-properties"/>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A1C37CB-70AF-4304-B26C-679C8DEC3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90</Pages>
  <Words>28058</Words>
  <Characters>156919</Characters>
  <Application>Microsoft Office Word</Application>
  <DocSecurity>0</DocSecurity>
  <Lines>4263</Lines>
  <Paragraphs>1545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HEILEMANN Stefanie (SG)</dc:creator>
  <cp:lastModifiedBy>DQC</cp:lastModifiedBy>
  <cp:revision>3</cp:revision>
  <cp:lastPrinted>2017-02-03T18:05:00Z</cp:lastPrinted>
  <dcterms:created xsi:type="dcterms:W3CDTF">2017-02-22T16:15:00Z</dcterms:created>
  <dcterms:modified xsi:type="dcterms:W3CDTF">2017-02-22T16:16:00Z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ContentTypeId">
    <vt:lpwstr>0x01010078FDBEE660C5C746896B1AF0BD5837D1</vt:lpwstr>
  </property>
  <property fmtid="{D5CDD505-2E9C-101B-9397-08002B2CF9AE}" pid="11" name="IsMyDocuments">
    <vt:bool>true</vt:bool>
  </property>
  <property fmtid="{D5CDD505-2E9C-101B-9397-08002B2CF9AE}" pid="12" name="DQCStatus">
    <vt:lpwstr>Green (DQC version 03)</vt:lpwstr>
  </property>
</Properties>
</file>