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1431474623341B09CFCC856595DD9D4" style="width:450.45pt;height:545.45pt">
            <v:imagedata r:id="rId10" o:title=""/>
          </v:shape>
        </w:pict>
      </w:r>
    </w:p>
    <w:bookmarkEnd w:id="0"/>
    <w:p>
      <w:pPr>
        <w:pStyle w:val="Pagedecouverture"/>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Обобщена оценка на въздействието</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 xml:space="preserve">Оценка на въздействието на предложение за Регламент за управление на Енергийния съюз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Потребност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r>
              <w:rPr>
                <w:rFonts w:ascii="Tahoma" w:hAnsi="Tahoma"/>
                <w:noProof/>
                <w:sz w:val="20"/>
                <w:u w:val="single"/>
              </w:rPr>
              <w:t>Максимум 11 реда</w:t>
            </w:r>
          </w:p>
        </w:tc>
      </w:tr>
      <w:tr>
        <w:tc>
          <w:tcPr>
            <w:tcW w:w="10188" w:type="dxa"/>
            <w:tcBorders>
              <w:bottom w:val="single" w:sz="4" w:space="0" w:color="auto"/>
            </w:tcBorders>
            <w:shd w:val="clear" w:color="auto" w:fill="auto"/>
          </w:tcPr>
          <w:p>
            <w:pPr>
              <w:jc w:val="both"/>
              <w:rPr>
                <w:rFonts w:ascii="Arial" w:hAnsi="Arial" w:cs="Arial"/>
                <w:b/>
                <w:noProof/>
                <w:sz w:val="20"/>
                <w:szCs w:val="20"/>
              </w:rPr>
            </w:pPr>
            <w:bookmarkStart w:id="2" w:name="_Toc456444201"/>
            <w:r>
              <w:rPr>
                <w:rFonts w:ascii="Arial" w:hAnsi="Arial"/>
                <w:i/>
                <w:noProof/>
                <w:color w:val="053B6F"/>
                <w:sz w:val="22"/>
              </w:rPr>
              <w:t xml:space="preserve">Съществуващите достижения на правото на ЕС за планиране, докладване и мониторинг </w:t>
            </w:r>
            <w:bookmarkEnd w:id="2"/>
            <w:r>
              <w:rPr>
                <w:rFonts w:ascii="Arial" w:hAnsi="Arial"/>
                <w:i/>
                <w:noProof/>
                <w:color w:val="053B6F"/>
                <w:sz w:val="22"/>
              </w:rPr>
              <w:t xml:space="preserve"> не са много подходящи за реализирането на Енергийния съюз. Между настоящите задължения  в областта на енергетиката често е налице несъгласуваност, а между тези в областта на енергетиката и климата - и непоследователност, което води до ненужна административна тежест и неефективно регулиране и планиране. </w:t>
            </w:r>
            <w:bookmarkStart w:id="3" w:name="_Toc450839932"/>
            <w:bookmarkStart w:id="4" w:name="_Toc451419863"/>
            <w:bookmarkStart w:id="5" w:name="_Ref454202504"/>
            <w:bookmarkStart w:id="6" w:name="_Toc456444202"/>
            <w:r>
              <w:rPr>
                <w:rFonts w:ascii="Arial" w:hAnsi="Arial"/>
                <w:i/>
                <w:noProof/>
                <w:color w:val="053B6F"/>
                <w:sz w:val="22"/>
              </w:rPr>
              <w:t xml:space="preserve"> Освен това, понастоящем </w:t>
            </w:r>
            <w:bookmarkEnd w:id="3"/>
            <w:r>
              <w:rPr>
                <w:rFonts w:ascii="Arial" w:hAnsi="Arial"/>
                <w:i/>
                <w:noProof/>
                <w:color w:val="053B6F"/>
                <w:sz w:val="22"/>
              </w:rPr>
              <w:t xml:space="preserve"> </w:t>
            </w:r>
            <w:bookmarkEnd w:id="4"/>
            <w:r>
              <w:rPr>
                <w:rFonts w:ascii="Arial" w:hAnsi="Arial"/>
                <w:i/>
                <w:noProof/>
                <w:color w:val="053B6F"/>
                <w:sz w:val="22"/>
              </w:rPr>
              <w:t xml:space="preserve"> в рамките на политическия процес между държавите членки и Комисията не е възможно да се реализират целите на Енергийния Съюз, по-специално целите за 2030 г., включително по отношение на енергията от възобновяеми източници и енергийната ефективност, а също и по отношение на привеждането им в съответствие с Парижкото споразумение относно изменението на климата</w:t>
            </w:r>
            <w:bookmarkEnd w:id="5"/>
            <w:bookmarkEnd w:id="6"/>
            <w:r>
              <w:rPr>
                <w:rFonts w:ascii="Arial" w:hAnsi="Arial"/>
                <w:i/>
                <w:noProof/>
                <w:color w:val="053B6F"/>
                <w:sz w:val="22"/>
              </w:rPr>
              <w:t>. Това засяга държавите членки, гражданите, а също и инвеститорите. Беше извършена проверка за пригодност и резултатност на регулаторната рамка на съществуващите задължения в законодателството на ЕС, както и техните взаимовръзки със законодателството в областта на климата.</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r>
              <w:rPr>
                <w:rFonts w:ascii="Tahoma" w:hAnsi="Tahoma"/>
                <w:noProof/>
                <w:sz w:val="20"/>
                <w:u w:val="single"/>
              </w:rPr>
              <w:t>Максимум 8 реда</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i/>
                <w:noProof/>
                <w:color w:val="053B6F"/>
              </w:rPr>
              <w:t xml:space="preserve">С инициативата се цели създаване на интегрирани национални планове в областта на енергетиката и климата и рационализиране на задълженията за планиране, докладване и мониторинг в областта на енергетиката и в тази на климата.  Цели се също и установяване на координиран и съгласуван процес на управление между Комисията и държавите членки, който същевременно да оправомощава ЕС да се съобразява със своите международни задължения в областта на климата.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действията на равнището на ЕС?</w:t>
            </w:r>
            <w:r>
              <w:rPr>
                <w:rFonts w:ascii="Tahoma" w:hAnsi="Tahoma"/>
                <w:noProof/>
                <w:sz w:val="20"/>
              </w:rPr>
              <w:t xml:space="preserve"> </w:t>
            </w:r>
            <w:r>
              <w:rPr>
                <w:rFonts w:ascii="Tahoma" w:hAnsi="Tahoma"/>
                <w:noProof/>
                <w:sz w:val="20"/>
                <w:u w:val="single"/>
              </w:rPr>
              <w:t>Максимум 7 реда</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i/>
                <w:noProof/>
                <w:color w:val="053B6F"/>
              </w:rPr>
              <w:t>С оглед на множество транснационални аспекти на Енергийния съюз, както и поради необходимостта да се съставят нови национални планове и да се рационализират съществуващите задължения, действието на равнище ЕС е оправдано и необходимо. Държавите членки не могат да гарантират изпълнението единствено чрез националното законодателство. Освен това, като се има предвид, че някои от целите на Енергийния съюз са определени на равнището на ЕС (по-специално целта за 2030 г. за енергията от възобновяеми източници), за постигането на целите е необходим процес на равнището на ЕС.</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 са разгледани? Има ли предпочетени варианти? Защо?</w:t>
            </w:r>
            <w:r>
              <w:rPr>
                <w:rFonts w:ascii="Tahoma" w:hAnsi="Tahoma"/>
                <w:noProof/>
                <w:sz w:val="20"/>
              </w:rPr>
              <w:t xml:space="preserve"> </w:t>
            </w:r>
            <w:r>
              <w:rPr>
                <w:rFonts w:ascii="Tahoma" w:hAnsi="Tahoma"/>
                <w:noProof/>
                <w:sz w:val="20"/>
                <w:u w:val="single"/>
              </w:rPr>
              <w:t>Максимум 14 реда</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i/>
                <w:noProof/>
                <w:color w:val="053B6F"/>
              </w:rPr>
              <w:t>Оценката на въздействието ориентира предпочитанията към единствен законодателен акт за управление на Енергийния съюз, с който да се заменят съответните части на законодателството на ЕС в областта на енергетиката и изцяло да се замени ММД.  Изборът на единствен законодателен акт за управление на Енергийния съюз, с който се заменят съответните части на законодателството на ЕС в областта на енергетиката и съответните  части  на ММД, е по-сполучлив от гледна точка на разходите и ползите.  Предпочитаният пакет също така ще съдържа разпоредби държавите членки да актуализират интегрираните национални планове в областта на енергетиката и климата два пъти през периода 2021—2030 г. и да докладват на всеки две години за прилагането им чрез всеобхватни доклади за напредъка. Комисията ежегодно ще следи колективния напредък с помощта на докладите за състоянието на Енергийния съюз. Предлага се Комисията освен това да направи препоръки за националните планове въз основа на процеса, определен в законодателството, като част от надзора и с цел да се осигури изпълнението на целите на Енергийния съюз.</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r>
              <w:rPr>
                <w:rFonts w:ascii="Tahoma" w:hAnsi="Tahoma"/>
                <w:noProof/>
                <w:sz w:val="20"/>
                <w:u w:val="single"/>
              </w:rPr>
              <w:t>Максимум 7 реда</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i/>
                <w:noProof/>
                <w:color w:val="053B6F"/>
              </w:rPr>
              <w:t>Повечето от отговорилите при обществената консултация подкрепиха общия подход и предпочетения вариант. По повод на процеса на управление държавите членки подчертаха необходимостта да се балансира сигурността на инвестициите с гъвкавостта, с цел да се даде възможност за приспособяване на националните планове към променящите се обстоятелства.</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предпочетения вариант (ако има такъв, иначе от основните варианти)?</w:t>
            </w:r>
            <w:r>
              <w:rPr>
                <w:rFonts w:ascii="Tahoma" w:hAnsi="Tahoma"/>
                <w:noProof/>
                <w:sz w:val="20"/>
              </w:rPr>
              <w:t xml:space="preserve"> </w:t>
            </w:r>
            <w:r>
              <w:rPr>
                <w:rFonts w:ascii="Tahoma" w:hAnsi="Tahoma"/>
                <w:noProof/>
                <w:sz w:val="20"/>
                <w:u w:val="single"/>
              </w:rPr>
              <w:t>Максимум 12 реда</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i/>
                <w:noProof/>
                <w:color w:val="053B6F"/>
              </w:rPr>
              <w:t>Управлението на Енергийния съюз ще донесе значителни ползи за държавите членки, гражданите и предприятията чрез по-стабилни политически рамки и по-добре информирани политики в петте измерения на Енергийния съюз. Предпочетеният подход за управление се очаква да осигури значителни ползи по отношение на своевременното и по-ефективно постигане на целите на Енергийния съюз, като насърчава сигурността за инвеститорите и  осигурява синхрон с Парижкото споразумение относно изменението на климата. Очаква се през следващото десетилетие за прехода към по-сигурна и устойчива енергийна система да са необходими инвестиции  от около 200 млрд. евро годишно; С управлението на Енергийния съюз ще се осигури необходимата сигурност и предвидимост за улесняване на подобни инвестиции и за подобряване на тяхната ефективност.</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предпочетения вариант (ако има такъв, в противен случай за основните варианти)?</w:t>
            </w:r>
            <w:r>
              <w:rPr>
                <w:rFonts w:ascii="Tahoma" w:hAnsi="Tahoma"/>
                <w:noProof/>
                <w:sz w:val="20"/>
              </w:rPr>
              <w:t xml:space="preserve"> </w:t>
            </w:r>
            <w:r>
              <w:rPr>
                <w:rFonts w:ascii="Tahoma" w:hAnsi="Tahoma"/>
                <w:noProof/>
                <w:sz w:val="20"/>
                <w:u w:val="single"/>
              </w:rPr>
              <w:t>Максимум 12 реда</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i/>
                <w:noProof/>
                <w:color w:val="053B6F"/>
              </w:rPr>
              <w:t>Според оценките, предпочитаният вариант за рационализиране с един законодателен акт ще доведе до общи кумулативни разходи за държавите членки в периода 2021-2030 г. от 219,3 милиона EUR, което включва както еднократните разходи за прилагане, така и годишните разходи, и предполага очаквани намаления на разходите от 3,4 милиона EUR в сравнение с базовия сценарий. За сравнение, рационализирането на специфичното за сектора законодателство би довело до общи разходи за държавите членки от 330,1 милиона EUR. Действителните икономии, осигурени от пакета предпочитани варианти, се очаква да бъдат по-големи от 3,4 милиона EUR, тъй като пакетът, наред с другото, предлага обвързване на периодичността на задълженията за планиране, докладване и мониторинг, което ще намали административната тежест. По отношение на процеса на управление, разходите не са били определени количествено поради процесуалното естество на вариантите, но се очаква да доведат до еднакви или малко по-високи административни разходи, отколкото при базовия вариант поради установяването на нов процес на управление.</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 ще бъдат засегнати предприятията, малките и средни предприятия и микропредприятията? </w:t>
            </w:r>
            <w:r>
              <w:rPr>
                <w:rFonts w:ascii="Tahoma" w:hAnsi="Tahoma"/>
                <w:noProof/>
                <w:sz w:val="20"/>
                <w:u w:val="single"/>
              </w:rPr>
              <w:t>Максимум 8 реда</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rFonts w:ascii="Arial" w:hAnsi="Arial"/>
                <w:i/>
                <w:noProof/>
                <w:color w:val="053B6F"/>
              </w:rPr>
              <w:t>Положителното отражение върху предприятията като цяло и по-специално върху МСП се очаква да настъпи вследствие на увеличаването на сигурността и прозрачността за инвеститорите в резултат от планирането за 2030 г.</w:t>
            </w:r>
            <w:r>
              <w:rPr>
                <w:rFonts w:ascii="Arial" w:hAnsi="Arial" w:cs="Arial"/>
                <w:i/>
                <w:iCs/>
                <w:noProof/>
                <w:color w:val="053B6F"/>
              </w:rPr>
              <w:br/>
            </w:r>
            <w:r>
              <w:rPr>
                <w:rFonts w:ascii="Arial" w:hAnsi="Arial"/>
                <w:noProof/>
                <w:color w:val="053B6F"/>
              </w:rPr>
              <w:t xml:space="preserve"> </w:t>
            </w:r>
            <w:r>
              <w:rPr>
                <w:rFonts w:ascii="Arial" w:hAnsi="Arial"/>
                <w:i/>
                <w:noProof/>
                <w:color w:val="053B6F"/>
              </w:rPr>
              <w:t>Инициативата няма да засегне естеството на задълженията за информиране, нито ще въведе нови такива за предприятията.</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значителни въздействия върху националните бюджети и администрации?</w:t>
            </w:r>
            <w:r>
              <w:rPr>
                <w:rFonts w:ascii="Tahoma" w:hAnsi="Tahoma"/>
                <w:noProof/>
                <w:sz w:val="20"/>
              </w:rPr>
              <w:t xml:space="preserve"> </w:t>
            </w:r>
            <w:r>
              <w:rPr>
                <w:rFonts w:ascii="Tahoma" w:hAnsi="Tahoma"/>
                <w:noProof/>
                <w:sz w:val="20"/>
                <w:u w:val="single"/>
              </w:rPr>
              <w:t>Максимум 4 реда</w:t>
            </w:r>
          </w:p>
        </w:tc>
      </w:tr>
      <w:tr>
        <w:tc>
          <w:tcPr>
            <w:tcW w:w="10188" w:type="dxa"/>
            <w:shd w:val="clear" w:color="auto" w:fill="auto"/>
          </w:tcPr>
          <w:p>
            <w:pPr>
              <w:jc w:val="both"/>
              <w:rPr>
                <w:rFonts w:ascii="Arial" w:hAnsi="Arial" w:cs="Arial"/>
                <w:noProof/>
                <w:sz w:val="20"/>
                <w:szCs w:val="20"/>
              </w:rPr>
            </w:pPr>
            <w:r>
              <w:rPr>
                <w:rFonts w:ascii="Arial" w:hAnsi="Arial"/>
                <w:i/>
                <w:noProof/>
                <w:color w:val="053B6F"/>
              </w:rPr>
              <w:t>Администрациите на държавите членки ще извлекат ползи от рационализирането на задълженията за планиране и докладване. От тях се изисква също така да разработят национални планове, които ще доведат до разходи, но също така ще подобрят икономическата ефективност чрез по-добро планиране и икономии на разходи. Администрациите на държавите членки ще бъдат засегнати чрез участието им съвместно с Комисията и с другите държави членки в новото управление.</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r>
              <w:rPr>
                <w:rFonts w:ascii="Tahoma" w:hAnsi="Tahoma"/>
                <w:noProof/>
                <w:sz w:val="20"/>
                <w:u w:val="single"/>
              </w:rPr>
              <w:t xml:space="preserve">Максимум 6 реда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i/>
                <w:noProof/>
                <w:color w:val="053B6F"/>
              </w:rPr>
              <w:t>Гражданите ще бъдат по-добре информирани относно реализирането на Енергийния съюз чрез рационализирани и по-прозрачни задължения за държавите членки и Комисията. Очаква се предпочетеният вариант да има положително въздействие върху околната среда и да увеличи ефективността на ЕС по отношение на действията в областта на климата.</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бъде следващото преразглеждане на политиката? </w:t>
            </w:r>
            <w:r>
              <w:rPr>
                <w:rFonts w:ascii="Tahoma" w:hAnsi="Tahoma"/>
                <w:noProof/>
                <w:sz w:val="20"/>
                <w:u w:val="single"/>
              </w:rPr>
              <w:t>Максимум 4 реда</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Arial" w:hAnsi="Arial"/>
                <w:i/>
                <w:noProof/>
                <w:color w:val="053B6F"/>
              </w:rPr>
              <w:t>Към настоящия момент не е планирано преразглеждане на законодателната инициатива. Към средата на 2020-те години ще бъде предприета оценка на изпълнението, което може да доведе до преразглеждане.</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01431474623341B09CFCC856595DD9D4"/>
    <w:docVar w:name="LW_CROSSREFERENCE" w:val="{COM(2016) 759 final}_x000b_{SWD(2016) 394 final}_x000b_{SWD(2016) 396 final}_x000b_{SWD(2016) 397 final}"/>
    <w:docVar w:name="LW_DocType" w:val="NORMAL"/>
    <w:docVar w:name="LW_EMISSION" w:val="30.11.2016"/>
    <w:docVar w:name="LW_EMISSION_ISODATE" w:val="2016-11-30"/>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91?\u1087?\u1088?\u1072?\u1074?\u1083?\u1077?\u1085?\u1080?\u1077?\u1090?\u1086? \u1085?\u1072? \u1045?\u1085?\u1077?\u1088?\u1075?\u1080?\u1081?\u1085?\u1080?\u1103? \u1089?\u1098?\u1102?\u1079?,_x000b__x000b_\u1079?\u1072? \u1080?\u1079?\u1084?\u1077?\u1085?\u1077?\u1085?\u1080?\u1077? \u1085?\u1072? \u1044?\u1080?\u1088?\u1077?\u1082?\u1090?\u1080?\u1074?\u1072? 94/22/\u1045?\u1054?, \u1044?\u1080?\u1088?\u1077?\u1082?\u1090?\u1080?\u1074?\u1072? 98/70/\u1045?\u1054?, \u1044?\u1080?\u1088?\u1077?\u1082?\u1090?\u1080?\u1074?\u1072? 2009/31/\u1045?\u1054?, \u1056?\u1077?\u1075?\u1083?\u1072?\u1084?\u1077?\u1085?\u1090? (\u1045?\u1054?) \u8470? 663/2009, \u1056?\u1077?\u1075?\u1083?\u1072?\u1084?\u1077?\u1085?\u1090? (\u1045?\u1054?) \u8470? 715/2009, \u1044?\u1080?\u1088?\u1077?\u1082?\u1090?\u1080?\u1074?\u1072? 2009/73/\u1045?\u1054?, \u1044?\u1080?\u1088?\u1077?\u1082?\u1090?\u1080?\u1074?\u1072? 2009/119/\u1045?\u1054? \u1085?\u1072? \u1057?\u1098?\u1074?\u1077?\u1090?\u1072?, \u1044?\u1080?\u1088?\u1077?\u1082?\u1090?\u1080?\u1074?\u1072? 2010/31/\u1045?\u1057?, _x000b_\u1044?\u1080?\u1088?\u1077?\u1082?\u1090?\u1080?\u1074?\u1072? 2012/27/\u1045?\u1057?, \u1044?\u1080?\u1088?\u1077?\u1082?\u1090?\u1080?\u1074?\u1072? 2013/30/\u1045?\u1057? \u1080? \u1044?\u1080?\u1088?\u1077?\u1082?\u1090?\u1080?\u1074?\u1072? (\u1045?\u1057?) 2015/652 \u1085?\u1072? \u1057?\u1098?\u1074?\u1077?\u1090?\u1072? \u1080? \u1079?\u1072? \u1086?\u1090?\u1084?\u1103?\u1085?\u1072? \u1085?\u1072? \u1056?\u1077?\u1075?\u1083?\u1072?\u1084?\u1077?\u1085?\u1090? (\u1045?\u1057?) \u8470? 525/2013_x000b_"/>
    <w:docVar w:name="LW_PART_NBR" w:val="1"/>
    <w:docVar w:name="LW_PART_NBR_TOTAL" w:val="1"/>
    <w:docVar w:name="LW_REF.INST.NEW" w:val="SWD"/>
    <w:docVar w:name="LW_REF.INST.NEW_ADOPTED" w:val="final"/>
    <w:docVar w:name="LW_REF.INST.NEW_TEXT" w:val="(2016) 395"/>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56?\u1045?\u1044?\u1051?\u1054?\u1046?\u1045?\u1053?\u1048?\u1045? \u1047?\u1040? \u1056?\u1045?\u1043?\u1051?\u1040?\u1052?\u1045?\u1053?\u1058? \u1053?\u1040? \u1045?\u1042?\u1056?\u1054?\u1055?\u1045?\u1049?\u1057?\u1050?\u1048?\u1071? \u1055?\u1040?\u1056?\u1051?\u1040?\u1052?\u1045?\u1053?\u1058? \u1048?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1135</Words>
  <Characters>6850</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2016-11-23T09:03:00Z</cp:lastPrinted>
  <dcterms:created xsi:type="dcterms:W3CDTF">2016-11-29T08:55:00Z</dcterms:created>
  <dcterms:modified xsi:type="dcterms:W3CDTF">2017-01-09T14:26:00Z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0x010100AB6DCF41F10D214DBDDF7E1F5EB8F7C1</vt:lpwstr>
  </property>
  <property fmtid="{D5CDD505-2E9C-101B-9397-08002B2CF9AE}" pid="11" name="TemplateUrl">
    <vt:lpwstr/>
  </property>
</Properties>
</file>