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30D607DC91422CB27FE73818ED986E"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noProof/>
        </w:rPr>
      </w:pPr>
      <w:bookmarkStart w:id="1" w:name="_GoBack"/>
      <w:bookmarkEnd w:id="1"/>
      <w:r>
        <w:rPr>
          <w:rFonts w:ascii="Times New Roman" w:hAnsi="Times New Roman"/>
          <w:b/>
          <w:noProof/>
          <w:sz w:val="28"/>
        </w:rPr>
        <w:lastRenderedPageBreak/>
        <w:t>СЪДЪРЖАНИЕ</w:t>
      </w:r>
    </w:p>
    <w:p>
      <w:pPr>
        <w:tabs>
          <w:tab w:val="right" w:leader="dot" w:pos="9071"/>
        </w:tabs>
        <w:spacing w:before="300" w:after="120" w:line="240" w:lineRule="auto"/>
        <w:rPr>
          <w:rFonts w:ascii="Times New Roman" w:eastAsia="Times New Roman" w:hAnsi="Times New Roman" w:cs="Times New Roman"/>
          <w:noProof/>
          <w:sz w:val="24"/>
          <w:szCs w:val="24"/>
        </w:rPr>
      </w:pPr>
      <w:r>
        <w:rPr>
          <w:rFonts w:ascii="Times New Roman" w:hAnsi="Times New Roman"/>
          <w:noProof/>
          <w:sz w:val="24"/>
        </w:rPr>
        <w:t>ДОКЛАД НА КОМИСИЯТА ДО ЕВРОПЕЙСКИЯ ПАРЛАМЕНТ И СЪВЕТА ЗА ПРИЛАГАНЕТО ОТ ДЪРЖАВИТЕ ЧЛЕНКИ НА ДИРЕКТИВА 95/50/ЕО НА СЪВЕТА ОТНОСНО ЕДИННИТЕ ПРОЦЕДУРИ ЗА ПРОВЕРКА НА АВТОМОБИЛНИЯ ПРЕВОЗ НА ОПАСНИ ТОВАРИ</w:t>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Въведение</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_Toc366159166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Свързано законодателство на ЕС</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_Toc366159167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Прилагане на Директива 95/50/ЕО</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_Toc366159168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Доклади от държавите — членки на ЕС, и Норвегия</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_Toc366159169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Препоръка по отношение на докладването на проверките относно автомобилния превоз на опасни товари</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_Toc366159170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Изчисляване на данните</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_Toc366159171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Извършени проверки и резултатите от тях</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_Toc366159172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Сравняване на данни</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_Toc366159173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8.1.</w:t>
      </w:r>
      <w:r>
        <w:rPr>
          <w:noProof/>
        </w:rPr>
        <w:tab/>
      </w:r>
      <w:r>
        <w:rPr>
          <w:rFonts w:ascii="Times New Roman" w:hAnsi="Times New Roman"/>
          <w:noProof/>
          <w:sz w:val="24"/>
        </w:rPr>
        <w:t>Честота на проверките</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_Toc366159174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8.2.</w:t>
      </w:r>
      <w:r>
        <w:rPr>
          <w:noProof/>
        </w:rPr>
        <w:tab/>
      </w:r>
      <w:r>
        <w:rPr>
          <w:rFonts w:ascii="Times New Roman" w:hAnsi="Times New Roman"/>
          <w:noProof/>
          <w:sz w:val="24"/>
        </w:rPr>
        <w:t>Разбивка на проверките по място на произход</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_Toc366159175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8.3.</w:t>
      </w:r>
      <w:r>
        <w:rPr>
          <w:noProof/>
        </w:rPr>
        <w:tab/>
      </w:r>
      <w:r>
        <w:rPr>
          <w:rFonts w:ascii="Times New Roman" w:hAnsi="Times New Roman"/>
          <w:noProof/>
          <w:sz w:val="24"/>
        </w:rPr>
        <w:t>Дял на транспортните единици, които не съответстват на разпоредбите</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_Toc366159176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8.4.</w:t>
      </w:r>
      <w:r>
        <w:rPr>
          <w:noProof/>
        </w:rPr>
        <w:tab/>
      </w:r>
      <w:r>
        <w:rPr>
          <w:rFonts w:ascii="Times New Roman" w:hAnsi="Times New Roman"/>
          <w:noProof/>
          <w:sz w:val="24"/>
        </w:rPr>
        <w:t>Разбивка по място на произход на транспортните единици, които не съответстват на разпоредбите</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_Toc366159177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8.5.</w:t>
      </w:r>
      <w:r>
        <w:rPr>
          <w:noProof/>
        </w:rPr>
        <w:tab/>
      </w:r>
      <w:r>
        <w:rPr>
          <w:rFonts w:ascii="Times New Roman" w:hAnsi="Times New Roman"/>
          <w:noProof/>
          <w:sz w:val="24"/>
        </w:rPr>
        <w:t>Честота на спиране от движение на транспортните единици</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_Toc366159178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left" w:pos="4590"/>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8.6.</w:t>
      </w:r>
      <w:r>
        <w:rPr>
          <w:noProof/>
        </w:rPr>
        <w:tab/>
      </w:r>
      <w:r>
        <w:rPr>
          <w:rFonts w:ascii="Times New Roman" w:hAnsi="Times New Roman"/>
          <w:noProof/>
          <w:sz w:val="24"/>
        </w:rPr>
        <w:t>Разбивка по рискови категории……………….</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_Toc366159179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8.7.</w:t>
      </w:r>
      <w:r>
        <w:rPr>
          <w:noProof/>
        </w:rPr>
        <w:tab/>
      </w:r>
      <w:r>
        <w:rPr>
          <w:rFonts w:ascii="Times New Roman" w:hAnsi="Times New Roman"/>
          <w:noProof/>
          <w:sz w:val="24"/>
        </w:rPr>
        <w:t>Видове санкции</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_Toc366159180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Заключение</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_Toc366159181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9</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p>
    <w:p>
      <w:pPr>
        <w:rPr>
          <w:noProof/>
        </w:rPr>
      </w:pPr>
      <w:r>
        <w:rPr>
          <w:noProof/>
        </w:rPr>
        <w:br w:type="page"/>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 w:name="DQPStarAt1DQPStarAt6F14BA1C98064C2BB2E02"/>
      <w:bookmarkStart w:id="3" w:name="_Toc366159166"/>
      <w:bookmarkEnd w:id="2"/>
      <w:r>
        <w:rPr>
          <w:rFonts w:ascii="Times New Roman" w:hAnsi="Times New Roman"/>
          <w:b/>
          <w:smallCaps/>
          <w:noProof/>
          <w:sz w:val="24"/>
        </w:rPr>
        <w:t>1. Въведение</w:t>
      </w:r>
      <w:bookmarkEnd w:id="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Директива 95/50/ЕО на Съвета относно единните процедури за проверка на автомобилния превоз на опасни товари беше приета на 6 октомври 1995 г.</w:t>
      </w:r>
      <w:r>
        <w:rPr>
          <w:rFonts w:ascii="Times New Roman" w:hAnsi="Times New Roman"/>
          <w:noProof/>
          <w:sz w:val="24"/>
          <w:vertAlign w:val="superscript"/>
        </w:rPr>
        <w:footnoteReference w:id="1"/>
      </w:r>
      <w:r>
        <w:rPr>
          <w:rFonts w:ascii="Times New Roman" w:hAnsi="Times New Roman"/>
          <w:noProof/>
          <w:sz w:val="24"/>
        </w:rPr>
        <w:t xml:space="preserve"> и държавите членки трябваше да въведат в сила най-късно до 1 януари 1997 г. необходимите законови, подзаконови и административни разпоредби за спазването ѝ.</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Директива 95/50/ЕО изисква от всяка държава членка да изпраща на Комисията доклад за прилагането на същата директива за всяка календарна година не по-късно от дванадесет месеца след края на въпросната година</w:t>
      </w:r>
      <w:r>
        <w:rPr>
          <w:rFonts w:ascii="Times New Roman" w:hAnsi="Times New Roman"/>
          <w:noProof/>
          <w:sz w:val="24"/>
          <w:vertAlign w:val="superscript"/>
        </w:rPr>
        <w:footnoteReference w:id="2"/>
      </w:r>
      <w:r>
        <w:rPr>
          <w:rFonts w:ascii="Times New Roman" w:hAnsi="Times New Roman"/>
          <w:noProof/>
          <w:sz w:val="24"/>
        </w:rPr>
        <w:t>. Директивата също така изисква Комисията да изпраща на Европейския парламент и на Съвета поне веднъж на три години доклад за прилагането на директивата от страна на държавите членки</w:t>
      </w:r>
      <w:r>
        <w:rPr>
          <w:rFonts w:ascii="Times New Roman" w:hAnsi="Times New Roman"/>
          <w:noProof/>
          <w:sz w:val="24"/>
          <w:vertAlign w:val="superscript"/>
        </w:rPr>
        <w:footnoteReference w:id="3"/>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Докладът на Комисията се базира на годишните доклади, получени от държавите членки. Това е шестият доклад за прилагането на Директива 95/50/EO на Съвета в държавите членки и обхваща периода 2012—2014 г. Първият доклад</w:t>
      </w:r>
      <w:r>
        <w:rPr>
          <w:rFonts w:ascii="Times New Roman" w:hAnsi="Times New Roman"/>
          <w:noProof/>
          <w:sz w:val="24"/>
          <w:vertAlign w:val="superscript"/>
        </w:rPr>
        <w:footnoteReference w:id="4"/>
      </w:r>
      <w:r>
        <w:rPr>
          <w:rFonts w:ascii="Times New Roman" w:hAnsi="Times New Roman"/>
          <w:noProof/>
          <w:sz w:val="24"/>
        </w:rPr>
        <w:t xml:space="preserve"> обхващаше периода 1997—1998 г, вторият доклад</w:t>
      </w:r>
      <w:r>
        <w:rPr>
          <w:rFonts w:ascii="Times New Roman" w:hAnsi="Times New Roman"/>
          <w:noProof/>
          <w:sz w:val="24"/>
          <w:vertAlign w:val="superscript"/>
        </w:rPr>
        <w:footnoteReference w:id="5"/>
      </w:r>
      <w:r>
        <w:rPr>
          <w:rFonts w:ascii="Times New Roman" w:hAnsi="Times New Roman"/>
          <w:noProof/>
          <w:sz w:val="24"/>
        </w:rPr>
        <w:t xml:space="preserve"> — периода 1999—2002 г., третият доклад</w:t>
      </w:r>
      <w:r>
        <w:rPr>
          <w:rFonts w:ascii="Times New Roman" w:hAnsi="Times New Roman"/>
          <w:noProof/>
          <w:sz w:val="24"/>
          <w:vertAlign w:val="superscript"/>
        </w:rPr>
        <w:footnoteReference w:id="6"/>
      </w:r>
      <w:r>
        <w:rPr>
          <w:rFonts w:ascii="Times New Roman" w:hAnsi="Times New Roman"/>
          <w:noProof/>
          <w:sz w:val="24"/>
        </w:rPr>
        <w:t xml:space="preserve"> — периода 2003—2005 г., четвъртият доклад</w:t>
      </w:r>
      <w:r>
        <w:rPr>
          <w:rFonts w:ascii="Times New Roman" w:hAnsi="Times New Roman"/>
          <w:noProof/>
          <w:sz w:val="24"/>
          <w:vertAlign w:val="superscript"/>
        </w:rPr>
        <w:footnoteReference w:id="7"/>
      </w:r>
      <w:r>
        <w:rPr>
          <w:rFonts w:ascii="Times New Roman" w:hAnsi="Times New Roman"/>
          <w:noProof/>
          <w:sz w:val="24"/>
        </w:rPr>
        <w:t xml:space="preserve"> — периода 2006—2007 г., и петият доклад</w:t>
      </w:r>
      <w:r>
        <w:rPr>
          <w:rStyle w:val="FootnoteReference"/>
          <w:rFonts w:ascii="Times New Roman" w:hAnsi="Times New Roman"/>
          <w:noProof/>
          <w:sz w:val="24"/>
        </w:rPr>
        <w:footnoteReference w:id="8"/>
      </w:r>
      <w:r>
        <w:rPr>
          <w:rFonts w:ascii="Times New Roman" w:hAnsi="Times New Roman"/>
          <w:noProof/>
          <w:sz w:val="24"/>
        </w:rPr>
        <w:t xml:space="preserve"> — периода 2008—2011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Условията за безопасен автомобилен превоз на опасни товари не са определени в Директива 95/50/ЕО, а в свързаното законодателство на ЕС, както е описано по-долу.</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4" w:name="_Toc366159167"/>
      <w:r>
        <w:rPr>
          <w:rFonts w:ascii="Times New Roman" w:hAnsi="Times New Roman"/>
          <w:b/>
          <w:smallCaps/>
          <w:noProof/>
          <w:sz w:val="24"/>
        </w:rPr>
        <w:t>2. Свързано законодателство на ЕС</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До 30 юни 2009 г. се прилагаше Директива 94/55/EO на Съвета от 21 ноември 1994 г. относно сближаване на законодателствата на държавите членки по отношение на автомобилния превоз на опасни товари</w:t>
      </w:r>
      <w:r>
        <w:rPr>
          <w:rFonts w:ascii="Times New Roman" w:hAnsi="Times New Roman"/>
          <w:noProof/>
          <w:sz w:val="24"/>
          <w:vertAlign w:val="superscript"/>
        </w:rPr>
        <w:footnoteReference w:id="9"/>
      </w:r>
      <w:r>
        <w:rPr>
          <w:rFonts w:ascii="Times New Roman" w:hAnsi="Times New Roman"/>
          <w:noProof/>
          <w:sz w:val="24"/>
        </w:rPr>
        <w:t>, както е изменена</w:t>
      </w:r>
      <w:r>
        <w:rPr>
          <w:rFonts w:ascii="Times New Roman" w:hAnsi="Times New Roman"/>
          <w:noProof/>
          <w:sz w:val="24"/>
          <w:vertAlign w:val="superscript"/>
        </w:rPr>
        <w:footnoteReference w:id="10"/>
      </w:r>
      <w:r>
        <w:rPr>
          <w:rFonts w:ascii="Times New Roman" w:hAnsi="Times New Roman"/>
          <w:noProof/>
          <w:sz w:val="24"/>
        </w:rPr>
        <w:t xml:space="preserve">. Приложенията към Директива 94/55/ЕО бяха еднакви по съдържание с приложенията към </w:t>
      </w:r>
      <w:r>
        <w:rPr>
          <w:rFonts w:ascii="Times New Roman" w:hAnsi="Times New Roman"/>
          <w:i/>
          <w:noProof/>
          <w:sz w:val="24"/>
        </w:rPr>
        <w:t>Европейската спогодба за международен превоз на опасни товари по шосе</w:t>
      </w:r>
      <w:r>
        <w:rPr>
          <w:rFonts w:ascii="Times New Roman" w:hAnsi="Times New Roman"/>
          <w:noProof/>
          <w:sz w:val="24"/>
        </w:rPr>
        <w:t xml:space="preserve"> — </w:t>
      </w:r>
      <w:r>
        <w:rPr>
          <w:rFonts w:ascii="Times New Roman" w:hAnsi="Times New Roman"/>
          <w:i/>
          <w:noProof/>
          <w:sz w:val="24"/>
        </w:rPr>
        <w:t>ADR</w:t>
      </w:r>
      <w:r>
        <w:rPr>
          <w:rFonts w:ascii="Times New Roman" w:hAnsi="Times New Roman"/>
          <w:noProof/>
          <w:sz w:val="24"/>
          <w:vertAlign w:val="superscript"/>
        </w:rPr>
        <w:footnoteReference w:id="11"/>
      </w:r>
      <w:r>
        <w:rPr>
          <w:rFonts w:ascii="Times New Roman" w:hAnsi="Times New Roman"/>
          <w:noProof/>
          <w:sz w:val="24"/>
        </w:rPr>
        <w:t xml:space="preserve">. </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Считано от 1 юли 2009 г. Директива 94/55/ЕО e отменена и заменена от Директива 2008/68/ЕО на Европейския парламент и на Съвета от 24 септември 2008 г. относно вътрешния превоз на опасни товари</w:t>
      </w:r>
      <w:r>
        <w:rPr>
          <w:rFonts w:ascii="Times New Roman" w:hAnsi="Times New Roman"/>
          <w:noProof/>
          <w:sz w:val="24"/>
          <w:vertAlign w:val="superscript"/>
        </w:rPr>
        <w:footnoteReference w:id="12"/>
      </w:r>
      <w:r>
        <w:rPr>
          <w:rFonts w:ascii="Times New Roman" w:hAnsi="Times New Roman"/>
          <w:noProof/>
          <w:sz w:val="24"/>
        </w:rPr>
        <w:t>, както е изменена</w:t>
      </w:r>
      <w:r>
        <w:rPr>
          <w:rFonts w:ascii="Times New Roman" w:hAnsi="Times New Roman"/>
          <w:noProof/>
          <w:sz w:val="24"/>
          <w:vertAlign w:val="superscript"/>
        </w:rPr>
        <w:footnoteReference w:id="13"/>
      </w:r>
      <w:r>
        <w:rPr>
          <w:rFonts w:ascii="Times New Roman" w:hAnsi="Times New Roman"/>
          <w:noProof/>
          <w:sz w:val="24"/>
        </w:rPr>
        <w:t xml:space="preserve">. Директива 2008/68/ЕО продължава подхода на Директива 94/55/ЕО във връзка с прилагането на същите технически и административни разпоредби като тези от приложенията към </w:t>
      </w:r>
      <w:r>
        <w:rPr>
          <w:rFonts w:ascii="Times New Roman" w:hAnsi="Times New Roman"/>
          <w:i/>
          <w:noProof/>
          <w:sz w:val="24"/>
        </w:rPr>
        <w:t>ADR</w:t>
      </w:r>
      <w:r>
        <w:rPr>
          <w:rFonts w:ascii="Times New Roman" w:hAnsi="Times New Roman"/>
          <w:noProof/>
          <w:sz w:val="24"/>
        </w:rPr>
        <w:t xml:space="preserve"> за всички видове превоз на територията на ЕС.</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5" w:name="_Toc366159168"/>
      <w:r>
        <w:rPr>
          <w:rFonts w:ascii="Times New Roman" w:hAnsi="Times New Roman"/>
          <w:b/>
          <w:smallCaps/>
          <w:noProof/>
          <w:sz w:val="24"/>
        </w:rPr>
        <w:t>3. Прилагане на Директива 95/50/ЕО</w:t>
      </w:r>
      <w:bookmarkEnd w:id="5"/>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След като прие Директива 94/55/ЕО и с цел по-нататъшно подобряване на нивото на безопасността при превоза на опасни товари, на 6 октомври 1995 г. Съветът прие Директива 95/50/ЕО относно единните процедури за проверка на автомобилния превоз на опасни товари. Директивата включва хармонизиран контролен списък, който да се използва от държавите членки за такава проверка, и насоки за класификацията на нарушенията. През 2004 г. приложенията към директивата бяха изменени</w:t>
      </w:r>
      <w:r>
        <w:rPr>
          <w:rFonts w:ascii="Times New Roman" w:hAnsi="Times New Roman"/>
          <w:noProof/>
          <w:sz w:val="24"/>
          <w:vertAlign w:val="superscript"/>
        </w:rPr>
        <w:footnoteReference w:id="14"/>
      </w:r>
      <w:r>
        <w:rPr>
          <w:rFonts w:ascii="Times New Roman" w:hAnsi="Times New Roman"/>
          <w:noProof/>
          <w:sz w:val="24"/>
        </w:rPr>
        <w:t xml:space="preserve"> и системата за класификация на нарушенията беше изменена така, че считано от 2005 г. да включва три рискови категории.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Тези единни проверки се отнасят за всички операции за автомобилен превоз на опасни товари на територията на дадена държава членка или товари, влизащи на територията на тази държава членка от трети държави, без оглед на държавата, в която е регистрирана транспортната единица. Директивата цели да гарантира, че представителна част от пратките опасни товари, превозвани с автомобилен транспорт, са обект на проверки, извършвани на случаен принцип, като същевременно се обхваща и голяма част от пътната мрежа.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Проверки могат да бъдат извършвани и в обектите на предприятията като превантивна мярка или след като са били констатирани нарушения на пътя, застрашаващи безопасността. В Директива 95/50/ЕО обаче не е предвидено изискване за докладване относно тези проверки.</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6" w:name="_Toc366159169"/>
      <w:r>
        <w:rPr>
          <w:rFonts w:ascii="Times New Roman" w:hAnsi="Times New Roman"/>
          <w:b/>
          <w:smallCaps/>
          <w:noProof/>
          <w:sz w:val="24"/>
        </w:rPr>
        <w:t>4. Доклади от държавите — членки на ЕС, и Норвегия</w:t>
      </w:r>
      <w:bookmarkEnd w:id="6"/>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 изготвянето на докладите от държавите членки се изисква да използват рисковите категории от приложение II към Директива 95/50/ЕО и да представят доклада в съответствие с приложение III към директивата. Норвегия представи годишните си доклади и поиска да бъде включена в доклада на Комисията до Европейския парламент и Съвета.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Хърватия се присъедини към ЕС на 1 юли 2013 г., но започна да докладва своите проверки през 2012 г. Повечето държави членки и Норвегия представиха докладите си в срок. При някои национални доклади имаше забавяния, свързани с административните процедури за събиране, анализиране и предаване на информацията на Комисията, особено когато тези процедури включват различни публични органи. Въпреки че през 2012 г. положението в сравнение с миналото временно се подобри, тази тенденция не продължи през следващите години, така че Комисията трябваше да повтори искането си към държавите членки и да ги прикани да подобрят формата и съгласуваността на данните, които ще предоставят в бъдеще.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получи доклади от всички държави членки за целия период, но независимо от големите подобрения, не цялата информация беше получена в правилния формат, тъй като някои държави продължиха да изпращат отделни доклади според различните компетенции на национално равнище. Освен това, някои от тях бяха непълни, или неправилно попълнени, което доведе до пропуски и несъвместими резултати в таблиците, представени в настоящия доклад, когато са отбелязани със знака „# N/A“ (няма данни). В приложенията към настоящия доклад е предоставено обобщение на приноса на държавите членки.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 анализа на развитието в глава 7 следва да се отбележи, че за 2013 г. показателят за несъответствие в Дания е нисък поради грешното тълкуване на броя на транспортните единици, които не съответстват на разпоредбите. Тази грешка е коригирана в доклада за 2014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Няколко държави членки изпратиха доклади, в които броят на нарушенията се различава от броя на транспортните единици, които не съответстват на разпоредбите. Това не следва да е така, тъй като за всяка транспортна единица следва да се отчита само категорията на най-тежкото нарушение.</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7" w:name="_Toc366159170"/>
      <w:r>
        <w:rPr>
          <w:rFonts w:ascii="Times New Roman" w:hAnsi="Times New Roman"/>
          <w:b/>
          <w:smallCaps/>
          <w:noProof/>
          <w:sz w:val="24"/>
        </w:rPr>
        <w:t>5. Препоръка по отношение на докладването на проверките относно автомобилния превоз на опасни товари</w:t>
      </w:r>
      <w:bookmarkEnd w:id="7"/>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предишните доклади на Комисията са отбелязани някои систематични несъответствия в статистическите доклади на държавите членки. Тъй като единното докладване от страна на държавите членки е от решаващо значение за качеството, съпоставимостта и надеждността на докладите на Комисията, през 2011 г. Комисията прие препоръка</w:t>
      </w:r>
      <w:r>
        <w:rPr>
          <w:rFonts w:ascii="Times New Roman" w:hAnsi="Times New Roman"/>
          <w:noProof/>
          <w:sz w:val="24"/>
          <w:vertAlign w:val="superscript"/>
        </w:rPr>
        <w:footnoteReference w:id="15"/>
      </w:r>
      <w:r>
        <w:rPr>
          <w:rFonts w:ascii="Times New Roman" w:hAnsi="Times New Roman"/>
          <w:noProof/>
          <w:sz w:val="24"/>
        </w:rPr>
        <w:t xml:space="preserve"> за подобряване на качеството на тези доклади.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След публикуването на препоръката докладите значително се подобриха и се забелязват само някои случайни и малки несъответствия.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Някои от тези несъответствия, чиято тенденция е да намаляват, се отнасят до броя на нарушенията в зависимост от рисковата категория</w:t>
      </w:r>
      <w:r>
        <w:rPr>
          <w:rFonts w:ascii="Times New Roman" w:hAnsi="Times New Roman"/>
          <w:noProof/>
          <w:sz w:val="24"/>
          <w:vertAlign w:val="superscript"/>
        </w:rPr>
        <w:footnoteReference w:id="16"/>
      </w:r>
      <w:r>
        <w:rPr>
          <w:rFonts w:ascii="Times New Roman" w:hAnsi="Times New Roman"/>
          <w:noProof/>
          <w:sz w:val="24"/>
        </w:rPr>
        <w:t xml:space="preserve">. Точка 1.4 от приложението към препоръката на Комисията подчертава, че само най-тежките нарушения следва да се докладват, дори ако са открити няколко нарушения. Вследствие на това, общият брой на докладваните нарушения от различните рискови категории следва да бъде равен на броя на транспортните единици, които не съответстват на разпоредбите.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Този принцип изглежда все още не се прилага правилно във всички държави членки, тъй като продължават да се докладват по няколко нарушения за транспортна единица.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 основен проблем, разглеждан в препоръката, е концепцията за налагането на санкции, когато се установи нарушение по време на проверка на пътя. Поради различията в правните и административните разпоредби някои държави членки не са били в състояние да проследят съдебните резултати след проверки, при които са открити предполагаеми нарушения. Препоръката предлага общ компромисен подход, който би могъл да се използва във всички държави членки, а именно записване на решението на представителя на контролния орган след проверката на място. При все това все още има държави членки, които не са в състояние да докладват такива данни (напр. Франция и Малта).</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8" w:name="_Toc366159171"/>
      <w:r>
        <w:rPr>
          <w:rFonts w:ascii="Times New Roman" w:hAnsi="Times New Roman"/>
          <w:b/>
          <w:smallCaps/>
          <w:noProof/>
          <w:sz w:val="24"/>
        </w:rPr>
        <w:t>6. Изчисляване на данните</w:t>
      </w:r>
      <w:bookmarkEnd w:id="8"/>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Ако е възможно, от държавите членки се изисква да предоставят в докладите си оценка за годишното количество опасни товари, превозени на тяхна територия, изразено в тонове или в тон-километри. За периода 2012—2014 г. 15 държави членки са предоставили такава оценка.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да се позволи обективна съпоставка между държавите членки, обемът на превозените опасни товари е въз основа на информацията в базата данни на Евростат</w:t>
      </w:r>
      <w:r>
        <w:rPr>
          <w:rFonts w:ascii="Times New Roman" w:hAnsi="Times New Roman"/>
          <w:noProof/>
          <w:sz w:val="24"/>
          <w:vertAlign w:val="superscript"/>
        </w:rPr>
        <w:footnoteReference w:id="17"/>
      </w:r>
      <w:r>
        <w:rPr>
          <w:rFonts w:ascii="Times New Roman" w:hAnsi="Times New Roman"/>
          <w:noProof/>
          <w:sz w:val="24"/>
        </w:rPr>
        <w:t xml:space="preserve">. Тази информация се използва, за да се направи преценка за честотата на проверките по отношение на обема на превозите. В Евростат няма данни за Малта, тъй като на Малта е предоставена дерогация по отношение на прилагането на Регламент (ЕС) № 70/2012 на Европейския парламент и на Съвета от 18 януари 2012 г. относно статистическите отчети във връзка с автомобилен превоз на товари. За обема на превозите на опасни товари в Малта преценката е направена въз основа на данните, представени от малтийския компетентен орган.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Статистическите данни от Евростат са представени в приложение IX към настоящия доклад.</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9" w:name="_Toc366159172"/>
      <w:r>
        <w:rPr>
          <w:rFonts w:ascii="Times New Roman" w:hAnsi="Times New Roman"/>
          <w:b/>
          <w:smallCaps/>
          <w:noProof/>
          <w:sz w:val="24"/>
        </w:rPr>
        <w:t>7. Извършени проверки и резултатите от тях</w:t>
      </w:r>
      <w:bookmarkEnd w:id="9"/>
    </w:p>
    <w:p>
      <w:pPr>
        <w:spacing w:before="120" w:after="12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В приложение I е представено изменението в броя на проверките, извършени във всяка държава членка, делът на транспортните единици, които не съответстват на разпоредбите и делът на нарушенията от рискова категория 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края на таблицата са докладвани средните стойности за Европейския съюз, както и статистически данни от Норвегия.</w:t>
      </w:r>
    </w:p>
    <w:p>
      <w:pPr>
        <w:spacing w:before="120" w:after="120" w:line="240" w:lineRule="auto"/>
        <w:jc w:val="both"/>
        <w:rPr>
          <w:rFonts w:ascii="Times New Roman" w:eastAsia="Times New Roman" w:hAnsi="Times New Roman" w:cs="Times New Roman"/>
          <w:strike/>
          <w:noProof/>
          <w:sz w:val="24"/>
          <w:szCs w:val="24"/>
        </w:rPr>
      </w:pPr>
      <w:r>
        <w:rPr>
          <w:rFonts w:ascii="Times New Roman" w:hAnsi="Times New Roman"/>
          <w:noProof/>
          <w:sz w:val="24"/>
        </w:rPr>
        <w:t xml:space="preserve">Следва да се обърне внимание, че: </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hAnsi="Times New Roman"/>
          <w:strike/>
          <w:noProof/>
          <w:sz w:val="24"/>
        </w:rPr>
        <w:t xml:space="preserve">- </w:t>
      </w:r>
      <w:r>
        <w:rPr>
          <w:noProof/>
        </w:rPr>
        <w:t xml:space="preserve"> </w:t>
      </w:r>
      <w:r>
        <w:rPr>
          <w:rFonts w:ascii="Times New Roman" w:hAnsi="Times New Roman"/>
          <w:noProof/>
          <w:sz w:val="24"/>
        </w:rPr>
        <w:t>съществува известен дисбаланс между докладваните данни за броя на проверените транспортни единици и броя на транспортните единици, съответстващи на ADR — напр. Гърция през 2014 г. отчете, че са проверени 521 транспортни единици, като само за една транспортна единица е отбелязано, че представлява нарушение от рискова категория I, и е била наложена само една глоба;</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hAnsi="Times New Roman"/>
          <w:noProof/>
          <w:sz w:val="24"/>
        </w:rPr>
        <w:t>- има няколко държави членки, които не докладват нито едно спиране от движение през тригодишния период: Естония, Испания, Италия, Кипър, Латвия и Словакия. В други случаи, напр. Дания, Малта и Гърция това се е случило само веднъж или два пъти през референтния период;</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hAnsi="Times New Roman"/>
          <w:noProof/>
          <w:sz w:val="24"/>
        </w:rPr>
        <w:t xml:space="preserve">- делът на рискова категория I липсва за Кипър за 2012 и 2014 г., а в словашкия доклад — за целия период.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Показателят за дела на нарушенията от рискова категория I много зависи от правилното докладване. Ако са регистрирани повече от едно нарушения за една транспортна единица, делът на нарушенията от категория I е по-нисък от действителната стойност.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rPr>
        <w:t>Някои държави членки са докладвали по-малък общ брой на нарушенията, отколкото е броят на транспортните единици, за които е установено, че не са в съответствие с разпоредбите. Такъв е случаят за 2012 г. за Унгария, за 2013 г. за България, Чешката република, Ирландия, Унгария, Нидерландия, Финландия и Обединеното кралство, и за 2014 г. за Румъния и Обединеното кралство. Има случаи, когато правоприлагащите органи са докладвали само, че има установени нарушения, но не са предоставили допълнителна информация относно нарушенията или санкциите. Въпреки че така статистическите данни остават непълни, това няма систематично въздействие върху анализа. Този въпрос е разгледан по-подробно в точка 8.6.</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10" w:name="_Toc366159173"/>
      <w:r>
        <w:rPr>
          <w:rFonts w:ascii="Times New Roman" w:hAnsi="Times New Roman"/>
          <w:b/>
          <w:smallCaps/>
          <w:noProof/>
          <w:sz w:val="24"/>
        </w:rPr>
        <w:t>8. Сравняване на данни</w:t>
      </w:r>
      <w:bookmarkEnd w:id="10"/>
      <w:r>
        <w:rPr>
          <w:rFonts w:ascii="Times New Roman" w:hAnsi="Times New Roman"/>
          <w:b/>
          <w:smallCaps/>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Общият брой на проверките през периода, включен в настоящия доклад, не е постоянен на годишна основа. Броят на проверките варира, както следва: 2012 г.: 153 362; 2013 г.: 157 455; 2014 г.: 153 348. Въпреки че през 2013 г. се забелязва увеличение от 2,6 %, през 2014 г. се забелязва връщане към стойностите, наблюдавани през 2012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Националните тенденции варират, като само 8 държави членки са увеличили проверките си през този период. Унгария, Австрия, Полша и Румъния са имали най-висок процент на увеличение на проверките през отчетния период, докато България, Италия, Нидерландия и Швеция са с най-големите намаления.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отношение на абсолютната стойност на броя на проверките в ЕС Германия е с най-голям дял през 2014 г. (32,5 %), следвана от Полша (15,19 %) и Австрия (9,21 %), докато Естония (0,02 %), Кипър (0,03 %) и Малта (0,05 %) са с най-малките дялове. Този показател до голяма степен е свързан с големината на държавата членка, като през отчетния период няма заслужаващи внимание промени. През 2012 г. делът на Германия е най-високият (35,99 %), Полша е втора (13 %), а Австрия отново е трета (7,80 %). Трите държави членки, които са извършили най-малко проверки, са Естония и Малта (0,05 %), а също и Кипър (0,06 %).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1" w:name="DQPStarAt1DQPStarAtC430BB910AE448BC8E829"/>
      <w:bookmarkStart w:id="12" w:name="_Toc366159174"/>
      <w:bookmarkEnd w:id="11"/>
      <w:r>
        <w:rPr>
          <w:rFonts w:ascii="Times New Roman" w:hAnsi="Times New Roman"/>
          <w:b/>
          <w:noProof/>
          <w:sz w:val="24"/>
        </w:rPr>
        <w:t>8.1 Честота на проверките</w:t>
      </w:r>
      <w:bookmarkEnd w:id="12"/>
      <w:r>
        <w:rPr>
          <w:rFonts w:ascii="Times New Roman" w:hAnsi="Times New Roman"/>
          <w:b/>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приложение II е представен преглед на честотата на пътните проверки в държавите членки за 2012 г. и 2014 г. Честотата се изчислява като съотношение на броя на проверките на броя млн. тон-километри опасни товари, превозени във всяка държава членка.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2012 г. средната стойност в ЕС е 0,52 проверки на един млн. тон-километра; през 2013 г. тя е спаднала на 0,48, което предполага годишно намаление от 9,6 %, като през 2014 г. отново е нараснала на 0,49.  Най-високата честота на проверките е отчетена в Австрия (12,89 %), Унгария (7 %) и България (5,84 %). През 2013 г. най-високи стойности са наблюдавани в Австрия (12,34 %), Словакия (10,10 %) и Швеция (6,72 %), а през 2014 г. — в Австрия (14,85 %), Словакия (10,73 %) и Унгария (9,47 %). През 2012 г. честотата на проверките в Австрия е почти 24,78 пъти над средната стойност за ЕС, в Унгария е равна на 13,46 пъти средната стойност за ЕС, а в България е 11,23 пъти средната за ЕС.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3" w:name="_Toc366159175"/>
      <w:r>
        <w:rPr>
          <w:rFonts w:ascii="Times New Roman" w:hAnsi="Times New Roman"/>
          <w:b/>
          <w:noProof/>
          <w:sz w:val="24"/>
        </w:rPr>
        <w:t>8.2 Разбивка на проверките по място на произход</w:t>
      </w:r>
      <w:bookmarkEnd w:id="13"/>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приложение III към настоящия доклад се съдържа разбивка по място на произход на проверките на транспортните единици.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Този показател се влияе не само от решенията на правоприлагащите органи, но и от географските характеристики на държавата членка; например, на островите се извършват по-малко международни транзитни автомобилни превози. Между 2012 и 2014 г. в Малта и Кипър не са извършени никакви проверки на транспортни единици, регистрирани извън ЕС.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Делът на транспортните единици, регистрирани в държавата на проверката, е 65 % през отчетния период. Делът на проверените единици с произход от държави от ЕС се е увеличил от 28 % на 30 % между 2012 г. и 2014 г. Делът на проверките на транспортни единици, регистрирани извън ЕС, е намалял през 2013 г. в сравнение с 2012 г., от 5 % на 4 %, а през 2014 г. се е увеличил на 6 %.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4" w:name="_Toc366159176"/>
      <w:r>
        <w:rPr>
          <w:rFonts w:ascii="Times New Roman" w:hAnsi="Times New Roman"/>
          <w:b/>
          <w:noProof/>
          <w:sz w:val="24"/>
        </w:rPr>
        <w:t>8.3 Дял на транспортните единици, които не съответстват на разпоредбите</w:t>
      </w:r>
      <w:bookmarkEnd w:id="14"/>
      <w:r>
        <w:rPr>
          <w:rFonts w:ascii="Times New Roman" w:hAnsi="Times New Roman"/>
          <w:b/>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Делът на проверените транспортни единици, които имат поне едно нарушение, е представен в приложение IV.</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Делът на несъответстващите на разпоредбите транспортни единици е намалял от 22,12 % през 2012 г. на 19,73 % през 2014 г. с големи намаления по-специално в Кипър, Словения, Полша и Литва. Въпреки това, има няколко държави членки, в които този дял се е увеличил — Словакия, Гърция, Унгария и Нидерландия.</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5" w:name="_Toc366159177"/>
      <w:r>
        <w:rPr>
          <w:rFonts w:ascii="Times New Roman" w:hAnsi="Times New Roman"/>
          <w:b/>
          <w:noProof/>
          <w:sz w:val="24"/>
        </w:rPr>
        <w:t>8.4 Разбивка по място на произход на транспортните единици, които не съответстват на разпоредбите</w:t>
      </w:r>
      <w:bookmarkEnd w:id="15"/>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Графиките в приложение V показват разпределението на транспортните единици, които не съответстват на разпоредбите, по отношение на мястото на произход на транспортната единица.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Както беше отбелязано в точка 8.2 по-горе,  географските характеристики на държавата членка оказват значително влияние и върху този показател.</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6" w:name="_Toc366159178"/>
      <w:r>
        <w:rPr>
          <w:rFonts w:ascii="Times New Roman" w:hAnsi="Times New Roman"/>
          <w:b/>
          <w:noProof/>
          <w:sz w:val="24"/>
        </w:rPr>
        <w:t>8.5 Честота на спиране от движение на транспортните единици</w:t>
      </w:r>
      <w:bookmarkEnd w:id="16"/>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Графиката в приложение VI илюстрира дела на спрените от движение превозни средства измежду тези, за които е докладвано, че са в нарушение.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Горепосочената колебаеща се тенденция се запазва по отношение на честотата на спиране от движение на транспортни единици: делът на превозните средства, спрени от движение, през 2012 г. е 26,16 %, като се е увеличил на 28,06 % през 2013 г. и леко се е понижил до 27,72 % през 2014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Най-високите честоти на спиране от движение през 2012 г. са отчетени в България (84,38 %), Словения (57,89 %) и Ирландия (54,84 %). През 2014 г. в Норвегия 71,07 % от нарушенията са довели до спиране от движение. Естония, Испания, Италия, Кипър, Латвия, Малта и Словакия не са докладвали спиране от движение между 2012 и 2014 г.</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7" w:name="_Ref253491644"/>
      <w:bookmarkStart w:id="18" w:name="_Ref253491649"/>
      <w:bookmarkStart w:id="19" w:name="_Toc366159179"/>
      <w:r>
        <w:rPr>
          <w:rFonts w:ascii="Times New Roman" w:hAnsi="Times New Roman"/>
          <w:b/>
          <w:noProof/>
          <w:sz w:val="24"/>
        </w:rPr>
        <w:t>8.6 Разбивка по рискови категории</w:t>
      </w:r>
      <w:bookmarkEnd w:id="17"/>
      <w:bookmarkEnd w:id="18"/>
      <w:bookmarkEnd w:id="1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Графиките от приложение VII илюстрират разпределението на нарушенията по тяхната тежест. Следва да се докладва само най-високата рискова категория, установена при проверката.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са докладвали най-малко една категория нарушение на проверена транспортна единица. Някои държави членки не са докладвали данни за някои от категориите. През 2012 г. Кипър и Словакия не са докладвали нарушения за рискови категории I и II. Освен това Гърция не е докладвала за нарушения от рискова категория III за целия период и за нарушения от рискова категория II през 2014 и 2013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 проверките, извършени в ЕС през 2012 г., в 42,69 % от случаите, при които са констатирани нарушения, най-тежкото нарушение е класифицирано в рискова категория I. Нарушение от рискова категория I означава такова неспазване на съответните разпоредби за безопасност, което създава висока степен на риск от смърт, тежка телесна повреда или значителна вреда за околната среда. Тези нарушения налагат неотложни и подходящи коригиращи мерки като спиране на превозното средство от движение.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Докладваните случаи, при които най-тежките нарушения са в рискова категория II, представляват 33,48 % от проверките, при които е открито нарушение. Рискова категория III обхваща останалите 23,83 %.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20" w:name="_Toc366159180"/>
      <w:r>
        <w:rPr>
          <w:rFonts w:ascii="Times New Roman" w:hAnsi="Times New Roman"/>
          <w:b/>
          <w:noProof/>
          <w:sz w:val="24"/>
        </w:rPr>
        <w:t>8.7 Видове санкции</w:t>
      </w:r>
      <w:bookmarkEnd w:id="20"/>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Графиките в приложение VIII илюстрират разпределението на санкциите по държави членки.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Преди публикуването на препоръката на Комисията, посочена в точка 5 от настоящия доклад, имаше големи затруднения при събирането на тази информация. След публикуването на препоръката ситуацията се подобри значително и през периода 2012—2014 г. само Франция и Малта не са докладвали никакви статистически данни относно санкциите. Въпреки че през 2012 г. Словакия не е докладвала санкции, тя започна да докладва такива данни през следващите години.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 време на извършените през 2014 г. проверки в ЕС  са издадени 5066 предупреждения; в 29 206 случая са наложени глоби; а в 2963 случая са наложени други санкции, включително наказателни и административни санкции. Въпреки че като цяло три четвърти от санкциите в ЕС са глоби, между държавите членки съществуват големи разлики.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2014 г. общо е имало около 10,50 % по-малко санкции, отколкото през 2012 г. Докато в периода броят на предупрежденията е намалял с 18,1 %, а броят на глобите с 10 %, другите санкции са се увеличили с 9,8 %.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1" w:name="_Toc366159181"/>
      <w:r>
        <w:rPr>
          <w:rFonts w:ascii="Times New Roman" w:hAnsi="Times New Roman"/>
          <w:b/>
          <w:smallCaps/>
          <w:noProof/>
          <w:sz w:val="24"/>
        </w:rPr>
        <w:t>9. Заключения</w:t>
      </w:r>
      <w:bookmarkEnd w:id="21"/>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Директива 95/50/ЕО е транспонирана в националните законодателства на всички държави членки, считано от 1 януари 1997 г. Условията за докладване бяха изменени през 2004 г., като изменените разпоредби за докладване се прилагат от 14 декември 2005 г. Поради систематичните несъответствия при докладването, през 2011 г. Комисията публикува препоръка по този въпрос.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извършват проверки на превозни средства, превозващи опасни товари, и като цяло докладват за тези проверки доста точно. При все това продължават да съществуват някои несъответствия, като Комисията продължава усилията си, за да гарантира, че изискванията за докладване съгласно Директива 95/50/ЕО, се спазват, и че съответствието постепенно се подобрява всяка година. Може да се заключи, че като цяло Директива 95/50/ЕО се прилага правилно.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това, последните доклади ясно показват, че наличните ресурси за тези проверки стават все по-ограничени. В сравнение с референтния период от предишния доклад (2008—2011 г.), броят на докладваните проверки намалява всяка година. Тъй като е в интерес на държавите членки да откриват и предотвратяват всякакви опасности, които могат да възникнат при превоза на тези товари, Комисията иска да насърчи обмена на добри практики и допълнителните инвестиции в тази област.</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Броят на нарушенията остава относително стабилен през референтния период: през 2014 г. при една от всеки пет проверки е потвърдено или е заподозряно нарушение при превоза на опасни товари, докато през 2012 г. това е било на всеки 4,5 проверки.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При установяването на нарушения в 42,69 % от случаите те са били от най-тежкия тип. Вследствие на това през 2012 г. от движение са спрени 8875 превозни средства.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заключение в ЕС се прилагат общи разпоредби за превоза на опасни товари. Тези разпоредби се използват по същия начин и в много държави извън ЕС. Независимо от това почти 32 000 от провежданите годишно около 170 000 пътни проверки водят до заключение, че превозът не отговаря на задължителните изисквания за безопасност.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това, големият брой нарушения, докладвани от държавите членки, може също така да се дължи на тяхната политика за целеви проверки, насочени към установяване и санкциониране на превозвачите с най-лоши показатели, с цел осигуряване на максимална ефективност на наличните ограничени ресурси. Това означава, че представените статистически данни не са напълно представителни за пазара на ЕС за превоза на опасни товари, който на практика е много по-безопасен, отколкото може да изглежда от докладваните данни.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тази връзка Комисията, съвместно със съответните органи, започна да анализира възможностите за изменение на приложенията към директивата, за да се подобри начинът, по който данните за проверките и санкциите се регистрират и докладват от държавите членки.</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61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t xml:space="preserve">ОВ L 249, 17.10.1995 г., стр. 35, изменена с Директива 2004/112/ЕО на Комисията от 13 декември 2004 г. за адаптиране към техническия прогрес на Директива 95/50/ЕО на Съвета относно единните процедури за проверка на автомобилния превоз на опасни товари (ОВ L 367, 14.12.2004 г., стр. 23). </w:t>
      </w:r>
    </w:p>
  </w:footnote>
  <w:footnote w:id="2">
    <w:p>
      <w:pPr>
        <w:pStyle w:val="FootnoteText"/>
        <w:jc w:val="left"/>
      </w:pPr>
      <w:r>
        <w:rPr>
          <w:rStyle w:val="FootnoteReference"/>
        </w:rPr>
        <w:footnoteRef/>
      </w:r>
      <w:r>
        <w:tab/>
        <w:t>член 9, параграф 1 от нея,</w:t>
      </w:r>
    </w:p>
  </w:footnote>
  <w:footnote w:id="3">
    <w:p>
      <w:pPr>
        <w:pStyle w:val="FootnoteText"/>
        <w:jc w:val="left"/>
      </w:pPr>
      <w:r>
        <w:rPr>
          <w:rStyle w:val="FootnoteReference"/>
        </w:rPr>
        <w:footnoteRef/>
      </w:r>
      <w:r>
        <w:tab/>
        <w:t>член 9, параграф 2 от нея,</w:t>
      </w:r>
    </w:p>
  </w:footnote>
  <w:footnote w:id="4">
    <w:p>
      <w:pPr>
        <w:pStyle w:val="FootnoteText"/>
        <w:jc w:val="left"/>
      </w:pPr>
      <w:r>
        <w:rPr>
          <w:rStyle w:val="FootnoteReference"/>
        </w:rPr>
        <w:footnoteRef/>
      </w:r>
      <w:r>
        <w:tab/>
        <w:t>COM(2000) 517 окончателен, 6.9.2000 г.</w:t>
      </w:r>
    </w:p>
  </w:footnote>
  <w:footnote w:id="5">
    <w:p>
      <w:pPr>
        <w:pStyle w:val="FootnoteText"/>
        <w:jc w:val="left"/>
      </w:pPr>
      <w:r>
        <w:rPr>
          <w:rStyle w:val="FootnoteReference"/>
        </w:rPr>
        <w:footnoteRef/>
      </w:r>
      <w:r>
        <w:tab/>
        <w:t>COM(2005) 430 окончателен, 15.9.2005 г.</w:t>
      </w:r>
    </w:p>
  </w:footnote>
  <w:footnote w:id="6">
    <w:p>
      <w:pPr>
        <w:pStyle w:val="FootnoteText"/>
      </w:pPr>
      <w:r>
        <w:rPr>
          <w:rStyle w:val="FootnoteReference"/>
        </w:rPr>
        <w:footnoteRef/>
      </w:r>
      <w:r>
        <w:tab/>
        <w:t>COM(2007) 795 окончателен, 13.12.2007 г.</w:t>
      </w:r>
    </w:p>
  </w:footnote>
  <w:footnote w:id="7">
    <w:p>
      <w:pPr>
        <w:pStyle w:val="FootnoteText"/>
      </w:pPr>
      <w:r>
        <w:rPr>
          <w:rStyle w:val="FootnoteReference"/>
        </w:rPr>
        <w:footnoteRef/>
      </w:r>
      <w:r>
        <w:tab/>
        <w:t>COM(2010) 364 окончателен, 7.7.2010 г.</w:t>
      </w:r>
    </w:p>
  </w:footnote>
  <w:footnote w:id="8">
    <w:p>
      <w:pPr>
        <w:pStyle w:val="FootnoteText"/>
        <w:rPr>
          <w:lang w:val="pt-PT"/>
        </w:rPr>
      </w:pPr>
      <w:r>
        <w:rPr>
          <w:rStyle w:val="FootnoteReference"/>
        </w:rPr>
        <w:footnoteRef/>
      </w:r>
      <w:r>
        <w:t xml:space="preserve">             COM(2013) 815 final, 25.11.2013 г.</w:t>
      </w:r>
    </w:p>
  </w:footnote>
  <w:footnote w:id="9">
    <w:p>
      <w:pPr>
        <w:pStyle w:val="FootnoteText"/>
        <w:jc w:val="left"/>
        <w:rPr>
          <w:lang w:val="pt-PT"/>
        </w:rPr>
      </w:pPr>
      <w:r>
        <w:rPr>
          <w:rStyle w:val="FootnoteReference"/>
        </w:rPr>
        <w:footnoteRef/>
      </w:r>
      <w:r>
        <w:tab/>
        <w:t>ОВ L 319, 12.12.1994 г., стр. 7.</w:t>
      </w:r>
    </w:p>
  </w:footnote>
  <w:footnote w:id="10">
    <w:p>
      <w:pPr>
        <w:pStyle w:val="FootnoteText"/>
        <w:jc w:val="left"/>
      </w:pPr>
      <w:r>
        <w:rPr>
          <w:rStyle w:val="FootnoteReference"/>
        </w:rPr>
        <w:footnoteRef/>
      </w:r>
      <w:r>
        <w:tab/>
        <w:t>Изменена с Директива 2004/111/ЕО на Комисията от 9 декември 2004 г. за адаптиране към техническия прогрес на Директива 94/55/ЕО на Съвета  (ОВ L 365, 10.12.2004 г., стр. 25).</w:t>
      </w:r>
    </w:p>
  </w:footnote>
  <w:footnote w:id="11">
    <w:p>
      <w:pPr>
        <w:pStyle w:val="FootnoteText"/>
        <w:jc w:val="left"/>
      </w:pPr>
      <w:r>
        <w:rPr>
          <w:rStyle w:val="FootnoteReference"/>
        </w:rPr>
        <w:footnoteRef/>
      </w:r>
      <w:r>
        <w:tab/>
        <w:t>Европейска спогодба за международен превоз на опасни товари по шосе, сключена в Женева на 30 септември 1957 г., и нейните изменения, под егидата на Икономическа комисия за Европа на Организацията на обединените нации (ИКЕ на ООН).</w:t>
      </w:r>
    </w:p>
  </w:footnote>
  <w:footnote w:id="12">
    <w:p>
      <w:pPr>
        <w:pStyle w:val="FootnoteText"/>
      </w:pPr>
      <w:r>
        <w:rPr>
          <w:rStyle w:val="FootnoteReference"/>
        </w:rPr>
        <w:footnoteRef/>
      </w:r>
      <w:r>
        <w:tab/>
        <w:t>ОВ L 260, 30.9.2008 г., стр. 13.</w:t>
      </w:r>
    </w:p>
  </w:footnote>
  <w:footnote w:id="13">
    <w:p>
      <w:pPr>
        <w:pStyle w:val="FootnoteText"/>
      </w:pPr>
      <w:r>
        <w:rPr>
          <w:rStyle w:val="FootnoteReference"/>
        </w:rPr>
        <w:footnoteRef/>
      </w:r>
      <w:r>
        <w:tab/>
        <w:t>Последно изменена с Директива 2014/103/ЕС на Комисията от 21 ноември 2014 г. за привеждане за трети път в съответствие с научно-техническия прогрес на приложенията към Директива 2008/68/ЕО на Европейския парламент и на Съвета относно вътрешния превоз на опасни товари (ОВ L 335, 22.11.2014 г., стр. 15).</w:t>
      </w:r>
    </w:p>
  </w:footnote>
  <w:footnote w:id="14">
    <w:p>
      <w:pPr>
        <w:pStyle w:val="FootnoteText"/>
        <w:jc w:val="left"/>
      </w:pPr>
      <w:r>
        <w:rPr>
          <w:rStyle w:val="FootnoteReference"/>
        </w:rPr>
        <w:footnoteRef/>
      </w:r>
      <w:r>
        <w:tab/>
        <w:t xml:space="preserve">Директива 2004/112/ЕО на Комисията от 13 декември 2004 г. за адаптиране към техническия прогрес на Директива 95/50/ЕО на Съвета  (ОВ L 367, 14.12.2004, стр. 23) </w:t>
      </w:r>
    </w:p>
  </w:footnote>
  <w:footnote w:id="15">
    <w:p>
      <w:pPr>
        <w:pStyle w:val="FootnoteText"/>
      </w:pPr>
      <w:r>
        <w:rPr>
          <w:rStyle w:val="FootnoteReference"/>
        </w:rPr>
        <w:footnoteRef/>
      </w:r>
      <w:r>
        <w:tab/>
        <w:t>Препоръка на Комисията от 21.2.2011 г. за докладване на проверките във връзка с автомобилния превоз на опасни товари, C(2011) 909 окончателен.</w:t>
      </w:r>
    </w:p>
  </w:footnote>
  <w:footnote w:id="16">
    <w:p>
      <w:pPr>
        <w:pStyle w:val="FootnoteText"/>
      </w:pPr>
      <w:r>
        <w:rPr>
          <w:rStyle w:val="FootnoteReference"/>
        </w:rPr>
        <w:footnoteRef/>
      </w:r>
      <w:r>
        <w:tab/>
        <w:t>Определенията на рисковите категории и насоки относно нарушенията от тези категории са предоставени в приложение II към Директива 95/50/ЕО, както е изменена с Директива 2004/112/ЕС.</w:t>
      </w:r>
    </w:p>
  </w:footnote>
  <w:footnote w:id="17">
    <w:p>
      <w:pPr>
        <w:pStyle w:val="FootnoteText"/>
        <w:jc w:val="left"/>
      </w:pPr>
      <w:r>
        <w:rPr>
          <w:rStyle w:val="FootnoteReference"/>
        </w:rPr>
        <w:footnoteRef/>
      </w:r>
      <w:r>
        <w:tab/>
        <w:t>Таблица на Евростат „DS-073082“: Годишен автомобилен превоз на опасни товари по вид опасни товари и с разбивка по дейности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5C174E"/>
    <w:lvl w:ilvl="0">
      <w:start w:val="1"/>
      <w:numFmt w:val="decimal"/>
      <w:lvlText w:val="%1."/>
      <w:lvlJc w:val="left"/>
      <w:pPr>
        <w:tabs>
          <w:tab w:val="num" w:pos="1492"/>
        </w:tabs>
        <w:ind w:left="1492" w:hanging="360"/>
      </w:pPr>
    </w:lvl>
  </w:abstractNum>
  <w:abstractNum w:abstractNumId="1">
    <w:nsid w:val="FFFFFF80"/>
    <w:multiLevelType w:val="singleLevel"/>
    <w:tmpl w:val="E75AFBB8"/>
    <w:lvl w:ilvl="0">
      <w:start w:val="1"/>
      <w:numFmt w:val="bullet"/>
      <w:lvlText w:val=""/>
      <w:lvlJc w:val="left"/>
      <w:pPr>
        <w:tabs>
          <w:tab w:val="num" w:pos="1492"/>
        </w:tabs>
        <w:ind w:left="1492" w:hanging="360"/>
      </w:pPr>
      <w:rPr>
        <w:rFonts w:ascii="Symbol" w:hAnsi="Symbol" w:hint="default"/>
      </w:rPr>
    </w:lvl>
  </w:abstractNum>
  <w:abstractNum w:abstractNumId="2">
    <w:nsid w:val="0B4D31BD"/>
    <w:multiLevelType w:val="hybridMultilevel"/>
    <w:tmpl w:val="C0AAB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F1AA5"/>
    <w:multiLevelType w:val="multilevel"/>
    <w:tmpl w:val="5922F586"/>
    <w:name w:val="List Number 2"/>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59361D7"/>
    <w:multiLevelType w:val="singleLevel"/>
    <w:tmpl w:val="0A7C9778"/>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D062CAF"/>
    <w:multiLevelType w:val="hybridMultilevel"/>
    <w:tmpl w:val="8968D31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7">
    <w:nsid w:val="1E346EC6"/>
    <w:multiLevelType w:val="singleLevel"/>
    <w:tmpl w:val="C14C2BE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B63F4D"/>
    <w:multiLevelType w:val="hybridMultilevel"/>
    <w:tmpl w:val="60762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33065B"/>
    <w:multiLevelType w:val="singleLevel"/>
    <w:tmpl w:val="F328E826"/>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2E10EC"/>
    <w:multiLevelType w:val="singleLevel"/>
    <w:tmpl w:val="A62C8844"/>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C6F0385"/>
    <w:multiLevelType w:val="singleLevel"/>
    <w:tmpl w:val="1D28D46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8">
    <w:nsid w:val="4E945993"/>
    <w:multiLevelType w:val="singleLevel"/>
    <w:tmpl w:val="83F27BC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9">
    <w:nsid w:val="4EB37838"/>
    <w:multiLevelType w:val="multilevel"/>
    <w:tmpl w:val="604479CE"/>
    <w:name w:val="List Number 3"/>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2C7A7C"/>
    <w:multiLevelType w:val="multilevel"/>
    <w:tmpl w:val="5900DFD6"/>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F4B4EDC"/>
    <w:multiLevelType w:val="singleLevel"/>
    <w:tmpl w:val="B3484502"/>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nsid w:val="73B83116"/>
    <w:multiLevelType w:val="singleLevel"/>
    <w:tmpl w:val="406E2D7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73C65461"/>
    <w:multiLevelType w:val="multilevel"/>
    <w:tmpl w:val="C358ABEA"/>
    <w:name w:val="List Number"/>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44D6F2F"/>
    <w:multiLevelType w:val="singleLevel"/>
    <w:tmpl w:val="FCE2108C"/>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153198"/>
    <w:multiLevelType w:val="multilevel"/>
    <w:tmpl w:val="A4A6E13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17551"/>
    <w:multiLevelType w:val="singleLevel"/>
    <w:tmpl w:val="CCDE1F8A"/>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num>
  <w:num w:numId="2">
    <w:abstractNumId w:val="24"/>
  </w:num>
  <w:num w:numId="3">
    <w:abstractNumId w:val="14"/>
  </w:num>
  <w:num w:numId="4">
    <w:abstractNumId w:val="26"/>
  </w:num>
  <w:num w:numId="5">
    <w:abstractNumId w:val="12"/>
  </w:num>
  <w:num w:numId="6">
    <w:abstractNumId w:val="15"/>
  </w:num>
  <w:num w:numId="7">
    <w:abstractNumId w:val="8"/>
  </w:num>
  <w:num w:numId="8">
    <w:abstractNumId w:val="25"/>
  </w:num>
  <w:num w:numId="9">
    <w:abstractNumId w:val="5"/>
  </w:num>
  <w:num w:numId="10">
    <w:abstractNumId w:val="16"/>
  </w:num>
  <w:num w:numId="11">
    <w:abstractNumId w:val="22"/>
  </w:num>
  <w:num w:numId="12">
    <w:abstractNumId w:val="23"/>
  </w:num>
  <w:num w:numId="13">
    <w:abstractNumId w:val="11"/>
  </w:num>
  <w:num w:numId="14">
    <w:abstractNumId w:val="20"/>
  </w:num>
  <w:num w:numId="15">
    <w:abstractNumId w:val="34"/>
  </w:num>
  <w:num w:numId="16">
    <w:abstractNumId w:val="7"/>
  </w:num>
  <w:num w:numId="17">
    <w:abstractNumId w:val="30"/>
  </w:num>
  <w:num w:numId="18">
    <w:abstractNumId w:val="4"/>
  </w:num>
  <w:num w:numId="19">
    <w:abstractNumId w:val="28"/>
  </w:num>
  <w:num w:numId="20">
    <w:abstractNumId w:val="33"/>
  </w:num>
  <w:num w:numId="21">
    <w:abstractNumId w:val="10"/>
  </w:num>
  <w:num w:numId="22">
    <w:abstractNumId w:val="18"/>
  </w:num>
  <w:num w:numId="23">
    <w:abstractNumId w:val="27"/>
  </w:num>
  <w:num w:numId="24">
    <w:abstractNumId w:val="13"/>
  </w:num>
  <w:num w:numId="25">
    <w:abstractNumId w:val="17"/>
  </w:num>
  <w:num w:numId="26">
    <w:abstractNumId w:val="29"/>
  </w:num>
  <w:num w:numId="27">
    <w:abstractNumId w:val="21"/>
  </w:num>
  <w:num w:numId="28">
    <w:abstractNumId w:val="3"/>
  </w:num>
  <w:num w:numId="29">
    <w:abstractNumId w:val="19"/>
  </w:num>
  <w:num w:numId="30">
    <w:abstractNumId w:val="32"/>
  </w:num>
  <w:num w:numId="31">
    <w:abstractNumId w:val="1"/>
  </w:num>
  <w:num w:numId="32">
    <w:abstractNumId w:val="0"/>
  </w:num>
  <w:num w:numId="33">
    <w:abstractNumId w:val="6"/>
  </w:num>
  <w:num w:numId="34">
    <w:abstractNumId w:val="6"/>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C30D607DC91422CB27FE73818ED986E"/>
    <w:docVar w:name="LW_CROSSREFERENCE" w:val="&lt;UNUSED&gt;"/>
    <w:docVar w:name="LW_DocType" w:val="NORMAL"/>
    <w:docVar w:name="LW_EMISSION" w:val="6.3.2017"/>
    <w:docVar w:name="LW_EMISSION_ISODATE" w:val="2017-03-0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12"/>
    <w:docVar w:name="LW_REF.INTERNE" w:val="&lt;UNUSED&gt;"/>
    <w:docVar w:name="LW_SOUS.TITRE.OBJ.CP" w:val="&lt;UNUSED&gt;"/>
    <w:docVar w:name="LW_SUPERTITRE" w:val="&lt;UNUSED&gt;"/>
    <w:docVar w:name="LW_TITRE.OBJ.CP" w:val="\u1047?\u1040? \u1055?\u1056?\u1048?\u1051?\u1040?\u1043?\u1040?\u1053?\u1045?\u1058?\u1054? \u1054?\u1058? \u1044?\u1066?\u1056?\u1046?\u1040?\u1042?\u1048?\u1058?\u1045? \u1063?\u1051?\u1045?\u1053?\u1050?\u1048? \u1053?\u1040? \u1044?\u1048?\u1056?\u1045?\u1050?\u1058?\u1048?\u1042?\u1040? 95/50/\u1045?\u1054? \u1053?\u1040? \u1057?\u1066?\u1042?\u1045?\u1058?\u1040? \u1054?\u1058?\u1053?\u1054?\u1057?\u1053?\u1054? \u1045?\u1044?\u1048?\u1053?\u1053?\u1048?\u1058?\u1045? \u1055?\u1056?\u1054?\u1062?\u1045?\u1044?\u1059?\u1056?\u1048? \u1047?\u1040? \u1055?\u1056?\u1054?\u1042?\u1045?\u1056?\u1050?\u1040? \u1053?\u1040? \u1040?\u1042?\u1058?\u1054?\u1052?\u1054?\u1041?\u1048?\u1051?\u1053?\u1048?\u1071? \u1055?\u1056?\u1045?\u1042?\u1054?\u1047? \u1053?\u1040? \u1054?\u1055?\u1040?\u1057?\u1053?\u1048? \u1058?\u1054?\u1042?\u1040?\u1056?\u1048?"/>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bg-BG"/>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27"/>
      </w:numPr>
    </w:pPr>
    <w:rPr>
      <w:szCs w:val="20"/>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27"/>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9"/>
      </w:numPr>
    </w:pPr>
    <w:rPr>
      <w:szCs w:val="20"/>
    </w:rPr>
  </w:style>
  <w:style w:type="paragraph" w:customStyle="1" w:styleId="ListNumber4Level2">
    <w:name w:val="List Number 4 (Level 2)"/>
    <w:basedOn w:val="Text4"/>
    <w:pPr>
      <w:numPr>
        <w:ilvl w:val="1"/>
        <w:numId w:val="30"/>
      </w:numPr>
    </w:pPr>
    <w:rPr>
      <w:szCs w:val="20"/>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27"/>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9"/>
      </w:numPr>
    </w:pPr>
    <w:rPr>
      <w:szCs w:val="20"/>
    </w:rPr>
  </w:style>
  <w:style w:type="paragraph" w:customStyle="1" w:styleId="ListNumber4Level3">
    <w:name w:val="List Number 4 (Level 3)"/>
    <w:basedOn w:val="Text4"/>
    <w:pPr>
      <w:numPr>
        <w:ilvl w:val="2"/>
        <w:numId w:val="30"/>
      </w:numPr>
    </w:pPr>
    <w:rPr>
      <w:szCs w:val="20"/>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27"/>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9"/>
      </w:numPr>
    </w:pPr>
    <w:rPr>
      <w:szCs w:val="20"/>
    </w:rPr>
  </w:style>
  <w:style w:type="paragraph" w:customStyle="1" w:styleId="ListNumber4Level4">
    <w:name w:val="List Number 4 (Level 4)"/>
    <w:basedOn w:val="Text4"/>
    <w:pPr>
      <w:numPr>
        <w:ilvl w:val="3"/>
        <w:numId w:val="30"/>
      </w:numPr>
    </w:pPr>
    <w:rPr>
      <w:szCs w:val="20"/>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bg-BG"/>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lang w:eastAsia="bg-BG"/>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bg-BG"/>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27"/>
      </w:numPr>
    </w:pPr>
    <w:rPr>
      <w:szCs w:val="20"/>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27"/>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9"/>
      </w:numPr>
    </w:pPr>
    <w:rPr>
      <w:szCs w:val="20"/>
    </w:rPr>
  </w:style>
  <w:style w:type="paragraph" w:customStyle="1" w:styleId="ListNumber4Level2">
    <w:name w:val="List Number 4 (Level 2)"/>
    <w:basedOn w:val="Text4"/>
    <w:pPr>
      <w:numPr>
        <w:ilvl w:val="1"/>
        <w:numId w:val="30"/>
      </w:numPr>
    </w:pPr>
    <w:rPr>
      <w:szCs w:val="20"/>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27"/>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9"/>
      </w:numPr>
    </w:pPr>
    <w:rPr>
      <w:szCs w:val="20"/>
    </w:rPr>
  </w:style>
  <w:style w:type="paragraph" w:customStyle="1" w:styleId="ListNumber4Level3">
    <w:name w:val="List Number 4 (Level 3)"/>
    <w:basedOn w:val="Text4"/>
    <w:pPr>
      <w:numPr>
        <w:ilvl w:val="2"/>
        <w:numId w:val="30"/>
      </w:numPr>
    </w:pPr>
    <w:rPr>
      <w:szCs w:val="20"/>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27"/>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9"/>
      </w:numPr>
    </w:pPr>
    <w:rPr>
      <w:szCs w:val="20"/>
    </w:rPr>
  </w:style>
  <w:style w:type="paragraph" w:customStyle="1" w:styleId="ListNumber4Level4">
    <w:name w:val="List Number 4 (Level 4)"/>
    <w:basedOn w:val="Text4"/>
    <w:pPr>
      <w:numPr>
        <w:ilvl w:val="3"/>
        <w:numId w:val="30"/>
      </w:numPr>
    </w:pPr>
    <w:rPr>
      <w:szCs w:val="20"/>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bg-BG"/>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lang w:eastAsia="bg-BG"/>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055">
      <w:bodyDiv w:val="1"/>
      <w:marLeft w:val="0"/>
      <w:marRight w:val="0"/>
      <w:marTop w:val="0"/>
      <w:marBottom w:val="0"/>
      <w:divBdr>
        <w:top w:val="none" w:sz="0" w:space="0" w:color="auto"/>
        <w:left w:val="none" w:sz="0" w:space="0" w:color="auto"/>
        <w:bottom w:val="none" w:sz="0" w:space="0" w:color="auto"/>
        <w:right w:val="none" w:sz="0" w:space="0" w:color="auto"/>
      </w:divBdr>
    </w:div>
    <w:div w:id="210963888">
      <w:bodyDiv w:val="1"/>
      <w:marLeft w:val="0"/>
      <w:marRight w:val="0"/>
      <w:marTop w:val="0"/>
      <w:marBottom w:val="0"/>
      <w:divBdr>
        <w:top w:val="none" w:sz="0" w:space="0" w:color="auto"/>
        <w:left w:val="none" w:sz="0" w:space="0" w:color="auto"/>
        <w:bottom w:val="none" w:sz="0" w:space="0" w:color="auto"/>
        <w:right w:val="none" w:sz="0" w:space="0" w:color="auto"/>
      </w:divBdr>
    </w:div>
    <w:div w:id="299969187">
      <w:bodyDiv w:val="1"/>
      <w:marLeft w:val="0"/>
      <w:marRight w:val="0"/>
      <w:marTop w:val="0"/>
      <w:marBottom w:val="0"/>
      <w:divBdr>
        <w:top w:val="none" w:sz="0" w:space="0" w:color="auto"/>
        <w:left w:val="none" w:sz="0" w:space="0" w:color="auto"/>
        <w:bottom w:val="none" w:sz="0" w:space="0" w:color="auto"/>
        <w:right w:val="none" w:sz="0" w:space="0" w:color="auto"/>
      </w:divBdr>
    </w:div>
    <w:div w:id="560870213">
      <w:bodyDiv w:val="1"/>
      <w:marLeft w:val="0"/>
      <w:marRight w:val="0"/>
      <w:marTop w:val="0"/>
      <w:marBottom w:val="0"/>
      <w:divBdr>
        <w:top w:val="none" w:sz="0" w:space="0" w:color="auto"/>
        <w:left w:val="none" w:sz="0" w:space="0" w:color="auto"/>
        <w:bottom w:val="none" w:sz="0" w:space="0" w:color="auto"/>
        <w:right w:val="none" w:sz="0" w:space="0" w:color="auto"/>
      </w:divBdr>
    </w:div>
    <w:div w:id="771508279">
      <w:bodyDiv w:val="1"/>
      <w:marLeft w:val="0"/>
      <w:marRight w:val="0"/>
      <w:marTop w:val="0"/>
      <w:marBottom w:val="0"/>
      <w:divBdr>
        <w:top w:val="none" w:sz="0" w:space="0" w:color="auto"/>
        <w:left w:val="none" w:sz="0" w:space="0" w:color="auto"/>
        <w:bottom w:val="none" w:sz="0" w:space="0" w:color="auto"/>
        <w:right w:val="none" w:sz="0" w:space="0" w:color="auto"/>
      </w:divBdr>
    </w:div>
    <w:div w:id="956981676">
      <w:bodyDiv w:val="1"/>
      <w:marLeft w:val="0"/>
      <w:marRight w:val="0"/>
      <w:marTop w:val="0"/>
      <w:marBottom w:val="0"/>
      <w:divBdr>
        <w:top w:val="none" w:sz="0" w:space="0" w:color="auto"/>
        <w:left w:val="none" w:sz="0" w:space="0" w:color="auto"/>
        <w:bottom w:val="none" w:sz="0" w:space="0" w:color="auto"/>
        <w:right w:val="none" w:sz="0" w:space="0" w:color="auto"/>
      </w:divBdr>
    </w:div>
    <w:div w:id="1198547593">
      <w:bodyDiv w:val="1"/>
      <w:marLeft w:val="0"/>
      <w:marRight w:val="0"/>
      <w:marTop w:val="0"/>
      <w:marBottom w:val="0"/>
      <w:divBdr>
        <w:top w:val="none" w:sz="0" w:space="0" w:color="auto"/>
        <w:left w:val="none" w:sz="0" w:space="0" w:color="auto"/>
        <w:bottom w:val="none" w:sz="0" w:space="0" w:color="auto"/>
        <w:right w:val="none" w:sz="0" w:space="0" w:color="auto"/>
      </w:divBdr>
    </w:div>
    <w:div w:id="1359969758">
      <w:bodyDiv w:val="1"/>
      <w:marLeft w:val="0"/>
      <w:marRight w:val="0"/>
      <w:marTop w:val="0"/>
      <w:marBottom w:val="0"/>
      <w:divBdr>
        <w:top w:val="none" w:sz="0" w:space="0" w:color="auto"/>
        <w:left w:val="none" w:sz="0" w:space="0" w:color="auto"/>
        <w:bottom w:val="none" w:sz="0" w:space="0" w:color="auto"/>
        <w:right w:val="none" w:sz="0" w:space="0" w:color="auto"/>
      </w:divBdr>
    </w:div>
    <w:div w:id="16402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401A-45AA-4836-A5B6-9BF59777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3472</Words>
  <Characters>18997</Characters>
  <Application>Microsoft Office Word</Application>
  <DocSecurity>0</DocSecurity>
  <Lines>345</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2017-02-01T15:14:00Z</cp:lastPrinted>
  <dcterms:created xsi:type="dcterms:W3CDTF">2017-02-01T11:25:00Z</dcterms:created>
  <dcterms:modified xsi:type="dcterms:W3CDTF">2017-03-06T10:46:00Z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