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06" w:rsidRDefault="004B3651" w:rsidP="004B365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C5400FD1F46AA901CE4805EE692FA" style="width:450.75pt;height:424.5pt">
            <v:imagedata r:id="rId9" o:title=""/>
          </v:shape>
        </w:pict>
      </w:r>
    </w:p>
    <w:p w:rsidR="001F2306" w:rsidRDefault="001F2306">
      <w:pPr>
        <w:rPr>
          <w:noProof/>
        </w:rPr>
        <w:sectPr w:rsidR="001F2306" w:rsidSect="004B365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F2306" w:rsidRDefault="00C5670F">
      <w:pPr>
        <w:pStyle w:val="Annexetitre"/>
        <w:rPr>
          <w:noProof/>
        </w:rPr>
      </w:pPr>
      <w:bookmarkStart w:id="0" w:name="_GoBack"/>
      <w:bookmarkEnd w:id="0"/>
      <w:r>
        <w:rPr>
          <w:noProof/>
        </w:rPr>
        <w:lastRenderedPageBreak/>
        <w:t>Annexe I</w:t>
      </w:r>
    </w:p>
    <w:p w:rsidR="001F2306" w:rsidRDefault="00C5670F">
      <w:pPr>
        <w:keepNext/>
        <w:jc w:val="center"/>
        <w:outlineLvl w:val="0"/>
        <w:rPr>
          <w:b/>
          <w:noProof/>
        </w:rPr>
      </w:pPr>
      <w:r>
        <w:rPr>
          <w:b/>
          <w:noProof/>
        </w:rPr>
        <w:t xml:space="preserve">Thèmes à couvrir </w:t>
      </w:r>
    </w:p>
    <w:tbl>
      <w:tblPr>
        <w:tblW w:w="8662" w:type="dxa"/>
        <w:tblInd w:w="93" w:type="dxa"/>
        <w:tblLook w:val="04A0" w:firstRow="1" w:lastRow="0" w:firstColumn="1" w:lastColumn="0" w:noHBand="0" w:noVBand="1"/>
      </w:tblPr>
      <w:tblGrid>
        <w:gridCol w:w="2709"/>
        <w:gridCol w:w="5953"/>
      </w:tblGrid>
      <w:tr w:rsidR="001F2306">
        <w:trPr>
          <w:trHeight w:val="300"/>
        </w:trPr>
        <w:tc>
          <w:tcPr>
            <w:tcW w:w="8662" w:type="dxa"/>
            <w:gridSpan w:val="2"/>
            <w:tcBorders>
              <w:bottom w:val="single" w:sz="4" w:space="0" w:color="auto"/>
              <w:right w:val="nil"/>
            </w:tcBorders>
            <w:shd w:val="clear" w:color="auto" w:fill="auto"/>
            <w:noWrap/>
            <w:hideMark/>
          </w:tcPr>
          <w:p w:rsidR="001F2306" w:rsidRDefault="00C5670F">
            <w:pPr>
              <w:rPr>
                <w:b/>
                <w:bCs/>
                <w:noProof/>
                <w:sz w:val="22"/>
              </w:rPr>
            </w:pPr>
            <w:r>
              <w:rPr>
                <w:b/>
                <w:noProof/>
                <w:sz w:val="22"/>
              </w:rPr>
              <w:t>Domaine 1. Statistiques conjoncturelles d’entreprises</w:t>
            </w:r>
          </w:p>
        </w:tc>
      </w:tr>
      <w:tr w:rsidR="001F2306">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rsidR="001F2306" w:rsidRDefault="00C5670F">
            <w:pPr>
              <w:rPr>
                <w:b/>
                <w:bCs/>
                <w:noProof/>
                <w:sz w:val="22"/>
              </w:rPr>
            </w:pPr>
            <w:r>
              <w:rPr>
                <w:b/>
                <w:noProof/>
                <w:sz w:val="22"/>
              </w:rPr>
              <w:t>Thèmes</w:t>
            </w:r>
          </w:p>
        </w:tc>
        <w:tc>
          <w:tcPr>
            <w:tcW w:w="5953" w:type="dxa"/>
            <w:tcBorders>
              <w:top w:val="single" w:sz="4" w:space="0" w:color="auto"/>
              <w:left w:val="nil"/>
              <w:bottom w:val="single" w:sz="4" w:space="0" w:color="auto"/>
              <w:right w:val="single" w:sz="4" w:space="0" w:color="auto"/>
            </w:tcBorders>
            <w:shd w:val="clear" w:color="000000" w:fill="EEECE1"/>
            <w:hideMark/>
          </w:tcPr>
          <w:p w:rsidR="001F2306" w:rsidRDefault="00C5670F">
            <w:pPr>
              <w:rPr>
                <w:b/>
                <w:bCs/>
                <w:noProof/>
                <w:sz w:val="22"/>
              </w:rPr>
            </w:pPr>
            <w:r>
              <w:rPr>
                <w:b/>
                <w:noProof/>
                <w:sz w:val="22"/>
              </w:rPr>
              <w:t xml:space="preserve">Thèmes </w:t>
            </w:r>
            <w:r>
              <w:rPr>
                <w:b/>
                <w:noProof/>
                <w:sz w:val="22"/>
              </w:rPr>
              <w:t>détaillés</w:t>
            </w:r>
          </w:p>
        </w:tc>
      </w:tr>
      <w:tr w:rsidR="001F2306">
        <w:tc>
          <w:tcPr>
            <w:tcW w:w="2709" w:type="dxa"/>
            <w:tcBorders>
              <w:top w:val="single" w:sz="4" w:space="0" w:color="auto"/>
              <w:left w:val="single" w:sz="4" w:space="0" w:color="auto"/>
              <w:bottom w:val="nil"/>
              <w:right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Événements démographiques d’entreprises (faillites et immatriculations)</w:t>
            </w:r>
          </w:p>
        </w:tc>
      </w:tr>
      <w:tr w:rsidR="001F2306">
        <w:tc>
          <w:tcPr>
            <w:tcW w:w="2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2306" w:rsidRDefault="00C5670F">
            <w:pPr>
              <w:rPr>
                <w:noProof/>
                <w:sz w:val="22"/>
              </w:rPr>
            </w:pPr>
            <w:r>
              <w:rPr>
                <w:noProof/>
                <w:sz w:val="22"/>
              </w:rPr>
              <w:t>Entrées de main-d’œuvre</w:t>
            </w: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Emploi</w:t>
            </w:r>
          </w:p>
        </w:tc>
      </w:tr>
      <w:tr w:rsidR="001F2306">
        <w:tc>
          <w:tcPr>
            <w:tcW w:w="2709" w:type="dxa"/>
            <w:vMerge/>
            <w:tcBorders>
              <w:top w:val="single" w:sz="4" w:space="0" w:color="auto"/>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 xml:space="preserve">Heures travaillées </w:t>
            </w:r>
          </w:p>
        </w:tc>
      </w:tr>
      <w:tr w:rsidR="001F2306">
        <w:tc>
          <w:tcPr>
            <w:tcW w:w="2709" w:type="dxa"/>
            <w:vMerge/>
            <w:tcBorders>
              <w:top w:val="single" w:sz="4" w:space="0" w:color="auto"/>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Coûts de main-d’œuvre</w:t>
            </w:r>
          </w:p>
        </w:tc>
      </w:tr>
      <w:tr w:rsidR="001F2306">
        <w:tc>
          <w:tcPr>
            <w:tcW w:w="2709" w:type="dxa"/>
            <w:vMerge w:val="restart"/>
            <w:tcBorders>
              <w:top w:val="nil"/>
              <w:left w:val="single" w:sz="4" w:space="0" w:color="auto"/>
              <w:bottom w:val="single" w:sz="4" w:space="0" w:color="000000"/>
              <w:right w:val="single" w:sz="4" w:space="0" w:color="auto"/>
            </w:tcBorders>
            <w:shd w:val="clear" w:color="auto" w:fill="auto"/>
            <w:hideMark/>
          </w:tcPr>
          <w:p w:rsidR="001F2306" w:rsidRDefault="00C5670F">
            <w:pPr>
              <w:rPr>
                <w:noProof/>
                <w:sz w:val="22"/>
              </w:rPr>
            </w:pPr>
            <w:r>
              <w:rPr>
                <w:noProof/>
                <w:sz w:val="22"/>
              </w:rPr>
              <w:t>Prix</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 xml:space="preserve">Prix à l’importation </w:t>
            </w:r>
          </w:p>
        </w:tc>
      </w:tr>
      <w:tr w:rsidR="001F2306">
        <w:tc>
          <w:tcPr>
            <w:tcW w:w="2709" w:type="dxa"/>
            <w:vMerge/>
            <w:tcBorders>
              <w:top w:val="nil"/>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Prix à la production</w:t>
            </w:r>
          </w:p>
        </w:tc>
      </w:tr>
      <w:tr w:rsidR="001F2306">
        <w:tc>
          <w:tcPr>
            <w:tcW w:w="2709" w:type="dxa"/>
            <w:vMerge w:val="restart"/>
            <w:tcBorders>
              <w:top w:val="nil"/>
              <w:left w:val="single" w:sz="4" w:space="0" w:color="auto"/>
              <w:bottom w:val="nil"/>
              <w:right w:val="single" w:sz="4" w:space="0" w:color="auto"/>
            </w:tcBorders>
            <w:shd w:val="clear" w:color="auto" w:fill="auto"/>
            <w:hideMark/>
          </w:tcPr>
          <w:p w:rsidR="001F2306" w:rsidRDefault="00C5670F">
            <w:pPr>
              <w:rPr>
                <w:noProof/>
                <w:sz w:val="22"/>
              </w:rPr>
            </w:pPr>
            <w:r>
              <w:rPr>
                <w:noProof/>
                <w:sz w:val="22"/>
              </w:rPr>
              <w:t xml:space="preserve">Résultats et </w:t>
            </w:r>
            <w:r>
              <w:rPr>
                <w:noProof/>
                <w:sz w:val="22"/>
              </w:rPr>
              <w:t>performances</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Production</w:t>
            </w:r>
          </w:p>
        </w:tc>
      </w:tr>
      <w:tr w:rsidR="001F2306">
        <w:tc>
          <w:tcPr>
            <w:tcW w:w="2709" w:type="dxa"/>
            <w:vMerge/>
            <w:tcBorders>
              <w:top w:val="nil"/>
              <w:left w:val="single" w:sz="4" w:space="0" w:color="auto"/>
              <w:bottom w:val="nil"/>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Volume des ventes</w:t>
            </w:r>
          </w:p>
        </w:tc>
      </w:tr>
      <w:tr w:rsidR="001F2306">
        <w:tc>
          <w:tcPr>
            <w:tcW w:w="2709" w:type="dxa"/>
            <w:vMerge/>
            <w:tcBorders>
              <w:top w:val="nil"/>
              <w:left w:val="single" w:sz="4" w:space="0" w:color="auto"/>
              <w:bottom w:val="nil"/>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Chiffre d’affaires net</w:t>
            </w:r>
          </w:p>
        </w:tc>
      </w:tr>
      <w:tr w:rsidR="001F2306">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1F2306" w:rsidRDefault="00C5670F">
            <w:pPr>
              <w:rPr>
                <w:noProof/>
                <w:sz w:val="22"/>
              </w:rPr>
            </w:pPr>
            <w:r>
              <w:rPr>
                <w:noProof/>
                <w:sz w:val="22"/>
              </w:rPr>
              <w:t>Permis</w:t>
            </w: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Permis de construire</w:t>
            </w:r>
          </w:p>
        </w:tc>
      </w:tr>
      <w:tr w:rsidR="001F2306">
        <w:trPr>
          <w:trHeight w:val="300"/>
        </w:trPr>
        <w:tc>
          <w:tcPr>
            <w:tcW w:w="2709" w:type="dxa"/>
            <w:tcBorders>
              <w:top w:val="single" w:sz="4" w:space="0" w:color="auto"/>
              <w:left w:val="nil"/>
              <w:right w:val="nil"/>
            </w:tcBorders>
            <w:shd w:val="clear" w:color="auto" w:fill="auto"/>
            <w:hideMark/>
          </w:tcPr>
          <w:p w:rsidR="001F2306" w:rsidRDefault="00C5670F">
            <w:pPr>
              <w:rPr>
                <w:noProof/>
                <w:sz w:val="22"/>
              </w:rPr>
            </w:pPr>
            <w:r>
              <w:rPr>
                <w:noProof/>
                <w:sz w:val="22"/>
              </w:rPr>
              <w:t> </w:t>
            </w:r>
          </w:p>
        </w:tc>
        <w:tc>
          <w:tcPr>
            <w:tcW w:w="5953" w:type="dxa"/>
            <w:tcBorders>
              <w:top w:val="single" w:sz="4" w:space="0" w:color="auto"/>
              <w:left w:val="nil"/>
              <w:right w:val="nil"/>
            </w:tcBorders>
            <w:shd w:val="clear" w:color="auto" w:fill="auto"/>
            <w:hideMark/>
          </w:tcPr>
          <w:p w:rsidR="001F2306" w:rsidRDefault="00C5670F">
            <w:pPr>
              <w:rPr>
                <w:noProof/>
                <w:sz w:val="22"/>
              </w:rPr>
            </w:pPr>
            <w:r>
              <w:rPr>
                <w:noProof/>
                <w:sz w:val="22"/>
              </w:rPr>
              <w:t> </w:t>
            </w:r>
          </w:p>
        </w:tc>
      </w:tr>
      <w:tr w:rsidR="001F2306">
        <w:trPr>
          <w:trHeight w:val="300"/>
        </w:trPr>
        <w:tc>
          <w:tcPr>
            <w:tcW w:w="8662" w:type="dxa"/>
            <w:gridSpan w:val="2"/>
            <w:tcBorders>
              <w:top w:val="nil"/>
              <w:bottom w:val="nil"/>
              <w:right w:val="nil"/>
            </w:tcBorders>
            <w:shd w:val="clear" w:color="auto" w:fill="auto"/>
            <w:noWrap/>
            <w:hideMark/>
          </w:tcPr>
          <w:p w:rsidR="001F2306" w:rsidRDefault="00C5670F">
            <w:pPr>
              <w:rPr>
                <w:b/>
                <w:bCs/>
                <w:noProof/>
                <w:sz w:val="22"/>
              </w:rPr>
            </w:pPr>
            <w:r>
              <w:rPr>
                <w:b/>
                <w:noProof/>
                <w:sz w:val="22"/>
              </w:rPr>
              <w:t>Domaine 2. Statistiques d’entreprises au niveau national</w:t>
            </w:r>
          </w:p>
        </w:tc>
      </w:tr>
      <w:tr w:rsidR="001F2306">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rsidR="001F2306" w:rsidRDefault="00C5670F">
            <w:pPr>
              <w:rPr>
                <w:b/>
                <w:bCs/>
                <w:noProof/>
                <w:sz w:val="22"/>
              </w:rPr>
            </w:pPr>
            <w:r>
              <w:rPr>
                <w:b/>
                <w:noProof/>
                <w:sz w:val="22"/>
              </w:rPr>
              <w:t>Thèmes</w:t>
            </w:r>
          </w:p>
        </w:tc>
        <w:tc>
          <w:tcPr>
            <w:tcW w:w="5953" w:type="dxa"/>
            <w:tcBorders>
              <w:top w:val="single" w:sz="4" w:space="0" w:color="auto"/>
              <w:left w:val="nil"/>
              <w:bottom w:val="single" w:sz="4" w:space="0" w:color="auto"/>
              <w:right w:val="single" w:sz="4" w:space="0" w:color="auto"/>
            </w:tcBorders>
            <w:shd w:val="clear" w:color="000000" w:fill="EEECE1"/>
            <w:hideMark/>
          </w:tcPr>
          <w:p w:rsidR="001F2306" w:rsidRDefault="00C5670F">
            <w:pPr>
              <w:rPr>
                <w:b/>
                <w:bCs/>
                <w:noProof/>
                <w:sz w:val="22"/>
              </w:rPr>
            </w:pPr>
            <w:r>
              <w:rPr>
                <w:b/>
                <w:noProof/>
                <w:sz w:val="22"/>
              </w:rPr>
              <w:t>Thèmes détaillés</w:t>
            </w:r>
          </w:p>
        </w:tc>
      </w:tr>
      <w:tr w:rsidR="001F2306">
        <w:tc>
          <w:tcPr>
            <w:tcW w:w="2709" w:type="dxa"/>
            <w:vMerge w:val="restart"/>
            <w:tcBorders>
              <w:top w:val="single" w:sz="4" w:space="0" w:color="auto"/>
              <w:left w:val="single" w:sz="4" w:space="0" w:color="auto"/>
              <w:right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Population d’entreprises actives</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Événements démographiques d’entreprises (créations, cessations, survies)</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Entreprises sous contrôle étranger</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tcPr>
          <w:p w:rsidR="001F2306" w:rsidRDefault="00C5670F">
            <w:pPr>
              <w:rPr>
                <w:noProof/>
                <w:sz w:val="22"/>
              </w:rPr>
            </w:pPr>
            <w:r>
              <w:rPr>
                <w:noProof/>
                <w:sz w:val="22"/>
              </w:rPr>
              <w:t>Entreprises contrôlant des entreprises à l’étranger (concept d’UICU) et leurs filiales nationales</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 xml:space="preserve">Population d’entreprises actives dans le </w:t>
            </w:r>
            <w:r>
              <w:rPr>
                <w:noProof/>
                <w:sz w:val="22"/>
              </w:rPr>
              <w:t>commerce international</w:t>
            </w:r>
          </w:p>
        </w:tc>
      </w:tr>
      <w:tr w:rsidR="001F2306">
        <w:tc>
          <w:tcPr>
            <w:tcW w:w="2709" w:type="dxa"/>
            <w:vMerge w:val="restart"/>
            <w:tcBorders>
              <w:top w:val="single" w:sz="4" w:space="0" w:color="000000"/>
              <w:left w:val="single" w:sz="4" w:space="0" w:color="auto"/>
              <w:right w:val="single" w:sz="4" w:space="0" w:color="auto"/>
            </w:tcBorders>
            <w:shd w:val="clear" w:color="auto" w:fill="auto"/>
            <w:hideMark/>
          </w:tcPr>
          <w:p w:rsidR="001F2306" w:rsidRDefault="00C5670F">
            <w:pPr>
              <w:rPr>
                <w:noProof/>
                <w:sz w:val="22"/>
              </w:rPr>
            </w:pPr>
            <w:r>
              <w:rPr>
                <w:noProof/>
                <w:sz w:val="22"/>
              </w:rPr>
              <w:t>Entrées de main-d’œuvre</w:t>
            </w: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Emploi</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Emploi lié aux événements démographiques d’entreprises (créations, cessations, survies)</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Emploi dans les entreprises sous contrôle étranger</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Emploi dans les entreprises contrôlant des entreprises à</w:t>
            </w:r>
            <w:r>
              <w:rPr>
                <w:noProof/>
                <w:sz w:val="22"/>
              </w:rPr>
              <w:t xml:space="preserve"> </w:t>
            </w:r>
            <w:r>
              <w:rPr>
                <w:noProof/>
                <w:sz w:val="22"/>
              </w:rPr>
              <w:lastRenderedPageBreak/>
              <w:t>l’étranger (concept d’UICU) et leurs filiales nationales</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Heures travaillées</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Coûts de main-d’œuvre</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Coûts de main-d’œuvre dans les entreprises sous contrôle étranger</w:t>
            </w:r>
          </w:p>
        </w:tc>
      </w:tr>
      <w:tr w:rsidR="001F2306">
        <w:tc>
          <w:tcPr>
            <w:tcW w:w="2709" w:type="dxa"/>
            <w:vMerge w:val="restart"/>
            <w:tcBorders>
              <w:top w:val="single" w:sz="4" w:space="0" w:color="000000"/>
              <w:left w:val="single" w:sz="4" w:space="0" w:color="auto"/>
              <w:right w:val="single" w:sz="4" w:space="0" w:color="auto"/>
            </w:tcBorders>
            <w:shd w:val="clear" w:color="auto" w:fill="auto"/>
            <w:hideMark/>
          </w:tcPr>
          <w:p w:rsidR="001F2306" w:rsidRDefault="00C5670F">
            <w:pPr>
              <w:rPr>
                <w:noProof/>
                <w:sz w:val="22"/>
              </w:rPr>
            </w:pPr>
            <w:r>
              <w:rPr>
                <w:noProof/>
                <w:sz w:val="22"/>
              </w:rPr>
              <w:t>Entrées de R&amp;D</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Dépenses de R&amp;D</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Emploi de R&amp;D</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 xml:space="preserve">Dépenses de R&amp;D dans les </w:t>
            </w:r>
            <w:r>
              <w:rPr>
                <w:noProof/>
                <w:sz w:val="22"/>
              </w:rPr>
              <w:t>entreprises sous contrôle étranger</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Emploi de R&amp;D dans les entreprises sous contrôle étranger</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R&amp;D sur fonds publics</w:t>
            </w:r>
          </w:p>
        </w:tc>
      </w:tr>
      <w:tr w:rsidR="001F2306">
        <w:tc>
          <w:tcPr>
            <w:tcW w:w="2709" w:type="dxa"/>
            <w:vMerge w:val="restart"/>
            <w:tcBorders>
              <w:top w:val="single" w:sz="4" w:space="0" w:color="000000"/>
              <w:left w:val="single" w:sz="4" w:space="0" w:color="auto"/>
              <w:right w:val="single" w:sz="4" w:space="0" w:color="auto"/>
            </w:tcBorders>
            <w:shd w:val="clear" w:color="auto" w:fill="auto"/>
            <w:hideMark/>
          </w:tcPr>
          <w:p w:rsidR="001F2306" w:rsidRDefault="00C5670F">
            <w:pPr>
              <w:rPr>
                <w:noProof/>
                <w:sz w:val="22"/>
              </w:rPr>
            </w:pPr>
            <w:r>
              <w:rPr>
                <w:noProof/>
                <w:sz w:val="22"/>
              </w:rPr>
              <w:t>Achats</w:t>
            </w: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Achats de biens et services</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 xml:space="preserve">Variation des stocks de biens </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Achats de biens et services des entreprises sous contrôle étranger</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Importations des entreprises</w:t>
            </w:r>
          </w:p>
        </w:tc>
      </w:tr>
      <w:tr w:rsidR="001F2306">
        <w:tc>
          <w:tcPr>
            <w:tcW w:w="2709" w:type="dxa"/>
            <w:vMerge w:val="restart"/>
            <w:tcBorders>
              <w:top w:val="single" w:sz="4" w:space="0" w:color="000000"/>
              <w:left w:val="single" w:sz="4" w:space="0" w:color="auto"/>
              <w:right w:val="single" w:sz="4" w:space="0" w:color="auto"/>
            </w:tcBorders>
            <w:shd w:val="clear" w:color="auto" w:fill="auto"/>
            <w:hideMark/>
          </w:tcPr>
          <w:p w:rsidR="001F2306" w:rsidRDefault="00C5670F">
            <w:pPr>
              <w:rPr>
                <w:noProof/>
                <w:sz w:val="22"/>
              </w:rPr>
            </w:pPr>
            <w:r>
              <w:rPr>
                <w:noProof/>
                <w:sz w:val="22"/>
              </w:rPr>
              <w:t>Résultats et performances</w:t>
            </w: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Chiffre d’affaires net</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Marge brute sur biens destinés à la revente</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Valeur de la production</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Valeur ajoutée</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Excédent brut d’exploitation</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Chiffre d’affaires net des entreprises sous contrôle</w:t>
            </w:r>
            <w:r>
              <w:rPr>
                <w:noProof/>
                <w:sz w:val="22"/>
              </w:rPr>
              <w:t xml:space="preserve"> étranger</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Valeur de la production des entreprises sous contrôle étranger</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 xml:space="preserve">Valeur ajoutée des entreprises sous contrôle étranger </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 xml:space="preserve">Chiffre d’affaires net des entreprises contrôlant des entreprises à l’étranger (concept d’UICU) et de leurs filiales </w:t>
            </w:r>
            <w:r>
              <w:rPr>
                <w:noProof/>
                <w:sz w:val="22"/>
              </w:rPr>
              <w:t>nationales</w:t>
            </w:r>
          </w:p>
        </w:tc>
      </w:tr>
      <w:tr w:rsidR="001F2306">
        <w:tc>
          <w:tcPr>
            <w:tcW w:w="2709" w:type="dxa"/>
            <w:vMerge/>
            <w:tcBorders>
              <w:top w:val="single" w:sz="4" w:space="0" w:color="000000"/>
              <w:left w:val="single" w:sz="4" w:space="0" w:color="auto"/>
              <w:right w:val="single" w:sz="4" w:space="0" w:color="auto"/>
            </w:tcBorders>
            <w:vAlign w:val="center"/>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rsidR="001F2306" w:rsidRDefault="00C5670F">
            <w:pPr>
              <w:rPr>
                <w:noProof/>
                <w:sz w:val="22"/>
              </w:rPr>
            </w:pPr>
            <w:r>
              <w:rPr>
                <w:noProof/>
                <w:sz w:val="22"/>
              </w:rPr>
              <w:t>Production industrielle</w:t>
            </w:r>
          </w:p>
        </w:tc>
      </w:tr>
      <w:tr w:rsidR="001F2306">
        <w:tc>
          <w:tcPr>
            <w:tcW w:w="2709" w:type="dxa"/>
            <w:vMerge/>
            <w:tcBorders>
              <w:top w:val="single" w:sz="4" w:space="0" w:color="000000"/>
              <w:left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Exportations des entreprises</w:t>
            </w:r>
          </w:p>
        </w:tc>
      </w:tr>
      <w:tr w:rsidR="001F2306">
        <w:tc>
          <w:tcPr>
            <w:tcW w:w="2709" w:type="dxa"/>
            <w:vMerge w:val="restart"/>
            <w:tcBorders>
              <w:top w:val="single" w:sz="4" w:space="0" w:color="000000"/>
              <w:left w:val="single" w:sz="4" w:space="0" w:color="auto"/>
              <w:bottom w:val="nil"/>
              <w:right w:val="single" w:sz="4" w:space="0" w:color="auto"/>
            </w:tcBorders>
            <w:shd w:val="clear" w:color="auto" w:fill="auto"/>
            <w:hideMark/>
          </w:tcPr>
          <w:p w:rsidR="001F2306" w:rsidRDefault="00C5670F">
            <w:pPr>
              <w:rPr>
                <w:noProof/>
                <w:sz w:val="22"/>
              </w:rPr>
            </w:pPr>
            <w:r>
              <w:rPr>
                <w:noProof/>
                <w:sz w:val="22"/>
              </w:rPr>
              <w:t>Investissements</w:t>
            </w: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 xml:space="preserve">Investissements bruts </w:t>
            </w:r>
          </w:p>
        </w:tc>
      </w:tr>
      <w:tr w:rsidR="001F2306">
        <w:tc>
          <w:tcPr>
            <w:tcW w:w="2709" w:type="dxa"/>
            <w:vMerge/>
            <w:tcBorders>
              <w:top w:val="single" w:sz="4" w:space="0" w:color="000000"/>
              <w:left w:val="single" w:sz="4" w:space="0" w:color="auto"/>
              <w:bottom w:val="single" w:sz="4" w:space="0" w:color="auto"/>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Investissements bruts des entreprises sous contrôle étranger</w:t>
            </w:r>
          </w:p>
        </w:tc>
      </w:tr>
      <w:tr w:rsidR="001F2306">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1F2306" w:rsidRDefault="00C5670F">
            <w:pPr>
              <w:rPr>
                <w:noProof/>
                <w:sz w:val="22"/>
              </w:rPr>
            </w:pPr>
            <w:r>
              <w:rPr>
                <w:noProof/>
                <w:sz w:val="22"/>
              </w:rPr>
              <w:t>Innovation</w:t>
            </w: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Innovation</w:t>
            </w:r>
          </w:p>
        </w:tc>
      </w:tr>
      <w:tr w:rsidR="001F2306">
        <w:tc>
          <w:tcPr>
            <w:tcW w:w="2709" w:type="dxa"/>
            <w:tcBorders>
              <w:top w:val="nil"/>
              <w:left w:val="single" w:sz="4" w:space="0" w:color="auto"/>
              <w:bottom w:val="single" w:sz="4" w:space="0" w:color="auto"/>
              <w:right w:val="single" w:sz="4" w:space="0" w:color="auto"/>
            </w:tcBorders>
            <w:shd w:val="clear" w:color="auto" w:fill="auto"/>
            <w:hideMark/>
          </w:tcPr>
          <w:p w:rsidR="001F2306" w:rsidRDefault="00C5670F">
            <w:pPr>
              <w:rPr>
                <w:noProof/>
                <w:sz w:val="22"/>
              </w:rPr>
            </w:pPr>
            <w:r>
              <w:rPr>
                <w:noProof/>
                <w:sz w:val="22"/>
              </w:rPr>
              <w:lastRenderedPageBreak/>
              <w:t>Utilisation des TIC et commerce électronique</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 xml:space="preserve">Utilisation des </w:t>
            </w:r>
            <w:r>
              <w:rPr>
                <w:noProof/>
                <w:sz w:val="22"/>
              </w:rPr>
              <w:t>TIC et commerce électronique</w:t>
            </w:r>
          </w:p>
        </w:tc>
      </w:tr>
      <w:tr w:rsidR="001F2306">
        <w:trPr>
          <w:trHeight w:val="300"/>
        </w:trPr>
        <w:tc>
          <w:tcPr>
            <w:tcW w:w="8662" w:type="dxa"/>
            <w:gridSpan w:val="2"/>
            <w:tcBorders>
              <w:top w:val="nil"/>
              <w:left w:val="nil"/>
              <w:bottom w:val="nil"/>
              <w:right w:val="nil"/>
            </w:tcBorders>
            <w:shd w:val="clear" w:color="auto" w:fill="auto"/>
            <w:hideMark/>
          </w:tcPr>
          <w:p w:rsidR="001F2306" w:rsidRDefault="001F2306">
            <w:pPr>
              <w:rPr>
                <w:b/>
                <w:bCs/>
                <w:noProof/>
                <w:sz w:val="22"/>
              </w:rPr>
            </w:pPr>
          </w:p>
          <w:p w:rsidR="001F2306" w:rsidRDefault="00C5670F">
            <w:pPr>
              <w:rPr>
                <w:b/>
                <w:bCs/>
                <w:noProof/>
                <w:sz w:val="22"/>
              </w:rPr>
            </w:pPr>
            <w:r>
              <w:rPr>
                <w:b/>
                <w:noProof/>
                <w:sz w:val="22"/>
              </w:rPr>
              <w:t>Domaine 3. Statistiques d’entreprises au niveau régional</w:t>
            </w:r>
          </w:p>
        </w:tc>
      </w:tr>
      <w:tr w:rsidR="001F2306">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rsidR="001F2306" w:rsidRDefault="00C5670F">
            <w:pPr>
              <w:rPr>
                <w:b/>
                <w:bCs/>
                <w:noProof/>
                <w:sz w:val="22"/>
              </w:rPr>
            </w:pPr>
            <w:r>
              <w:rPr>
                <w:b/>
                <w:noProof/>
                <w:sz w:val="22"/>
              </w:rPr>
              <w:t>Thèmes</w:t>
            </w:r>
          </w:p>
        </w:tc>
        <w:tc>
          <w:tcPr>
            <w:tcW w:w="5953" w:type="dxa"/>
            <w:tcBorders>
              <w:top w:val="single" w:sz="4" w:space="0" w:color="auto"/>
              <w:left w:val="nil"/>
              <w:bottom w:val="single" w:sz="4" w:space="0" w:color="auto"/>
              <w:right w:val="single" w:sz="4" w:space="0" w:color="auto"/>
            </w:tcBorders>
            <w:shd w:val="clear" w:color="000000" w:fill="EEECE1"/>
            <w:hideMark/>
          </w:tcPr>
          <w:p w:rsidR="001F2306" w:rsidRDefault="00C5670F">
            <w:pPr>
              <w:rPr>
                <w:b/>
                <w:bCs/>
                <w:noProof/>
                <w:sz w:val="22"/>
              </w:rPr>
            </w:pPr>
            <w:r>
              <w:rPr>
                <w:b/>
                <w:noProof/>
                <w:sz w:val="22"/>
              </w:rPr>
              <w:t>Thèmes détaillés</w:t>
            </w:r>
          </w:p>
        </w:tc>
      </w:tr>
      <w:tr w:rsidR="001F2306">
        <w:tc>
          <w:tcPr>
            <w:tcW w:w="2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Population par région</w:t>
            </w:r>
          </w:p>
        </w:tc>
      </w:tr>
      <w:tr w:rsidR="001F2306">
        <w:tc>
          <w:tcPr>
            <w:tcW w:w="2709" w:type="dxa"/>
            <w:vMerge/>
            <w:tcBorders>
              <w:top w:val="single" w:sz="4" w:space="0" w:color="000000"/>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Événements démographiques d’entreprises (créations, cessations, survies)</w:t>
            </w:r>
          </w:p>
        </w:tc>
      </w:tr>
      <w:tr w:rsidR="001F2306">
        <w:tc>
          <w:tcPr>
            <w:tcW w:w="27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1F2306" w:rsidRDefault="00C5670F">
            <w:pPr>
              <w:rPr>
                <w:noProof/>
                <w:sz w:val="22"/>
              </w:rPr>
            </w:pPr>
            <w:r>
              <w:rPr>
                <w:noProof/>
                <w:sz w:val="22"/>
              </w:rPr>
              <w:t xml:space="preserve">Entrées de </w:t>
            </w:r>
            <w:r>
              <w:rPr>
                <w:noProof/>
                <w:sz w:val="22"/>
              </w:rPr>
              <w:t>main-d’œuvre</w:t>
            </w: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Emploi par région</w:t>
            </w:r>
          </w:p>
        </w:tc>
      </w:tr>
      <w:tr w:rsidR="001F2306">
        <w:tc>
          <w:tcPr>
            <w:tcW w:w="2709" w:type="dxa"/>
            <w:vMerge/>
            <w:tcBorders>
              <w:top w:val="single" w:sz="4" w:space="0" w:color="000000"/>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Emploi lié aux événements démographiques d’entreprises par région (créations, cessations, survies)</w:t>
            </w:r>
          </w:p>
        </w:tc>
      </w:tr>
      <w:tr w:rsidR="001F2306">
        <w:tc>
          <w:tcPr>
            <w:tcW w:w="2709" w:type="dxa"/>
            <w:vMerge/>
            <w:tcBorders>
              <w:top w:val="single" w:sz="4" w:space="0" w:color="000000"/>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Coûts de main-d’œuvre par région</w:t>
            </w:r>
          </w:p>
        </w:tc>
      </w:tr>
      <w:tr w:rsidR="001F2306">
        <w:tc>
          <w:tcPr>
            <w:tcW w:w="27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1F2306" w:rsidRDefault="00C5670F">
            <w:pPr>
              <w:rPr>
                <w:noProof/>
                <w:sz w:val="22"/>
              </w:rPr>
            </w:pPr>
            <w:r>
              <w:rPr>
                <w:noProof/>
                <w:sz w:val="22"/>
              </w:rPr>
              <w:t>Entrées de R&amp;D</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Dépenses de R&amp;D par région</w:t>
            </w:r>
          </w:p>
        </w:tc>
      </w:tr>
      <w:tr w:rsidR="001F2306">
        <w:tc>
          <w:tcPr>
            <w:tcW w:w="2709" w:type="dxa"/>
            <w:vMerge/>
            <w:tcBorders>
              <w:top w:val="single" w:sz="4" w:space="0" w:color="000000"/>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Emploi de R&amp;D par région</w:t>
            </w:r>
          </w:p>
        </w:tc>
      </w:tr>
      <w:tr w:rsidR="001F2306">
        <w:trPr>
          <w:trHeight w:val="300"/>
        </w:trPr>
        <w:tc>
          <w:tcPr>
            <w:tcW w:w="2709" w:type="dxa"/>
            <w:tcBorders>
              <w:top w:val="nil"/>
              <w:left w:val="nil"/>
              <w:right w:val="nil"/>
            </w:tcBorders>
            <w:shd w:val="clear" w:color="auto" w:fill="auto"/>
            <w:hideMark/>
          </w:tcPr>
          <w:p w:rsidR="001F2306" w:rsidRDefault="001F2306">
            <w:pPr>
              <w:rPr>
                <w:noProof/>
                <w:sz w:val="22"/>
              </w:rPr>
            </w:pPr>
          </w:p>
        </w:tc>
        <w:tc>
          <w:tcPr>
            <w:tcW w:w="5953" w:type="dxa"/>
            <w:tcBorders>
              <w:top w:val="nil"/>
              <w:left w:val="nil"/>
              <w:right w:val="nil"/>
            </w:tcBorders>
            <w:shd w:val="clear" w:color="auto" w:fill="auto"/>
            <w:hideMark/>
          </w:tcPr>
          <w:p w:rsidR="001F2306" w:rsidRDefault="001F2306">
            <w:pPr>
              <w:rPr>
                <w:noProof/>
                <w:sz w:val="22"/>
              </w:rPr>
            </w:pPr>
          </w:p>
        </w:tc>
      </w:tr>
      <w:tr w:rsidR="001F2306">
        <w:trPr>
          <w:trHeight w:val="300"/>
        </w:trPr>
        <w:tc>
          <w:tcPr>
            <w:tcW w:w="8662" w:type="dxa"/>
            <w:gridSpan w:val="2"/>
            <w:tcBorders>
              <w:top w:val="nil"/>
              <w:bottom w:val="nil"/>
              <w:right w:val="nil"/>
            </w:tcBorders>
            <w:shd w:val="clear" w:color="auto" w:fill="auto"/>
            <w:hideMark/>
          </w:tcPr>
          <w:p w:rsidR="001F2306" w:rsidRDefault="00C5670F">
            <w:pPr>
              <w:rPr>
                <w:b/>
                <w:bCs/>
                <w:noProof/>
                <w:sz w:val="22"/>
              </w:rPr>
            </w:pPr>
            <w:r>
              <w:rPr>
                <w:b/>
                <w:noProof/>
                <w:sz w:val="22"/>
              </w:rPr>
              <w:t xml:space="preserve">Domaine 4. </w:t>
            </w:r>
            <w:r>
              <w:rPr>
                <w:b/>
                <w:noProof/>
                <w:sz w:val="22"/>
              </w:rPr>
              <w:t>Statistiques sur les activités internationales</w:t>
            </w:r>
          </w:p>
        </w:tc>
      </w:tr>
      <w:tr w:rsidR="001F2306">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rsidR="001F2306" w:rsidRDefault="00C5670F">
            <w:pPr>
              <w:rPr>
                <w:b/>
                <w:bCs/>
                <w:noProof/>
                <w:sz w:val="22"/>
              </w:rPr>
            </w:pPr>
            <w:r>
              <w:rPr>
                <w:b/>
                <w:noProof/>
                <w:sz w:val="22"/>
              </w:rPr>
              <w:t>Thèmes</w:t>
            </w:r>
          </w:p>
        </w:tc>
        <w:tc>
          <w:tcPr>
            <w:tcW w:w="5953" w:type="dxa"/>
            <w:tcBorders>
              <w:top w:val="single" w:sz="4" w:space="0" w:color="auto"/>
              <w:left w:val="nil"/>
              <w:bottom w:val="single" w:sz="4" w:space="0" w:color="auto"/>
              <w:right w:val="single" w:sz="4" w:space="0" w:color="auto"/>
            </w:tcBorders>
            <w:shd w:val="clear" w:color="000000" w:fill="EEECE1"/>
            <w:hideMark/>
          </w:tcPr>
          <w:p w:rsidR="001F2306" w:rsidRDefault="00C5670F">
            <w:pPr>
              <w:rPr>
                <w:b/>
                <w:bCs/>
                <w:noProof/>
                <w:sz w:val="22"/>
              </w:rPr>
            </w:pPr>
            <w:r>
              <w:rPr>
                <w:b/>
                <w:noProof/>
                <w:sz w:val="22"/>
              </w:rPr>
              <w:t>Thèmes détaillés</w:t>
            </w:r>
          </w:p>
        </w:tc>
      </w:tr>
      <w:tr w:rsidR="001F2306">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Population d’entreprises à l’étranger contrôlées en dernier ressort par des unités institutionnelles du pays déclarant</w:t>
            </w:r>
          </w:p>
        </w:tc>
      </w:tr>
      <w:tr w:rsidR="001F2306">
        <w:tc>
          <w:tcPr>
            <w:tcW w:w="2709" w:type="dxa"/>
            <w:vMerge w:val="restart"/>
            <w:tcBorders>
              <w:top w:val="nil"/>
              <w:left w:val="single" w:sz="4" w:space="0" w:color="auto"/>
              <w:bottom w:val="single" w:sz="4" w:space="0" w:color="000000"/>
              <w:right w:val="single" w:sz="4" w:space="0" w:color="auto"/>
            </w:tcBorders>
            <w:shd w:val="clear" w:color="auto" w:fill="auto"/>
            <w:hideMark/>
          </w:tcPr>
          <w:p w:rsidR="001F2306" w:rsidRDefault="00C5670F">
            <w:pPr>
              <w:rPr>
                <w:noProof/>
                <w:sz w:val="22"/>
              </w:rPr>
            </w:pPr>
            <w:r>
              <w:rPr>
                <w:noProof/>
                <w:sz w:val="22"/>
              </w:rPr>
              <w:t>Entrées de main-d’œuvre</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 xml:space="preserve">Emploi dans </w:t>
            </w:r>
            <w:r>
              <w:rPr>
                <w:noProof/>
                <w:sz w:val="22"/>
              </w:rPr>
              <w:t>les entreprises à l’étranger contrôlées en dernier ressort par des unités institutionnelles du pays déclarant</w:t>
            </w:r>
          </w:p>
        </w:tc>
      </w:tr>
      <w:tr w:rsidR="001F2306">
        <w:tc>
          <w:tcPr>
            <w:tcW w:w="2709" w:type="dxa"/>
            <w:vMerge/>
            <w:tcBorders>
              <w:top w:val="nil"/>
              <w:left w:val="single" w:sz="4" w:space="0" w:color="auto"/>
              <w:bottom w:val="single" w:sz="4" w:space="0" w:color="000000"/>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Coûts de main-d’œuvre dans les entreprises à l’étranger contrôlées en dernier ressort par des unités institutionnelles du pays déclarant</w:t>
            </w:r>
          </w:p>
        </w:tc>
      </w:tr>
      <w:tr w:rsidR="001F2306">
        <w:tc>
          <w:tcPr>
            <w:tcW w:w="2709" w:type="dxa"/>
            <w:tcBorders>
              <w:top w:val="nil"/>
              <w:left w:val="single" w:sz="4" w:space="0" w:color="auto"/>
              <w:bottom w:val="single" w:sz="4" w:space="0" w:color="auto"/>
              <w:right w:val="single" w:sz="4" w:space="0" w:color="auto"/>
            </w:tcBorders>
            <w:shd w:val="clear" w:color="auto" w:fill="auto"/>
            <w:hideMark/>
          </w:tcPr>
          <w:p w:rsidR="001F2306" w:rsidRDefault="00C5670F">
            <w:pPr>
              <w:rPr>
                <w:noProof/>
                <w:sz w:val="22"/>
              </w:rPr>
            </w:pPr>
            <w:r>
              <w:rPr>
                <w:noProof/>
                <w:sz w:val="22"/>
              </w:rPr>
              <w:t>Investissements</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Investissements bruts des entreprises à l’étranger contrôlées en dernier ressort par des unités institutionnelles du pays déclarant</w:t>
            </w:r>
          </w:p>
        </w:tc>
      </w:tr>
      <w:tr w:rsidR="001F2306">
        <w:tc>
          <w:tcPr>
            <w:tcW w:w="2709" w:type="dxa"/>
            <w:tcBorders>
              <w:top w:val="nil"/>
              <w:left w:val="single" w:sz="4" w:space="0" w:color="auto"/>
              <w:bottom w:val="single" w:sz="4" w:space="0" w:color="auto"/>
              <w:right w:val="single" w:sz="4" w:space="0" w:color="auto"/>
            </w:tcBorders>
            <w:shd w:val="clear" w:color="auto" w:fill="auto"/>
            <w:hideMark/>
          </w:tcPr>
          <w:p w:rsidR="001F2306" w:rsidRDefault="00C5670F">
            <w:pPr>
              <w:rPr>
                <w:noProof/>
                <w:sz w:val="22"/>
              </w:rPr>
            </w:pPr>
            <w:r>
              <w:rPr>
                <w:noProof/>
                <w:sz w:val="22"/>
              </w:rPr>
              <w:t>Résultats et performances</w:t>
            </w: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Chiffre d’affaires net des entreprises à l’étranger contrôlées en dernier ressort</w:t>
            </w:r>
            <w:r>
              <w:rPr>
                <w:noProof/>
                <w:sz w:val="22"/>
              </w:rPr>
              <w:t xml:space="preserve"> par des unités institutionnelles du pays déclarant</w:t>
            </w:r>
          </w:p>
        </w:tc>
      </w:tr>
      <w:tr w:rsidR="001F2306">
        <w:tc>
          <w:tcPr>
            <w:tcW w:w="2709" w:type="dxa"/>
            <w:tcBorders>
              <w:top w:val="single" w:sz="4" w:space="0" w:color="auto"/>
              <w:left w:val="single" w:sz="4" w:space="0" w:color="auto"/>
              <w:bottom w:val="nil"/>
              <w:right w:val="single" w:sz="4" w:space="0" w:color="auto"/>
            </w:tcBorders>
            <w:shd w:val="clear" w:color="auto" w:fill="auto"/>
            <w:hideMark/>
          </w:tcPr>
          <w:p w:rsidR="001F2306" w:rsidRDefault="00C5670F">
            <w:pPr>
              <w:rPr>
                <w:noProof/>
                <w:sz w:val="22"/>
              </w:rPr>
            </w:pPr>
            <w:r>
              <w:rPr>
                <w:noProof/>
                <w:sz w:val="22"/>
              </w:rPr>
              <w:t>Commerce international de biens</w:t>
            </w: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Commerce intra</w:t>
            </w:r>
            <w:r>
              <w:rPr>
                <w:noProof/>
              </w:rPr>
              <w:noBreakHyphen/>
            </w:r>
            <w:r>
              <w:rPr>
                <w:noProof/>
                <w:sz w:val="22"/>
              </w:rPr>
              <w:t>UE de biens</w:t>
            </w:r>
          </w:p>
        </w:tc>
      </w:tr>
      <w:tr w:rsidR="001F2306">
        <w:tc>
          <w:tcPr>
            <w:tcW w:w="2709" w:type="dxa"/>
            <w:tcBorders>
              <w:top w:val="nil"/>
              <w:left w:val="single" w:sz="4" w:space="0" w:color="auto"/>
              <w:bottom w:val="nil"/>
              <w:right w:val="single" w:sz="4" w:space="0" w:color="auto"/>
            </w:tcBorders>
            <w:shd w:val="clear" w:color="auto" w:fill="auto"/>
            <w:hideMark/>
          </w:tcPr>
          <w:p w:rsidR="001F2306" w:rsidRDefault="00C5670F">
            <w:pPr>
              <w:rPr>
                <w:noProof/>
                <w:sz w:val="22"/>
              </w:rPr>
            </w:pPr>
            <w:r>
              <w:rPr>
                <w:noProof/>
                <w:sz w:val="22"/>
              </w:rPr>
              <w:t> </w:t>
            </w:r>
          </w:p>
        </w:tc>
        <w:tc>
          <w:tcPr>
            <w:tcW w:w="5953" w:type="dxa"/>
            <w:tcBorders>
              <w:top w:val="single" w:sz="4" w:space="0" w:color="auto"/>
              <w:left w:val="nil"/>
              <w:bottom w:val="nil"/>
              <w:right w:val="single" w:sz="4" w:space="0" w:color="auto"/>
            </w:tcBorders>
            <w:shd w:val="clear" w:color="auto" w:fill="auto"/>
            <w:hideMark/>
          </w:tcPr>
          <w:p w:rsidR="001F2306" w:rsidRDefault="00C5670F">
            <w:pPr>
              <w:rPr>
                <w:noProof/>
                <w:sz w:val="22"/>
              </w:rPr>
            </w:pPr>
            <w:r>
              <w:rPr>
                <w:noProof/>
                <w:sz w:val="22"/>
              </w:rPr>
              <w:t>Commerce extra</w:t>
            </w:r>
            <w:r>
              <w:rPr>
                <w:noProof/>
              </w:rPr>
              <w:noBreakHyphen/>
            </w:r>
            <w:r>
              <w:rPr>
                <w:noProof/>
                <w:sz w:val="22"/>
              </w:rPr>
              <w:t xml:space="preserve">UE de biens </w:t>
            </w:r>
          </w:p>
        </w:tc>
      </w:tr>
      <w:tr w:rsidR="001F2306">
        <w:tc>
          <w:tcPr>
            <w:tcW w:w="2709" w:type="dxa"/>
            <w:vMerge w:val="restart"/>
            <w:tcBorders>
              <w:top w:val="single" w:sz="4" w:space="0" w:color="auto"/>
              <w:left w:val="single" w:sz="4" w:space="0" w:color="auto"/>
              <w:bottom w:val="nil"/>
              <w:right w:val="single" w:sz="4" w:space="0" w:color="auto"/>
            </w:tcBorders>
            <w:shd w:val="clear" w:color="auto" w:fill="auto"/>
            <w:hideMark/>
          </w:tcPr>
          <w:p w:rsidR="001F2306" w:rsidRDefault="00C5670F">
            <w:pPr>
              <w:rPr>
                <w:noProof/>
                <w:sz w:val="22"/>
              </w:rPr>
            </w:pPr>
            <w:r>
              <w:rPr>
                <w:noProof/>
                <w:sz w:val="22"/>
              </w:rPr>
              <w:t>Commerce international de services</w:t>
            </w: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Importations de services (débit)</w:t>
            </w:r>
          </w:p>
        </w:tc>
      </w:tr>
      <w:tr w:rsidR="001F2306">
        <w:tc>
          <w:tcPr>
            <w:tcW w:w="2709" w:type="dxa"/>
            <w:vMerge/>
            <w:tcBorders>
              <w:top w:val="single" w:sz="4" w:space="0" w:color="auto"/>
              <w:left w:val="single" w:sz="4" w:space="0" w:color="auto"/>
              <w:bottom w:val="nil"/>
              <w:right w:val="single" w:sz="4" w:space="0" w:color="auto"/>
            </w:tcBorders>
            <w:vAlign w:val="center"/>
            <w:hideMark/>
          </w:tcPr>
          <w:p w:rsidR="001F2306" w:rsidRDefault="001F2306">
            <w:pPr>
              <w:rPr>
                <w:noProof/>
                <w:sz w:val="22"/>
              </w:rPr>
            </w:pPr>
          </w:p>
        </w:tc>
        <w:tc>
          <w:tcPr>
            <w:tcW w:w="5953" w:type="dxa"/>
            <w:tcBorders>
              <w:top w:val="nil"/>
              <w:left w:val="nil"/>
              <w:bottom w:val="single" w:sz="4" w:space="0" w:color="auto"/>
              <w:right w:val="single" w:sz="4" w:space="0" w:color="auto"/>
            </w:tcBorders>
            <w:shd w:val="clear" w:color="auto" w:fill="auto"/>
            <w:hideMark/>
          </w:tcPr>
          <w:p w:rsidR="001F2306" w:rsidRDefault="00C5670F">
            <w:pPr>
              <w:rPr>
                <w:noProof/>
                <w:sz w:val="22"/>
              </w:rPr>
            </w:pPr>
            <w:r>
              <w:rPr>
                <w:noProof/>
                <w:sz w:val="22"/>
              </w:rPr>
              <w:t>Exportations de services (crédit)</w:t>
            </w:r>
          </w:p>
        </w:tc>
      </w:tr>
      <w:tr w:rsidR="001F2306">
        <w:tc>
          <w:tcPr>
            <w:tcW w:w="2709" w:type="dxa"/>
            <w:vMerge/>
            <w:tcBorders>
              <w:top w:val="single" w:sz="4" w:space="0" w:color="auto"/>
              <w:left w:val="single" w:sz="4" w:space="0" w:color="auto"/>
              <w:bottom w:val="nil"/>
              <w:right w:val="single" w:sz="4" w:space="0" w:color="auto"/>
            </w:tcBorders>
            <w:vAlign w:val="center"/>
            <w:hideMark/>
          </w:tcPr>
          <w:p w:rsidR="001F2306" w:rsidRDefault="001F2306">
            <w:pPr>
              <w:rPr>
                <w:noProof/>
                <w:sz w:val="22"/>
              </w:rPr>
            </w:pPr>
          </w:p>
        </w:tc>
        <w:tc>
          <w:tcPr>
            <w:tcW w:w="5953" w:type="dxa"/>
            <w:tcBorders>
              <w:top w:val="nil"/>
              <w:left w:val="nil"/>
              <w:bottom w:val="nil"/>
              <w:right w:val="single" w:sz="4" w:space="0" w:color="auto"/>
            </w:tcBorders>
            <w:shd w:val="clear" w:color="auto" w:fill="auto"/>
            <w:hideMark/>
          </w:tcPr>
          <w:p w:rsidR="001F2306" w:rsidRDefault="00C5670F">
            <w:pPr>
              <w:rPr>
                <w:noProof/>
                <w:sz w:val="22"/>
              </w:rPr>
            </w:pPr>
            <w:r>
              <w:rPr>
                <w:noProof/>
                <w:sz w:val="22"/>
              </w:rPr>
              <w:t>Valeur</w:t>
            </w:r>
            <w:r>
              <w:rPr>
                <w:noProof/>
                <w:sz w:val="22"/>
              </w:rPr>
              <w:t xml:space="preserve"> nette des services FRIBS (solde)</w:t>
            </w:r>
          </w:p>
        </w:tc>
      </w:tr>
      <w:tr w:rsidR="001F2306">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1F2306" w:rsidRDefault="00C5670F">
            <w:pPr>
              <w:rPr>
                <w:noProof/>
                <w:sz w:val="22"/>
              </w:rPr>
            </w:pPr>
            <w:r>
              <w:rPr>
                <w:noProof/>
                <w:sz w:val="22"/>
              </w:rPr>
              <w:t>Chaînes de valeur mondiales</w:t>
            </w:r>
          </w:p>
        </w:tc>
        <w:tc>
          <w:tcPr>
            <w:tcW w:w="5953" w:type="dxa"/>
            <w:tcBorders>
              <w:top w:val="single" w:sz="4" w:space="0" w:color="auto"/>
              <w:left w:val="nil"/>
              <w:bottom w:val="single" w:sz="4" w:space="0" w:color="auto"/>
              <w:right w:val="single" w:sz="4" w:space="0" w:color="auto"/>
            </w:tcBorders>
            <w:shd w:val="clear" w:color="auto" w:fill="auto"/>
            <w:hideMark/>
          </w:tcPr>
          <w:p w:rsidR="001F2306" w:rsidRDefault="00C5670F">
            <w:pPr>
              <w:rPr>
                <w:noProof/>
                <w:sz w:val="22"/>
              </w:rPr>
            </w:pPr>
            <w:r>
              <w:rPr>
                <w:noProof/>
                <w:sz w:val="22"/>
              </w:rPr>
              <w:t>Chaînes de valeur mondiales</w:t>
            </w:r>
          </w:p>
        </w:tc>
      </w:tr>
    </w:tbl>
    <w:p w:rsidR="001F2306" w:rsidRDefault="00C5670F">
      <w:pPr>
        <w:pStyle w:val="Annexetitre"/>
        <w:rPr>
          <w:noProof/>
        </w:rPr>
      </w:pPr>
      <w:r>
        <w:rPr>
          <w:noProof/>
        </w:rPr>
        <w:br w:type="page"/>
      </w:r>
      <w:r>
        <w:rPr>
          <w:noProof/>
        </w:rPr>
        <w:lastRenderedPageBreak/>
        <w:t>Annexe II</w:t>
      </w:r>
    </w:p>
    <w:p w:rsidR="001F2306" w:rsidRDefault="00C5670F">
      <w:pPr>
        <w:keepNext/>
        <w:jc w:val="center"/>
        <w:outlineLvl w:val="0"/>
        <w:rPr>
          <w:b/>
          <w:noProof/>
        </w:rPr>
      </w:pPr>
      <w:r>
        <w:rPr>
          <w:b/>
          <w:noProof/>
        </w:rPr>
        <w:t xml:space="preserve">Périodicité des thèmes </w:t>
      </w:r>
    </w:p>
    <w:tbl>
      <w:tblPr>
        <w:tblW w:w="8662" w:type="dxa"/>
        <w:tblInd w:w="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09"/>
        <w:gridCol w:w="5953"/>
      </w:tblGrid>
      <w:tr w:rsidR="001F2306">
        <w:trPr>
          <w:trHeight w:val="300"/>
        </w:trPr>
        <w:tc>
          <w:tcPr>
            <w:tcW w:w="8662" w:type="dxa"/>
            <w:gridSpan w:val="2"/>
            <w:tcBorders>
              <w:top w:val="nil"/>
              <w:left w:val="nil"/>
              <w:bottom w:val="single" w:sz="4" w:space="0" w:color="auto"/>
              <w:right w:val="nil"/>
            </w:tcBorders>
            <w:shd w:val="clear" w:color="auto" w:fill="auto"/>
          </w:tcPr>
          <w:p w:rsidR="001F2306" w:rsidRDefault="00C5670F">
            <w:pPr>
              <w:rPr>
                <w:b/>
                <w:bCs/>
                <w:noProof/>
                <w:sz w:val="22"/>
              </w:rPr>
            </w:pPr>
            <w:r>
              <w:rPr>
                <w:b/>
                <w:noProof/>
                <w:sz w:val="22"/>
              </w:rPr>
              <w:t>Domaine 1. Statistiques conjoncturelles d’entreprises</w:t>
            </w:r>
          </w:p>
        </w:tc>
      </w:tr>
      <w:tr w:rsidR="001F2306">
        <w:trPr>
          <w:trHeight w:val="300"/>
        </w:trPr>
        <w:tc>
          <w:tcPr>
            <w:tcW w:w="2709"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Thèmes</w:t>
            </w:r>
          </w:p>
        </w:tc>
        <w:tc>
          <w:tcPr>
            <w:tcW w:w="5953"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Périodicité</w:t>
            </w:r>
          </w:p>
        </w:tc>
      </w:tr>
      <w:tr w:rsidR="001F2306">
        <w:trPr>
          <w:trHeight w:val="315"/>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Trimestrielle</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Entrées de </w:t>
            </w:r>
            <w:r>
              <w:rPr>
                <w:noProof/>
                <w:sz w:val="22"/>
              </w:rPr>
              <w:t>main-d’œuvre</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Trimestrielle</w:t>
            </w:r>
          </w:p>
        </w:tc>
      </w:tr>
      <w:tr w:rsidR="001F2306">
        <w:trPr>
          <w:trHeight w:val="544"/>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Prix</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Mensuelle; trimestrielle pour les indices des prix à la production des services et les indices des prix à la production des nouveaux bâtiments résidentiels</w:t>
            </w:r>
          </w:p>
        </w:tc>
      </w:tr>
      <w:tr w:rsidR="001F2306">
        <w:trPr>
          <w:trHeight w:val="242"/>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Résultats et performances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Mensuelle; trimestrielle pour les petits pays pour la section F de la NACE </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Permis </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Trimestrielle</w:t>
            </w:r>
          </w:p>
        </w:tc>
      </w:tr>
      <w:tr w:rsidR="001F2306">
        <w:trPr>
          <w:trHeight w:val="300"/>
        </w:trPr>
        <w:tc>
          <w:tcPr>
            <w:tcW w:w="8662" w:type="dxa"/>
            <w:gridSpan w:val="2"/>
            <w:tcBorders>
              <w:top w:val="single" w:sz="4" w:space="0" w:color="auto"/>
              <w:left w:val="nil"/>
              <w:bottom w:val="single" w:sz="4" w:space="0" w:color="auto"/>
              <w:right w:val="nil"/>
            </w:tcBorders>
            <w:shd w:val="clear" w:color="auto" w:fill="auto"/>
          </w:tcPr>
          <w:p w:rsidR="001F2306" w:rsidRDefault="001F2306">
            <w:pPr>
              <w:rPr>
                <w:b/>
                <w:noProof/>
                <w:sz w:val="22"/>
              </w:rPr>
            </w:pPr>
          </w:p>
          <w:p w:rsidR="001F2306" w:rsidRDefault="00C5670F">
            <w:pPr>
              <w:rPr>
                <w:b/>
                <w:noProof/>
                <w:sz w:val="22"/>
              </w:rPr>
            </w:pPr>
            <w:r>
              <w:rPr>
                <w:b/>
                <w:noProof/>
                <w:sz w:val="22"/>
              </w:rPr>
              <w:t>Domaine 2. Statistiques d’entreprises au niveau national</w:t>
            </w:r>
          </w:p>
        </w:tc>
      </w:tr>
      <w:tr w:rsidR="001F2306">
        <w:trPr>
          <w:trHeight w:val="300"/>
        </w:trPr>
        <w:tc>
          <w:tcPr>
            <w:tcW w:w="2709"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Thèmes</w:t>
            </w:r>
          </w:p>
        </w:tc>
        <w:tc>
          <w:tcPr>
            <w:tcW w:w="5953"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Périodicité</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Entrées de main-d’œuvre</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Entrées </w:t>
            </w:r>
            <w:r>
              <w:rPr>
                <w:noProof/>
                <w:sz w:val="22"/>
              </w:rPr>
              <w:t>de R&amp;D</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Bisannuelle; annuelle pour la ventilation, par secteur d’exécution, des dépenses de R&amp;D intra</w:t>
            </w:r>
            <w:r>
              <w:rPr>
                <w:noProof/>
              </w:rPr>
              <w:noBreakHyphen/>
            </w:r>
            <w:r>
              <w:rPr>
                <w:noProof/>
                <w:sz w:val="22"/>
              </w:rPr>
              <w:t>muros et du nombre de chercheurs, ainsi que pour les crédits budgétaires publics de recherche et développement (CBPRD) et le financement public national de</w:t>
            </w:r>
            <w:r>
              <w:rPr>
                <w:noProof/>
                <w:sz w:val="22"/>
              </w:rPr>
              <w:t>s activités de R&amp;D coordonnées à l’échelon transnational</w:t>
            </w:r>
          </w:p>
        </w:tc>
      </w:tr>
      <w:tr w:rsidR="001F2306">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Achats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 trisannuelle pour les paiements pour sous</w:t>
            </w:r>
            <w:r>
              <w:rPr>
                <w:noProof/>
              </w:rPr>
              <w:noBreakHyphen/>
            </w:r>
            <w:r>
              <w:rPr>
                <w:noProof/>
                <w:sz w:val="22"/>
              </w:rPr>
              <w:t>traitants</w:t>
            </w:r>
          </w:p>
        </w:tc>
      </w:tr>
      <w:tr w:rsidR="001F2306">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Résultats et performances </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 bisannuelle pour la ventilation, par produit et par lieu de résidence des clients, du chiff</w:t>
            </w:r>
            <w:r>
              <w:rPr>
                <w:noProof/>
                <w:sz w:val="22"/>
              </w:rPr>
              <w:t>re d’affaires net des groupes 69.1, 69.2, 70.2, 71.1, 71.2 et 73.2 de la NACE; quinquennale pour le chiffre d’affaires net des activités de l’agriculture, de la sylviculture, de la pêche et de l’industrie, le chiffre d’affaires net des activités industriel</w:t>
            </w:r>
            <w:r>
              <w:rPr>
                <w:noProof/>
                <w:sz w:val="22"/>
              </w:rPr>
              <w:t xml:space="preserve">les, le chiffre d’affaires des activités industrielles à l’exclusion de la construction, le chiffre d’affaires net de la construction, le chiffre d’affaires net des activités de services, le chiffre d’affaires net des activités d’achat et de revente ainsi </w:t>
            </w:r>
            <w:r>
              <w:rPr>
                <w:noProof/>
                <w:sz w:val="22"/>
              </w:rPr>
              <w:t>que des activités d’intermédiation, le chiffre d’affaires net du bâtiment et le chiffre d’affaires net du génie civil; trisannuelle pour les revenus issus de la sous</w:t>
            </w:r>
            <w:r>
              <w:rPr>
                <w:noProof/>
              </w:rPr>
              <w:noBreakHyphen/>
            </w:r>
            <w:r>
              <w:rPr>
                <w:noProof/>
                <w:sz w:val="22"/>
              </w:rPr>
              <w:t xml:space="preserve">traitance </w:t>
            </w:r>
          </w:p>
        </w:tc>
      </w:tr>
      <w:tr w:rsidR="001F2306">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Investissements </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 trisannuelle pour les investissements dans des acti</w:t>
            </w:r>
            <w:r>
              <w:rPr>
                <w:noProof/>
                <w:sz w:val="22"/>
              </w:rPr>
              <w:t>fs incorporels</w:t>
            </w:r>
          </w:p>
        </w:tc>
      </w:tr>
      <w:tr w:rsidR="001F2306">
        <w:tc>
          <w:tcPr>
            <w:tcW w:w="2709" w:type="dxa"/>
            <w:tcBorders>
              <w:top w:val="single" w:sz="4" w:space="0" w:color="auto"/>
              <w:bottom w:val="single" w:sz="4" w:space="0" w:color="auto"/>
            </w:tcBorders>
            <w:shd w:val="clear" w:color="auto" w:fill="auto"/>
          </w:tcPr>
          <w:p w:rsidR="001F2306" w:rsidRDefault="00C5670F">
            <w:pPr>
              <w:spacing w:line="360" w:lineRule="auto"/>
              <w:rPr>
                <w:noProof/>
                <w:sz w:val="22"/>
              </w:rPr>
            </w:pPr>
            <w:r>
              <w:rPr>
                <w:noProof/>
                <w:sz w:val="22"/>
              </w:rPr>
              <w:lastRenderedPageBreak/>
              <w:t>Innovation</w:t>
            </w:r>
            <w:r>
              <w:rPr>
                <w:noProof/>
              </w:rPr>
              <w:tab/>
            </w:r>
          </w:p>
        </w:tc>
        <w:tc>
          <w:tcPr>
            <w:tcW w:w="5953" w:type="dxa"/>
            <w:tcBorders>
              <w:top w:val="single" w:sz="4" w:space="0" w:color="auto"/>
              <w:bottom w:val="single" w:sz="4" w:space="0" w:color="auto"/>
            </w:tcBorders>
            <w:shd w:val="clear" w:color="auto" w:fill="auto"/>
          </w:tcPr>
          <w:p w:rsidR="001F2306" w:rsidRDefault="00C5670F">
            <w:pPr>
              <w:spacing w:line="360" w:lineRule="auto"/>
              <w:rPr>
                <w:noProof/>
                <w:sz w:val="22"/>
              </w:rPr>
            </w:pPr>
            <w:r>
              <w:rPr>
                <w:noProof/>
                <w:sz w:val="22"/>
              </w:rPr>
              <w:t>Bisannuelle</w:t>
            </w:r>
          </w:p>
        </w:tc>
      </w:tr>
      <w:tr w:rsidR="001F2306">
        <w:tc>
          <w:tcPr>
            <w:tcW w:w="2709" w:type="dxa"/>
            <w:tcBorders>
              <w:top w:val="single" w:sz="4" w:space="0" w:color="auto"/>
              <w:bottom w:val="single" w:sz="4" w:space="0" w:color="auto"/>
            </w:tcBorders>
            <w:shd w:val="clear" w:color="auto" w:fill="auto"/>
          </w:tcPr>
          <w:p w:rsidR="001F2306" w:rsidRDefault="00C5670F">
            <w:pPr>
              <w:rPr>
                <w:noProof/>
                <w:sz w:val="22"/>
              </w:rPr>
            </w:pPr>
            <w:r>
              <w:rPr>
                <w:noProof/>
                <w:sz w:val="22"/>
              </w:rPr>
              <w:t>Utilisation des TIC et commerce électronique</w:t>
            </w:r>
          </w:p>
        </w:tc>
        <w:tc>
          <w:tcPr>
            <w:tcW w:w="5953" w:type="dxa"/>
            <w:tcBorders>
              <w:top w:val="single" w:sz="4" w:space="0" w:color="auto"/>
              <w:bottom w:val="single" w:sz="4" w:space="0" w:color="auto"/>
            </w:tcBorders>
            <w:shd w:val="clear" w:color="auto" w:fill="auto"/>
          </w:tcPr>
          <w:p w:rsidR="001F2306" w:rsidRDefault="00C5670F">
            <w:pPr>
              <w:rPr>
                <w:noProof/>
                <w:sz w:val="22"/>
              </w:rPr>
            </w:pPr>
            <w:r>
              <w:rPr>
                <w:noProof/>
                <w:sz w:val="22"/>
              </w:rPr>
              <w:t>Annuelle</w:t>
            </w:r>
          </w:p>
        </w:tc>
      </w:tr>
      <w:tr w:rsidR="001F2306">
        <w:trPr>
          <w:trHeight w:val="300"/>
        </w:trPr>
        <w:tc>
          <w:tcPr>
            <w:tcW w:w="8662" w:type="dxa"/>
            <w:gridSpan w:val="2"/>
            <w:tcBorders>
              <w:top w:val="nil"/>
              <w:left w:val="nil"/>
              <w:bottom w:val="single" w:sz="4" w:space="0" w:color="auto"/>
              <w:right w:val="nil"/>
            </w:tcBorders>
            <w:shd w:val="clear" w:color="auto" w:fill="auto"/>
          </w:tcPr>
          <w:p w:rsidR="001F2306" w:rsidRDefault="00C5670F">
            <w:pPr>
              <w:rPr>
                <w:b/>
                <w:noProof/>
                <w:sz w:val="22"/>
              </w:rPr>
            </w:pPr>
            <w:r>
              <w:rPr>
                <w:noProof/>
              </w:rPr>
              <w:br w:type="page"/>
            </w:r>
            <w:r>
              <w:rPr>
                <w:b/>
                <w:noProof/>
                <w:sz w:val="22"/>
              </w:rPr>
              <w:t>Domaine 3. Statistiques d’entreprises au niveau régional</w:t>
            </w:r>
          </w:p>
        </w:tc>
      </w:tr>
      <w:tr w:rsidR="001F2306">
        <w:trPr>
          <w:trHeight w:val="300"/>
        </w:trPr>
        <w:tc>
          <w:tcPr>
            <w:tcW w:w="2709"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Thèmes</w:t>
            </w:r>
          </w:p>
        </w:tc>
        <w:tc>
          <w:tcPr>
            <w:tcW w:w="5953"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Périodicité</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Entrées de main-d’œuvre</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Entrées de R</w:t>
            </w:r>
            <w:r>
              <w:rPr>
                <w:noProof/>
                <w:sz w:val="22"/>
              </w:rPr>
              <w:t>&amp;D</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Bisannuelle</w:t>
            </w:r>
          </w:p>
        </w:tc>
      </w:tr>
      <w:tr w:rsidR="001F2306">
        <w:trPr>
          <w:trHeight w:val="315"/>
        </w:trPr>
        <w:tc>
          <w:tcPr>
            <w:tcW w:w="8662" w:type="dxa"/>
            <w:gridSpan w:val="2"/>
            <w:tcBorders>
              <w:top w:val="single" w:sz="4" w:space="0" w:color="auto"/>
              <w:left w:val="nil"/>
              <w:bottom w:val="nil"/>
              <w:right w:val="nil"/>
            </w:tcBorders>
            <w:shd w:val="clear" w:color="auto" w:fill="auto"/>
          </w:tcPr>
          <w:p w:rsidR="001F2306" w:rsidRDefault="001F2306">
            <w:pPr>
              <w:rPr>
                <w:b/>
                <w:noProof/>
                <w:sz w:val="22"/>
              </w:rPr>
            </w:pPr>
          </w:p>
          <w:p w:rsidR="001F2306" w:rsidRDefault="00C5670F">
            <w:pPr>
              <w:rPr>
                <w:b/>
                <w:noProof/>
                <w:sz w:val="22"/>
              </w:rPr>
            </w:pPr>
            <w:r>
              <w:rPr>
                <w:b/>
                <w:noProof/>
                <w:sz w:val="22"/>
              </w:rPr>
              <w:t>Domaine 4. Statistiques sur les activités internationales</w:t>
            </w:r>
          </w:p>
        </w:tc>
      </w:tr>
      <w:tr w:rsidR="001F2306">
        <w:trPr>
          <w:trHeight w:val="300"/>
        </w:trPr>
        <w:tc>
          <w:tcPr>
            <w:tcW w:w="2709"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Thèmes</w:t>
            </w:r>
          </w:p>
        </w:tc>
        <w:tc>
          <w:tcPr>
            <w:tcW w:w="5953" w:type="dxa"/>
            <w:tcBorders>
              <w:top w:val="single" w:sz="4" w:space="0" w:color="auto"/>
              <w:bottom w:val="single" w:sz="4" w:space="0" w:color="auto"/>
            </w:tcBorders>
            <w:shd w:val="clear" w:color="auto" w:fill="F2F2F2"/>
            <w:hideMark/>
          </w:tcPr>
          <w:p w:rsidR="001F2306" w:rsidRDefault="00C5670F">
            <w:pPr>
              <w:rPr>
                <w:b/>
                <w:bCs/>
                <w:noProof/>
                <w:sz w:val="22"/>
              </w:rPr>
            </w:pPr>
            <w:r>
              <w:rPr>
                <w:b/>
                <w:noProof/>
                <w:sz w:val="22"/>
              </w:rPr>
              <w:t>Périodicité</w:t>
            </w:r>
          </w:p>
        </w:tc>
      </w:tr>
      <w:tr w:rsidR="001F2306">
        <w:trPr>
          <w:trHeight w:val="315"/>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Population d’entreprises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Entrées de main-d’œuvre </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Investissements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Résultats et performances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Annuelle</w:t>
            </w:r>
          </w:p>
        </w:tc>
      </w:tr>
      <w:tr w:rsidR="001F2306">
        <w:trPr>
          <w:trHeight w:val="568"/>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 xml:space="preserve">Commerce international de </w:t>
            </w:r>
            <w:r>
              <w:rPr>
                <w:noProof/>
                <w:sz w:val="22"/>
              </w:rPr>
              <w:t>biens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Mensuelle; bisannuelle pour la ventilation combinée, par produit et par monnaie de facturation, des exportations et des importations extra</w:t>
            </w:r>
            <w:r>
              <w:rPr>
                <w:noProof/>
              </w:rPr>
              <w:noBreakHyphen/>
            </w:r>
            <w:r>
              <w:rPr>
                <w:noProof/>
                <w:sz w:val="22"/>
              </w:rPr>
              <w:t xml:space="preserve">UE de biens </w:t>
            </w:r>
          </w:p>
        </w:tc>
      </w:tr>
      <w:tr w:rsidR="001F2306">
        <w:trPr>
          <w:trHeight w:val="300"/>
        </w:trPr>
        <w:tc>
          <w:tcPr>
            <w:tcW w:w="2709" w:type="dxa"/>
            <w:tcBorders>
              <w:top w:val="single" w:sz="4" w:space="0" w:color="auto"/>
              <w:bottom w:val="single" w:sz="4" w:space="0" w:color="auto"/>
            </w:tcBorders>
            <w:shd w:val="clear" w:color="auto" w:fill="auto"/>
          </w:tcPr>
          <w:p w:rsidR="001F2306" w:rsidRDefault="00C5670F">
            <w:pPr>
              <w:rPr>
                <w:noProof/>
                <w:sz w:val="22"/>
              </w:rPr>
            </w:pPr>
            <w:r>
              <w:rPr>
                <w:noProof/>
                <w:sz w:val="22"/>
              </w:rPr>
              <w:t>Commerce international de services</w:t>
            </w:r>
          </w:p>
        </w:tc>
        <w:tc>
          <w:tcPr>
            <w:tcW w:w="5953" w:type="dxa"/>
            <w:tcBorders>
              <w:top w:val="single" w:sz="4" w:space="0" w:color="auto"/>
              <w:bottom w:val="single" w:sz="4" w:space="0" w:color="auto"/>
            </w:tcBorders>
            <w:shd w:val="clear" w:color="auto" w:fill="auto"/>
          </w:tcPr>
          <w:p w:rsidR="001F2306" w:rsidRDefault="00C5670F">
            <w:pPr>
              <w:rPr>
                <w:noProof/>
                <w:sz w:val="22"/>
              </w:rPr>
            </w:pPr>
            <w:r>
              <w:rPr>
                <w:noProof/>
                <w:sz w:val="22"/>
              </w:rPr>
              <w:t xml:space="preserve">Annuelle; trimestrielle pour le premier niveau de ventilation </w:t>
            </w:r>
            <w:r>
              <w:rPr>
                <w:noProof/>
                <w:sz w:val="22"/>
              </w:rPr>
              <w:t>des services</w:t>
            </w:r>
          </w:p>
        </w:tc>
      </w:tr>
      <w:tr w:rsidR="001F2306">
        <w:trPr>
          <w:trHeight w:val="300"/>
        </w:trPr>
        <w:tc>
          <w:tcPr>
            <w:tcW w:w="2709"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Chaînes de valeur mondiales</w:t>
            </w:r>
          </w:p>
        </w:tc>
        <w:tc>
          <w:tcPr>
            <w:tcW w:w="5953" w:type="dxa"/>
            <w:tcBorders>
              <w:top w:val="single" w:sz="4" w:space="0" w:color="auto"/>
              <w:bottom w:val="single" w:sz="4" w:space="0" w:color="auto"/>
            </w:tcBorders>
            <w:shd w:val="clear" w:color="auto" w:fill="auto"/>
            <w:hideMark/>
          </w:tcPr>
          <w:p w:rsidR="001F2306" w:rsidRDefault="00C5670F">
            <w:pPr>
              <w:rPr>
                <w:noProof/>
                <w:sz w:val="22"/>
              </w:rPr>
            </w:pPr>
            <w:r>
              <w:rPr>
                <w:noProof/>
                <w:sz w:val="22"/>
              </w:rPr>
              <w:t>Trisannuelle</w:t>
            </w:r>
          </w:p>
        </w:tc>
      </w:tr>
    </w:tbl>
    <w:p w:rsidR="001F2306" w:rsidRDefault="00C5670F">
      <w:pPr>
        <w:rPr>
          <w:b/>
          <w:noProof/>
        </w:rPr>
      </w:pPr>
      <w:r>
        <w:rPr>
          <w:b/>
          <w:noProof/>
        </w:rPr>
        <w:t xml:space="preserve"> </w:t>
      </w:r>
    </w:p>
    <w:p w:rsidR="001F2306" w:rsidRDefault="001F2306">
      <w:pPr>
        <w:keepNext/>
        <w:jc w:val="center"/>
        <w:outlineLvl w:val="0"/>
        <w:rPr>
          <w:noProof/>
          <w:szCs w:val="24"/>
        </w:rPr>
      </w:pPr>
    </w:p>
    <w:p w:rsidR="001F2306" w:rsidRDefault="00C5670F">
      <w:pPr>
        <w:pStyle w:val="Annexetitre"/>
        <w:rPr>
          <w:noProof/>
          <w:szCs w:val="24"/>
        </w:rPr>
      </w:pPr>
      <w:r>
        <w:rPr>
          <w:noProof/>
        </w:rPr>
        <w:br w:type="page"/>
      </w:r>
      <w:r>
        <w:rPr>
          <w:noProof/>
        </w:rPr>
        <w:lastRenderedPageBreak/>
        <w:t>Annexe III</w:t>
      </w:r>
    </w:p>
    <w:p w:rsidR="001F2306" w:rsidRDefault="00C5670F">
      <w:pPr>
        <w:keepNext/>
        <w:jc w:val="center"/>
        <w:outlineLvl w:val="0"/>
        <w:rPr>
          <w:b/>
          <w:noProof/>
          <w:szCs w:val="24"/>
        </w:rPr>
      </w:pPr>
      <w:r>
        <w:rPr>
          <w:b/>
          <w:noProof/>
        </w:rPr>
        <w:t xml:space="preserve">Éléments du réseau européen de répertoires statistiques d’entreprises </w:t>
      </w:r>
    </w:p>
    <w:p w:rsidR="001F2306" w:rsidRDefault="00C5670F">
      <w:pPr>
        <w:keepNext/>
        <w:ind w:left="2268"/>
        <w:outlineLvl w:val="0"/>
        <w:rPr>
          <w:b/>
          <w:bCs/>
          <w:noProof/>
          <w:szCs w:val="24"/>
        </w:rPr>
      </w:pPr>
      <w:r>
        <w:rPr>
          <w:b/>
          <w:noProof/>
        </w:rPr>
        <w:t>Partie A: Thèmes détaillés des répertoires et identifiant unique</w:t>
      </w:r>
    </w:p>
    <w:p w:rsidR="001F2306" w:rsidRDefault="001F2306">
      <w:pPr>
        <w:keepNext/>
        <w:outlineLvl w:val="0"/>
        <w:rPr>
          <w:noProof/>
          <w:szCs w:val="24"/>
          <w:highlight w:val="cyan"/>
        </w:rPr>
      </w:pPr>
    </w:p>
    <w:p w:rsidR="001F2306" w:rsidRDefault="00C5670F">
      <w:pPr>
        <w:pStyle w:val="NumPar1"/>
        <w:numPr>
          <w:ilvl w:val="0"/>
          <w:numId w:val="9"/>
        </w:numPr>
        <w:rPr>
          <w:noProof/>
        </w:rPr>
      </w:pPr>
      <w:r>
        <w:rPr>
          <w:noProof/>
        </w:rPr>
        <w:t>Les unités énumérées dans les répertoires statistiques nationaux d’entreprises et dans le répertoire EuroGroups, tels que définis à l’article 3 du présent règlement, sont caractérisées par un numéro d’identification et par les thèmes détaillés des répertoi</w:t>
      </w:r>
      <w:r>
        <w:rPr>
          <w:noProof/>
        </w:rPr>
        <w:t xml:space="preserve">res spécifiés dans la partie C. </w:t>
      </w:r>
    </w:p>
    <w:p w:rsidR="001F2306" w:rsidRDefault="00C5670F">
      <w:pPr>
        <w:pStyle w:val="NumPar1"/>
        <w:rPr>
          <w:noProof/>
        </w:rPr>
      </w:pPr>
      <w:r>
        <w:rPr>
          <w:noProof/>
        </w:rPr>
        <w:t xml:space="preserve">Les unités énumérées dans les répertoires statistiques nationaux d’entreprises et dans le répertoire EuroGroups sont identifiées de manière unique par un numéro d’identification destiné à faciliter le rôle d’infrastructure </w:t>
      </w:r>
      <w:r>
        <w:rPr>
          <w:noProof/>
        </w:rPr>
        <w:t>que joue le réseau européen de répertoires statistiques d’entreprises. Ces numéros d’identification seront fournis par les autorités statistiques nationales. Les numéros d’identification des unités légales et des groupes d’entreprises multinationaux pertin</w:t>
      </w:r>
      <w:r>
        <w:rPr>
          <w:noProof/>
        </w:rPr>
        <w:t>ents pour le répertoire EuroGroups seront fournis par la Commission (Eurostat). À des fins nationales; les autorités statistiques nationales peuvent maintenir un numéro d’identification supplémentaire dans les répertoires statistiques nationaux d’entrepris</w:t>
      </w:r>
      <w:r>
        <w:rPr>
          <w:noProof/>
        </w:rPr>
        <w:t xml:space="preserve">es. </w:t>
      </w:r>
    </w:p>
    <w:p w:rsidR="001F2306" w:rsidRDefault="001F2306">
      <w:pPr>
        <w:keepNext/>
        <w:outlineLvl w:val="0"/>
        <w:rPr>
          <w:noProof/>
          <w:szCs w:val="24"/>
          <w:highlight w:val="cyan"/>
        </w:rPr>
      </w:pPr>
    </w:p>
    <w:p w:rsidR="001F2306" w:rsidRDefault="00C5670F">
      <w:pPr>
        <w:keepNext/>
        <w:ind w:left="2835"/>
        <w:outlineLvl w:val="0"/>
        <w:rPr>
          <w:b/>
          <w:bCs/>
          <w:noProof/>
          <w:szCs w:val="24"/>
        </w:rPr>
      </w:pPr>
      <w:r>
        <w:rPr>
          <w:b/>
          <w:noProof/>
        </w:rPr>
        <w:t xml:space="preserve">Partie B. Calendrier et périodicité </w:t>
      </w:r>
    </w:p>
    <w:p w:rsidR="001F2306" w:rsidRDefault="001F2306">
      <w:pPr>
        <w:keepNext/>
        <w:outlineLvl w:val="0"/>
        <w:rPr>
          <w:noProof/>
          <w:szCs w:val="24"/>
        </w:rPr>
      </w:pPr>
    </w:p>
    <w:p w:rsidR="001F2306" w:rsidRDefault="00C5670F">
      <w:pPr>
        <w:pStyle w:val="NumPar1"/>
        <w:numPr>
          <w:ilvl w:val="0"/>
          <w:numId w:val="9"/>
        </w:numPr>
        <w:rPr>
          <w:noProof/>
        </w:rPr>
      </w:pPr>
      <w:r>
        <w:rPr>
          <w:noProof/>
        </w:rPr>
        <w:t xml:space="preserve">Les entrées et les sorties des répertoires statistiques nationaux d’entreprises et du répertoire EuroGroups sont mises à jour au moins une fois par an. </w:t>
      </w:r>
    </w:p>
    <w:p w:rsidR="001F2306" w:rsidRDefault="00C5670F">
      <w:pPr>
        <w:pStyle w:val="NumPar1"/>
        <w:rPr>
          <w:noProof/>
        </w:rPr>
      </w:pPr>
      <w:r>
        <w:rPr>
          <w:noProof/>
        </w:rPr>
        <w:t>La fréquence de la mise à jour dépend du type d’unité, de l</w:t>
      </w:r>
      <w:r>
        <w:rPr>
          <w:noProof/>
        </w:rPr>
        <w:t xml:space="preserve">a variable considérée, de la taille de l’unité et de la source généralement utilisée pour la mise à jour. </w:t>
      </w:r>
    </w:p>
    <w:p w:rsidR="001F2306" w:rsidRDefault="00C5670F">
      <w:pPr>
        <w:pStyle w:val="NumPar1"/>
        <w:rPr>
          <w:noProof/>
        </w:rPr>
      </w:pPr>
      <w:r>
        <w:rPr>
          <w:noProof/>
        </w:rPr>
        <w:t>Les États membres établissent chaque année une copie qui reflète l’état des répertoires statistiques nationaux d’entreprises à la fin de l’année et la conservent pendant au moins trente ans à des fins d’analyse. La Commission (Eurostat) établit chaque anné</w:t>
      </w:r>
      <w:r>
        <w:rPr>
          <w:noProof/>
        </w:rPr>
        <w:t xml:space="preserve">e une copie qui reflète l’état du répertoire EuroGroups à la fin de l’année et la conserve pendant au moins trente ans à des fins d’analyse. </w:t>
      </w:r>
    </w:p>
    <w:p w:rsidR="001F2306" w:rsidRDefault="001F2306">
      <w:pPr>
        <w:rPr>
          <w:b/>
          <w:noProof/>
          <w:szCs w:val="24"/>
        </w:rPr>
      </w:pPr>
    </w:p>
    <w:p w:rsidR="001F2306" w:rsidRDefault="001F2306">
      <w:pPr>
        <w:rPr>
          <w:b/>
          <w:noProof/>
          <w:szCs w:val="24"/>
        </w:rPr>
      </w:pPr>
    </w:p>
    <w:p w:rsidR="001F2306" w:rsidRDefault="00C5670F">
      <w:pPr>
        <w:jc w:val="center"/>
        <w:rPr>
          <w:b/>
          <w:noProof/>
          <w:szCs w:val="24"/>
        </w:rPr>
      </w:pPr>
      <w:r>
        <w:rPr>
          <w:b/>
          <w:noProof/>
        </w:rPr>
        <w:t>Partie C: Thèmes détaillés pour répertoires d’entreprises</w:t>
      </w:r>
    </w:p>
    <w:p w:rsidR="001F2306" w:rsidRDefault="001F2306">
      <w:pPr>
        <w:jc w:val="center"/>
        <w:rPr>
          <w:b/>
          <w:noProof/>
          <w:szCs w:val="24"/>
        </w:rPr>
      </w:pPr>
    </w:p>
    <w:p w:rsidR="001F2306" w:rsidRDefault="00C5670F">
      <w:pPr>
        <w:rPr>
          <w:noProof/>
          <w:szCs w:val="24"/>
        </w:rPr>
      </w:pPr>
      <w:r>
        <w:rPr>
          <w:noProof/>
        </w:rPr>
        <w:t xml:space="preserve">Les répertoires statistiques nationaux d’entreprises </w:t>
      </w:r>
      <w:r>
        <w:rPr>
          <w:noProof/>
        </w:rPr>
        <w:t>et le répertoire EuroGroups contiennent, pour chacune des unités définies à l’article 3 du présent règlement, les thèmes détaillés suivants:</w:t>
      </w:r>
    </w:p>
    <w:p w:rsidR="001F2306" w:rsidRDefault="00C5670F">
      <w:pPr>
        <w:spacing w:after="200" w:line="276" w:lineRule="auto"/>
        <w:rPr>
          <w:noProof/>
          <w:szCs w:val="24"/>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F2306">
        <w:tc>
          <w:tcPr>
            <w:tcW w:w="4621" w:type="dxa"/>
            <w:tcBorders>
              <w:bottom w:val="nil"/>
            </w:tcBorders>
            <w:shd w:val="clear" w:color="auto" w:fill="auto"/>
          </w:tcPr>
          <w:p w:rsidR="001F2306" w:rsidRDefault="00C5670F">
            <w:pPr>
              <w:rPr>
                <w:b/>
                <w:noProof/>
                <w:szCs w:val="24"/>
              </w:rPr>
            </w:pPr>
            <w:r>
              <w:rPr>
                <w:b/>
                <w:noProof/>
              </w:rPr>
              <w:lastRenderedPageBreak/>
              <w:t>UNITÉS</w:t>
            </w:r>
          </w:p>
        </w:tc>
        <w:tc>
          <w:tcPr>
            <w:tcW w:w="4621" w:type="dxa"/>
            <w:shd w:val="clear" w:color="auto" w:fill="auto"/>
          </w:tcPr>
          <w:p w:rsidR="001F2306" w:rsidRDefault="00C5670F">
            <w:pPr>
              <w:rPr>
                <w:b/>
                <w:noProof/>
                <w:szCs w:val="24"/>
              </w:rPr>
            </w:pPr>
            <w:r>
              <w:rPr>
                <w:b/>
                <w:noProof/>
              </w:rPr>
              <w:t>Thèmes détaillés</w:t>
            </w:r>
          </w:p>
        </w:tc>
      </w:tr>
      <w:tr w:rsidR="001F2306">
        <w:tc>
          <w:tcPr>
            <w:tcW w:w="4621" w:type="dxa"/>
            <w:tcBorders>
              <w:bottom w:val="nil"/>
            </w:tcBorders>
            <w:shd w:val="clear" w:color="auto" w:fill="auto"/>
          </w:tcPr>
          <w:p w:rsidR="001F2306" w:rsidRDefault="00C5670F">
            <w:pPr>
              <w:rPr>
                <w:noProof/>
                <w:szCs w:val="24"/>
              </w:rPr>
            </w:pPr>
            <w:r>
              <w:rPr>
                <w:noProof/>
              </w:rPr>
              <w:t>1. UNITÉS LÉGALES</w:t>
            </w:r>
          </w:p>
        </w:tc>
        <w:tc>
          <w:tcPr>
            <w:tcW w:w="4621" w:type="dxa"/>
            <w:shd w:val="clear" w:color="auto" w:fill="auto"/>
          </w:tcPr>
          <w:p w:rsidR="001F2306" w:rsidRDefault="00C5670F">
            <w:pPr>
              <w:rPr>
                <w:noProof/>
                <w:szCs w:val="24"/>
              </w:rPr>
            </w:pPr>
            <w:r>
              <w:rPr>
                <w:noProof/>
              </w:rPr>
              <w:t>Caractéristiques d’identification</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démographiques</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économiques/de stratification</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Liens avec l’entreprise</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Liens avec d’autres répertoires</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Lien avec le groupe d’entreprises</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Contrôle des unités</w:t>
            </w:r>
          </w:p>
        </w:tc>
      </w:tr>
      <w:tr w:rsidR="001F2306">
        <w:tc>
          <w:tcPr>
            <w:tcW w:w="4621" w:type="dxa"/>
            <w:tcBorders>
              <w:top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Propriété des unités</w:t>
            </w:r>
          </w:p>
        </w:tc>
      </w:tr>
      <w:tr w:rsidR="001F2306">
        <w:tc>
          <w:tcPr>
            <w:tcW w:w="4621" w:type="dxa"/>
            <w:tcBorders>
              <w:bottom w:val="nil"/>
            </w:tcBorders>
            <w:shd w:val="clear" w:color="auto" w:fill="auto"/>
          </w:tcPr>
          <w:p w:rsidR="001F2306" w:rsidRDefault="00C5670F">
            <w:pPr>
              <w:rPr>
                <w:noProof/>
                <w:szCs w:val="24"/>
              </w:rPr>
            </w:pPr>
            <w:r>
              <w:rPr>
                <w:noProof/>
              </w:rPr>
              <w:t>2. GROUPE D’ENTREPRISES</w:t>
            </w:r>
          </w:p>
        </w:tc>
        <w:tc>
          <w:tcPr>
            <w:tcW w:w="4621" w:type="dxa"/>
            <w:shd w:val="clear" w:color="auto" w:fill="auto"/>
          </w:tcPr>
          <w:p w:rsidR="001F2306" w:rsidRDefault="00C5670F">
            <w:pPr>
              <w:rPr>
                <w:noProof/>
                <w:szCs w:val="24"/>
              </w:rPr>
            </w:pPr>
            <w:r>
              <w:rPr>
                <w:noProof/>
              </w:rPr>
              <w:t>Caractéristiques d’identification</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démographiques</w:t>
            </w:r>
          </w:p>
        </w:tc>
      </w:tr>
      <w:tr w:rsidR="001F2306">
        <w:tc>
          <w:tcPr>
            <w:tcW w:w="4621" w:type="dxa"/>
            <w:tcBorders>
              <w:top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économiques/de stratification</w:t>
            </w:r>
          </w:p>
        </w:tc>
      </w:tr>
      <w:tr w:rsidR="001F2306">
        <w:tc>
          <w:tcPr>
            <w:tcW w:w="4621" w:type="dxa"/>
            <w:tcBorders>
              <w:bottom w:val="nil"/>
            </w:tcBorders>
            <w:shd w:val="clear" w:color="auto" w:fill="auto"/>
          </w:tcPr>
          <w:p w:rsidR="001F2306" w:rsidRDefault="00C5670F">
            <w:pPr>
              <w:rPr>
                <w:noProof/>
                <w:szCs w:val="24"/>
              </w:rPr>
            </w:pPr>
            <w:r>
              <w:rPr>
                <w:noProof/>
              </w:rPr>
              <w:t>3. ENTREPRISE</w:t>
            </w:r>
          </w:p>
        </w:tc>
        <w:tc>
          <w:tcPr>
            <w:tcW w:w="4621" w:type="dxa"/>
            <w:shd w:val="clear" w:color="auto" w:fill="auto"/>
          </w:tcPr>
          <w:p w:rsidR="001F2306" w:rsidRDefault="00C5670F">
            <w:pPr>
              <w:rPr>
                <w:noProof/>
                <w:szCs w:val="24"/>
              </w:rPr>
            </w:pPr>
            <w:r>
              <w:rPr>
                <w:noProof/>
              </w:rPr>
              <w:t>Caractéristiques d’identification</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Lien avec d’autres unités</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démographiques</w:t>
            </w:r>
          </w:p>
        </w:tc>
      </w:tr>
      <w:tr w:rsidR="001F2306">
        <w:tc>
          <w:tcPr>
            <w:tcW w:w="4621" w:type="dxa"/>
            <w:tcBorders>
              <w:top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économiques/de stratification</w:t>
            </w:r>
          </w:p>
        </w:tc>
      </w:tr>
      <w:tr w:rsidR="001F2306">
        <w:tc>
          <w:tcPr>
            <w:tcW w:w="4621" w:type="dxa"/>
            <w:tcBorders>
              <w:bottom w:val="nil"/>
            </w:tcBorders>
            <w:shd w:val="clear" w:color="auto" w:fill="auto"/>
          </w:tcPr>
          <w:p w:rsidR="001F2306" w:rsidRDefault="00C5670F">
            <w:pPr>
              <w:rPr>
                <w:noProof/>
                <w:szCs w:val="24"/>
              </w:rPr>
            </w:pPr>
            <w:r>
              <w:rPr>
                <w:noProof/>
              </w:rPr>
              <w:t xml:space="preserve">4. UNITÉ </w:t>
            </w:r>
            <w:r>
              <w:rPr>
                <w:noProof/>
              </w:rPr>
              <w:t>LOCALE</w:t>
            </w:r>
          </w:p>
        </w:tc>
        <w:tc>
          <w:tcPr>
            <w:tcW w:w="4621" w:type="dxa"/>
            <w:shd w:val="clear" w:color="auto" w:fill="auto"/>
          </w:tcPr>
          <w:p w:rsidR="001F2306" w:rsidRDefault="00C5670F">
            <w:pPr>
              <w:rPr>
                <w:noProof/>
                <w:szCs w:val="24"/>
              </w:rPr>
            </w:pPr>
            <w:r>
              <w:rPr>
                <w:noProof/>
              </w:rPr>
              <w:t>Caractéristiques d’identification</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démographiques</w:t>
            </w:r>
          </w:p>
        </w:tc>
      </w:tr>
      <w:tr w:rsidR="001F2306">
        <w:tc>
          <w:tcPr>
            <w:tcW w:w="4621" w:type="dxa"/>
            <w:tcBorders>
              <w:top w:val="nil"/>
              <w:bottom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économiques/de stratification</w:t>
            </w:r>
          </w:p>
        </w:tc>
      </w:tr>
      <w:tr w:rsidR="001F2306">
        <w:tc>
          <w:tcPr>
            <w:tcW w:w="4621" w:type="dxa"/>
            <w:tcBorders>
              <w:top w:val="nil"/>
            </w:tcBorders>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Liens avec d’autres unités et répertoires</w:t>
            </w:r>
          </w:p>
        </w:tc>
      </w:tr>
      <w:tr w:rsidR="001F2306">
        <w:tc>
          <w:tcPr>
            <w:tcW w:w="4621" w:type="dxa"/>
            <w:tcBorders>
              <w:bottom w:val="nil"/>
            </w:tcBorders>
            <w:shd w:val="clear" w:color="auto" w:fill="auto"/>
          </w:tcPr>
          <w:p w:rsidR="001F2306" w:rsidRDefault="00C5670F">
            <w:pPr>
              <w:rPr>
                <w:noProof/>
                <w:szCs w:val="24"/>
              </w:rPr>
            </w:pPr>
            <w:r>
              <w:rPr>
                <w:noProof/>
              </w:rPr>
              <w:t>5. UNITÉ D’ACTIVITÉ ÉCONOMIQUE</w:t>
            </w:r>
          </w:p>
        </w:tc>
        <w:tc>
          <w:tcPr>
            <w:tcW w:w="4621" w:type="dxa"/>
            <w:shd w:val="clear" w:color="auto" w:fill="auto"/>
          </w:tcPr>
          <w:p w:rsidR="001F2306" w:rsidRDefault="00C5670F">
            <w:pPr>
              <w:rPr>
                <w:noProof/>
                <w:szCs w:val="24"/>
              </w:rPr>
            </w:pPr>
            <w:r>
              <w:rPr>
                <w:noProof/>
              </w:rPr>
              <w:t>Caractéristiques d’identification</w:t>
            </w:r>
          </w:p>
        </w:tc>
      </w:tr>
      <w:tr w:rsidR="001F2306">
        <w:tc>
          <w:tcPr>
            <w:tcW w:w="4621" w:type="dxa"/>
            <w:vMerge w:val="restart"/>
            <w:tcBorders>
              <w:top w:val="nil"/>
            </w:tcBorders>
            <w:shd w:val="clear" w:color="auto" w:fill="auto"/>
          </w:tcPr>
          <w:p w:rsidR="001F2306" w:rsidRDefault="00C5670F">
            <w:pPr>
              <w:rPr>
                <w:noProof/>
                <w:szCs w:val="24"/>
              </w:rPr>
            </w:pPr>
            <w:r>
              <w:rPr>
                <w:noProof/>
              </w:rPr>
              <w:t xml:space="preserve">si couverte comme </w:t>
            </w:r>
            <w:r>
              <w:rPr>
                <w:noProof/>
              </w:rPr>
              <w:t>unité statistique conformément à l’article 3, paragraphe 2, point a) iii)</w:t>
            </w:r>
          </w:p>
        </w:tc>
        <w:tc>
          <w:tcPr>
            <w:tcW w:w="4621" w:type="dxa"/>
            <w:shd w:val="clear" w:color="auto" w:fill="auto"/>
          </w:tcPr>
          <w:p w:rsidR="001F2306" w:rsidRDefault="00C5670F">
            <w:pPr>
              <w:rPr>
                <w:noProof/>
                <w:szCs w:val="24"/>
              </w:rPr>
            </w:pPr>
            <w:r>
              <w:rPr>
                <w:noProof/>
              </w:rPr>
              <w:t>Caractéristiques démographiques</w:t>
            </w:r>
          </w:p>
        </w:tc>
      </w:tr>
      <w:tr w:rsidR="001F2306">
        <w:tc>
          <w:tcPr>
            <w:tcW w:w="4621" w:type="dxa"/>
            <w:vMerge/>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Caractéristiques économiques/de stratification</w:t>
            </w:r>
          </w:p>
        </w:tc>
      </w:tr>
      <w:tr w:rsidR="001F2306">
        <w:tc>
          <w:tcPr>
            <w:tcW w:w="4621" w:type="dxa"/>
            <w:vMerge/>
            <w:shd w:val="clear" w:color="auto" w:fill="auto"/>
          </w:tcPr>
          <w:p w:rsidR="001F2306" w:rsidRDefault="001F2306">
            <w:pPr>
              <w:rPr>
                <w:noProof/>
                <w:szCs w:val="24"/>
              </w:rPr>
            </w:pPr>
          </w:p>
        </w:tc>
        <w:tc>
          <w:tcPr>
            <w:tcW w:w="4621" w:type="dxa"/>
            <w:shd w:val="clear" w:color="auto" w:fill="auto"/>
          </w:tcPr>
          <w:p w:rsidR="001F2306" w:rsidRDefault="00C5670F">
            <w:pPr>
              <w:rPr>
                <w:noProof/>
                <w:szCs w:val="24"/>
              </w:rPr>
            </w:pPr>
            <w:r>
              <w:rPr>
                <w:noProof/>
              </w:rPr>
              <w:t>Liens avec d’autres unités et répertoires</w:t>
            </w:r>
          </w:p>
        </w:tc>
      </w:tr>
    </w:tbl>
    <w:p w:rsidR="001F2306" w:rsidRDefault="00C5670F">
      <w:pPr>
        <w:pStyle w:val="Annexetitre"/>
        <w:rPr>
          <w:noProof/>
        </w:rPr>
      </w:pPr>
      <w:r>
        <w:rPr>
          <w:noProof/>
        </w:rPr>
        <w:lastRenderedPageBreak/>
        <w:t>Annexe IV</w:t>
      </w:r>
    </w:p>
    <w:p w:rsidR="001F2306" w:rsidRDefault="00C5670F">
      <w:pPr>
        <w:keepNext/>
        <w:jc w:val="center"/>
        <w:outlineLvl w:val="0"/>
        <w:rPr>
          <w:b/>
          <w:noProof/>
        </w:rPr>
      </w:pPr>
      <w:r>
        <w:rPr>
          <w:b/>
          <w:noProof/>
        </w:rPr>
        <w:t>Modifications du règlement (CE) nº 184/2005</w:t>
      </w:r>
    </w:p>
    <w:p w:rsidR="001F2306" w:rsidRDefault="00C5670F">
      <w:pPr>
        <w:rPr>
          <w:noProof/>
          <w:szCs w:val="24"/>
        </w:rPr>
      </w:pPr>
      <w:r>
        <w:rPr>
          <w:noProof/>
        </w:rPr>
        <w:t xml:space="preserve">À </w:t>
      </w:r>
      <w:r>
        <w:rPr>
          <w:noProof/>
        </w:rPr>
        <w:t>l’annexe I, le tableau 3 est remplacé par le texte suivant:</w:t>
      </w:r>
    </w:p>
    <w:p w:rsidR="001F2306" w:rsidRDefault="00C5670F">
      <w:pPr>
        <w:ind w:left="851"/>
        <w:jc w:val="center"/>
        <w:rPr>
          <w:i/>
          <w:noProof/>
        </w:rPr>
      </w:pPr>
      <w:r>
        <w:rPr>
          <w:i/>
          <w:noProof/>
        </w:rPr>
        <w:t>«Tableau 3</w:t>
      </w:r>
    </w:p>
    <w:p w:rsidR="001F2306" w:rsidRDefault="00C5670F">
      <w:pPr>
        <w:ind w:left="851"/>
        <w:jc w:val="center"/>
        <w:rPr>
          <w:noProof/>
        </w:rPr>
      </w:pPr>
      <w:r>
        <w:rPr>
          <w:noProof/>
        </w:rPr>
        <w:t>Commerce international de services – éléments comptables</w:t>
      </w:r>
    </w:p>
    <w:p w:rsidR="001F2306" w:rsidRDefault="00C5670F">
      <w:pPr>
        <w:ind w:left="851"/>
        <w:rPr>
          <w:noProof/>
        </w:rPr>
      </w:pPr>
      <w:r>
        <w:rPr>
          <w:noProof/>
        </w:rPr>
        <w:t>Délai: T + 9 mois</w:t>
      </w:r>
    </w:p>
    <w:p w:rsidR="001F2306" w:rsidRDefault="00C5670F">
      <w:pPr>
        <w:ind w:left="851"/>
        <w:rPr>
          <w:noProof/>
        </w:rPr>
      </w:pPr>
      <w:r>
        <w:rPr>
          <w:noProof/>
        </w:rPr>
        <w:t>Périodicité: annuelle</w:t>
      </w:r>
    </w:p>
    <w:p w:rsidR="001F2306" w:rsidRDefault="00C5670F">
      <w:pPr>
        <w:ind w:left="851"/>
        <w:rPr>
          <w:noProof/>
        </w:rPr>
      </w:pPr>
      <w:r>
        <w:rPr>
          <w:noProof/>
        </w:rPr>
        <w:t>Première période de référence: 2013</w:t>
      </w:r>
    </w:p>
    <w:tbl>
      <w:tblPr>
        <w:tblW w:w="6662" w:type="dxa"/>
        <w:tblInd w:w="817" w:type="dxa"/>
        <w:tblLook w:val="04A0" w:firstRow="1" w:lastRow="0" w:firstColumn="1" w:lastColumn="0" w:noHBand="0" w:noVBand="1"/>
      </w:tblPr>
      <w:tblGrid>
        <w:gridCol w:w="3560"/>
        <w:gridCol w:w="960"/>
        <w:gridCol w:w="960"/>
        <w:gridCol w:w="1182"/>
      </w:tblGrid>
      <w:tr w:rsidR="001F2306">
        <w:trPr>
          <w:trHeight w:val="315"/>
        </w:trPr>
        <w:tc>
          <w:tcPr>
            <w:tcW w:w="3560" w:type="dxa"/>
            <w:tcBorders>
              <w:top w:val="nil"/>
              <w:left w:val="nil"/>
              <w:bottom w:val="nil"/>
              <w:right w:val="nil"/>
            </w:tcBorders>
            <w:shd w:val="clear" w:color="auto" w:fill="auto"/>
            <w:noWrap/>
            <w:vAlign w:val="bottom"/>
            <w:hideMark/>
          </w:tcPr>
          <w:p w:rsidR="001F2306" w:rsidRDefault="001F2306">
            <w:pPr>
              <w:rPr>
                <w:rFonts w:ascii="Calibri" w:hAnsi="Calibri"/>
                <w:noProof/>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Crédit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Débit</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Solde</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Rémunération des salariés</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c>
          <w:tcPr>
            <w:tcW w:w="1182"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r>
      <w:tr w:rsidR="001F2306">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Transferts personnels</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c>
          <w:tcPr>
            <w:tcW w:w="1182"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r>
      <w:tr w:rsidR="001F2306">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1F2306" w:rsidRDefault="00C5670F">
            <w:pPr>
              <w:ind w:left="459"/>
              <w:rPr>
                <w:noProof/>
                <w:szCs w:val="24"/>
              </w:rPr>
            </w:pPr>
            <w:r>
              <w:rPr>
                <w:noProof/>
              </w:rPr>
              <w:t>Envois de fonds des travailleurs</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c>
          <w:tcPr>
            <w:tcW w:w="1182"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5</w:t>
            </w:r>
          </w:p>
        </w:tc>
      </w:tr>
      <w:tr w:rsidR="001F2306">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SERVICES</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6</w:t>
            </w:r>
          </w:p>
        </w:tc>
        <w:tc>
          <w:tcPr>
            <w:tcW w:w="960"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6</w:t>
            </w:r>
          </w:p>
        </w:tc>
        <w:tc>
          <w:tcPr>
            <w:tcW w:w="1182" w:type="dxa"/>
            <w:tcBorders>
              <w:top w:val="nil"/>
              <w:left w:val="nil"/>
              <w:bottom w:val="single" w:sz="4" w:space="0" w:color="auto"/>
              <w:right w:val="single" w:sz="4" w:space="0" w:color="auto"/>
            </w:tcBorders>
            <w:shd w:val="clear" w:color="auto" w:fill="auto"/>
            <w:noWrap/>
            <w:vAlign w:val="center"/>
            <w:hideMark/>
          </w:tcPr>
          <w:p w:rsidR="001F2306" w:rsidRDefault="00C5670F">
            <w:pPr>
              <w:rPr>
                <w:noProof/>
                <w:szCs w:val="24"/>
              </w:rPr>
            </w:pPr>
            <w:r>
              <w:rPr>
                <w:noProof/>
              </w:rPr>
              <w:t>Geo 6</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06" w:rsidRDefault="00C5670F">
            <w:pPr>
              <w:rPr>
                <w:b/>
                <w:noProof/>
                <w:szCs w:val="24"/>
              </w:rPr>
            </w:pPr>
            <w:r>
              <w:rPr>
                <w:b/>
                <w:noProof/>
              </w:rPr>
              <w:t>Voyages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F2306" w:rsidRDefault="001F2306">
            <w:pPr>
              <w:rPr>
                <w:noProof/>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F2306" w:rsidRDefault="001F2306">
            <w:pPr>
              <w:rPr>
                <w:noProof/>
                <w:szCs w:val="24"/>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1F2306" w:rsidRDefault="001F2306">
            <w:pPr>
              <w:rPr>
                <w:noProof/>
                <w:szCs w:val="24"/>
              </w:rPr>
            </w:pP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rPr>
                <w:noProof/>
                <w:szCs w:val="24"/>
              </w:rPr>
            </w:pPr>
            <w:r>
              <w:rPr>
                <w:noProof/>
              </w:rPr>
              <w:t>Voyages à titre professionnel</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Geo5</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ind w:left="459"/>
              <w:rPr>
                <w:noProof/>
                <w:szCs w:val="24"/>
              </w:rPr>
            </w:pPr>
            <w:r>
              <w:rPr>
                <w:noProof/>
              </w:rPr>
              <w:t xml:space="preserve">Acquisition de biens et services par les travailleurs </w:t>
            </w:r>
            <w:r>
              <w:rPr>
                <w:noProof/>
              </w:rPr>
              <w:t>frontaliers, saisonniers ou autres travailleurs de courte durée</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Geo5</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ind w:left="459"/>
              <w:rPr>
                <w:noProof/>
                <w:szCs w:val="24"/>
              </w:rPr>
            </w:pPr>
            <w:r>
              <w:rPr>
                <w:noProof/>
              </w:rPr>
              <w:t>Autres voyages à titre professionnel</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Geo5</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rPr>
                <w:noProof/>
                <w:szCs w:val="24"/>
              </w:rPr>
            </w:pPr>
            <w:r>
              <w:rPr>
                <w:noProof/>
              </w:rPr>
              <w:t>Voyages à titre personnel</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Geo5</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ind w:left="459"/>
              <w:rPr>
                <w:noProof/>
                <w:szCs w:val="24"/>
              </w:rPr>
            </w:pPr>
            <w:r>
              <w:rPr>
                <w:noProof/>
              </w:rPr>
              <w:t>Dépenses liées à la santé</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Geo5</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ind w:left="459"/>
              <w:rPr>
                <w:noProof/>
                <w:szCs w:val="24"/>
              </w:rPr>
            </w:pPr>
            <w:r>
              <w:rPr>
                <w:noProof/>
              </w:rPr>
              <w:t>Dépenses liées à l’éducation</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Geo5</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ind w:left="459"/>
              <w:rPr>
                <w:noProof/>
                <w:szCs w:val="24"/>
              </w:rPr>
            </w:pPr>
            <w:r>
              <w:rPr>
                <w:noProof/>
              </w:rPr>
              <w:t>Autres voyages à titre personnel</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5</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Geo5</w:t>
            </w:r>
          </w:p>
        </w:tc>
      </w:tr>
      <w:tr w:rsidR="001F2306">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rsidR="001F2306" w:rsidRDefault="00C5670F">
            <w:pPr>
              <w:rPr>
                <w:noProof/>
                <w:szCs w:val="24"/>
              </w:rPr>
            </w:pPr>
            <w:r>
              <w:rPr>
                <w:noProof/>
              </w:rPr>
              <w:t>Services d’intermédiation financière indirectement mesurés (SIFIM)</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3</w:t>
            </w:r>
          </w:p>
        </w:tc>
        <w:tc>
          <w:tcPr>
            <w:tcW w:w="960"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3</w:t>
            </w:r>
          </w:p>
        </w:tc>
        <w:tc>
          <w:tcPr>
            <w:tcW w:w="1182" w:type="dxa"/>
            <w:tcBorders>
              <w:top w:val="single" w:sz="4" w:space="0" w:color="auto"/>
              <w:left w:val="nil"/>
              <w:bottom w:val="single" w:sz="4" w:space="0" w:color="auto"/>
              <w:right w:val="single" w:sz="4" w:space="0" w:color="auto"/>
            </w:tcBorders>
            <w:shd w:val="clear" w:color="auto" w:fill="auto"/>
            <w:noWrap/>
          </w:tcPr>
          <w:p w:rsidR="001F2306" w:rsidRDefault="00C5670F">
            <w:pPr>
              <w:rPr>
                <w:noProof/>
                <w:szCs w:val="24"/>
              </w:rPr>
            </w:pPr>
            <w:r>
              <w:rPr>
                <w:noProof/>
              </w:rPr>
              <w:t>Geo 3</w:t>
            </w:r>
          </w:p>
        </w:tc>
      </w:tr>
    </w:tbl>
    <w:p w:rsidR="001F2306" w:rsidRDefault="00C5670F">
      <w:pPr>
        <w:rPr>
          <w:noProof/>
          <w:szCs w:val="24"/>
        </w:rPr>
      </w:pPr>
      <w:r>
        <w:rPr>
          <w:noProof/>
        </w:rPr>
        <w:t>»</w:t>
      </w:r>
    </w:p>
    <w:sectPr w:rsidR="001F2306" w:rsidSect="004B3651">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0F" w:rsidRDefault="00C5670F">
      <w:pPr>
        <w:spacing w:before="0" w:after="0"/>
      </w:pPr>
      <w:r>
        <w:separator/>
      </w:r>
    </w:p>
  </w:endnote>
  <w:endnote w:type="continuationSeparator" w:id="0">
    <w:p w:rsidR="00C5670F" w:rsidRDefault="00C567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51" w:rsidRPr="004B3651" w:rsidRDefault="004B3651" w:rsidP="004B3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06" w:rsidRPr="004B3651" w:rsidRDefault="004B3651" w:rsidP="004B3651">
    <w:pPr>
      <w:pStyle w:val="Footer"/>
      <w:rPr>
        <w:rFonts w:ascii="Arial" w:hAnsi="Arial" w:cs="Arial"/>
        <w:b/>
        <w:sz w:val="48"/>
      </w:rPr>
    </w:pPr>
    <w:r w:rsidRPr="004B3651">
      <w:rPr>
        <w:rFonts w:ascii="Arial" w:hAnsi="Arial" w:cs="Arial"/>
        <w:b/>
        <w:sz w:val="48"/>
      </w:rPr>
      <w:t>FR</w:t>
    </w:r>
    <w:r w:rsidRPr="004B3651">
      <w:rPr>
        <w:rFonts w:ascii="Arial" w:hAnsi="Arial" w:cs="Arial"/>
        <w:b/>
        <w:sz w:val="48"/>
      </w:rPr>
      <w:tab/>
    </w:r>
    <w:r w:rsidRPr="004B3651">
      <w:rPr>
        <w:rFonts w:ascii="Arial" w:hAnsi="Arial" w:cs="Arial"/>
        <w:b/>
        <w:sz w:val="48"/>
      </w:rPr>
      <w:tab/>
    </w:r>
    <w:fldSimple w:instr=" DOCVARIABLE &quot;LW_Confidence&quot; \* MERGEFORMAT ">
      <w:r>
        <w:t xml:space="preserve"> </w:t>
      </w:r>
    </w:fldSimple>
    <w:r w:rsidRPr="004B3651">
      <w:tab/>
    </w:r>
    <w:proofErr w:type="spellStart"/>
    <w:r w:rsidRPr="004B365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51" w:rsidRPr="004B3651" w:rsidRDefault="004B3651" w:rsidP="004B36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51" w:rsidRPr="004B3651" w:rsidRDefault="004B3651" w:rsidP="004B3651">
    <w:pPr>
      <w:pStyle w:val="Footer"/>
      <w:rPr>
        <w:rFonts w:ascii="Arial" w:hAnsi="Arial" w:cs="Arial"/>
        <w:b/>
        <w:sz w:val="48"/>
      </w:rPr>
    </w:pPr>
    <w:r w:rsidRPr="004B3651">
      <w:rPr>
        <w:rFonts w:ascii="Arial" w:hAnsi="Arial" w:cs="Arial"/>
        <w:b/>
        <w:sz w:val="48"/>
      </w:rPr>
      <w:t>FR</w:t>
    </w:r>
    <w:r w:rsidRPr="004B3651">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fldSimple w:instr=" DOCVARIABLE &quot;LW_Confidence&quot; \* MERGEFORMAT ">
      <w:r>
        <w:t xml:space="preserve"> </w:t>
      </w:r>
    </w:fldSimple>
    <w:r w:rsidRPr="004B3651">
      <w:tab/>
    </w:r>
    <w:r w:rsidRPr="004B365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51" w:rsidRPr="004B3651" w:rsidRDefault="004B3651" w:rsidP="004B3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0F" w:rsidRDefault="00C5670F">
      <w:pPr>
        <w:spacing w:before="0" w:after="0"/>
      </w:pPr>
      <w:r>
        <w:separator/>
      </w:r>
    </w:p>
  </w:footnote>
  <w:footnote w:type="continuationSeparator" w:id="0">
    <w:p w:rsidR="00C5670F" w:rsidRDefault="00C5670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51" w:rsidRPr="004B3651" w:rsidRDefault="004B3651" w:rsidP="004B3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51" w:rsidRPr="004B3651" w:rsidRDefault="004B3651" w:rsidP="004B36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51" w:rsidRPr="004B3651" w:rsidRDefault="004B3651" w:rsidP="004B3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D42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109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3C6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CA1B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724E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3EC7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C84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400E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7 14:08: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à la proposition de"/>
    <w:docVar w:name="LW_ACCOMPAGNANT.CP" w:val="à la proposition de"/>
    <w:docVar w:name="LW_ANNEX_NBR_FIRST" w:val="1"/>
    <w:docVar w:name="LW_ANNEX_NBR_LAST" w:val="4"/>
    <w:docVar w:name="LW_CONFIDENCE" w:val=" "/>
    <w:docVar w:name="LW_CONST_RESTREINT_UE" w:val="RESTREINT UE/EU RESTRICTED"/>
    <w:docVar w:name="LW_CORRIGENDUM" w:val="&lt;UNUSED&gt;"/>
    <w:docVar w:name="LW_COVERPAGE_GUID" w:val="875C5400FD1F46AA901CE4805EE692FA"/>
    <w:docVar w:name="LW_CROSSREFERENCE" w:val="{SWD(2017) 98 final}_x000b_{SWD(2017) 99 final}"/>
    <w:docVar w:name="LW_DocType" w:val="ANNEX"/>
    <w:docVar w:name="LW_EMISSION" w:val="6.3.2017"/>
    <w:docVar w:name="LW_EMISSION_ISODATE" w:val="2017-03-0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 "/>
    <w:docVar w:name="LW_OBJETACTEPRINCIPAL.CP" w:val=" "/>
    <w:docVar w:name="LW_PART_NBR" w:val="&lt;UNUSED&gt;"/>
    <w:docVar w:name="LW_PART_NBR_TOTAL" w:val="&lt;UNUSED&gt;"/>
    <w:docVar w:name="LW_REF.INST.NEW" w:val="COM"/>
    <w:docVar w:name="LW_REF.INST.NEW_ADOPTED" w:val="final"/>
    <w:docVar w:name="LW_REF.INST.NEW_TEXT" w:val="(2017) 114"/>
    <w:docVar w:name="LW_REF.INTERNE" w:val="&lt;UNUSED&gt;"/>
    <w:docVar w:name="LW_SUPERTITRE" w:val="&lt;UNUSED&gt;"/>
    <w:docVar w:name="LW_TITRE.OBJ.CP" w:val="&lt;UNUSED&gt;"/>
    <w:docVar w:name="LW_TYPE.DOC" w:val="ANNEXES"/>
    <w:docVar w:name="LW_TYPE.DOC.CP" w:val="ANNEXES"/>
    <w:docVar w:name="LW_TYPEACTEPRINCIPAL" w:val="règlement du Parlement européen et du Conseil relatif aux statistiques européennes d'entreprises, modifiant le règlement (CE) nº&lt;LWCR:NBS&gt;184/2005 et abrogeant dix actes juridiques dans le domaine des statistiques d'entreprises"/>
    <w:docVar w:name="LW_TYPEACTEPRINCIPAL.CP" w:val="règlement du Parlement européen et du Conseil relatif aux statistiques européennes d'entreprises, modifiant le règlement (CE) nº 184/2005 et abrogeant dix actes juridiques dans le domaine des statistiques d'entreprises"/>
  </w:docVars>
  <w:rsids>
    <w:rsidRoot w:val="001F2306"/>
    <w:rsid w:val="001F2306"/>
    <w:rsid w:val="004B3651"/>
    <w:rsid w:val="00C5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B365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B365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B365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B365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B365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B365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C23C1-20D9-4928-BA3A-5BB6341E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10</Pages>
  <Words>1433</Words>
  <Characters>9272</Characters>
  <Application>Microsoft Office Word</Application>
  <DocSecurity>0</DocSecurity>
  <Lines>427</Lines>
  <Paragraphs>264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SNEIJERS Petra (ESTAT)</dc:creator>
  <cp:lastModifiedBy>LAGES CARVALHO Patrick (SG)</cp:lastModifiedBy>
  <cp:revision>9</cp:revision>
  <cp:lastPrinted>2017-02-13T10:21:00Z</cp:lastPrinted>
  <dcterms:created xsi:type="dcterms:W3CDTF">2017-02-27T08:56:00Z</dcterms:created>
  <dcterms:modified xsi:type="dcterms:W3CDTF">2017-02-27T13:32:00Z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4</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