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09" w:rsidRDefault="00CE46B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B33650B585D49FB865B5EFBCE49D454" style="width:450.75pt;height:436.5pt">
            <v:imagedata r:id="rId9" o:title=""/>
          </v:shape>
        </w:pict>
      </w:r>
    </w:p>
    <w:p w:rsidR="00242E09" w:rsidRDefault="00242E09">
      <w:pPr>
        <w:rPr>
          <w:noProof/>
        </w:rPr>
        <w:sectPr w:rsidR="00242E09">
          <w:footerReference w:type="default" r:id="rId10"/>
          <w:pgSz w:w="11907" w:h="16839"/>
          <w:pgMar w:top="1134" w:right="1417" w:bottom="1134" w:left="1417" w:header="709" w:footer="709" w:gutter="0"/>
          <w:pgNumType w:start="1"/>
          <w:cols w:space="720"/>
          <w:docGrid w:linePitch="360"/>
        </w:sectPr>
      </w:pPr>
    </w:p>
    <w:p w:rsidR="00242E09" w:rsidRDefault="00CE46B8">
      <w:pPr>
        <w:pStyle w:val="Exposdesmotifstitre"/>
        <w:rPr>
          <w:noProof/>
        </w:rPr>
      </w:pPr>
      <w:r>
        <w:rPr>
          <w:noProof/>
        </w:rPr>
        <w:lastRenderedPageBreak/>
        <w:t>ОБЯСНИТЕЛЕН МЕМОРАНДУМ</w:t>
      </w:r>
    </w:p>
    <w:p w:rsidR="00242E09" w:rsidRDefault="00CE46B8">
      <w:pPr>
        <w:pStyle w:val="ManualHeading1"/>
        <w:rPr>
          <w:noProof/>
        </w:rPr>
      </w:pPr>
      <w:r>
        <w:rPr>
          <w:noProof/>
        </w:rPr>
        <w:t>1.</w:t>
      </w:r>
      <w:r>
        <w:rPr>
          <w:noProof/>
        </w:rPr>
        <w:tab/>
        <w:t>КОНТЕКСТ НА ПРЕДЛОЖЕНИЕТО</w:t>
      </w:r>
    </w:p>
    <w:p w:rsidR="00242E09" w:rsidRDefault="00CE46B8">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rsidR="00242E09" w:rsidRDefault="00CE46B8">
      <w:pPr>
        <w:rPr>
          <w:rFonts w:eastAsia="Arial Unicode MS"/>
          <w:noProof/>
          <w:color w:val="000000"/>
        </w:rPr>
      </w:pPr>
      <w:r>
        <w:rPr>
          <w:noProof/>
        </w:rPr>
        <w:t xml:space="preserve">Необходимостта </w:t>
      </w:r>
      <w:r>
        <w:rPr>
          <w:noProof/>
        </w:rPr>
        <w:t>от статистически данни за предприятията за целите на разработването на политики и за други цели все повече расте. От Европейската статистическа система (ЕСС)</w:t>
      </w:r>
      <w:r>
        <w:rPr>
          <w:rStyle w:val="FootnoteReference"/>
          <w:noProof/>
        </w:rPr>
        <w:footnoteReference w:id="2"/>
      </w:r>
      <w:r>
        <w:rPr>
          <w:noProof/>
        </w:rPr>
        <w:t xml:space="preserve"> се очаква да осигури висококачествени статистически данни в тази област, които да са актуални и с</w:t>
      </w:r>
      <w:r>
        <w:rPr>
          <w:noProof/>
        </w:rPr>
        <w:t xml:space="preserve">ъпоставими между държавите членки. Разпространяваната бизнес статистика на ЕСС следва да служи за формулиране на решения относно основана на знания и иновации пазарна икономика, за подобряване на достъпа на малките и средните предприятия до единния пазар, </w:t>
      </w:r>
      <w:r>
        <w:rPr>
          <w:noProof/>
        </w:rPr>
        <w:t>както и за стимулиране на предприемачеството и конкурентоспособността.</w:t>
      </w:r>
    </w:p>
    <w:p w:rsidR="00242E09" w:rsidRDefault="00CE46B8">
      <w:pPr>
        <w:rPr>
          <w:noProof/>
        </w:rPr>
      </w:pPr>
      <w:r>
        <w:rPr>
          <w:noProof/>
        </w:rPr>
        <w:t>Проектът на Регламент относно европейската бизнес статистика, за изменение на Регламент (ЕО) № 184/2005 и за отмяна на 10 правни акта в областта на бизнес статистиката (FRIBS — Рамков р</w:t>
      </w:r>
      <w:r>
        <w:rPr>
          <w:noProof/>
        </w:rPr>
        <w:t>егламент за интегриране на бизнес статистиката) е част от програмата REFIT на Европейската комисия за пригодност и резултатност на регулаторната рамка, чиято цел е опростяване на законодателството на ЕС и намаляване на прекомерните регулаторни разходи, кат</w:t>
      </w:r>
      <w:r>
        <w:rPr>
          <w:noProof/>
        </w:rPr>
        <w:t>о бизнес статистиката е определена за една от приоритетните ѝ области. С проекта на регламент се предвижда интегриране на статистическите изисквания и нормативните актове за бизнес статистиката чрез тяхното рационализиране и опростяване, както и намаляване</w:t>
      </w:r>
      <w:r>
        <w:rPr>
          <w:noProof/>
        </w:rPr>
        <w:t xml:space="preserve"> на тежестта за предприятията.</w:t>
      </w:r>
    </w:p>
    <w:p w:rsidR="00242E09" w:rsidRDefault="00CE46B8">
      <w:pPr>
        <w:rPr>
          <w:noProof/>
        </w:rPr>
      </w:pPr>
      <w:r>
        <w:rPr>
          <w:noProof/>
        </w:rPr>
        <w:t>Сегашната система за изготвяне на европейската бизнес статистика е разпокъсана на отделни специфични за различни области регламенти. Това води до несъответствия в събраните данни, както и до неефикасност при тяхното изготвяне</w:t>
      </w:r>
      <w:r>
        <w:rPr>
          <w:noProof/>
        </w:rPr>
        <w:t>. Регламентът FRIBS ще осигури обща правна рамка за изготвяне и съставяне на бизнес статистиката на ЕСС. Очаква се чрез FRIBS да бъдат постигнати следните цели: по-добри бизнес регистри, общи определения, които да се използват във всички обхванати от FRIBS</w:t>
      </w:r>
      <w:r>
        <w:rPr>
          <w:noProof/>
        </w:rPr>
        <w:t xml:space="preserve"> статистически области, обмен на микроданни, които да могат да бъдат идентифицирани, и структура за интегрирани данни. Това би трябвало да доведе до рационализиране на националните процеси на изготвяне на статистиката, по-добро използване на съществуващите</w:t>
      </w:r>
      <w:r>
        <w:rPr>
          <w:noProof/>
        </w:rPr>
        <w:t xml:space="preserve"> източници на данни, както и намаляване на статистическата тежест за респондентите при съставянето на бизнес статистиката на ЕСС. Освен това чрез регламента FRIBS ще бъдат създадени структури за хармонизирани данни и общи стандарти за качество на данните, </w:t>
      </w:r>
      <w:r>
        <w:rPr>
          <w:noProof/>
        </w:rPr>
        <w:t xml:space="preserve">което ще даде възможност за свързване на различни бизнес статистики и ще повиши още повече ценността на събраната информация. </w:t>
      </w:r>
    </w:p>
    <w:p w:rsidR="00242E09" w:rsidRDefault="00CE46B8">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rPr>
        <w:t>Съгласуваност със съществуващите разпоредби в областта на политиката</w:t>
      </w:r>
    </w:p>
    <w:p w:rsidR="00242E09" w:rsidRDefault="00CE46B8">
      <w:pPr>
        <w:rPr>
          <w:noProof/>
        </w:rPr>
      </w:pPr>
      <w:r>
        <w:rPr>
          <w:noProof/>
        </w:rPr>
        <w:t>Надеждната и висококачествена статистика е все по-необходи</w:t>
      </w:r>
      <w:r>
        <w:rPr>
          <w:noProof/>
        </w:rPr>
        <w:t xml:space="preserve">ма, за да се даде възможност на създателите на политики и на предприятията да вземат основани на факти решения. При все това в настоящия контекст на нарастващ натиск върху наличните човешки и финансови ресурси за изготвяне на статистика, осигуряването на </w:t>
      </w:r>
      <w:r>
        <w:rPr>
          <w:noProof/>
        </w:rPr>
        <w:lastRenderedPageBreak/>
        <w:t>н</w:t>
      </w:r>
      <w:r>
        <w:rPr>
          <w:noProof/>
        </w:rPr>
        <w:t xml:space="preserve">еобходимия все по-голям обем висококачествена статистическа информация се превърна в голямо предизвикателство за ЕСС. В същото време доставчиците на данни (респонденти — предприятия) искат от ЕСС да се намали административната тежест. За да се отговори на </w:t>
      </w:r>
      <w:r>
        <w:rPr>
          <w:noProof/>
        </w:rPr>
        <w:t>тези предизвикателства, Комисията (Евростат) вече предприе някои инициативи, с които се цели да се осигури по-ефикасно изготвяне на европейската статистика и да се намали тежестта за респондентите чрез опростяване и подобряване на координацията и сътруднич</w:t>
      </w:r>
      <w:r>
        <w:rPr>
          <w:noProof/>
        </w:rPr>
        <w:t>еството в рамките на ЕСС. Пример за това е приетото през 2015 г. изменение на Регламент (ЕО) № 223/2009 относно европейската статистика, с което се изясни управлението на ЕСС и се подобриха инструментите за координация и сътрудничество както на равнището н</w:t>
      </w:r>
      <w:r>
        <w:rPr>
          <w:noProof/>
        </w:rPr>
        <w:t>а ЕС, така и на национално равнище. Други подобни инициативи, например в областта на социалната статистика, са включени в програмата REFIT на Комисията и имат за цел да опростят и рационализират изготвянето на европейска статистика в съответните целеви обл</w:t>
      </w:r>
      <w:r>
        <w:rPr>
          <w:noProof/>
        </w:rPr>
        <w:t>асти.</w:t>
      </w:r>
    </w:p>
    <w:p w:rsidR="00242E09" w:rsidRDefault="00CE46B8">
      <w:pPr>
        <w:rPr>
          <w:noProof/>
        </w:rPr>
      </w:pPr>
      <w:r>
        <w:rPr>
          <w:noProof/>
        </w:rPr>
        <w:t>Бизнес статистиката е един от трите стълба на ЕСС в Европейската статистическа програма за периода 2013 — 2017 г.</w:t>
      </w:r>
      <w:r>
        <w:rPr>
          <w:rStyle w:val="FootnoteReference"/>
          <w:noProof/>
        </w:rPr>
        <w:footnoteReference w:id="3"/>
      </w:r>
      <w:r>
        <w:rPr>
          <w:noProof/>
        </w:rPr>
        <w:t xml:space="preserve"> Всеки от стълбовете обхваща масив от първични статистически данни, който обслужва множество потребности и се използва като ресурс за от</w:t>
      </w:r>
      <w:r>
        <w:rPr>
          <w:noProof/>
        </w:rPr>
        <w:t>четните системи (напр. националните сметки или платежния баланс), както и за основа на показателите за различни потребности на политиката. Визията за ЕСС до 2020 г., приета от Комитета на ЕСС през май 2014 г., е стратегическият отговор на ЕСС на свързаните</w:t>
      </w:r>
      <w:r>
        <w:rPr>
          <w:noProof/>
        </w:rPr>
        <w:t xml:space="preserve"> с официалната статистика предизвикателства. В нея се посочва, че следва да е възможно данните да се използват за различни статистически области, за да може да се анализират по-добре нововъзникващите явления (напр. глобализацията) и да се подпомогнат по-до</w:t>
      </w:r>
      <w:r>
        <w:rPr>
          <w:noProof/>
        </w:rPr>
        <w:t>бре политиките на ЕС с голямо въздействие. Информационният резултат следва да се основава на ефикасни и надеждни статистически процеси. С Програмата за модернизиране на европейската статистика относно предприятията и търговията (MEETS) беше подготвено изпъ</w:t>
      </w:r>
      <w:r>
        <w:rPr>
          <w:noProof/>
        </w:rPr>
        <w:t xml:space="preserve">лнението на визията за ЕСС до 2020 г. в областта на бизнес статистиката и статистиката за търговията. Бяха предприети няколко действия, имащи за цел интеграцията, опростяването, свързването на данни и разработването на хармонизирани методологии. </w:t>
      </w:r>
    </w:p>
    <w:p w:rsidR="00242E09" w:rsidRDefault="00CE46B8">
      <w:pPr>
        <w:pStyle w:val="ManualHeading2"/>
        <w:rPr>
          <w:noProof/>
          <w:color w:val="000000"/>
        </w:rPr>
      </w:pPr>
      <w:r>
        <w:rPr>
          <w:noProof/>
          <w:color w:val="000000"/>
          <w:bdr w:val="none" w:sz="0" w:space="0" w:color="auto" w:frame="1"/>
        </w:rPr>
        <w:t>•</w:t>
      </w:r>
      <w:r>
        <w:rPr>
          <w:noProof/>
        </w:rPr>
        <w:tab/>
      </w:r>
      <w:r>
        <w:rPr>
          <w:noProof/>
          <w:color w:val="000000"/>
        </w:rPr>
        <w:t>Съгласу</w:t>
      </w:r>
      <w:r>
        <w:rPr>
          <w:noProof/>
          <w:color w:val="000000"/>
        </w:rPr>
        <w:t>ваност с другите политики на Съюза</w:t>
      </w:r>
    </w:p>
    <w:p w:rsidR="00242E09" w:rsidRDefault="00CE46B8">
      <w:pPr>
        <w:rPr>
          <w:noProof/>
        </w:rPr>
      </w:pPr>
      <w:r>
        <w:rPr>
          <w:noProof/>
        </w:rPr>
        <w:t>Една от целите на регламента FRIBS е да се предостави подходяща статистическа информация, която да спомогне за формулирането и наблюдението на политиките на ЕС, които засягат предприятията.</w:t>
      </w:r>
    </w:p>
    <w:p w:rsidR="00242E09" w:rsidRDefault="00CE46B8">
      <w:pPr>
        <w:rPr>
          <w:noProof/>
        </w:rPr>
      </w:pPr>
      <w:r>
        <w:rPr>
          <w:noProof/>
        </w:rPr>
        <w:t>По-конкретно, наблюдението на н</w:t>
      </w:r>
      <w:r>
        <w:rPr>
          <w:noProof/>
        </w:rPr>
        <w:t xml:space="preserve">апредъка към постигането на определените от Европейската комисия 10 приоритета, по-специално във връзка със създаването на работни места, растежа и инвестициите, цифровия единен пазар, вътрешния пазар и търговските споразумения на ЕС, изисква наличието на </w:t>
      </w:r>
      <w:r>
        <w:rPr>
          <w:noProof/>
        </w:rPr>
        <w:t>хармонизирана и съпоставима европейска статистическа информация, която:</w:t>
      </w:r>
    </w:p>
    <w:p w:rsidR="00242E09" w:rsidRDefault="00CE46B8">
      <w:pPr>
        <w:pStyle w:val="Bullet0"/>
        <w:numPr>
          <w:ilvl w:val="0"/>
          <w:numId w:val="11"/>
        </w:numPr>
        <w:rPr>
          <w:noProof/>
        </w:rPr>
      </w:pPr>
      <w:r>
        <w:rPr>
          <w:noProof/>
        </w:rPr>
        <w:t xml:space="preserve">отговорните за вземането на решения лица могат да използват за разработване на инициативи на политиката, с които да се постигат целите на Комисията, и за наблюдение на изпълнението на </w:t>
      </w:r>
      <w:r>
        <w:rPr>
          <w:noProof/>
        </w:rPr>
        <w:t>тези инициативи,</w:t>
      </w:r>
    </w:p>
    <w:p w:rsidR="00242E09" w:rsidRDefault="00CE46B8">
      <w:pPr>
        <w:pStyle w:val="Bullet0"/>
        <w:rPr>
          <w:noProof/>
        </w:rPr>
      </w:pPr>
      <w:r>
        <w:rPr>
          <w:noProof/>
        </w:rPr>
        <w:lastRenderedPageBreak/>
        <w:t>медиите могат да използват, когато отразяват определените в 10-те приоритета области.</w:t>
      </w:r>
    </w:p>
    <w:p w:rsidR="00242E09" w:rsidRDefault="00CE46B8">
      <w:pPr>
        <w:pStyle w:val="ManualHeading1"/>
        <w:rPr>
          <w:noProof/>
          <w:color w:val="000000"/>
        </w:rPr>
      </w:pPr>
      <w:r>
        <w:rPr>
          <w:noProof/>
          <w:color w:val="000000"/>
        </w:rPr>
        <w:t>2.</w:t>
      </w:r>
      <w:r>
        <w:rPr>
          <w:noProof/>
        </w:rPr>
        <w:tab/>
      </w:r>
      <w:r>
        <w:rPr>
          <w:noProof/>
          <w:color w:val="000000"/>
        </w:rPr>
        <w:t>ПРАВНО ОСНОВАНИЕ, СУБСИДИАРНОСТ И ПРОПОРЦИОНАЛНОСТ</w:t>
      </w:r>
    </w:p>
    <w:p w:rsidR="00242E09" w:rsidRDefault="00CE46B8">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Правно основание</w:t>
      </w:r>
    </w:p>
    <w:p w:rsidR="00242E09" w:rsidRDefault="00CE46B8">
      <w:pPr>
        <w:rPr>
          <w:noProof/>
        </w:rPr>
      </w:pPr>
      <w:r>
        <w:rPr>
          <w:noProof/>
        </w:rPr>
        <w:t>Член 338 от Договора за функционирането на Европейския съюз представлява правното основание за европейската статистика. Съгласно този член законодателите на ЕС приемат мерки за изготвянето на статистически данни, когато това е необходимо за изпълнението на</w:t>
      </w:r>
      <w:r>
        <w:rPr>
          <w:noProof/>
        </w:rPr>
        <w:t xml:space="preserve"> дейността на Съюза. </w:t>
      </w:r>
    </w:p>
    <w:p w:rsidR="00242E09" w:rsidRDefault="00CE46B8">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 xml:space="preserve">Субсидиарност (извън областите на изключителна компетентност) </w:t>
      </w:r>
    </w:p>
    <w:p w:rsidR="00242E09" w:rsidRDefault="00CE46B8">
      <w:pPr>
        <w:rPr>
          <w:noProof/>
        </w:rPr>
      </w:pPr>
      <w:r>
        <w:rPr>
          <w:noProof/>
        </w:rPr>
        <w:t>Принципът на субсидиарност се прилага, доколкото предложението не попада в обхвата на изключителната компетентност на ЕС. В рамките на Европейската статистическа система</w:t>
      </w:r>
      <w:r>
        <w:rPr>
          <w:noProof/>
        </w:rPr>
        <w:t xml:space="preserve"> държавите членки осигуряват действителното съставяне на статистическа информация на национално равнище. За целите на съставянето на бизнес статистика на европейско равнище е от решаващо значение да е налице хармонизирана методология и да се определи общ р</w:t>
      </w:r>
      <w:r>
        <w:rPr>
          <w:noProof/>
        </w:rPr>
        <w:t>езултат, който трябва да бъде представян от държавите членки. Само Комисията може да координира необходимата хармонизация на статистическата информация за всичките държави членки и да изготвя бизнес статистика на европейско равнище въз основа на съставянит</w:t>
      </w:r>
      <w:r>
        <w:rPr>
          <w:noProof/>
        </w:rPr>
        <w:t xml:space="preserve">е от държавите членки данни. Следователно Европейският съюз може да приеме мерки в съответствие с принципа на субсидиарност, посочен в член 5 от Договора за Европейския съюз (ДЕС). Поради това предложеното действие на ЕС е напълно обоснована. Целите могат </w:t>
      </w:r>
      <w:r>
        <w:rPr>
          <w:noProof/>
        </w:rPr>
        <w:t>да бъдат напълно постигнати само чрез действие на равнището на ЕС.</w:t>
      </w:r>
    </w:p>
    <w:p w:rsidR="00242E09" w:rsidRDefault="00CE46B8">
      <w:pPr>
        <w:rPr>
          <w:noProof/>
        </w:rPr>
      </w:pPr>
      <w:r>
        <w:rPr>
          <w:noProof/>
        </w:rPr>
        <w:t>Освен това по-добро наблюдение на глобализацията въз основа на по-добро познаване на мултинационалните групи от предприятия може да се постигне единствено на европейско равнище.</w:t>
      </w:r>
    </w:p>
    <w:p w:rsidR="00242E09" w:rsidRDefault="00CE46B8">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Пропорцио</w:t>
      </w:r>
      <w:r>
        <w:rPr>
          <w:noProof/>
          <w:color w:val="000000"/>
          <w:bdr w:val="none" w:sz="0" w:space="0" w:color="auto" w:frame="1"/>
        </w:rPr>
        <w:t>налност</w:t>
      </w:r>
    </w:p>
    <w:p w:rsidR="00242E09" w:rsidRDefault="00CE46B8">
      <w:pPr>
        <w:rPr>
          <w:noProof/>
        </w:rPr>
      </w:pPr>
      <w:r>
        <w:rPr>
          <w:noProof/>
        </w:rPr>
        <w:t>Настоящото предложение е в съответствие с принципа на пропорционалност по следната(ите) причина(и):</w:t>
      </w:r>
    </w:p>
    <w:p w:rsidR="00242E09" w:rsidRDefault="00CE46B8">
      <w:pPr>
        <w:rPr>
          <w:noProof/>
        </w:rPr>
      </w:pPr>
      <w:r>
        <w:rPr>
          <w:noProof/>
        </w:rPr>
        <w:t>С него ще се гарантира качеството на европейската бизнес статистика, включително нейната съпоставимост, относимост и способност за реагиране по харм</w:t>
      </w:r>
      <w:r>
        <w:rPr>
          <w:noProof/>
        </w:rPr>
        <w:t xml:space="preserve">онизиран начин във всички държави членки, чрез прилагането на едни и същи принципи. Това ще доведе до по-голяма ефективност на разходите, като в същото време ще се зачитат особеностите на системите на държавите членки. </w:t>
      </w:r>
    </w:p>
    <w:p w:rsidR="00242E09" w:rsidRDefault="00CE46B8">
      <w:pPr>
        <w:rPr>
          <w:noProof/>
        </w:rPr>
      </w:pPr>
      <w:r>
        <w:rPr>
          <w:noProof/>
        </w:rPr>
        <w:t>В резултат на стандартизирането на п</w:t>
      </w:r>
      <w:r>
        <w:rPr>
          <w:noProof/>
        </w:rPr>
        <w:t>онятия и методи, премахването на дублирания, както и възможността за по-широко използване на комбинация от източници, различни от изследванията, финансовата и административната тежест за респондентите би трябвало да намалее. Регламентът FRIBS е до голяма с</w:t>
      </w:r>
      <w:r>
        <w:rPr>
          <w:noProof/>
        </w:rPr>
        <w:t>тепен ориентиран към резултатите, което означава, че държавите членки могат да избират ресурса (източниците на данни), стига да представят резултата (статистическата информация), който да е в съответствие със съгласуваните определения и стандарти за качест</w:t>
      </w:r>
      <w:r>
        <w:rPr>
          <w:noProof/>
        </w:rPr>
        <w:t xml:space="preserve">вото. Държавите членки се насърчават да използват, когато е възможно, съществуващи административни източници или иновативни източници, като например големи информационни масиви, за да отговорят на статистическите потребности. Въведените с регламента FRIBS </w:t>
      </w:r>
      <w:r>
        <w:rPr>
          <w:noProof/>
        </w:rPr>
        <w:t>нови изисквания по отношение на данните бяха изпитани чрез пилотни проучвания, с цел да се докаже тяхната осъществимост.</w:t>
      </w:r>
    </w:p>
    <w:p w:rsidR="00242E09" w:rsidRDefault="00CE46B8">
      <w:pPr>
        <w:rPr>
          <w:noProof/>
        </w:rPr>
      </w:pPr>
      <w:r>
        <w:rPr>
          <w:noProof/>
        </w:rPr>
        <w:lastRenderedPageBreak/>
        <w:t>Действащите законодателни актове на ЕС относно бизнес статистиката претърпяха няколко изменения през последните години. От това стана я</w:t>
      </w:r>
      <w:r>
        <w:rPr>
          <w:noProof/>
        </w:rPr>
        <w:t>сно, че посредством регламент за създаване на обща рамка за процеса на събиране, обработка и разпространение на статистическите данни за предприятията тези процеси могат да станат по-ефикасни (като съотношение разходи/ползи) и по-ефективни.</w:t>
      </w:r>
    </w:p>
    <w:p w:rsidR="00242E09" w:rsidRDefault="00CE46B8">
      <w:pPr>
        <w:rPr>
          <w:noProof/>
          <w:color w:val="000000"/>
        </w:rPr>
      </w:pPr>
      <w:r>
        <w:rPr>
          <w:noProof/>
        </w:rPr>
        <w:t>Поради това в с</w:t>
      </w:r>
      <w:r>
        <w:rPr>
          <w:noProof/>
        </w:rPr>
        <w:t xml:space="preserve">ъответствие с принципа на пропорционалност предложеният регламент се ограничава до необходимия минимум за постигане на заложените в него цели и не надхвърля необходимото за постигането им. </w:t>
      </w:r>
    </w:p>
    <w:p w:rsidR="00242E09" w:rsidRDefault="00CE46B8">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Избор на инструмент</w:t>
      </w:r>
    </w:p>
    <w:p w:rsidR="00242E09" w:rsidRDefault="00CE46B8">
      <w:pPr>
        <w:autoSpaceDE w:val="0"/>
        <w:autoSpaceDN w:val="0"/>
        <w:adjustRightInd w:val="0"/>
        <w:spacing w:after="0"/>
        <w:rPr>
          <w:noProof/>
          <w:color w:val="000000"/>
          <w:szCs w:val="24"/>
        </w:rPr>
      </w:pPr>
      <w:r>
        <w:rPr>
          <w:noProof/>
          <w:color w:val="000000"/>
        </w:rPr>
        <w:t>Предлаган инструмент: регламент.</w:t>
      </w:r>
    </w:p>
    <w:p w:rsidR="00242E09" w:rsidRDefault="00CE46B8">
      <w:pPr>
        <w:rPr>
          <w:noProof/>
          <w:color w:val="000000"/>
          <w:szCs w:val="24"/>
        </w:rPr>
      </w:pPr>
      <w:r>
        <w:rPr>
          <w:noProof/>
          <w:color w:val="000000"/>
        </w:rPr>
        <w:t>Като се взе</w:t>
      </w:r>
      <w:r>
        <w:rPr>
          <w:noProof/>
          <w:color w:val="000000"/>
        </w:rPr>
        <w:t xml:space="preserve">мат предвид целите и съдържанието на предложението, най-подходящият инструмент е регламент. </w:t>
      </w:r>
    </w:p>
    <w:p w:rsidR="00242E09" w:rsidRDefault="00CE46B8">
      <w:pPr>
        <w:autoSpaceDE w:val="0"/>
        <w:autoSpaceDN w:val="0"/>
        <w:adjustRightInd w:val="0"/>
        <w:spacing w:after="0"/>
        <w:rPr>
          <w:noProof/>
        </w:rPr>
      </w:pPr>
      <w:r>
        <w:rPr>
          <w:noProof/>
          <w:color w:val="000000"/>
        </w:rPr>
        <w:t>Изборът на подходящия инструмент зависи от законодателната цел. Като се вземат предвид информационните нужди на европейско равнище, тенденцията по отношение на евр</w:t>
      </w:r>
      <w:r>
        <w:rPr>
          <w:noProof/>
          <w:color w:val="000000"/>
        </w:rPr>
        <w:t>опейската статистика е по-скоро използването на регламенти, отколкото на директиви като основни актове. Регламентът е предпочитаният правен акт, защото с него се определят еднакви правни норми за целия Европейски съюз, а държавите членки нямат възможност д</w:t>
      </w:r>
      <w:r>
        <w:rPr>
          <w:noProof/>
          <w:color w:val="000000"/>
        </w:rPr>
        <w:t>а го прилагат непълно или избирателно. С него се осигурява съпоставимост на данните в рамките на ЕС за постигане на висококачествена европейска статистика. Той е директно приложим, което означава, че не е необходимо да бъде транспониран в националното зако</w:t>
      </w:r>
      <w:r>
        <w:rPr>
          <w:noProof/>
          <w:color w:val="000000"/>
        </w:rPr>
        <w:t>нодателство. Използването на регламент е в съответствие с други основни европейски правни актове в областта на статистиката, приети от 1997 г. досега.</w:t>
      </w:r>
    </w:p>
    <w:p w:rsidR="00242E09" w:rsidRDefault="00CE46B8">
      <w:pPr>
        <w:pStyle w:val="ManualHeading1"/>
        <w:rPr>
          <w:noProof/>
          <w:color w:val="000000"/>
        </w:rPr>
      </w:pPr>
      <w:r>
        <w:rPr>
          <w:noProof/>
          <w:color w:val="000000"/>
        </w:rPr>
        <w:t>3.</w:t>
      </w:r>
      <w:r>
        <w:rPr>
          <w:noProof/>
        </w:rPr>
        <w:tab/>
      </w:r>
      <w:r>
        <w:rPr>
          <w:noProof/>
          <w:color w:val="000000"/>
        </w:rPr>
        <w:t>РЕЗУЛТАТИ ОТ ПОСЛЕДВАЩИТЕ ОЦЕНКИ, КОНСУЛТАЦИИ СЪС ЗАИНТЕРЕСОВАНИТЕ СТРАНИ И ОЦЕНКИ НА ВЪЗДЕЙСТВИЕТО</w:t>
      </w:r>
    </w:p>
    <w:p w:rsidR="00242E09" w:rsidRDefault="00CE46B8">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Последващи оценки/проверки за пригодност на действащото законодателство</w:t>
      </w:r>
    </w:p>
    <w:p w:rsidR="00242E09" w:rsidRDefault="00CE46B8">
      <w:pPr>
        <w:rPr>
          <w:noProof/>
        </w:rPr>
      </w:pPr>
      <w:r>
        <w:rPr>
          <w:noProof/>
        </w:rPr>
        <w:t>Тъй като настоящата инициатива бе предприета преди приемането на Насоките за по-добро регулиране, в нейна подкрепа не беше извършена такава специфична оценка (по петте критерия за оцен</w:t>
      </w:r>
      <w:r>
        <w:rPr>
          <w:noProof/>
        </w:rPr>
        <w:t>ка) на актуалното състояние. Въз основа на стандартите на Комисията е следвана системата на Евростат за оценка на съществуващото законодателство, включително за оценка на Европейската статистическа програма</w:t>
      </w:r>
      <w:r>
        <w:rPr>
          <w:rStyle w:val="FootnoteReference"/>
          <w:noProof/>
        </w:rPr>
        <w:footnoteReference w:id="4"/>
      </w:r>
      <w:r>
        <w:rPr>
          <w:noProof/>
        </w:rPr>
        <w:t xml:space="preserve">, като тази система представлява основна част от </w:t>
      </w:r>
      <w:r>
        <w:rPr>
          <w:noProof/>
        </w:rPr>
        <w:t>целия процес. Освен това всяка година се провеждат изследвания на ползвателите, за да се постигне по-добро познаване на тези ползватели, техните потребности и тяхната удовлетвореност от предоставяните от Евростат услуги. Резултатите от оценките се използва</w:t>
      </w:r>
      <w:r>
        <w:rPr>
          <w:noProof/>
        </w:rPr>
        <w:t>т от Евростат за усъвършенстване на процеса на изготвяне на статистическа информация и статистическия резултат от него. Те се използват като входяща информация в различни стратегически планове, като например работната програма и плана за управление.</w:t>
      </w:r>
    </w:p>
    <w:p w:rsidR="00242E09" w:rsidRDefault="00CE46B8">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Конс</w:t>
      </w:r>
      <w:r>
        <w:rPr>
          <w:noProof/>
          <w:color w:val="000000"/>
          <w:bdr w:val="none" w:sz="0" w:space="0" w:color="auto" w:frame="1"/>
        </w:rPr>
        <w:t>ултации със заинтересованите страни</w:t>
      </w:r>
    </w:p>
    <w:p w:rsidR="00242E09" w:rsidRDefault="00CE46B8">
      <w:pPr>
        <w:rPr>
          <w:noProof/>
        </w:rPr>
      </w:pPr>
      <w:r>
        <w:rPr>
          <w:noProof/>
        </w:rPr>
        <w:t xml:space="preserve">Основните категории заинтересовани страни по отношение на европейската бизнес статистика са ползвателите на данни (други служби на Комисията, националните </w:t>
      </w:r>
      <w:r>
        <w:rPr>
          <w:noProof/>
        </w:rPr>
        <w:lastRenderedPageBreak/>
        <w:t xml:space="preserve">статистически органи, осъществяващи надзор върху бизнес сектора, </w:t>
      </w:r>
      <w:r>
        <w:rPr>
          <w:noProof/>
        </w:rPr>
        <w:t>националните централни банки и Европейската централна банка, професионални сдружения и изследователи), съставителите на данни (НСИ, но също и други съставителите, като например националните централни банки) и доставчиците на данни (предприятията, включител</w:t>
      </w:r>
      <w:r>
        <w:rPr>
          <w:noProof/>
        </w:rPr>
        <w:t>но МСП).</w:t>
      </w:r>
    </w:p>
    <w:p w:rsidR="00242E09" w:rsidRDefault="00CE46B8">
      <w:pPr>
        <w:rPr>
          <w:noProof/>
        </w:rPr>
      </w:pPr>
      <w:r>
        <w:rPr>
          <w:noProof/>
        </w:rPr>
        <w:t>Първият кръг консултации със заинтересованите страни обхвана инфраструктурните елементи на регламента FRIBS (като например бизнес регистрите, обмена на микроданни, свързаните с качеството въпроси и поверителността) и бе проведен в периода от юли д</w:t>
      </w:r>
      <w:r>
        <w:rPr>
          <w:noProof/>
        </w:rPr>
        <w:t>о октомври 2014 г. Вторият кръг започна през втората половина на 2015 г., като акцентът беше върху промените в изискванията по отношение на данните, които да бъдат въведени с регламента FRIBS. В рамките на последния трети кръг бяха събрани становищата на з</w:t>
      </w:r>
      <w:r>
        <w:rPr>
          <w:noProof/>
        </w:rPr>
        <w:t>аинтересованите страни по отношение на модернизирането на статистиката за вътресъюзната търговия със стоки (Интрастат), като този кръг бе проведен през есента на 2015 г. и през първото тримесечие на 2016 г. Всеки от кръговете се състоеше от целева консулта</w:t>
      </w:r>
      <w:r>
        <w:rPr>
          <w:noProof/>
        </w:rPr>
        <w:t>ция със съставителите на данни (националните статистически органи) и обществена консултация с доставчиците на данни (предприятията). Първите два кръга включваха и обществена консултация с ползвателите на данни. Резултатите от обществената консултация са по</w:t>
      </w:r>
      <w:r>
        <w:rPr>
          <w:noProof/>
        </w:rPr>
        <w:t>дробно описани в два доклада</w:t>
      </w:r>
      <w:r>
        <w:rPr>
          <w:rStyle w:val="FootnoteReference"/>
          <w:noProof/>
        </w:rPr>
        <w:footnoteReference w:id="5"/>
      </w:r>
      <w:r>
        <w:rPr>
          <w:noProof/>
        </w:rPr>
        <w:t>.</w:t>
      </w:r>
    </w:p>
    <w:p w:rsidR="00242E09" w:rsidRDefault="00CE46B8">
      <w:pPr>
        <w:rPr>
          <w:noProof/>
        </w:rPr>
      </w:pPr>
      <w:r>
        <w:rPr>
          <w:noProof/>
        </w:rPr>
        <w:t>Основните резултати от съответните консултации могат да бъдат обобщени, както следва:</w:t>
      </w:r>
    </w:p>
    <w:p w:rsidR="00242E09" w:rsidRDefault="00CE46B8">
      <w:pPr>
        <w:pStyle w:val="Bullet0"/>
        <w:rPr>
          <w:noProof/>
        </w:rPr>
      </w:pPr>
      <w:r>
        <w:rPr>
          <w:noProof/>
        </w:rPr>
        <w:t>Ползвателите на данни съобщават за проблеми по отношение на относимостта на наличната понастоящем бизнес статистика, и по-специално за труд</w:t>
      </w:r>
      <w:r>
        <w:rPr>
          <w:noProof/>
        </w:rPr>
        <w:t xml:space="preserve">ности при комбинирането на данни от различни области на бизнес статистиката поради несъответствия и липса на информация по теми като сектора на услугите и глобализацията. Според тях наличието на единен хармонизиран регламент би подобрил съгласуваността на </w:t>
      </w:r>
      <w:r>
        <w:rPr>
          <w:noProof/>
        </w:rPr>
        <w:t>бизнес статистиката.</w:t>
      </w:r>
    </w:p>
    <w:p w:rsidR="00242E09" w:rsidRDefault="00CE46B8">
      <w:pPr>
        <w:pStyle w:val="Bullet0"/>
        <w:rPr>
          <w:noProof/>
        </w:rPr>
      </w:pPr>
      <w:r>
        <w:rPr>
          <w:noProof/>
        </w:rPr>
        <w:t>Изготвящите данни лица (НСИ) считат за проблематично увеличението на разходите за изготвяне на статистика, свързано с изпълнението на новите изисквания по отношение на данните, които произтичат от регламента FRIBS, но с които се отгова</w:t>
      </w:r>
      <w:r>
        <w:rPr>
          <w:noProof/>
        </w:rPr>
        <w:t xml:space="preserve">ря на отдавна съществуващи потребности на ползвателите. </w:t>
      </w:r>
    </w:p>
    <w:p w:rsidR="00242E09" w:rsidRDefault="00CE46B8">
      <w:pPr>
        <w:pStyle w:val="Bullet0"/>
        <w:rPr>
          <w:noProof/>
        </w:rPr>
      </w:pPr>
      <w:r>
        <w:rPr>
          <w:noProof/>
        </w:rPr>
        <w:t>Доставчиците на данни считат за проблематично евентуалното увеличение на тежестта в резултат на допълнителни потребности от данни. От целевите консултации стана ясно, че модернизирането на статистика</w:t>
      </w:r>
      <w:r>
        <w:rPr>
          <w:noProof/>
        </w:rPr>
        <w:t xml:space="preserve">та за вътресъюзната търговия значително ще компенсира това увеличение. </w:t>
      </w:r>
    </w:p>
    <w:p w:rsidR="00242E09" w:rsidRDefault="00CE46B8">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Събиране и използване на експертни становища</w:t>
      </w:r>
    </w:p>
    <w:p w:rsidR="00242E09" w:rsidRDefault="00CE46B8">
      <w:pPr>
        <w:rPr>
          <w:noProof/>
        </w:rPr>
      </w:pPr>
      <w:r>
        <w:rPr>
          <w:noProof/>
        </w:rPr>
        <w:t xml:space="preserve">Проектът относно регламента FRIBS е обсъждан на многобройни срещи с национални експерти, занимаващи се не само с бизнес статистика, но и </w:t>
      </w:r>
      <w:r>
        <w:rPr>
          <w:noProof/>
        </w:rPr>
        <w:t xml:space="preserve">с макроикономическа статистика, както и със статистиката на националните сметки и платежния баланс. На Комитета на Европейската статистическа система (КЕСС), създаден с Регламент (ЕО) № 223/2009, редовно са представяни доклади за напредъка по проекта. </w:t>
      </w:r>
    </w:p>
    <w:p w:rsidR="00242E09" w:rsidRDefault="00CE46B8">
      <w:pPr>
        <w:rPr>
          <w:noProof/>
        </w:rPr>
      </w:pPr>
      <w:r>
        <w:rPr>
          <w:noProof/>
        </w:rPr>
        <w:lastRenderedPageBreak/>
        <w:t xml:space="preserve">Описаните по-горе консултации със заинтересованите страни, които включват ползвателите и доставчиците на данни, бяха използвани като допълнителен източник на външни данни. </w:t>
      </w:r>
    </w:p>
    <w:p w:rsidR="00242E09" w:rsidRDefault="00CE46B8">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Оценка на въздействието</w:t>
      </w:r>
    </w:p>
    <w:p w:rsidR="00242E09" w:rsidRDefault="00CE46B8">
      <w:pPr>
        <w:rPr>
          <w:noProof/>
        </w:rPr>
      </w:pPr>
      <w:r>
        <w:rPr>
          <w:noProof/>
        </w:rPr>
        <w:t xml:space="preserve">Настоящото предложение се придружава от доклад за оценка </w:t>
      </w:r>
      <w:r>
        <w:rPr>
          <w:noProof/>
        </w:rPr>
        <w:t>на въздействието, в който са набелязани проблемите, разглеждат се различни варианти на политиката за справяне с тях и на последно място се прави оценка на въздействието на различните варианти на политиката.</w:t>
      </w:r>
    </w:p>
    <w:p w:rsidR="00242E09" w:rsidRDefault="00CE46B8">
      <w:pPr>
        <w:rPr>
          <w:noProof/>
        </w:rPr>
      </w:pPr>
      <w:r>
        <w:rPr>
          <w:noProof/>
        </w:rPr>
        <w:t>През юни 2016 г. Комитетът за регулаторен контрол</w:t>
      </w:r>
      <w:r>
        <w:rPr>
          <w:noProof/>
        </w:rPr>
        <w:t xml:space="preserve"> даде положително становище по доклада за оценка на въздействието (</w:t>
      </w:r>
      <w:hyperlink r:id="rId11" w:anchor="estat">
        <w:r>
          <w:rPr>
            <w:rStyle w:val="Hyperlink"/>
            <w:noProof/>
          </w:rPr>
          <w:t>http://ec.europa.eu/smart-regulation/impact/ia_carried_out/cia_2016_en.htm#estat</w:t>
        </w:r>
      </w:hyperlink>
      <w:r>
        <w:rPr>
          <w:noProof/>
        </w:rPr>
        <w:t>).</w:t>
      </w:r>
    </w:p>
    <w:p w:rsidR="00242E09" w:rsidRDefault="00CE46B8">
      <w:pPr>
        <w:rPr>
          <w:noProof/>
        </w:rPr>
      </w:pPr>
      <w:r>
        <w:rPr>
          <w:noProof/>
        </w:rPr>
        <w:t>В</w:t>
      </w:r>
      <w:r>
        <w:rPr>
          <w:noProof/>
        </w:rPr>
        <w:t xml:space="preserve"> оценката на въздействието бяха установени два източника на проблеми:</w:t>
      </w:r>
    </w:p>
    <w:p w:rsidR="00242E09" w:rsidRDefault="00CE46B8">
      <w:pPr>
        <w:rPr>
          <w:noProof/>
        </w:rPr>
      </w:pPr>
      <w:r>
        <w:rPr>
          <w:noProof/>
        </w:rPr>
        <w:t>1)</w:t>
      </w:r>
      <w:r>
        <w:rPr>
          <w:noProof/>
        </w:rPr>
        <w:tab/>
        <w:t>ограничената относимост и способност за реагиране на европейската бизнес статистика,</w:t>
      </w:r>
    </w:p>
    <w:p w:rsidR="00242E09" w:rsidRDefault="00CE46B8">
      <w:pPr>
        <w:rPr>
          <w:noProof/>
        </w:rPr>
      </w:pPr>
      <w:r>
        <w:rPr>
          <w:noProof/>
        </w:rPr>
        <w:t>2)</w:t>
      </w:r>
      <w:r>
        <w:rPr>
          <w:noProof/>
        </w:rPr>
        <w:tab/>
        <w:t xml:space="preserve">правната разпокъсаност в областта на бизнес статистиката. </w:t>
      </w:r>
    </w:p>
    <w:p w:rsidR="00242E09" w:rsidRDefault="00CE46B8">
      <w:pPr>
        <w:rPr>
          <w:noProof/>
        </w:rPr>
      </w:pPr>
      <w:r>
        <w:rPr>
          <w:noProof/>
        </w:rPr>
        <w:t>За справяне с тези източници на проб</w:t>
      </w:r>
      <w:r>
        <w:rPr>
          <w:noProof/>
        </w:rPr>
        <w:t>леми беше извършена оценка на следните варианти:</w:t>
      </w:r>
    </w:p>
    <w:p w:rsidR="00242E09" w:rsidRDefault="00CE46B8">
      <w:pPr>
        <w:pStyle w:val="Bullet0"/>
        <w:rPr>
          <w:noProof/>
        </w:rPr>
      </w:pPr>
      <w:r>
        <w:rPr>
          <w:noProof/>
        </w:rPr>
        <w:t>вариант А (базов сценарий) — без промяна в политиката на ЕС,</w:t>
      </w:r>
    </w:p>
    <w:p w:rsidR="00242E09" w:rsidRDefault="00CE46B8">
      <w:pPr>
        <w:pStyle w:val="Bullet0"/>
        <w:rPr>
          <w:noProof/>
        </w:rPr>
      </w:pPr>
      <w:r>
        <w:rPr>
          <w:noProof/>
        </w:rPr>
        <w:t>вариант Б — изпълнение на законодателни действия, ограничени до определени области на бизнес статистиката, включително алтернативни варианти за мо</w:t>
      </w:r>
      <w:r>
        <w:rPr>
          <w:noProof/>
        </w:rPr>
        <w:t>дернизиране на Интрастат,</w:t>
      </w:r>
    </w:p>
    <w:p w:rsidR="00242E09" w:rsidRDefault="00CE46B8">
      <w:pPr>
        <w:pStyle w:val="Bullet0"/>
        <w:rPr>
          <w:noProof/>
        </w:rPr>
      </w:pPr>
      <w:r>
        <w:rPr>
          <w:noProof/>
        </w:rPr>
        <w:t>вариант В — модернизиране на бизнес статистиката в единната рамка (FRIBS), като се използва комбинация от мерки, включително алтернативни варианти за модернизиране на Интрастат.</w:t>
      </w:r>
    </w:p>
    <w:p w:rsidR="00242E09" w:rsidRDefault="00CE46B8">
      <w:pPr>
        <w:rPr>
          <w:noProof/>
        </w:rPr>
      </w:pPr>
      <w:r>
        <w:rPr>
          <w:noProof/>
        </w:rPr>
        <w:t>Въз основа на оценката на въздействието вариант А не</w:t>
      </w:r>
      <w:r>
        <w:rPr>
          <w:noProof/>
        </w:rPr>
        <w:t xml:space="preserve"> изглежда приемлив, тъй като отговорните за изготвянето на политиката лица и ползвателите на данни биха изпитвали все по-голяма неудовлетвореност от разпространяваните данни и биха потърсили други източници на данни.</w:t>
      </w:r>
    </w:p>
    <w:p w:rsidR="00242E09" w:rsidRDefault="00CE46B8">
      <w:pPr>
        <w:rPr>
          <w:noProof/>
        </w:rPr>
      </w:pPr>
      <w:r>
        <w:rPr>
          <w:noProof/>
        </w:rPr>
        <w:t>При вариант Б се правят известни усилия</w:t>
      </w:r>
      <w:r>
        <w:rPr>
          <w:noProof/>
        </w:rPr>
        <w:t xml:space="preserve"> в посока модернизиране на сегашната система на европейската бизнес статистика, по-специално за подобряване на изготвянето на данни и информационния резултат за целите на политиката и за другите ползватели. Това се отнася и за модернизирането на системата </w:t>
      </w:r>
      <w:r>
        <w:rPr>
          <w:noProof/>
        </w:rPr>
        <w:t>Интрастат, което би трябвало да доведе до намаляване на тежестта за доставчиците на данни. При този вариант обаче остават редица нерешени проблеми. На първо място, запазването на 10 отделни законодателни акта за бизнес статистиката означава, че ще са необх</w:t>
      </w:r>
      <w:r>
        <w:rPr>
          <w:noProof/>
        </w:rPr>
        <w:t>одими повече усилия за намаляване на несъответствията и за запазване на съгласуваността на данните и показателите, които ще бъдат изготвяни за ползвателите на политиката, а също така създава голямо натоварване във връзка с управлението и актуализирането на</w:t>
      </w:r>
      <w:r>
        <w:rPr>
          <w:noProof/>
        </w:rPr>
        <w:t xml:space="preserve"> тези законодателни актове. Предложените в този вариант действия за подобряване реално не създават по-голяма гъвкавост и способност за реагиране спрямо променящите се потребности на политиката и на другите ползватели. </w:t>
      </w:r>
    </w:p>
    <w:p w:rsidR="00242E09" w:rsidRDefault="00CE46B8">
      <w:pPr>
        <w:rPr>
          <w:noProof/>
        </w:rPr>
      </w:pPr>
      <w:r>
        <w:rPr>
          <w:noProof/>
        </w:rPr>
        <w:t>Вариант В е най-съвременен и в най-го</w:t>
      </w:r>
      <w:r>
        <w:rPr>
          <w:noProof/>
        </w:rPr>
        <w:t>ляма степен ориентиран към бъдещето, тъй като модернизира системата на европейската бизнес статистика, като я адаптира към бъдещите потребности. Европейската бизнес статистика ще бъде обхваната от единна правна рамка чрез регламента FRIBS, което по подразб</w:t>
      </w:r>
      <w:r>
        <w:rPr>
          <w:noProof/>
        </w:rPr>
        <w:t>иране ще гарантира много по-</w:t>
      </w:r>
      <w:r>
        <w:rPr>
          <w:noProof/>
        </w:rPr>
        <w:lastRenderedPageBreak/>
        <w:t>голяма съгласуваност на бизнес статистиката (напр. по отношение на времето на извършване на промени, хармонизирането на определенията и др.). Това дава възможност за извличането на по-големи ползи от ЕСС като цяло и в същото вре</w:t>
      </w:r>
      <w:r>
        <w:rPr>
          <w:noProof/>
        </w:rPr>
        <w:t>ме увеличава в най-голяма степен добавената стойност на ЕС. Границите между различните статистически области ще намалеят или дори да изчезнат напълно. Това съгласуване ще даде възможност да се обслужват по-добре потребностите на политиката, тъй като ще мог</w:t>
      </w:r>
      <w:r>
        <w:rPr>
          <w:noProof/>
        </w:rPr>
        <w:t>ат да бъдат разпространявани по-рационализирани показатели и комбинации от показатели. То ще доведе също така до повишаване на гъвкавостта на системата, което не е възможно при предходните два варианта. Ще може да се реагира в по-кратки срокове на новите п</w:t>
      </w:r>
      <w:r>
        <w:rPr>
          <w:noProof/>
        </w:rPr>
        <w:t>отребности на политиката, които ще могат да бъдат интегрирани в една функционираща и добре структурирана система. Освен това за разлика от вариант Б, при този предпочитан вариант В разходите за адаптиране на разпространяваната статистическа информация и на</w:t>
      </w:r>
      <w:r>
        <w:rPr>
          <w:noProof/>
        </w:rPr>
        <w:t xml:space="preserve"> приложимата правна рамка се свеждат до минимум, тъй като всички необходими ревизии се извършват по по-лесен начин чрез едно действие. Най-важното предимство е това, че вариант В има значително по-голям потенциал от останалите за намаляване на тежестта вър</w:t>
      </w:r>
      <w:r>
        <w:rPr>
          <w:noProof/>
        </w:rPr>
        <w:t xml:space="preserve">ху предприятията. </w:t>
      </w:r>
    </w:p>
    <w:p w:rsidR="00242E09" w:rsidRDefault="00CE46B8">
      <w:pPr>
        <w:rPr>
          <w:noProof/>
        </w:rPr>
      </w:pPr>
      <w:r>
        <w:rPr>
          <w:noProof/>
        </w:rPr>
        <w:t>В заключение, всички тези предимства са явно основание да се избере вариант В. При него се постигат в най-голяма степен целите на програмата REFIT чрез опростяване, намаляване на прекомерната административна тежест и интегриране на разно</w:t>
      </w:r>
      <w:r>
        <w:rPr>
          <w:noProof/>
        </w:rPr>
        <w:t>родните и несъгласувани правни текстове, които в момента уреждат бизнес статистиката, в една съгласувана правна рамка.</w:t>
      </w:r>
    </w:p>
    <w:p w:rsidR="00242E09" w:rsidRDefault="00CE46B8">
      <w:pPr>
        <w:rPr>
          <w:noProof/>
        </w:rPr>
      </w:pPr>
      <w:r>
        <w:rPr>
          <w:noProof/>
        </w:rPr>
        <w:t>Макар да изрази положително становище, Комитетът за регулаторен контрол отправи три основни препоръки за подобряване на доклада за оценка</w:t>
      </w:r>
      <w:r>
        <w:rPr>
          <w:noProof/>
        </w:rPr>
        <w:t xml:space="preserve"> на въздействието. Тези препоръки са следните:</w:t>
      </w:r>
    </w:p>
    <w:p w:rsidR="00242E09" w:rsidRDefault="00CE46B8">
      <w:pPr>
        <w:pStyle w:val="ManualNumPar1"/>
        <w:rPr>
          <w:noProof/>
        </w:rPr>
      </w:pPr>
      <w:r>
        <w:rPr>
          <w:noProof/>
        </w:rPr>
        <w:t>1)</w:t>
      </w:r>
      <w:r>
        <w:rPr>
          <w:noProof/>
        </w:rPr>
        <w:tab/>
        <w:t>Диапазонът на първоначално представените и анализирани варианти беше счетен за непълен, тъй като процесът на консултации относно евентуални подварианта по отношение на модернизирането на статистиката за вът</w:t>
      </w:r>
      <w:r>
        <w:rPr>
          <w:noProof/>
        </w:rPr>
        <w:t xml:space="preserve">ресъюзната търговия продължава и след първоначалното представяне на доклада за оценка на въздействието за разглеждане от Комитета за регулаторен контрол. Евростат актуализира списъка на предложените варианти на политиката, като отрази заключенията на КЕСС </w:t>
      </w:r>
      <w:r>
        <w:rPr>
          <w:noProof/>
        </w:rPr>
        <w:t xml:space="preserve">по отношение на модернизирането на статистиката за вътресъюзната търговия. </w:t>
      </w:r>
    </w:p>
    <w:p w:rsidR="00242E09" w:rsidRDefault="00CE46B8">
      <w:pPr>
        <w:pStyle w:val="ManualNumPar1"/>
        <w:rPr>
          <w:noProof/>
        </w:rPr>
      </w:pPr>
      <w:r>
        <w:rPr>
          <w:noProof/>
        </w:rPr>
        <w:t>2)</w:t>
      </w:r>
      <w:r>
        <w:rPr>
          <w:noProof/>
        </w:rPr>
        <w:tab/>
        <w:t>Беше отправено искане за по-задълбочен анализ на възможното отражение върху бюджета в отделните държави членки и за определяне на това дали някои от тях биха се натъкнали на пов</w:t>
      </w:r>
      <w:r>
        <w:rPr>
          <w:noProof/>
        </w:rPr>
        <w:t>ече трудности при прилагането, отколкото други, и дали за тези държави членки са предвидени мерки за облекчаване на трудностите. Евростат включи допълнителни разяснения по отношение на държави, които се очаква да бъдат най-силно засегнати от промените. Осв</w:t>
      </w:r>
      <w:r>
        <w:rPr>
          <w:noProof/>
        </w:rPr>
        <w:t>ен това бяха дадени някои примери за предвидени опростявания за по-малките държави и за предлагания от регламента FRIBS потенциал за рационализиране и модернизиране, който създава възможности за намаляване на разходите в бъдеще. Беше обяснено също така, че</w:t>
      </w:r>
      <w:r>
        <w:rPr>
          <w:noProof/>
        </w:rPr>
        <w:t xml:space="preserve"> е предвидено финансиране (в рамките на наличния бюджет) за действия за разработване на нови събирания на данни. </w:t>
      </w:r>
    </w:p>
    <w:p w:rsidR="00242E09" w:rsidRDefault="00CE46B8">
      <w:pPr>
        <w:pStyle w:val="ManualNumPar1"/>
        <w:rPr>
          <w:noProof/>
        </w:rPr>
      </w:pPr>
      <w:r>
        <w:rPr>
          <w:noProof/>
        </w:rPr>
        <w:t>3)</w:t>
      </w:r>
      <w:r>
        <w:rPr>
          <w:noProof/>
        </w:rPr>
        <w:tab/>
        <w:t xml:space="preserve">Беше отправено искане за по-задълбочен анализ на въздействието на административната тежест върху доставчиците на данни с по-ясно изразена </w:t>
      </w:r>
      <w:r>
        <w:rPr>
          <w:noProof/>
        </w:rPr>
        <w:t xml:space="preserve">насоченост към МСП и в същото време да се посочат всички мерки, които се </w:t>
      </w:r>
      <w:r>
        <w:rPr>
          <w:noProof/>
        </w:rPr>
        <w:lastRenderedPageBreak/>
        <w:t>предвижда да бъдат взети за защита на МСП от нарасналата административна тежест. Евростат поясни въздействието на административната тежест върху доставчиците на данни. Някои от допълн</w:t>
      </w:r>
      <w:r>
        <w:rPr>
          <w:noProof/>
        </w:rPr>
        <w:t xml:space="preserve">ителните изисквания по отношение на данните, с които се отговаря на отдавна съществуващата потребност на конкретни ползватели да се даде възможност за наблюдение на действията на политиката по отношение на МСП, действително биха увеличили тежестта за МСП. </w:t>
      </w:r>
      <w:r>
        <w:rPr>
          <w:noProof/>
        </w:rPr>
        <w:t>Бяха дадени някои примери за това, че в много области на бизнес статистиката се прилагат специални мерки, за да се гарантира, че МСП са защитени от прекомерна тежест и че съставителите на данни ще положат специални усилия за намаляване до минимум на тежест</w:t>
      </w:r>
      <w:r>
        <w:rPr>
          <w:noProof/>
        </w:rPr>
        <w:t>та за МСП вследствие на тези нови изисквания по отношение на данните.</w:t>
      </w:r>
    </w:p>
    <w:p w:rsidR="00242E09" w:rsidRDefault="00CE46B8">
      <w:pPr>
        <w:rPr>
          <w:noProof/>
        </w:rPr>
      </w:pPr>
      <w:r>
        <w:rPr>
          <w:noProof/>
        </w:rPr>
        <w:t>След одобрението на доклада за оценка на въздействието беше взето решение, вследствие на становището от септември 2016 г. на Комитета по парична и финансова статистика и статистика на пл</w:t>
      </w:r>
      <w:r>
        <w:rPr>
          <w:noProof/>
        </w:rPr>
        <w:t>атежния баланс, преките чуждестранни инвестиции (ПЧИ) да бъдат изключени от обхвата на регламента FRIBS, тъй като връзката на ПЧИ с бизнес статистиката е по-слабо изразена, отколкото тази на статистиката за международната търговия с услуги, която понастоящ</w:t>
      </w:r>
      <w:r>
        <w:rPr>
          <w:noProof/>
        </w:rPr>
        <w:t>ем също попада в обхвата на Регламента за платежния баланс</w:t>
      </w:r>
      <w:r>
        <w:rPr>
          <w:rStyle w:val="FootnoteReference"/>
          <w:noProof/>
        </w:rPr>
        <w:footnoteReference w:id="6"/>
      </w:r>
      <w:r>
        <w:rPr>
          <w:noProof/>
        </w:rPr>
        <w:t>. Поради това изискванията по отношение на ПЧИ ще останат в обхвата на последно посочения регламент.</w:t>
      </w:r>
      <w:r>
        <w:rPr>
          <w:rStyle w:val="CommentReference"/>
          <w:noProof/>
        </w:rPr>
        <w:t xml:space="preserve"> </w:t>
      </w:r>
      <w:r>
        <w:rPr>
          <w:noProof/>
        </w:rPr>
        <w:t>Това обаче не променя заключенията от доклада за оценка на въздействието.</w:t>
      </w:r>
    </w:p>
    <w:p w:rsidR="00242E09" w:rsidRDefault="00CE46B8">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Пригодност и опростя</w:t>
      </w:r>
      <w:r>
        <w:rPr>
          <w:noProof/>
          <w:color w:val="000000"/>
          <w:bdr w:val="none" w:sz="0" w:space="0" w:color="auto" w:frame="1"/>
        </w:rPr>
        <w:t>ване на законодателството</w:t>
      </w:r>
    </w:p>
    <w:p w:rsidR="00242E09" w:rsidRDefault="00CE46B8">
      <w:pPr>
        <w:rPr>
          <w:noProof/>
        </w:rPr>
      </w:pPr>
      <w:r>
        <w:rPr>
          <w:noProof/>
        </w:rPr>
        <w:t>Предложението е в съответствие с целите на програма REFIT за опростяване, по-конкретно поради това, че с него десет регламента се интегрират в една единствена регулаторна рамка и се намалява тежестта за предприятията, особено за М</w:t>
      </w:r>
      <w:r>
        <w:rPr>
          <w:noProof/>
        </w:rPr>
        <w:t>СП. Също така бяха изцяло взети предвид и проверени разходите за изпълнение.</w:t>
      </w:r>
    </w:p>
    <w:p w:rsidR="00242E09" w:rsidRDefault="00CE46B8">
      <w:pPr>
        <w:rPr>
          <w:noProof/>
        </w:rPr>
      </w:pPr>
      <w:r>
        <w:rPr>
          <w:noProof/>
        </w:rPr>
        <w:t xml:space="preserve">Макар че държавите членки се насърчават да използват във възможно най-голяма степен административни и иновативни източници, различни от изследванията, включително нови методи или </w:t>
      </w:r>
      <w:r>
        <w:rPr>
          <w:noProof/>
        </w:rPr>
        <w:t>иновативни подходи, мерките за посрещане на новите потребности на ползвателите действително увеличават тежестта за респондентите. Ползите от опростяването обаче значително надхвърлят тази допълнителна тежест, особено в областта на статистиката за вътресъюз</w:t>
      </w:r>
      <w:r>
        <w:rPr>
          <w:noProof/>
        </w:rPr>
        <w:t>ната търговия. Като цяло се очаква регламентът FRIBS да доведе до намаляване на административната тежест за предприятията в размер на най-малко 13,5 % годишно.</w:t>
      </w:r>
    </w:p>
    <w:p w:rsidR="00242E09" w:rsidRDefault="00CE46B8">
      <w:pPr>
        <w:rPr>
          <w:noProof/>
        </w:rPr>
      </w:pPr>
      <w:r>
        <w:rPr>
          <w:noProof/>
        </w:rPr>
        <w:t>Възможно е някои от допълнителните изисквания по отношение на данните по регламента FRIBS да уве</w:t>
      </w:r>
      <w:r>
        <w:rPr>
          <w:noProof/>
        </w:rPr>
        <w:t>личат тежестта за МСП, особено тези, които се отнасят до разширяването на обхвата на бизнес статистиката, за да се включат свързаните с предоставянето на услуги дейности, които преди това не са били обхванати. Това обаче е отчасти последица от мерките в от</w:t>
      </w:r>
      <w:r>
        <w:rPr>
          <w:noProof/>
        </w:rPr>
        <w:t>говор на отдавна съществуващата потребност на конкретни ползватели да се даде възможност за наблюдение на европейските и националните действия на политиката по отношение на МСП, за които понастоящем липсва достатъчно информация, тъй като някои свързани с п</w:t>
      </w:r>
      <w:r>
        <w:rPr>
          <w:noProof/>
        </w:rPr>
        <w:t xml:space="preserve">редоставянето на услуги дейности, предлагани и от МСП, все още не са обхванати. С цел да се ограничи допълнителната тежест, съставителите на данни се насърчават да използват във възможно най-голяма степен съществуващи административни данни (напр. от </w:t>
      </w:r>
      <w:r>
        <w:rPr>
          <w:noProof/>
        </w:rPr>
        <w:lastRenderedPageBreak/>
        <w:t>данъчн</w:t>
      </w:r>
      <w:r>
        <w:rPr>
          <w:noProof/>
        </w:rPr>
        <w:t xml:space="preserve">ите органи), за да отговорят на това искане за данни и да сведат до минимум използването на изследвания, особено за МСП. </w:t>
      </w:r>
    </w:p>
    <w:p w:rsidR="00242E09" w:rsidRDefault="00CE46B8">
      <w:pPr>
        <w:rPr>
          <w:noProof/>
        </w:rPr>
      </w:pPr>
      <w:r>
        <w:rPr>
          <w:noProof/>
        </w:rPr>
        <w:t xml:space="preserve">Предвидените с регламента FRIBS опростявания в областта на статистиката за вътресъюзната търговията биха могли да намалят тежестта за </w:t>
      </w:r>
      <w:r>
        <w:rPr>
          <w:noProof/>
        </w:rPr>
        <w:t>МСП. Винаги обаче ще има отделни МСП, за които е възможно тежестта да не намалее и дори да се увеличи. Действително, въпреки че обикновено може да се очаква да има някакво съответствие между размера на предприятието и неговия обем на търговията, е възможно</w:t>
      </w:r>
      <w:r>
        <w:rPr>
          <w:noProof/>
        </w:rPr>
        <w:t xml:space="preserve"> малките предприятия да генерират големи търговски обеми, а големите предприятия да извършват незначителна търговска дейност или изобщо да не извършват търговска дейност. </w:t>
      </w:r>
    </w:p>
    <w:p w:rsidR="00242E09" w:rsidRDefault="00CE46B8">
      <w:pPr>
        <w:rPr>
          <w:noProof/>
        </w:rPr>
      </w:pPr>
      <w:r>
        <w:rPr>
          <w:noProof/>
        </w:rPr>
        <w:t>Предложението е в съответствие със становището на платформата REFIT относно статисти</w:t>
      </w:r>
      <w:r>
        <w:rPr>
          <w:noProof/>
        </w:rPr>
        <w:t>ката за инвестициите за опазване на околната среда, което съдържа препоръка от страна на по-голямата част от правителствената група и на някои от членовете на групата на заинтересованите страни Комисията да продължи своята оценка за припокриващи се изисква</w:t>
      </w:r>
      <w:r>
        <w:rPr>
          <w:noProof/>
        </w:rPr>
        <w:t>ния за отчитане по Регламент (ЕО) № 250/2009 на Комисията (в областта на структурната бизнес статистика) и Регламент (ЕС) № 691/2011 относно сметките за околната среда и да замени регламента относно структурната бизнес статистика с новия рамков регламент з</w:t>
      </w:r>
      <w:r>
        <w:rPr>
          <w:noProof/>
        </w:rPr>
        <w:t xml:space="preserve">а интегриране на бизнес статистиката (FRIBS). </w:t>
      </w:r>
    </w:p>
    <w:p w:rsidR="00242E09" w:rsidRDefault="00CE46B8">
      <w:pPr>
        <w:rPr>
          <w:noProof/>
        </w:rPr>
      </w:pPr>
      <w:r>
        <w:rPr>
          <w:noProof/>
        </w:rPr>
        <w:t>Становището на платформата потвърждава констатациите на Комисията, че е налице двойно отчитане. За да се реши този проблем, предложението за регламента FRIBS не включва аспектите на сметките за разходите за оп</w:t>
      </w:r>
      <w:r>
        <w:rPr>
          <w:noProof/>
        </w:rPr>
        <w:t>азване на околната среда, които по този начин ще останат в обхвата единствено на регламента относно сметките за околната среда (Регламент (ЕС) № 691/2011). Поради това няма да има припокриване/двойно отчитане.</w:t>
      </w:r>
    </w:p>
    <w:p w:rsidR="00242E09" w:rsidRDefault="00CE46B8">
      <w:pPr>
        <w:rPr>
          <w:noProof/>
        </w:rPr>
      </w:pPr>
      <w:r>
        <w:rPr>
          <w:noProof/>
        </w:rPr>
        <w:t xml:space="preserve">Предложението е в съответствие и с „цифровата </w:t>
      </w:r>
      <w:r>
        <w:rPr>
          <w:noProof/>
        </w:rPr>
        <w:t>проверка“, като насърчава оперативната съвместимост и възможността за повторно използване чрез използване на едни и същи технически спецификации за масивите от данни и едни и същи стандарти за предаване на данни и метаданни и за обмен и споделяне на информ</w:t>
      </w:r>
      <w:r>
        <w:rPr>
          <w:noProof/>
        </w:rPr>
        <w:t xml:space="preserve">ация между Евростат и държавите членки. </w:t>
      </w:r>
    </w:p>
    <w:p w:rsidR="00242E09" w:rsidRDefault="00CE46B8">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Основни права</w:t>
      </w:r>
    </w:p>
    <w:p w:rsidR="00242E09" w:rsidRDefault="00CE46B8">
      <w:pPr>
        <w:rPr>
          <w:noProof/>
        </w:rPr>
      </w:pPr>
      <w:r>
        <w:rPr>
          <w:noProof/>
        </w:rPr>
        <w:t xml:space="preserve">Предложението не оказва въздействие върху защитата на основните права. </w:t>
      </w:r>
    </w:p>
    <w:p w:rsidR="00242E09" w:rsidRDefault="00CE46B8">
      <w:pPr>
        <w:pStyle w:val="ManualHeading1"/>
        <w:rPr>
          <w:noProof/>
          <w:color w:val="000000"/>
        </w:rPr>
      </w:pPr>
      <w:r>
        <w:rPr>
          <w:noProof/>
          <w:color w:val="000000"/>
        </w:rPr>
        <w:t>4.</w:t>
      </w:r>
      <w:r>
        <w:rPr>
          <w:noProof/>
        </w:rPr>
        <w:tab/>
      </w:r>
      <w:r>
        <w:rPr>
          <w:noProof/>
          <w:color w:val="000000"/>
        </w:rPr>
        <w:t>ОТРАЖЕНИЕ ВЪРХУ БЮДЖЕТА</w:t>
      </w:r>
    </w:p>
    <w:p w:rsidR="00242E09" w:rsidRDefault="00CE46B8">
      <w:pPr>
        <w:rPr>
          <w:noProof/>
        </w:rPr>
      </w:pPr>
      <w:r>
        <w:rPr>
          <w:noProof/>
        </w:rPr>
        <w:t xml:space="preserve">Финансовото отражение на предложението е с неограничен срок на действие с период на започване на </w:t>
      </w:r>
      <w:r>
        <w:rPr>
          <w:noProof/>
        </w:rPr>
        <w:t xml:space="preserve">дейност от 3 години — от 2019 г. до 2021 г. В законодателната финансова обосновка са разгледани само годините на текущата многогодишна финансова рамка (МФР). Продължаването на финансирането ще бъде обвързано с постигнатите споразумения за следващата МФР и </w:t>
      </w:r>
      <w:r>
        <w:rPr>
          <w:noProof/>
        </w:rPr>
        <w:t>с продължаването на конкретните програми, от които се предвижда финансиране.</w:t>
      </w:r>
    </w:p>
    <w:p w:rsidR="00242E09" w:rsidRDefault="00CE46B8">
      <w:pPr>
        <w:rPr>
          <w:noProof/>
        </w:rPr>
      </w:pPr>
      <w:r>
        <w:rPr>
          <w:noProof/>
        </w:rPr>
        <w:t>За 2019 г. и 2020 г. финансирането ще бъде от съществуващите финансови пакети за програмите, в т.ч. 19,5 млн. евро от удължаването на Европейската статистическа програма до 2019 г</w:t>
      </w:r>
      <w:r>
        <w:rPr>
          <w:noProof/>
        </w:rPr>
        <w:t>. и 2020 г., и не е необходимо допълнително финансиране.</w:t>
      </w:r>
    </w:p>
    <w:p w:rsidR="00242E09" w:rsidRDefault="00CE46B8">
      <w:pPr>
        <w:rPr>
          <w:noProof/>
        </w:rPr>
      </w:pPr>
      <w:r>
        <w:rPr>
          <w:noProof/>
        </w:rPr>
        <w:t xml:space="preserve">Общите бюджетни кредити за 2019 г. и 2020 г. се оценяват на 46,453 млн. евро. Отражението върху бюджета е представено по-подробно в законодателната финансова обосновка. </w:t>
      </w:r>
    </w:p>
    <w:p w:rsidR="00242E09" w:rsidRDefault="00CE46B8">
      <w:pPr>
        <w:pStyle w:val="ManualHeading1"/>
        <w:rPr>
          <w:noProof/>
          <w:color w:val="000000"/>
        </w:rPr>
      </w:pPr>
      <w:r>
        <w:rPr>
          <w:noProof/>
          <w:color w:val="000000"/>
        </w:rPr>
        <w:lastRenderedPageBreak/>
        <w:t>5.</w:t>
      </w:r>
      <w:r>
        <w:rPr>
          <w:noProof/>
        </w:rPr>
        <w:tab/>
      </w:r>
      <w:r>
        <w:rPr>
          <w:noProof/>
          <w:color w:val="000000"/>
        </w:rPr>
        <w:t>ДРУГИ ЕЛЕМЕНТИ</w:t>
      </w:r>
    </w:p>
    <w:p w:rsidR="00242E09" w:rsidRDefault="00CE46B8">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Планове з</w:t>
      </w:r>
      <w:r>
        <w:rPr>
          <w:noProof/>
          <w:color w:val="000000"/>
          <w:bdr w:val="none" w:sz="0" w:space="0" w:color="auto" w:frame="1"/>
        </w:rPr>
        <w:t>а изпълнение и механизъм за наблюдение, оценка и докладване</w:t>
      </w:r>
    </w:p>
    <w:p w:rsidR="00242E09" w:rsidRDefault="00CE46B8">
      <w:pPr>
        <w:rPr>
          <w:noProof/>
        </w:rPr>
      </w:pPr>
      <w:r>
        <w:rPr>
          <w:noProof/>
        </w:rPr>
        <w:t>Очаква се предложеният регламент да бъде приет от Европейския парламент и от Съвета през 2017 г. или 2018 г., а мерките за изпълнение да бъдат приети от Комисията малко след това. Първото предаван</w:t>
      </w:r>
      <w:r>
        <w:rPr>
          <w:noProof/>
        </w:rPr>
        <w:t>е на данни по новия регламент се очаква през 2019 г.</w:t>
      </w:r>
    </w:p>
    <w:p w:rsidR="00242E09" w:rsidRDefault="00CE46B8">
      <w:pPr>
        <w:rPr>
          <w:noProof/>
        </w:rPr>
      </w:pPr>
      <w:r>
        <w:rPr>
          <w:noProof/>
        </w:rPr>
        <w:t>Предложеният законодателен инструмент ще бъде обект на изчерпателна оценка по петте критерия за оценка от Насоките за по-добро регулиране, за да се определи, наред с другото, неговата ефективност и ефика</w:t>
      </w:r>
      <w:r>
        <w:rPr>
          <w:noProof/>
        </w:rPr>
        <w:t>сност по отношение на постигането на целите и да се прецени дали са необходими нови мерки или изменения. За тази цел ще бъде наблюдаван списък от ключови показатели за изпълнение за бизнес статистиката.</w:t>
      </w:r>
    </w:p>
    <w:p w:rsidR="00242E09" w:rsidRDefault="00CE46B8">
      <w:pPr>
        <w:rPr>
          <w:noProof/>
        </w:rPr>
      </w:pPr>
      <w:r>
        <w:rPr>
          <w:noProof/>
        </w:rPr>
        <w:t>Важно е да се вземат предвид съществуващите към момен</w:t>
      </w:r>
      <w:r>
        <w:rPr>
          <w:noProof/>
        </w:rPr>
        <w:t>та инструменти за наблюдение и оценка, които важат за цялата изготвяна от Евростат статистика и вече дават възможност за добър анализ на промените в ефективността и ефикасността на новата статистическа инициатива и на качеството на изготвяните данни. Те се</w:t>
      </w:r>
      <w:r>
        <w:rPr>
          <w:noProof/>
        </w:rPr>
        <w:t xml:space="preserve"> състоят от систематична междинна и окончателна оценка на Европейската статистическа програма по петте критерия за оценка от Насоките за по-добро регулиране. Бизнес статистиката е неразделна част от тези механизми за докладване, последващите действия по от</w:t>
      </w:r>
      <w:r>
        <w:rPr>
          <w:noProof/>
        </w:rPr>
        <w:t>ношение на ключовите показатели за изпълнение от плана за управление на Евростат и редовните изследвания за удовлетвореността на ползвателите.</w:t>
      </w:r>
    </w:p>
    <w:p w:rsidR="00242E09" w:rsidRDefault="00CE46B8">
      <w:pPr>
        <w:rPr>
          <w:noProof/>
        </w:rPr>
      </w:pPr>
      <w:r>
        <w:rPr>
          <w:noProof/>
        </w:rPr>
        <w:t>Всяка статистическа област се наблюдава и посредством редовно изготвяни от държавите членки и анализирани от Евро</w:t>
      </w:r>
      <w:r>
        <w:rPr>
          <w:noProof/>
        </w:rPr>
        <w:t xml:space="preserve">стат доклади за качеството като част от рамката за осигуряване на качеството на статистическите данни. </w:t>
      </w:r>
    </w:p>
    <w:p w:rsidR="00242E09" w:rsidRDefault="00CE46B8">
      <w:pPr>
        <w:rPr>
          <w:noProof/>
        </w:rPr>
      </w:pPr>
      <w:r>
        <w:rPr>
          <w:noProof/>
        </w:rPr>
        <w:t xml:space="preserve">Освен това ще бъдат наблюдавани разходните елементи. За това ще е необходима подобрена и хармонизирана рамка за разходна отчетност за цялата ЕСС, която </w:t>
      </w:r>
      <w:r>
        <w:rPr>
          <w:noProof/>
        </w:rPr>
        <w:t>идентифицира етапите на изготвяне на статистически данни. Работата по този въпрос продължава и се очаква да приключи навреме, за да се даде възможност за наблюдение на свързаните с регламента FRIBS разходи след влизането му в сила.</w:t>
      </w:r>
    </w:p>
    <w:p w:rsidR="00242E09" w:rsidRDefault="00CE46B8">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Подробно разяснение на</w:t>
      </w:r>
      <w:r>
        <w:rPr>
          <w:noProof/>
          <w:color w:val="000000"/>
          <w:bdr w:val="none" w:sz="0" w:space="0" w:color="auto" w:frame="1"/>
        </w:rPr>
        <w:t xml:space="preserve"> отделните разпоредби на предложението</w:t>
      </w:r>
    </w:p>
    <w:p w:rsidR="00242E09" w:rsidRDefault="00CE46B8">
      <w:pPr>
        <w:rPr>
          <w:noProof/>
        </w:rPr>
      </w:pPr>
      <w:r>
        <w:rPr>
          <w:noProof/>
        </w:rPr>
        <w:t>Предложеният регламент се състои от 23 члена и три приложения.</w:t>
      </w:r>
    </w:p>
    <w:p w:rsidR="00242E09" w:rsidRDefault="00CE46B8">
      <w:pPr>
        <w:rPr>
          <w:noProof/>
        </w:rPr>
      </w:pPr>
      <w:r>
        <w:rPr>
          <w:noProof/>
        </w:rPr>
        <w:t>Глава I, включваща членове 1 — 3, съдържа общите разпоредби. В член 1 се определя предметът на регламента. Използваните в регламента основни понятия са оп</w:t>
      </w:r>
      <w:r>
        <w:rPr>
          <w:noProof/>
        </w:rPr>
        <w:t xml:space="preserve">ределени в член 2. В член 3 се определя допълнително обхватът както на бизнес статистиката, така и на Европейската мрежа на статистическите бизнес регистри. </w:t>
      </w:r>
    </w:p>
    <w:p w:rsidR="00242E09" w:rsidRDefault="00CE46B8">
      <w:pPr>
        <w:rPr>
          <w:noProof/>
        </w:rPr>
      </w:pPr>
      <w:r>
        <w:rPr>
          <w:noProof/>
        </w:rPr>
        <w:t>Глава II съдържа членове 5 и 6 и се отнася за източниците на данни, които могат да се използват за</w:t>
      </w:r>
      <w:r>
        <w:rPr>
          <w:noProof/>
        </w:rPr>
        <w:t xml:space="preserve"> бизнес статистиката и за статистическите бизнес регистри. Предложението позволява и насърчава използването на нови форми на събиране на данни и на алтернативни източници на данни, което включва административни данни и други източници, като например оценки</w:t>
      </w:r>
      <w:r>
        <w:rPr>
          <w:noProof/>
        </w:rPr>
        <w:t xml:space="preserve"> чрез моделиране или използване на големи масиви от данни. Ролята на последните е допълнително определена в член 4. </w:t>
      </w:r>
    </w:p>
    <w:p w:rsidR="00242E09" w:rsidRDefault="00CE46B8">
      <w:pPr>
        <w:rPr>
          <w:noProof/>
        </w:rPr>
      </w:pPr>
      <w:r>
        <w:rPr>
          <w:noProof/>
        </w:rPr>
        <w:t xml:space="preserve">Глава III се отнася за бизнес статистиката. Бизнес статистиката обхваща изброените в член 6 тематични области и теми, за които с член 7 на </w:t>
      </w:r>
      <w:r>
        <w:rPr>
          <w:noProof/>
        </w:rPr>
        <w:t>Комисията се предоставя правомощието да приема мерки за изпълнение по отношение на техническите спецификации на масивите от данни. Тематичните области, темите и на подробните теми, които трябва да бъдат предоставяни, са изброени в приложение I. В приложени</w:t>
      </w:r>
      <w:r>
        <w:rPr>
          <w:noProof/>
        </w:rPr>
        <w:t xml:space="preserve">е II се определя периодичността, с която темите трябва да бъдат предоставяни. Комисията ще може чрез делегирани актове да опише подробно </w:t>
      </w:r>
      <w:r>
        <w:rPr>
          <w:noProof/>
        </w:rPr>
        <w:lastRenderedPageBreak/>
        <w:t>подтемите и характеристиките на динамичните теми „Използване на ИКТ и електронна търговия“, „Иновации“ и „Глобални вери</w:t>
      </w:r>
      <w:r>
        <w:rPr>
          <w:noProof/>
        </w:rPr>
        <w:t xml:space="preserve">ги за създаване на стойност“. Подробните теми, включени в приложение I, също могат да бъдат изменяни посредством делегиран акт в рамките на определените в предпазните клаузи ограничения. </w:t>
      </w:r>
    </w:p>
    <w:p w:rsidR="00242E09" w:rsidRDefault="00CE46B8">
      <w:pPr>
        <w:rPr>
          <w:noProof/>
        </w:rPr>
      </w:pPr>
      <w:r>
        <w:rPr>
          <w:noProof/>
        </w:rPr>
        <w:t>Глава IV включва 3 члена, свързани с бизнес регистрите. Европейската</w:t>
      </w:r>
      <w:r>
        <w:rPr>
          <w:noProof/>
        </w:rPr>
        <w:t xml:space="preserve"> мрежа на статистическите бизнес регистри се създава с член 8. В член 9 се определят изискванията за Европейската мрежа на статистическите бизнес регистри. В приложение III допълнително се конкретизират елементите на Европейската мрежа на статистическите б</w:t>
      </w:r>
      <w:r>
        <w:rPr>
          <w:noProof/>
        </w:rPr>
        <w:t>изнес регистри (характеристиките на регистрите, уникалният идентификатор, сроковете и периодичността). Характеристиките на регистрите могат да бъдат допълнително уточнявани чрез актове за изпълнение. Член 10 съдържа разпоредби относно обмена на поверителни</w:t>
      </w:r>
      <w:r>
        <w:rPr>
          <w:noProof/>
        </w:rPr>
        <w:t xml:space="preserve"> данни и достъпа до такива данни за целите на Европейската мрежа на статистическите бизнес регистри. На Комисията се предоставя правомощието да приема мерки за прилагане по отношение на обмена на поверителни данни за целите на Европейската мрежа на статист</w:t>
      </w:r>
      <w:r>
        <w:rPr>
          <w:noProof/>
        </w:rPr>
        <w:t>ическите бизнес регистри.</w:t>
      </w:r>
    </w:p>
    <w:p w:rsidR="00242E09" w:rsidRDefault="00CE46B8">
      <w:pPr>
        <w:rPr>
          <w:noProof/>
        </w:rPr>
      </w:pPr>
      <w:r>
        <w:rPr>
          <w:noProof/>
        </w:rPr>
        <w:t>Глава V съдържа 5 члена, отнасящи се до обмена на поверителни данни за целите на статистиката за вътресъюзната търговия със стоки. В член 11 се определят принципите за обмен на данни и метаданни за целите на тази статистика. В чле</w:t>
      </w:r>
      <w:r>
        <w:rPr>
          <w:noProof/>
        </w:rPr>
        <w:t>н 12 се уточнява статистическата информация, която подлежи на обмен, а в член 13 са посочени елементите на статистическите данни. С разпоредбите на член 14 се урежда защитата на обменяните поверителни данни, а с член 15 — достъпът до обменяните поверителни</w:t>
      </w:r>
      <w:r>
        <w:rPr>
          <w:noProof/>
        </w:rPr>
        <w:t xml:space="preserve"> данни за научни цели. </w:t>
      </w:r>
    </w:p>
    <w:p w:rsidR="00242E09" w:rsidRDefault="00CE46B8">
      <w:pPr>
        <w:rPr>
          <w:noProof/>
        </w:rPr>
      </w:pPr>
      <w:r>
        <w:rPr>
          <w:noProof/>
        </w:rPr>
        <w:t>В глава VI се прегрупират три члена относно качеството, предаването и разпространението: докладване за качеството на данните и за метаданните (член 16), предаване на данните и метаданните (член 17) и поверителност по отношение на ра</w:t>
      </w:r>
      <w:r>
        <w:rPr>
          <w:noProof/>
        </w:rPr>
        <w:t xml:space="preserve">зпространението на статистически данни за международната търговия със стоки (член 18). </w:t>
      </w:r>
    </w:p>
    <w:p w:rsidR="00242E09" w:rsidRDefault="00CE46B8">
      <w:pPr>
        <w:rPr>
          <w:noProof/>
        </w:rPr>
      </w:pPr>
      <w:r>
        <w:rPr>
          <w:noProof/>
        </w:rPr>
        <w:t>Предложението обхваща други важни елементи от модернизирането на европейската бизнес статистика в глава VII:</w:t>
      </w:r>
    </w:p>
    <w:p w:rsidR="00242E09" w:rsidRDefault="00CE46B8">
      <w:pPr>
        <w:pStyle w:val="Bullet0"/>
        <w:rPr>
          <w:noProof/>
        </w:rPr>
      </w:pPr>
      <w:r>
        <w:rPr>
          <w:noProof/>
        </w:rPr>
        <w:t>създаването на пилотни проучвания, за да се прецени доколко</w:t>
      </w:r>
      <w:r>
        <w:rPr>
          <w:noProof/>
        </w:rPr>
        <w:t xml:space="preserve"> необходимо и осъществимо е да се извършват нови събирания на данни и да се внасят подобрения в масивите от данни (член 19),</w:t>
      </w:r>
    </w:p>
    <w:p w:rsidR="00242E09" w:rsidRDefault="00CE46B8">
      <w:pPr>
        <w:pStyle w:val="Bullet0"/>
        <w:rPr>
          <w:noProof/>
        </w:rPr>
      </w:pPr>
      <w:r>
        <w:rPr>
          <w:noProof/>
        </w:rPr>
        <w:t>разпоредбите за финансово подпомагане на държавите членки при определени условия (член 20).</w:t>
      </w:r>
    </w:p>
    <w:p w:rsidR="00242E09" w:rsidRDefault="00CE46B8">
      <w:pPr>
        <w:rPr>
          <w:noProof/>
        </w:rPr>
      </w:pPr>
      <w:r>
        <w:rPr>
          <w:noProof/>
        </w:rPr>
        <w:t xml:space="preserve">В последната глава регламентът съдържа </w:t>
      </w:r>
      <w:r>
        <w:rPr>
          <w:noProof/>
        </w:rPr>
        <w:t>разпоредби относно упражняването на делегирането (член 21) в съответствие с Междуинституционалното споразумение за по-добро законотворчество от април 2016 г., процедурата на комитет (член 22) и сътрудничеството с други комитети (член 23), както и разпоредб</w:t>
      </w:r>
      <w:r>
        <w:rPr>
          <w:noProof/>
        </w:rPr>
        <w:t>и относно дерогации, с които на някои държави членки ще се даде повече време за адаптиране към новите изисквания (член 24). Тази глава съдържа и разпоредба за изменение на един регламент (член 25), подробности за което са дадени в приложение IV, както и за</w:t>
      </w:r>
      <w:r>
        <w:rPr>
          <w:noProof/>
        </w:rPr>
        <w:t xml:space="preserve"> отмяна на десет действащи акта, които се заменят с предложения рамков регламент (член 26).</w:t>
      </w:r>
    </w:p>
    <w:p w:rsidR="00242E09" w:rsidRDefault="00242E09">
      <w:pPr>
        <w:rPr>
          <w:noProof/>
        </w:rPr>
        <w:sectPr w:rsidR="00242E09">
          <w:footerReference w:type="default" r:id="rId12"/>
          <w:footerReference w:type="first" r:id="rId13"/>
          <w:pgSz w:w="11907" w:h="16839"/>
          <w:pgMar w:top="1134" w:right="1417" w:bottom="1134" w:left="1417" w:header="709" w:footer="709" w:gutter="0"/>
          <w:cols w:space="708"/>
          <w:docGrid w:linePitch="360"/>
        </w:sectPr>
      </w:pPr>
    </w:p>
    <w:p w:rsidR="00242E09" w:rsidRDefault="00CE46B8">
      <w:pPr>
        <w:pStyle w:val="Rfrenceinterinstitutionnelle"/>
        <w:rPr>
          <w:noProof/>
        </w:rPr>
      </w:pPr>
      <w:r>
        <w:rPr>
          <w:noProof/>
        </w:rPr>
        <w:lastRenderedPageBreak/>
        <w:t>2017/0048 (COD)</w:t>
      </w:r>
    </w:p>
    <w:p w:rsidR="00242E09" w:rsidRDefault="00CE46B8">
      <w:pPr>
        <w:pStyle w:val="Statut"/>
        <w:rPr>
          <w:noProof/>
        </w:rPr>
      </w:pPr>
      <w:r>
        <w:rPr>
          <w:noProof/>
        </w:rPr>
        <w:t>Предложение за</w:t>
      </w:r>
    </w:p>
    <w:p w:rsidR="00242E09" w:rsidRDefault="00CE46B8">
      <w:pPr>
        <w:pStyle w:val="Typedudocument"/>
      </w:pPr>
      <w:r>
        <w:rPr>
          <w:noProof/>
        </w:rPr>
        <w:t xml:space="preserve">РЕГЛАМЕНТ НА ЕВРОПЕЙСКИЯ </w:t>
      </w:r>
      <w:r>
        <w:rPr>
          <w:noProof/>
        </w:rPr>
        <w:t>ПАРЛАМЕНТ И НА СЪВЕТА</w:t>
      </w:r>
    </w:p>
    <w:p w:rsidR="00242E09" w:rsidRDefault="00CE46B8">
      <w:pPr>
        <w:pStyle w:val="Titreobjet"/>
        <w:rPr>
          <w:noProof/>
        </w:rPr>
      </w:pPr>
      <w:r>
        <w:rPr>
          <w:noProof/>
        </w:rPr>
        <w:t>относно европейската бизнес статистика</w:t>
      </w:r>
      <w:r>
        <w:rPr>
          <w:noProof/>
        </w:rPr>
        <w:br/>
        <w:t>за изменение на Регламент (ЕО) № 184/2005 и за отмяна на 10 правни акта в областта на бизнес статистиката</w:t>
      </w:r>
    </w:p>
    <w:p w:rsidR="00242E09" w:rsidRDefault="00CE46B8">
      <w:pPr>
        <w:pStyle w:val="IntrtEEE"/>
        <w:rPr>
          <w:noProof/>
        </w:rPr>
      </w:pPr>
      <w:r>
        <w:rPr>
          <w:noProof/>
        </w:rPr>
        <w:t xml:space="preserve"> (текст от значение за ЕИП)</w:t>
      </w:r>
    </w:p>
    <w:p w:rsidR="00242E09" w:rsidRDefault="00CE46B8">
      <w:pPr>
        <w:pStyle w:val="Institutionquiagit"/>
        <w:rPr>
          <w:noProof/>
        </w:rPr>
      </w:pPr>
      <w:r>
        <w:rPr>
          <w:noProof/>
        </w:rPr>
        <w:t>ЕВРОПЕЙСКИЯТ ПАРЛАМЕНТ И СЪВЕТЪТ НА ЕВРОПЕЙСКИЯ СЪЮЗ,</w:t>
      </w:r>
    </w:p>
    <w:p w:rsidR="00242E09" w:rsidRDefault="00CE46B8">
      <w:pPr>
        <w:rPr>
          <w:noProof/>
        </w:rPr>
      </w:pPr>
      <w:r>
        <w:rPr>
          <w:noProof/>
        </w:rPr>
        <w:t>като вз</w:t>
      </w:r>
      <w:r>
        <w:rPr>
          <w:noProof/>
        </w:rPr>
        <w:t>еха предвид Договора за функционирането на Европейския съюз, и по-специално член 338, параграф 1 от него,</w:t>
      </w:r>
    </w:p>
    <w:p w:rsidR="00242E09" w:rsidRDefault="00CE46B8">
      <w:pPr>
        <w:rPr>
          <w:noProof/>
        </w:rPr>
      </w:pPr>
      <w:r>
        <w:rPr>
          <w:noProof/>
        </w:rPr>
        <w:t>като взеха предвид предложението на Европейската комисия,</w:t>
      </w:r>
    </w:p>
    <w:p w:rsidR="00242E09" w:rsidRDefault="00CE46B8">
      <w:pPr>
        <w:rPr>
          <w:noProof/>
        </w:rPr>
      </w:pPr>
      <w:r>
        <w:rPr>
          <w:noProof/>
        </w:rPr>
        <w:t>като взеха предвид становището на Европейската централна банка,</w:t>
      </w:r>
    </w:p>
    <w:p w:rsidR="00242E09" w:rsidRDefault="00CE46B8">
      <w:pPr>
        <w:rPr>
          <w:noProof/>
        </w:rPr>
      </w:pPr>
      <w:r>
        <w:rPr>
          <w:noProof/>
        </w:rPr>
        <w:t>след предаване на проекта на</w:t>
      </w:r>
      <w:r>
        <w:rPr>
          <w:noProof/>
        </w:rPr>
        <w:t xml:space="preserve"> законодателния акт на националните парламенти,</w:t>
      </w:r>
    </w:p>
    <w:p w:rsidR="00242E09" w:rsidRDefault="00CE46B8">
      <w:pPr>
        <w:rPr>
          <w:noProof/>
        </w:rPr>
      </w:pPr>
      <w:r>
        <w:rPr>
          <w:noProof/>
        </w:rPr>
        <w:t xml:space="preserve">в съответствие с обикновената законодателна процедура, </w:t>
      </w:r>
    </w:p>
    <w:p w:rsidR="00242E09" w:rsidRDefault="00CE46B8">
      <w:pPr>
        <w:rPr>
          <w:noProof/>
        </w:rPr>
      </w:pPr>
      <w:r>
        <w:rPr>
          <w:noProof/>
        </w:rPr>
        <w:t>като имат предвид, че:</w:t>
      </w:r>
    </w:p>
    <w:p w:rsidR="00242E09" w:rsidRDefault="00CE46B8">
      <w:pPr>
        <w:pStyle w:val="ManualConsidrant"/>
        <w:rPr>
          <w:noProof/>
        </w:rPr>
      </w:pPr>
      <w:r>
        <w:t>(1)</w:t>
      </w:r>
      <w:r>
        <w:tab/>
      </w:r>
      <w:r>
        <w:rPr>
          <w:noProof/>
        </w:rPr>
        <w:t>Разработването, изготвянето и разпространението на статистическа информация за икономическата дейност на предприятията в държ</w:t>
      </w:r>
      <w:r>
        <w:rPr>
          <w:noProof/>
        </w:rPr>
        <w:t>авите членки досега се основава на определен брой отделни правни актове. Тези правни актове обхващат краткосрочната и структурната бизнес статистика, статистиката за производството, международната търговия със стоки и услуги (вътресъюзната и тази с държави</w:t>
      </w:r>
      <w:r>
        <w:rPr>
          <w:noProof/>
        </w:rPr>
        <w:t xml:space="preserve"> извън Съюза), чуждестранните свързани предприятия, научноизследователската и развойната дейност, иновациите, както и използването на ИКТ и електронната търговия. Освен това с Регламент (ЕО) № 177/2008 на Европейския парламент и на Съвета</w:t>
      </w:r>
      <w:r>
        <w:rPr>
          <w:rStyle w:val="FootnoteReference"/>
          <w:noProof/>
        </w:rPr>
        <w:footnoteReference w:id="7"/>
      </w:r>
      <w:r>
        <w:rPr>
          <w:noProof/>
        </w:rPr>
        <w:t xml:space="preserve"> бе установена об</w:t>
      </w:r>
      <w:r>
        <w:rPr>
          <w:noProof/>
        </w:rPr>
        <w:t xml:space="preserve">ща рамка за регистрите на предприятията за статистически цели в Съюза. </w:t>
      </w:r>
    </w:p>
    <w:p w:rsidR="00242E09" w:rsidRDefault="00CE46B8">
      <w:pPr>
        <w:pStyle w:val="ManualConsidrant"/>
        <w:rPr>
          <w:noProof/>
        </w:rPr>
      </w:pPr>
      <w:r>
        <w:t>(2)</w:t>
      </w:r>
      <w:r>
        <w:tab/>
      </w:r>
      <w:r>
        <w:rPr>
          <w:noProof/>
        </w:rPr>
        <w:t>Тази структура, основана на отделни правни актове, не осигурява необходимата съгласуваност между отделните статистически области, нито пък насърчава интегриран подход към разработв</w:t>
      </w:r>
      <w:r>
        <w:rPr>
          <w:noProof/>
        </w:rPr>
        <w:t>ането, изготвянето и разпространението на бизнес статистика. Следва да се създаде обща законодателна рамка, за да се гарантира съгласуваност в рамките на цялата европейска бизнес статистика и да се улесни интегрирането на съответните статистически процеси.</w:t>
      </w:r>
    </w:p>
    <w:p w:rsidR="00242E09" w:rsidRDefault="00CE46B8">
      <w:pPr>
        <w:pStyle w:val="ManualConsidrant"/>
        <w:rPr>
          <w:noProof/>
        </w:rPr>
      </w:pPr>
      <w:r>
        <w:t>(3)</w:t>
      </w:r>
      <w:r>
        <w:tab/>
      </w:r>
      <w:r>
        <w:rPr>
          <w:noProof/>
        </w:rPr>
        <w:t>Наличието на по-добре интегрирани статистически процеси, основани на общи методологични принципи, определения и критерии за качество, би трябвало да доведе до хармонизирана статистика за структурата, икономическите дейности, операциите и ефективността</w:t>
      </w:r>
      <w:r>
        <w:rPr>
          <w:noProof/>
        </w:rPr>
        <w:t xml:space="preserve"> на бизнес сектора в Съюза, която да отговаря на </w:t>
      </w:r>
      <w:r>
        <w:rPr>
          <w:noProof/>
        </w:rPr>
        <w:lastRenderedPageBreak/>
        <w:t>нивото на относимост и подробност, необходимо за посрещане на потребностите на ползвателите.</w:t>
      </w:r>
    </w:p>
    <w:p w:rsidR="00242E09" w:rsidRDefault="00CE46B8">
      <w:pPr>
        <w:pStyle w:val="ManualConsidrant"/>
        <w:rPr>
          <w:noProof/>
        </w:rPr>
      </w:pPr>
      <w:r>
        <w:t>(4)</w:t>
      </w:r>
      <w:r>
        <w:tab/>
      </w:r>
      <w:r>
        <w:rPr>
          <w:noProof/>
        </w:rPr>
        <w:t>От значение за европейската бизнес статистика са различни международни насоки, като например Наръчника на Фрас</w:t>
      </w:r>
      <w:r>
        <w:rPr>
          <w:noProof/>
        </w:rPr>
        <w:t>кати по отношение на статистиката за научноизследователската и развойната дейност и Наръчника от Осло относно иновационните данни, както и международни споразумения, приети от ООН, ОИСР, Международния валутен фонд и други международни и наднационални орган</w:t>
      </w:r>
      <w:r>
        <w:rPr>
          <w:noProof/>
        </w:rPr>
        <w:t>изации. Доколкото е възможно, тези насоки следва да бъдат вземани предвид при разработването, изготвянето и разпространението на статистиката на Съюза и от Европейската мрежа на статистическите бизнес регистри, за да се осигури съпоставимост на статистикат</w:t>
      </w:r>
      <w:r>
        <w:rPr>
          <w:noProof/>
        </w:rPr>
        <w:t>а на Съюза със съставяната от неговите основни международни партньори. Стандартите, споразуменията и насоките на Съюза обаче следва последователно да се прилагат при събирането на европейска бизнес статистика за темите „Ресурси за научноизследователски и р</w:t>
      </w:r>
      <w:r>
        <w:rPr>
          <w:noProof/>
        </w:rPr>
        <w:t>азвойни дейности“ и „Иновации“.</w:t>
      </w:r>
    </w:p>
    <w:p w:rsidR="00242E09" w:rsidRDefault="00CE46B8">
      <w:pPr>
        <w:pStyle w:val="ManualConsidrant"/>
        <w:rPr>
          <w:noProof/>
        </w:rPr>
      </w:pPr>
      <w:r>
        <w:t>(5)</w:t>
      </w:r>
      <w:r>
        <w:tab/>
      </w:r>
      <w:r>
        <w:rPr>
          <w:noProof/>
        </w:rPr>
        <w:t>Административната тежест за малките и средните предприятия следва да бъде ограничена до възможния минимум, като се вземат под внимание, доколкото е възможно, други източници на данни освен изследванията. С цел облекчаван</w:t>
      </w:r>
      <w:r>
        <w:rPr>
          <w:noProof/>
        </w:rPr>
        <w:t>е на тежестта за предприятията следва да е възможно да се установят различни изисквания по отношение на данните в зависимост от големината и значението на бизнес секторите на държавите членки.</w:t>
      </w:r>
    </w:p>
    <w:p w:rsidR="00242E09" w:rsidRDefault="00CE46B8">
      <w:pPr>
        <w:pStyle w:val="ManualConsidrant"/>
        <w:rPr>
          <w:noProof/>
        </w:rPr>
      </w:pPr>
      <w:r>
        <w:t>(6)</w:t>
      </w:r>
      <w:r>
        <w:tab/>
      </w:r>
      <w:r>
        <w:rPr>
          <w:noProof/>
        </w:rPr>
        <w:t xml:space="preserve">Във визията за Европейската статистическа система (ЕСС) до </w:t>
      </w:r>
      <w:r>
        <w:rPr>
          <w:noProof/>
        </w:rPr>
        <w:t>2020 г. се уточнява, че данните следва да могат да се използват за различни статистически области, за да се даде възможност за по-добро анализиране на нововъзникващите явления (напр. глобализация) и за по-добро подпомагане на политиките на Съюза с голямо в</w:t>
      </w:r>
      <w:r>
        <w:rPr>
          <w:noProof/>
        </w:rPr>
        <w:t>ъздействие. Информационният резултат следва да се основава на ефикасни и надеждни статистически процеси на ЕСС. По-широкият обхват на общата правна рамка за бизнес статистиката би трябвало да даде възможност за интегриране на взаимозависими процеси на изго</w:t>
      </w:r>
      <w:r>
        <w:rPr>
          <w:noProof/>
        </w:rPr>
        <w:t>твяне на статистика, които се основават на множество източници.</w:t>
      </w:r>
    </w:p>
    <w:p w:rsidR="00242E09" w:rsidRDefault="00CE46B8">
      <w:pPr>
        <w:pStyle w:val="ManualConsidrant"/>
        <w:rPr>
          <w:noProof/>
        </w:rPr>
      </w:pPr>
      <w:r>
        <w:t>(7)</w:t>
      </w:r>
      <w:r>
        <w:tab/>
      </w:r>
      <w:r>
        <w:rPr>
          <w:noProof/>
        </w:rPr>
        <w:t>С Програмата за модернизиране на европейската статистика относно предприятията и търговията (MEETS), приета с Решение № 1297/2008/ЕО на Европейския парламент и на Съвета</w:t>
      </w:r>
      <w:r>
        <w:rPr>
          <w:rStyle w:val="FootnoteReference"/>
          <w:noProof/>
        </w:rPr>
        <w:footnoteReference w:id="8"/>
      </w:r>
      <w:r>
        <w:rPr>
          <w:noProof/>
        </w:rPr>
        <w:t>, която се прилага</w:t>
      </w:r>
      <w:r>
        <w:rPr>
          <w:noProof/>
        </w:rPr>
        <w:t>ше в периода 2009 — 2013 г., се целеше да се подпомогне адаптирането на бизнес статистиката и търговската статистика към новите потребности от данни, както и на системата за изготвяне на бизнес статистика. Произтичащите от тази програма заключения и препор</w:t>
      </w:r>
      <w:r>
        <w:rPr>
          <w:noProof/>
        </w:rPr>
        <w:t>ъки по отношение на приоритетите и новите набори от показатели, рационализирането на рамката за свързаната с бизнеса статистика, по-ефективното изготвяне на статистиката за предприятията и търговията и модернизирането на Интрастат следва да послужат за осн</w:t>
      </w:r>
      <w:r>
        <w:rPr>
          <w:noProof/>
        </w:rPr>
        <w:t>ова на правно обвързващи разпоредби.</w:t>
      </w:r>
    </w:p>
    <w:p w:rsidR="00242E09" w:rsidRDefault="00CE46B8">
      <w:pPr>
        <w:pStyle w:val="ManualConsidrant"/>
        <w:rPr>
          <w:noProof/>
        </w:rPr>
      </w:pPr>
      <w:r>
        <w:t>(8)</w:t>
      </w:r>
      <w:r>
        <w:tab/>
      </w:r>
      <w:r>
        <w:rPr>
          <w:noProof/>
        </w:rPr>
        <w:t xml:space="preserve">Налице е необходимост от по-гъвкав подход в рамките на европейската бизнес статистика, за да се даде възможност за адаптиране към промените в методологията и за навременна реакция по отношение на нововъзникващите и </w:t>
      </w:r>
      <w:r>
        <w:rPr>
          <w:noProof/>
        </w:rPr>
        <w:lastRenderedPageBreak/>
        <w:t xml:space="preserve">надлежно обосновани потребности на ползвателите на данни, произтичащи от променящата се икономическа среда и засилващата се глобализация и сложност на бизнес средата. В подкрепа на това бъдещо адаптиране следва да се извърши подходящ анализ на разходите и </w:t>
      </w:r>
      <w:r>
        <w:rPr>
          <w:noProof/>
        </w:rPr>
        <w:t>ползите, а произтичащите от него нови изисквания по отношение на данните следва да не налагат значителна допълнителна тежест или значителни допълнителни разходи за държавите членки или за респондентите.</w:t>
      </w:r>
    </w:p>
    <w:p w:rsidR="00242E09" w:rsidRDefault="00CE46B8">
      <w:pPr>
        <w:pStyle w:val="ManualConsidrant"/>
        <w:rPr>
          <w:noProof/>
        </w:rPr>
      </w:pPr>
      <w:r>
        <w:t>(9)</w:t>
      </w:r>
      <w:r>
        <w:tab/>
      </w:r>
      <w:r>
        <w:rPr>
          <w:noProof/>
        </w:rPr>
        <w:t>Ролята на националните статистически бизнес регис</w:t>
      </w:r>
      <w:r>
        <w:rPr>
          <w:noProof/>
        </w:rPr>
        <w:t>три и на регистъра EuroGroups следва да бъде засилена и те да се считат за основна инфраструктура за събиране и съставяне на европейска бизнес статистика. Националните статистически бизнес регистри следва да се използват като източник на информация за стат</w:t>
      </w:r>
      <w:r>
        <w:rPr>
          <w:noProof/>
        </w:rPr>
        <w:t xml:space="preserve">истически анализ на съвкупността от предприятия и тяхната демография, за определяне на изследваната съвкупност и за установяване на връзка с административни източници на данни. </w:t>
      </w:r>
    </w:p>
    <w:p w:rsidR="00242E09" w:rsidRDefault="00CE46B8">
      <w:pPr>
        <w:pStyle w:val="ManualConsidrant"/>
        <w:rPr>
          <w:noProof/>
        </w:rPr>
      </w:pPr>
      <w:r>
        <w:t>(10)</w:t>
      </w:r>
      <w:r>
        <w:tab/>
      </w:r>
      <w:r>
        <w:rPr>
          <w:noProof/>
        </w:rPr>
        <w:t>С цел да се гарантира ролята на националните статистически бизнес регистр</w:t>
      </w:r>
      <w:r>
        <w:rPr>
          <w:noProof/>
        </w:rPr>
        <w:t xml:space="preserve">и и на регистъра EuroGroups, следва да бъде определен и въведен уникален идентификатор за всички съответни единици. </w:t>
      </w:r>
    </w:p>
    <w:p w:rsidR="00242E09" w:rsidRDefault="00CE46B8">
      <w:pPr>
        <w:pStyle w:val="ManualConsidrant"/>
        <w:rPr>
          <w:noProof/>
        </w:rPr>
      </w:pPr>
      <w:r>
        <w:t>(11)</w:t>
      </w:r>
      <w:r>
        <w:tab/>
      </w:r>
      <w:r>
        <w:rPr>
          <w:noProof/>
        </w:rPr>
        <w:t>Правилното разграничаване на групите предприятия в регистъра EuroGroups с актуални и надеждни данни следва да бъде постигнато чрез изп</w:t>
      </w:r>
      <w:r>
        <w:rPr>
          <w:noProof/>
        </w:rPr>
        <w:t>олзване на хармонизирани критерии и редовно актуализиране на информацията за връзките на контрол между юридическите единици, които са част от групите от предприятия.</w:t>
      </w:r>
    </w:p>
    <w:p w:rsidR="00242E09" w:rsidRDefault="00CE46B8">
      <w:pPr>
        <w:pStyle w:val="ManualConsidrant"/>
        <w:rPr>
          <w:noProof/>
        </w:rPr>
      </w:pPr>
      <w:r>
        <w:t>(12)</w:t>
      </w:r>
      <w:r>
        <w:tab/>
      </w:r>
      <w:r>
        <w:rPr>
          <w:noProof/>
        </w:rPr>
        <w:t>С цел да се подобри ефикасността на процесите на изготвяне на статистика в рамките на</w:t>
      </w:r>
      <w:r>
        <w:rPr>
          <w:noProof/>
        </w:rPr>
        <w:t xml:space="preserve"> ЕСС и да се намали статистическата тежест за респондентите, националните статистически органи следва да имат право на незабавен и безвъзмезден достъп до всички административни записи, както и на тяхното използване и интегриране със статистиката, доколкото</w:t>
      </w:r>
      <w:r>
        <w:rPr>
          <w:noProof/>
        </w:rPr>
        <w:t xml:space="preserve"> това е необходимо за разработването, изготвянето и разпространението на европейска бизнес статистика, в съответствие с разпоредбите на член 17а от Регламент (ЕО) № 223/2009 на Европейския парламент и на Съвета</w:t>
      </w:r>
      <w:r>
        <w:rPr>
          <w:rStyle w:val="FootnoteReference"/>
          <w:noProof/>
        </w:rPr>
        <w:footnoteReference w:id="9"/>
      </w:r>
      <w:r>
        <w:rPr>
          <w:noProof/>
        </w:rPr>
        <w:t>.</w:t>
      </w:r>
    </w:p>
    <w:p w:rsidR="00242E09" w:rsidRDefault="00CE46B8">
      <w:pPr>
        <w:pStyle w:val="ManualConsidrant"/>
        <w:rPr>
          <w:noProof/>
        </w:rPr>
      </w:pPr>
      <w:r>
        <w:t>(13)</w:t>
      </w:r>
      <w:r>
        <w:tab/>
      </w:r>
      <w:r>
        <w:rPr>
          <w:noProof/>
        </w:rPr>
        <w:t>Регламент (ЕО) № 223/2009 осигурява ре</w:t>
      </w:r>
      <w:r>
        <w:rPr>
          <w:noProof/>
        </w:rPr>
        <w:t>ферентна рамка за европейската статистика. По-специално той съдържа изискването европейската статистика да е съобразена с принципите за професионална независимост, безпристрастност, обективност, надеждност, статистическа поверителност и разходна ефективнос</w:t>
      </w:r>
      <w:r>
        <w:rPr>
          <w:noProof/>
        </w:rPr>
        <w:t>т.</w:t>
      </w:r>
    </w:p>
    <w:p w:rsidR="00242E09" w:rsidRDefault="00CE46B8">
      <w:pPr>
        <w:pStyle w:val="ManualConsidrant"/>
        <w:rPr>
          <w:noProof/>
        </w:rPr>
      </w:pPr>
      <w:r>
        <w:t>(14)</w:t>
      </w:r>
      <w:r>
        <w:tab/>
      </w:r>
      <w:r>
        <w:rPr>
          <w:noProof/>
        </w:rPr>
        <w:t>Националните статистически органи, които изготвят бизнес статистика и поддържат Европейската мрежа на статистическите бизнес регистри, следва да могат да обменят микроданни и да имат достъп до микроданни за целите на разработването, изготвянето и р</w:t>
      </w:r>
      <w:r>
        <w:rPr>
          <w:noProof/>
        </w:rPr>
        <w:t xml:space="preserve">азпространението на национална или европейска бизнес статистика или за повишаване на качеството на европейската бизнес статистика. Следователно обменът на микроданни следва да се ограничи само до надлежно обосновани случаи. </w:t>
      </w:r>
    </w:p>
    <w:p w:rsidR="00242E09" w:rsidRDefault="00CE46B8">
      <w:pPr>
        <w:pStyle w:val="ManualConsidrant"/>
        <w:rPr>
          <w:noProof/>
        </w:rPr>
      </w:pPr>
      <w:r>
        <w:lastRenderedPageBreak/>
        <w:t>(15)</w:t>
      </w:r>
      <w:r>
        <w:tab/>
      </w:r>
      <w:r>
        <w:rPr>
          <w:noProof/>
        </w:rPr>
        <w:t>Създаването на допълнителе</w:t>
      </w:r>
      <w:r>
        <w:rPr>
          <w:noProof/>
        </w:rPr>
        <w:t xml:space="preserve">н източник на данни въз основа на обмена на микроданни за вътресъюзния износ на стоки, заедно с възможността за използване на иновативни методологии, увеличава гъвкавостта на държавите членки при тяхното съставяне на статистиката за вътресъюзната търговия </w:t>
      </w:r>
      <w:r>
        <w:rPr>
          <w:noProof/>
        </w:rPr>
        <w:t>със стоки, като по този начин се дава възможност на държавите членки да намалят тежестта за предприятията респонденти. Целта на този обмен трябва да бъде ефективното разработване, изготвяне и разпространяване на европейска статистика за международната търг</w:t>
      </w:r>
      <w:r>
        <w:rPr>
          <w:noProof/>
        </w:rPr>
        <w:t>овия със стоки или подобряването на нейното качество.</w:t>
      </w:r>
    </w:p>
    <w:p w:rsidR="00242E09" w:rsidRDefault="00CE46B8">
      <w:pPr>
        <w:pStyle w:val="ManualConsidrant"/>
        <w:rPr>
          <w:noProof/>
        </w:rPr>
      </w:pPr>
      <w:r>
        <w:t>(16)</w:t>
      </w:r>
      <w:r>
        <w:tab/>
      </w:r>
      <w:r>
        <w:rPr>
          <w:noProof/>
        </w:rPr>
        <w:t>Договарянето, изпълнението и прегледът на търговските и инвестиционните споразумения между Съюза и трети държави или на многостранните такива споразумения налагат Комисията да разполага с необходимата статистическа информация за търговските потоци на държа</w:t>
      </w:r>
      <w:r>
        <w:rPr>
          <w:noProof/>
        </w:rPr>
        <w:t xml:space="preserve">вите членки с трети държави. </w:t>
      </w:r>
    </w:p>
    <w:p w:rsidR="00242E09" w:rsidRDefault="00CE46B8">
      <w:pPr>
        <w:pStyle w:val="ManualConsidrant"/>
        <w:rPr>
          <w:noProof/>
        </w:rPr>
      </w:pPr>
      <w:r>
        <w:t>(17)</w:t>
      </w:r>
      <w:r>
        <w:tab/>
      </w:r>
      <w:r>
        <w:rPr>
          <w:noProof/>
        </w:rPr>
        <w:t>Следва да се поддържа тясна връзка между системата за събиране на статистическа информация и свързаните с данъка върху добавената стойност формалности, които съществуват в контекста на търговията със стоки между държавите</w:t>
      </w:r>
      <w:r>
        <w:rPr>
          <w:noProof/>
        </w:rPr>
        <w:t xml:space="preserve"> членки. Тази връзка дава възможност, по-специално за целите на статистиката за вътресъюзната търговия със стоки, за идентифициране на износителите и вносителите и за проверка на качеството на събраната информация.</w:t>
      </w:r>
    </w:p>
    <w:p w:rsidR="00242E09" w:rsidRDefault="00CE46B8">
      <w:pPr>
        <w:pStyle w:val="ManualConsidrant"/>
        <w:rPr>
          <w:noProof/>
        </w:rPr>
      </w:pPr>
      <w:r>
        <w:t>(18)</w:t>
      </w:r>
      <w:r>
        <w:tab/>
      </w:r>
      <w:r>
        <w:rPr>
          <w:noProof/>
        </w:rPr>
        <w:t>Трансграничното движение на стоки, п</w:t>
      </w:r>
      <w:r>
        <w:rPr>
          <w:noProof/>
        </w:rPr>
        <w:t>о-специално от държави извън ЕС и към такива държави, е обект на митнически контрол в съответствие с предвиденото в Регламент (ЕС) № 952/2013 на Европейския парламент и на Съвета</w:t>
      </w:r>
      <w:r>
        <w:rPr>
          <w:rStyle w:val="FootnoteReference"/>
          <w:noProof/>
        </w:rPr>
        <w:footnoteReference w:id="10"/>
      </w:r>
      <w:r>
        <w:rPr>
          <w:noProof/>
        </w:rPr>
        <w:t>. Митническите органи съхраняват или имат достъп до информация или записи във</w:t>
      </w:r>
      <w:r>
        <w:rPr>
          <w:noProof/>
        </w:rPr>
        <w:t xml:space="preserve"> връзка с това движение. Информацията или записите, които са свързани с митнически декларации или се основават на такива декларации, следва да се използват за изготвяне на статистиката за търговията на Съюза със стоки.</w:t>
      </w:r>
    </w:p>
    <w:p w:rsidR="00242E09" w:rsidRDefault="00CE46B8">
      <w:pPr>
        <w:pStyle w:val="ManualConsidrant"/>
        <w:rPr>
          <w:noProof/>
        </w:rPr>
      </w:pPr>
      <w:r>
        <w:t>(19)</w:t>
      </w:r>
      <w:r>
        <w:tab/>
      </w:r>
      <w:r>
        <w:rPr>
          <w:noProof/>
        </w:rPr>
        <w:t>За да изготвят статистика за меж</w:t>
      </w:r>
      <w:r>
        <w:rPr>
          <w:noProof/>
        </w:rPr>
        <w:t>дународната търговия със стоки и да подобрят качеството на тази статистика, националните статистически органи в държавите членки следва да бъдат в състояние да обменят данни за вноса и износа на стоки, които попадат в компетенциите на митническите органи н</w:t>
      </w:r>
      <w:r>
        <w:rPr>
          <w:noProof/>
        </w:rPr>
        <w:t>а повече от една държава членка.</w:t>
      </w:r>
    </w:p>
    <w:p w:rsidR="00242E09" w:rsidRDefault="00CE46B8">
      <w:pPr>
        <w:pStyle w:val="ManualConsidrant"/>
        <w:rPr>
          <w:noProof/>
        </w:rPr>
      </w:pPr>
      <w:r>
        <w:t>(20)</w:t>
      </w:r>
      <w:r>
        <w:tab/>
      </w:r>
      <w:r>
        <w:rPr>
          <w:noProof/>
        </w:rPr>
        <w:t>За да може да изпълнява своите произтичащи от Договорите задачи, особено свързаните с функционирането на вътрешния пазар, Комисията следва да разполага с пълна, актуална и надеждна информация за производството на стоки</w:t>
      </w:r>
      <w:r>
        <w:rPr>
          <w:noProof/>
        </w:rPr>
        <w:t xml:space="preserve"> и услуги в Съюза и за международните търговски потоци. Предприятията също се нуждаят от тази информация, за да следят своите пазари и тяхното международно измерение. </w:t>
      </w:r>
    </w:p>
    <w:p w:rsidR="00242E09" w:rsidRDefault="00CE46B8">
      <w:pPr>
        <w:pStyle w:val="ManualConsidrant"/>
        <w:rPr>
          <w:noProof/>
        </w:rPr>
      </w:pPr>
      <w:r>
        <w:t>(21)</w:t>
      </w:r>
      <w:r>
        <w:tab/>
      </w:r>
      <w:r>
        <w:rPr>
          <w:noProof/>
        </w:rPr>
        <w:t>Съществува необходимост да се осигури структурирана по сектори на дейност бизнес ст</w:t>
      </w:r>
      <w:r>
        <w:rPr>
          <w:noProof/>
        </w:rPr>
        <w:t>атистика с цел измерване на производителността на предприятията в Съюза. Налице е по-специално нарастващо търсене на статистика за сектора на услугите, който е най-динамичният сектор на модерните икономики, особено по отношение на потенциала му за растеж и</w:t>
      </w:r>
      <w:r>
        <w:rPr>
          <w:noProof/>
        </w:rPr>
        <w:t xml:space="preserve"> за създаване на работни места и предвид връзките му с производствения сектор. Статистиката за търговията с </w:t>
      </w:r>
      <w:r>
        <w:rPr>
          <w:noProof/>
        </w:rPr>
        <w:lastRenderedPageBreak/>
        <w:t>услуги е от основно значение за наблюдението на функционирането на вътрешния пазар на услугите и за определяне на въздействието на пречките върху тъ</w:t>
      </w:r>
      <w:r>
        <w:rPr>
          <w:noProof/>
        </w:rPr>
        <w:t>рговията с услуги.</w:t>
      </w:r>
    </w:p>
    <w:p w:rsidR="00242E09" w:rsidRDefault="00CE46B8">
      <w:pPr>
        <w:pStyle w:val="ManualConsidrant"/>
        <w:rPr>
          <w:noProof/>
        </w:rPr>
      </w:pPr>
      <w:r>
        <w:t>(22)</w:t>
      </w:r>
      <w:r>
        <w:tab/>
      </w:r>
      <w:r>
        <w:rPr>
          <w:noProof/>
        </w:rPr>
        <w:t xml:space="preserve">За наблюдението на напредъка по постигането на поставените със стратегията „Европа 2020“ цели на равнището на държавите членки и на Съюза е необходима хармонизирана статистика за икономиката на Съюза относно научноизследователската </w:t>
      </w:r>
      <w:r>
        <w:rPr>
          <w:noProof/>
        </w:rPr>
        <w:t>и развойната дейност, иновациите и информационното общество с обхващане както на пазарните, така и на непазарните дейности, и относно бизнес средата като цяло, по-специално по отношение на бизнес демографията и заетостта във връзка с пазарните дейности. Та</w:t>
      </w:r>
      <w:r>
        <w:rPr>
          <w:noProof/>
        </w:rPr>
        <w:t>зи информация дава възможност на отговорните за вземането на решения лица да вземат фактически обосновани решения в областта на съответната политика, с цел изграждане на основана на знания и иновации икономика, подобряване на достъпа до единния пазар за ма</w:t>
      </w:r>
      <w:r>
        <w:rPr>
          <w:noProof/>
        </w:rPr>
        <w:t xml:space="preserve">лките и средните предприятия, развиване на предприемачеството и подобряване на конкурентоспособността. </w:t>
      </w:r>
    </w:p>
    <w:p w:rsidR="00242E09" w:rsidRDefault="00CE46B8">
      <w:pPr>
        <w:pStyle w:val="ManualConsidrant"/>
        <w:rPr>
          <w:noProof/>
        </w:rPr>
      </w:pPr>
      <w:r>
        <w:t>(23)</w:t>
      </w:r>
      <w:r>
        <w:tab/>
      </w:r>
      <w:r>
        <w:rPr>
          <w:noProof/>
        </w:rPr>
        <w:t>За целите на координирането на икономическите политики в рамките на Съюза и еврозоната и на предоставянето на информация на стопанските субекти в р</w:t>
      </w:r>
      <w:r>
        <w:rPr>
          <w:noProof/>
        </w:rPr>
        <w:t>амките на единния пазар са необходими съпоставими данни за промените на пазара на труда, включително статистика за разходите за труд, доходите и броя на заетите и незаетите длъжности. Освен това ученето през целия живот е ключов елемент за развитие и насър</w:t>
      </w:r>
      <w:r>
        <w:rPr>
          <w:noProof/>
        </w:rPr>
        <w:t>чаване на квалифицирана, обучена и адаптирани работна сила, като следва да се обърне особено внимание на професионалното обучение в предприятията като ключов фактор, допринасящ за ученето през целия живот. Основен източник на тези данни са предприятията, а</w:t>
      </w:r>
      <w:r>
        <w:rPr>
          <w:noProof/>
        </w:rPr>
        <w:t xml:space="preserve"> в бъдеще данните следва да бъдат включени в обхвата на законодателството и по-добре интегрирани с други видове бизнес статистика. Необходими са данни за нивото и състава на разходите за труд и за структурата и разпределението на доходите, за да се оценят </w:t>
      </w:r>
      <w:r>
        <w:rPr>
          <w:noProof/>
        </w:rPr>
        <w:t xml:space="preserve">средносрочните промени в икономиките на Съюза. Необходими са данни за промените в разходите за труд и свободните работни места за целите на краткосрочното наблюдение на икономиките на Съюза, включително за целите на паричната политика. Необходими са данни </w:t>
      </w:r>
      <w:r>
        <w:rPr>
          <w:noProof/>
        </w:rPr>
        <w:t>за инвестициите на предприятията в непрекъснато професионално обучение, за характеристиките и обхвата на това обучение, както и информация за стратегиите на предприятията за професионално обучение, за да се следи изпълнението на стратегията на ЕС за засиле</w:t>
      </w:r>
      <w:r>
        <w:rPr>
          <w:noProof/>
        </w:rPr>
        <w:t>но сътрудничество в областта на професионалното образование и обучение.</w:t>
      </w:r>
    </w:p>
    <w:p w:rsidR="00242E09" w:rsidRDefault="00CE46B8">
      <w:pPr>
        <w:pStyle w:val="ManualConsidrant"/>
        <w:rPr>
          <w:noProof/>
        </w:rPr>
      </w:pPr>
      <w:r>
        <w:t>(24)</w:t>
      </w:r>
      <w:r>
        <w:tab/>
      </w:r>
      <w:r>
        <w:rPr>
          <w:noProof/>
        </w:rPr>
        <w:t>Необходима е статистика за иновациите и за научноизследователските и развойните дейности за целите на разработването и наблюдението на политики, насочени към укрепване на конкурен</w:t>
      </w:r>
      <w:r>
        <w:rPr>
          <w:noProof/>
        </w:rPr>
        <w:t>тоспособността на държавите членки и увеличаване на техния средносрочен и дългосрочен потенциал за интелигентен растеж и за създаване на работни места. Сред основните фактори за повишаване на конкурентоспособността и растежа в ЕС са наличието на растяща ци</w:t>
      </w:r>
      <w:r>
        <w:rPr>
          <w:noProof/>
        </w:rPr>
        <w:t>фрова икономика и по-широкото използване на информационните и комуникационните технологии, като са необходими статистически данни в подкрепа на съответните стратегии и политики.</w:t>
      </w:r>
    </w:p>
    <w:p w:rsidR="00242E09" w:rsidRDefault="00CE46B8">
      <w:pPr>
        <w:pStyle w:val="ManualConsidrant"/>
        <w:rPr>
          <w:noProof/>
        </w:rPr>
      </w:pPr>
      <w:r>
        <w:lastRenderedPageBreak/>
        <w:t>(25)</w:t>
      </w:r>
      <w:r>
        <w:tab/>
      </w:r>
      <w:r>
        <w:rPr>
          <w:noProof/>
        </w:rPr>
        <w:t>Бизнес статистика е необходима и за изготвяне на националните и регионалн</w:t>
      </w:r>
      <w:r>
        <w:rPr>
          <w:noProof/>
        </w:rPr>
        <w:t>ите сметки в съответствие с Регламент (ЕС) № 549/2013 на Европейския парламент и на Съвета</w:t>
      </w:r>
      <w:r>
        <w:rPr>
          <w:rStyle w:val="FootnoteReference"/>
          <w:noProof/>
        </w:rPr>
        <w:footnoteReference w:id="11"/>
      </w:r>
      <w:r>
        <w:rPr>
          <w:noProof/>
        </w:rPr>
        <w:t xml:space="preserve">. </w:t>
      </w:r>
    </w:p>
    <w:p w:rsidR="00242E09" w:rsidRDefault="00CE46B8">
      <w:pPr>
        <w:pStyle w:val="ManualConsidrant"/>
        <w:rPr>
          <w:noProof/>
        </w:rPr>
      </w:pPr>
      <w:r>
        <w:t>(26)</w:t>
      </w:r>
      <w:r>
        <w:tab/>
      </w:r>
      <w:r>
        <w:rPr>
          <w:noProof/>
        </w:rPr>
        <w:t>Статистиката за международната търговия с услуги, необходима за съставяне на платежния баланс на Съюза и на еврозоната, се определя в тясно сътрудничество от</w:t>
      </w:r>
      <w:r>
        <w:rPr>
          <w:noProof/>
        </w:rPr>
        <w:t xml:space="preserve"> Комисията (Евростат) и Европейската централна банка. </w:t>
      </w:r>
    </w:p>
    <w:p w:rsidR="00242E09" w:rsidRDefault="00CE46B8">
      <w:pPr>
        <w:pStyle w:val="ManualConsidrant"/>
        <w:rPr>
          <w:noProof/>
        </w:rPr>
      </w:pPr>
      <w:r>
        <w:t>(27)</w:t>
      </w:r>
      <w:r>
        <w:tab/>
      </w:r>
      <w:r>
        <w:rPr>
          <w:noProof/>
        </w:rPr>
        <w:t xml:space="preserve">Необходими са надеждни и актуални статистически данни за целите на докладването по отношение на икономическото развитие на всяка от държавите членки в рамките на икономическата политика на Съюза. </w:t>
      </w:r>
      <w:r>
        <w:rPr>
          <w:noProof/>
        </w:rPr>
        <w:t>Европейската централна банка се нуждае от възможно най-актуална краткосрочна статистика за целите на оценяването на икономическото развитие на държавите членки в контекста на единната парична политика.</w:t>
      </w:r>
    </w:p>
    <w:p w:rsidR="00242E09" w:rsidRDefault="00CE46B8">
      <w:pPr>
        <w:pStyle w:val="ManualConsidrant"/>
        <w:rPr>
          <w:noProof/>
        </w:rPr>
      </w:pPr>
      <w:r>
        <w:t>(28)</w:t>
      </w:r>
      <w:r>
        <w:tab/>
      </w:r>
      <w:r>
        <w:rPr>
          <w:noProof/>
        </w:rPr>
        <w:t>При запазване на принципа за осигуряване на бизне</w:t>
      </w:r>
      <w:r>
        <w:rPr>
          <w:noProof/>
        </w:rPr>
        <w:t>с статистика за цялата икономика, изискванията по отношение на данните следва да са съобразени, доколкото е възможно, с мерки за опростяване с цел облекчаване на тежестта върху бизнес секторите на държавите членки, които са относително малки, в съответстви</w:t>
      </w:r>
      <w:r>
        <w:rPr>
          <w:noProof/>
        </w:rPr>
        <w:t xml:space="preserve">е с принципа на пропорционалност. </w:t>
      </w:r>
    </w:p>
    <w:p w:rsidR="00242E09" w:rsidRDefault="00CE46B8">
      <w:pPr>
        <w:pStyle w:val="ManualConsidrant"/>
        <w:rPr>
          <w:noProof/>
        </w:rPr>
      </w:pPr>
      <w:r>
        <w:t>(29)</w:t>
      </w:r>
      <w:r>
        <w:tab/>
      </w:r>
      <w:r>
        <w:rPr>
          <w:noProof/>
        </w:rPr>
        <w:t>Международните стандарти, като например инициативата за обмен на статистически данни и метаданни (SDMX — Statistical Data and Metadata Exchange), и разработените в рамките на ЕСС статистически или технически стандарт</w:t>
      </w:r>
      <w:r>
        <w:rPr>
          <w:noProof/>
        </w:rPr>
        <w:t xml:space="preserve">и, като например стандартите за метаданни и валидиране, следва да се използват, доколкото се отнасят и за европейската бизнес статистика. Комитетът на Европейската статистическа система (КЕСС) прие Стандарт на ЕСС за докладите за качеството в съответствие </w:t>
      </w:r>
      <w:r>
        <w:rPr>
          <w:noProof/>
        </w:rPr>
        <w:t>с член 12 от Регламент (ЕО) № 223/2009. Тези стандарти би трябвало да допринесат за хармонизирането на осигуряването на качеството и на докладването по настоящия регламент.</w:t>
      </w:r>
    </w:p>
    <w:p w:rsidR="00242E09" w:rsidRDefault="00CE46B8">
      <w:pPr>
        <w:pStyle w:val="ManualConsidrant"/>
        <w:rPr>
          <w:noProof/>
        </w:rPr>
      </w:pPr>
      <w:r>
        <w:t>(30)</w:t>
      </w:r>
      <w:r>
        <w:tab/>
      </w:r>
      <w:r>
        <w:rPr>
          <w:noProof/>
        </w:rPr>
        <w:t>С цел отчитане на икономическите и техническите промени, на Комисията следва д</w:t>
      </w:r>
      <w:r>
        <w:rPr>
          <w:noProof/>
        </w:rPr>
        <w:t>а се делегира правомощието да приема актове в съответствие с член 290 от Договора по отношение на посочените в приложения I и II подробни теми, както и на процента на обхващане за вътресъюзния износ на стоки. Комисията следва да има и правомощието да допъл</w:t>
      </w:r>
      <w:r>
        <w:rPr>
          <w:noProof/>
        </w:rPr>
        <w:t>ва подробните теми с подтеми и характеристики за динамичната бизнес статистика за ИКТ, иновациите и глобалните вериги за създаване на стойност, и с точна информация, която да се предоставя от данъчните и митническите органи. От особена важност е по време н</w:t>
      </w:r>
      <w:r>
        <w:rPr>
          <w:noProof/>
        </w:rPr>
        <w:t>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w:t>
      </w:r>
      <w:r>
        <w:rPr>
          <w:noProof/>
        </w:rPr>
        <w:t>прил 2016 г.</w:t>
      </w:r>
      <w:r>
        <w:rPr>
          <w:rStyle w:val="FootnoteReference"/>
          <w:noProof/>
        </w:rPr>
        <w:footnoteReference w:id="12"/>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w:t>
      </w:r>
      <w:r>
        <w:rPr>
          <w:noProof/>
        </w:rPr>
        <w:t xml:space="preserve">достъп до заседанията на експертните групи на Комисията, занимаващи се с подготовката на делегираните актове. </w:t>
      </w:r>
    </w:p>
    <w:p w:rsidR="00242E09" w:rsidRDefault="00CE46B8">
      <w:pPr>
        <w:pStyle w:val="ManualConsidrant"/>
        <w:rPr>
          <w:noProof/>
        </w:rPr>
      </w:pPr>
      <w:r>
        <w:lastRenderedPageBreak/>
        <w:t>(31)</w:t>
      </w:r>
      <w:r>
        <w:tab/>
      </w:r>
      <w:r>
        <w:rPr>
          <w:noProof/>
        </w:rPr>
        <w:t>С цел да се осигурят еднакви условия за техническото изпълнение на определени елементи от изискванията, включително за бизнес регистрите, на</w:t>
      </w:r>
      <w:r>
        <w:rPr>
          <w:noProof/>
        </w:rPr>
        <w:t xml:space="preserve"> Комисията следва да бъдат предоставени изпълнителни правомощия по отношение на формàта, мерките за сигурност и поверителност и процедурата за обмен на поверителни данни за целите на Европейската мрежа на статистическите бизнес регистри, предаването на дан</w:t>
      </w:r>
      <w:r>
        <w:rPr>
          <w:noProof/>
        </w:rPr>
        <w:t>ни и метаданни, докладите за качеството на данните и за метаданните и дерогациите. Със същата цел на Комисията следва да бъдат предоставени допълнителни изпълнителни правомощия по отношение на условията и формàта, мерките за сигурност и поверителност и про</w:t>
      </w:r>
      <w:r>
        <w:rPr>
          <w:noProof/>
        </w:rPr>
        <w:t>цедурата за обмен на поверителни данни за целите на статистиката за вътресъюзната търговия със стоки, спецификациите на значимите метаданни, графика, условията за събиране и съставяне на статистическата информация за вътресъюзния износ на стоки, която се п</w:t>
      </w:r>
      <w:r>
        <w:rPr>
          <w:noProof/>
        </w:rPr>
        <w:t>редава на държавата членка на вноса, условията за прилагане на процента на обхващане на общия вътресъюзен износ на стоки, елементите на статистическите данни за събраните чрез изследвания на вътресъюзната търговия със стоки микроданни, които трябва да бъда</w:t>
      </w:r>
      <w:r>
        <w:rPr>
          <w:noProof/>
        </w:rPr>
        <w:t>т предоставени на държавата членка на внос, и свързаните с това опростявания.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13"/>
      </w:r>
      <w:r>
        <w:rPr>
          <w:noProof/>
        </w:rPr>
        <w:t xml:space="preserve">. </w:t>
      </w:r>
    </w:p>
    <w:p w:rsidR="00242E09" w:rsidRDefault="00CE46B8">
      <w:pPr>
        <w:pStyle w:val="ManualConsidrant"/>
        <w:rPr>
          <w:noProof/>
        </w:rPr>
      </w:pPr>
      <w:r>
        <w:t>(32)</w:t>
      </w:r>
      <w:r>
        <w:tab/>
      </w:r>
      <w:r>
        <w:rPr>
          <w:noProof/>
        </w:rPr>
        <w:t>Когато това е уместно, Комисията следва да изв</w:t>
      </w:r>
      <w:r>
        <w:rPr>
          <w:noProof/>
        </w:rPr>
        <w:t>ърши анализ на разходите и ползите и да гарантира, че с никое предлагано от нея действие не се налага значителна допълнителна тежест за държавите членки или за респондентите, като се вземат предвид очакваните ползи за ползвателите.</w:t>
      </w:r>
    </w:p>
    <w:p w:rsidR="00242E09" w:rsidRDefault="00CE46B8">
      <w:pPr>
        <w:pStyle w:val="ManualConsidrant"/>
        <w:rPr>
          <w:noProof/>
        </w:rPr>
      </w:pPr>
      <w:r>
        <w:t>(33)</w:t>
      </w:r>
      <w:r>
        <w:tab/>
      </w:r>
      <w:r>
        <w:rPr>
          <w:noProof/>
        </w:rPr>
        <w:t>Комисията може да п</w:t>
      </w:r>
      <w:r>
        <w:rPr>
          <w:noProof/>
        </w:rPr>
        <w:t>редостави дерогации от прилагането на настоящия регламент или на приетите във връзка с него делегирани актове и актове за изпълнение, когато това прилагане налага значително адаптиране на националната статистическа система на дадена държава членка под форм</w:t>
      </w:r>
      <w:r>
        <w:rPr>
          <w:noProof/>
        </w:rPr>
        <w:t>ата на организирането на допълнителни изследвания или извършването на значително адаптиране на нейната система за изготвяне на статистика, за да се вземат предвид нови източници на данни или да се даде възможност за комбиниране на различни източници.</w:t>
      </w:r>
    </w:p>
    <w:p w:rsidR="00242E09" w:rsidRDefault="00CE46B8">
      <w:pPr>
        <w:pStyle w:val="ManualConsidrant"/>
        <w:rPr>
          <w:noProof/>
        </w:rPr>
      </w:pPr>
      <w:r>
        <w:t>(34)</w:t>
      </w:r>
      <w:r>
        <w:tab/>
      </w:r>
      <w:r>
        <w:rPr>
          <w:noProof/>
        </w:rPr>
        <w:t>Тъй като целта на настоящия регламент, а именно създаването на обща рамка за европейска бизнес статистика, не може да бъде постигната в достатъчна степен от държавите членки, но по причини, свързани с хармонизирането и съпоставимостта, може да бъде постигн</w:t>
      </w:r>
      <w:r>
        <w:rPr>
          <w:noProof/>
        </w:rPr>
        <w:t>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w:t>
      </w:r>
      <w:r>
        <w:rPr>
          <w:noProof/>
        </w:rPr>
        <w:t>ля необходимото за постигането на тази цел.</w:t>
      </w:r>
    </w:p>
    <w:p w:rsidR="00242E09" w:rsidRDefault="00CE46B8">
      <w:pPr>
        <w:pStyle w:val="ManualConsidrant"/>
        <w:rPr>
          <w:noProof/>
        </w:rPr>
      </w:pPr>
      <w:r>
        <w:lastRenderedPageBreak/>
        <w:t>(35)</w:t>
      </w:r>
      <w:r>
        <w:tab/>
      </w:r>
      <w:r>
        <w:rPr>
          <w:noProof/>
        </w:rPr>
        <w:t>Мерките, установени в Регламент (ЕО) № 184/2005 на Европейския парламент и на Съвета</w:t>
      </w:r>
      <w:r>
        <w:rPr>
          <w:rStyle w:val="FootnoteReference"/>
          <w:noProof/>
        </w:rPr>
        <w:footnoteReference w:id="14"/>
      </w:r>
      <w:r>
        <w:rPr>
          <w:noProof/>
        </w:rPr>
        <w:t>, следва да бъдат изменени по отношение на позоваванията на международната търговия с услуги.</w:t>
      </w:r>
    </w:p>
    <w:p w:rsidR="00242E09" w:rsidRDefault="00CE46B8">
      <w:pPr>
        <w:pStyle w:val="ManualConsidrant"/>
        <w:rPr>
          <w:noProof/>
        </w:rPr>
      </w:pPr>
      <w:r>
        <w:t>(36)</w:t>
      </w:r>
      <w:r>
        <w:tab/>
      </w:r>
      <w:r>
        <w:rPr>
          <w:noProof/>
        </w:rPr>
        <w:t>Установените в настоящи</w:t>
      </w:r>
      <w:r>
        <w:rPr>
          <w:noProof/>
        </w:rPr>
        <w:t>я регламент мерки следва да заменят тези в Регламент (ЕИО) № 3924/91 на Съвета</w:t>
      </w:r>
      <w:r>
        <w:rPr>
          <w:rStyle w:val="FootnoteReference"/>
          <w:noProof/>
        </w:rPr>
        <w:footnoteReference w:id="15"/>
      </w:r>
      <w:r>
        <w:rPr>
          <w:noProof/>
        </w:rPr>
        <w:t>, Регламент (ЕО) № 1165/98 на Съвета</w:t>
      </w:r>
      <w:r>
        <w:rPr>
          <w:rStyle w:val="FootnoteReference"/>
          <w:noProof/>
        </w:rPr>
        <w:footnoteReference w:id="16"/>
      </w:r>
      <w:r>
        <w:rPr>
          <w:noProof/>
        </w:rPr>
        <w:t>, Решение (ЕО) № 1608/2003 на Европейския парламент и на Съвета</w:t>
      </w:r>
      <w:r>
        <w:rPr>
          <w:rStyle w:val="FootnoteReference"/>
          <w:noProof/>
        </w:rPr>
        <w:footnoteReference w:id="17"/>
      </w:r>
      <w:r>
        <w:rPr>
          <w:noProof/>
        </w:rPr>
        <w:t>, Регламент (ЕО) № 48/2004 на Европейския парламент и на Съвета</w:t>
      </w:r>
      <w:r>
        <w:rPr>
          <w:rStyle w:val="FootnoteReference"/>
          <w:noProof/>
        </w:rPr>
        <w:footnoteReference w:id="18"/>
      </w:r>
      <w:r>
        <w:rPr>
          <w:noProof/>
        </w:rPr>
        <w:t xml:space="preserve">, Регламент </w:t>
      </w:r>
      <w:r>
        <w:rPr>
          <w:noProof/>
        </w:rPr>
        <w:t>(ЕО) № 638/2004 на Европейския парламент и на Съвета</w:t>
      </w:r>
      <w:r>
        <w:rPr>
          <w:rStyle w:val="FootnoteReference"/>
          <w:noProof/>
        </w:rPr>
        <w:footnoteReference w:id="19"/>
      </w:r>
      <w:r>
        <w:rPr>
          <w:noProof/>
        </w:rPr>
        <w:t>, Регламент (ЕО) № 808/2004 на Европейския парламент и на Съвета</w:t>
      </w:r>
      <w:r>
        <w:rPr>
          <w:rStyle w:val="FootnoteReference"/>
          <w:noProof/>
        </w:rPr>
        <w:footnoteReference w:id="20"/>
      </w:r>
      <w:r>
        <w:rPr>
          <w:noProof/>
        </w:rPr>
        <w:t>, Регламент (ЕО) № 716/2007 на Европейския парламент и на Съвета</w:t>
      </w:r>
      <w:r>
        <w:rPr>
          <w:rStyle w:val="FootnoteReference"/>
          <w:noProof/>
        </w:rPr>
        <w:footnoteReference w:id="21"/>
      </w:r>
      <w:r>
        <w:rPr>
          <w:noProof/>
        </w:rPr>
        <w:t>, Регламент (ЕО) № 177/2008 на Европейския парламент и на Съвета</w:t>
      </w:r>
      <w:r>
        <w:rPr>
          <w:rStyle w:val="FootnoteReference"/>
          <w:noProof/>
        </w:rPr>
        <w:footnoteReference w:id="22"/>
      </w:r>
      <w:r>
        <w:rPr>
          <w:noProof/>
        </w:rPr>
        <w:t>, Реглам</w:t>
      </w:r>
      <w:r>
        <w:rPr>
          <w:noProof/>
        </w:rPr>
        <w:t>ент (ЕО) № 295/2008 на Европейския парламент и на Съвета</w:t>
      </w:r>
      <w:r>
        <w:rPr>
          <w:rStyle w:val="FootnoteReference"/>
          <w:noProof/>
        </w:rPr>
        <w:footnoteReference w:id="23"/>
      </w:r>
      <w:r>
        <w:rPr>
          <w:noProof/>
        </w:rPr>
        <w:t xml:space="preserve"> и Регламент (ЕО) № 471/2009 на Европейския парламент и на Съвета</w:t>
      </w:r>
      <w:r>
        <w:rPr>
          <w:rStyle w:val="FootnoteReference"/>
          <w:noProof/>
        </w:rPr>
        <w:footnoteReference w:id="24"/>
      </w:r>
      <w:r>
        <w:rPr>
          <w:noProof/>
        </w:rPr>
        <w:t xml:space="preserve">. Поради това посочените актове следва да бъдат отменени. </w:t>
      </w:r>
    </w:p>
    <w:p w:rsidR="00242E09" w:rsidRDefault="00CE46B8">
      <w:pPr>
        <w:pStyle w:val="ManualConsidrant"/>
        <w:rPr>
          <w:noProof/>
        </w:rPr>
      </w:pPr>
      <w:r>
        <w:t>(37)</w:t>
      </w:r>
      <w:r>
        <w:tab/>
      </w:r>
      <w:r>
        <w:rPr>
          <w:noProof/>
        </w:rPr>
        <w:t>Проведена бе консултация с Европейския надзорен орган по защита на да</w:t>
      </w:r>
      <w:r>
        <w:rPr>
          <w:noProof/>
        </w:rPr>
        <w:t>нните.</w:t>
      </w:r>
    </w:p>
    <w:p w:rsidR="00242E09" w:rsidRDefault="00CE46B8">
      <w:pPr>
        <w:pStyle w:val="ManualConsidrant"/>
        <w:rPr>
          <w:noProof/>
        </w:rPr>
      </w:pPr>
      <w:r>
        <w:t>(38)</w:t>
      </w:r>
      <w:r>
        <w:tab/>
      </w:r>
      <w:r>
        <w:rPr>
          <w:noProof/>
        </w:rPr>
        <w:t>Проведена бе консултация с Комитета на Европейската статистическа система,</w:t>
      </w:r>
    </w:p>
    <w:p w:rsidR="00242E09" w:rsidRDefault="00CE46B8">
      <w:pPr>
        <w:pStyle w:val="Formuledadoption"/>
        <w:rPr>
          <w:noProof/>
        </w:rPr>
      </w:pPr>
      <w:r>
        <w:rPr>
          <w:noProof/>
        </w:rPr>
        <w:lastRenderedPageBreak/>
        <w:t>ПРИЕХА НАСТОЯЩИЯ РЕГЛАМЕНТ:</w:t>
      </w:r>
    </w:p>
    <w:p w:rsidR="00242E09" w:rsidRDefault="00CE46B8">
      <w:pPr>
        <w:pStyle w:val="ChapterTitle"/>
        <w:rPr>
          <w:noProof/>
        </w:rPr>
      </w:pPr>
      <w:r>
        <w:rPr>
          <w:noProof/>
        </w:rPr>
        <w:t xml:space="preserve">ГЛАВА I </w:t>
      </w:r>
    </w:p>
    <w:p w:rsidR="00242E09" w:rsidRDefault="00CE46B8">
      <w:pPr>
        <w:pStyle w:val="ChapterTitle"/>
        <w:rPr>
          <w:noProof/>
        </w:rPr>
      </w:pPr>
      <w:r>
        <w:rPr>
          <w:noProof/>
        </w:rPr>
        <w:t>ОБЩИ РАЗПОРЕДБИ</w:t>
      </w:r>
    </w:p>
    <w:p w:rsidR="00242E09" w:rsidRDefault="00CE46B8">
      <w:pPr>
        <w:pStyle w:val="Titrearticle"/>
        <w:rPr>
          <w:noProof/>
        </w:rPr>
      </w:pPr>
      <w:r>
        <w:rPr>
          <w:noProof/>
        </w:rPr>
        <w:t>Член 1</w:t>
      </w:r>
    </w:p>
    <w:p w:rsidR="00242E09" w:rsidRDefault="00CE46B8">
      <w:pPr>
        <w:pStyle w:val="Titrearticle"/>
        <w:rPr>
          <w:noProof/>
        </w:rPr>
      </w:pPr>
      <w:r>
        <w:rPr>
          <w:noProof/>
        </w:rPr>
        <w:t>Предмет</w:t>
      </w:r>
    </w:p>
    <w:p w:rsidR="00242E09" w:rsidRDefault="00CE46B8">
      <w:pPr>
        <w:rPr>
          <w:noProof/>
        </w:rPr>
      </w:pPr>
      <w:r>
        <w:rPr>
          <w:noProof/>
        </w:rPr>
        <w:t xml:space="preserve">С настоящия регламент се установява обща правна рамка за: </w:t>
      </w:r>
    </w:p>
    <w:p w:rsidR="00242E09" w:rsidRDefault="00CE46B8">
      <w:pPr>
        <w:pStyle w:val="Point1"/>
        <w:rPr>
          <w:noProof/>
        </w:rPr>
      </w:pPr>
      <w:r>
        <w:rPr>
          <w:noProof/>
        </w:rPr>
        <w:t>а)</w:t>
      </w:r>
      <w:r>
        <w:rPr>
          <w:noProof/>
        </w:rPr>
        <w:tab/>
        <w:t xml:space="preserve">разработването, изготвянето и </w:t>
      </w:r>
      <w:r>
        <w:rPr>
          <w:noProof/>
        </w:rPr>
        <w:t>разпространението на европейска статистика за структурата, икономическите дейности и ефективността на предприятията, както и за международните операции и научноизследователските и развойните дейности на икономиката на Съюза (европейска бизнес статистика);</w:t>
      </w:r>
    </w:p>
    <w:p w:rsidR="00242E09" w:rsidRDefault="00CE46B8">
      <w:pPr>
        <w:pStyle w:val="Point1"/>
        <w:rPr>
          <w:noProof/>
        </w:rPr>
      </w:pPr>
      <w:r>
        <w:rPr>
          <w:noProof/>
        </w:rPr>
        <w:t>б)</w:t>
      </w:r>
      <w:r>
        <w:rPr>
          <w:noProof/>
        </w:rPr>
        <w:tab/>
        <w:t>Европейската мрежа на статистическите бизнес регистри и регистъра EuroGroups.</w:t>
      </w:r>
    </w:p>
    <w:p w:rsidR="00242E09" w:rsidRDefault="00CE46B8">
      <w:pPr>
        <w:pStyle w:val="Titrearticle"/>
        <w:rPr>
          <w:noProof/>
        </w:rPr>
      </w:pPr>
      <w:r>
        <w:rPr>
          <w:noProof/>
        </w:rPr>
        <w:t>Член 2</w:t>
      </w:r>
    </w:p>
    <w:p w:rsidR="00242E09" w:rsidRDefault="00CE46B8">
      <w:pPr>
        <w:pStyle w:val="Titrearticle"/>
        <w:rPr>
          <w:noProof/>
        </w:rPr>
      </w:pPr>
      <w:r>
        <w:rPr>
          <w:noProof/>
        </w:rPr>
        <w:t>Определения</w:t>
      </w:r>
    </w:p>
    <w:p w:rsidR="00242E09" w:rsidRDefault="00CE46B8">
      <w:pPr>
        <w:pStyle w:val="ManualNumPar1"/>
        <w:rPr>
          <w:noProof/>
        </w:rPr>
      </w:pPr>
      <w:r>
        <w:t>1.</w:t>
      </w:r>
      <w:r>
        <w:tab/>
      </w:r>
      <w:r>
        <w:rPr>
          <w:noProof/>
        </w:rPr>
        <w:t>За целите на настоящия регламент се прилагат следните определения:</w:t>
      </w:r>
    </w:p>
    <w:p w:rsidR="00242E09" w:rsidRDefault="00CE46B8">
      <w:pPr>
        <w:pStyle w:val="Point1"/>
        <w:rPr>
          <w:noProof/>
        </w:rPr>
      </w:pPr>
      <w:r>
        <w:rPr>
          <w:noProof/>
        </w:rPr>
        <w:t>а)</w:t>
      </w:r>
      <w:r>
        <w:rPr>
          <w:noProof/>
        </w:rPr>
        <w:tab/>
        <w:t>„статистическа единица“ означава статистическите отчетни единици, определени в прил</w:t>
      </w:r>
      <w:r>
        <w:rPr>
          <w:noProof/>
        </w:rPr>
        <w:t>ожението към Регламент (ЕИО) № 696/93 на Съвета</w:t>
      </w:r>
      <w:r>
        <w:rPr>
          <w:rStyle w:val="FootnoteReference"/>
          <w:noProof/>
        </w:rPr>
        <w:footnoteReference w:id="25"/>
      </w:r>
      <w:r>
        <w:rPr>
          <w:noProof/>
        </w:rPr>
        <w:t xml:space="preserve">; </w:t>
      </w:r>
    </w:p>
    <w:p w:rsidR="00242E09" w:rsidRDefault="00CE46B8">
      <w:pPr>
        <w:pStyle w:val="Point1"/>
        <w:rPr>
          <w:noProof/>
        </w:rPr>
      </w:pPr>
      <w:r>
        <w:rPr>
          <w:noProof/>
        </w:rPr>
        <w:t>б)</w:t>
      </w:r>
      <w:r>
        <w:rPr>
          <w:noProof/>
        </w:rPr>
        <w:tab/>
        <w:t>„отчетна единица“ означава единицата, която предоставя данните;</w:t>
      </w:r>
    </w:p>
    <w:p w:rsidR="00242E09" w:rsidRDefault="00CE46B8">
      <w:pPr>
        <w:pStyle w:val="Point1"/>
        <w:rPr>
          <w:noProof/>
        </w:rPr>
      </w:pPr>
      <w:r>
        <w:rPr>
          <w:noProof/>
        </w:rPr>
        <w:t>в)</w:t>
      </w:r>
      <w:r>
        <w:rPr>
          <w:noProof/>
        </w:rPr>
        <w:tab/>
        <w:t>„тематична област“ означава един или няколко масива от данни, организирани с цел обхващане на конкретни теми;</w:t>
      </w:r>
    </w:p>
    <w:p w:rsidR="00242E09" w:rsidRDefault="00CE46B8">
      <w:pPr>
        <w:pStyle w:val="Point1"/>
        <w:rPr>
          <w:noProof/>
        </w:rPr>
      </w:pPr>
      <w:r>
        <w:rPr>
          <w:noProof/>
        </w:rPr>
        <w:t>г)</w:t>
      </w:r>
      <w:r>
        <w:rPr>
          <w:noProof/>
        </w:rPr>
        <w:tab/>
        <w:t>„тема“ и „подробна тем</w:t>
      </w:r>
      <w:r>
        <w:rPr>
          <w:noProof/>
        </w:rPr>
        <w:t xml:space="preserve">а“ означават съдържанието на информацията, която трябва да се съставя за статистическите единици. Подробните теми включват по-висока степен на подробност от темите. Темите обхващат по няколко подробни теми; </w:t>
      </w:r>
    </w:p>
    <w:p w:rsidR="00242E09" w:rsidRDefault="00CE46B8">
      <w:pPr>
        <w:pStyle w:val="Point1"/>
        <w:rPr>
          <w:noProof/>
        </w:rPr>
      </w:pPr>
      <w:r>
        <w:rPr>
          <w:noProof/>
        </w:rPr>
        <w:t>д)</w:t>
      </w:r>
      <w:r>
        <w:rPr>
          <w:noProof/>
        </w:rPr>
        <w:tab/>
        <w:t>„променлива“ означава характеристика на даден</w:t>
      </w:r>
      <w:r>
        <w:rPr>
          <w:noProof/>
        </w:rPr>
        <w:t>а наблюдавана единица, която може да приеме повече от една стойност от определен набор от стойности;</w:t>
      </w:r>
    </w:p>
    <w:p w:rsidR="00242E09" w:rsidRDefault="00CE46B8">
      <w:pPr>
        <w:pStyle w:val="Point1"/>
        <w:rPr>
          <w:noProof/>
        </w:rPr>
      </w:pPr>
      <w:r>
        <w:rPr>
          <w:noProof/>
        </w:rPr>
        <w:t>е)</w:t>
      </w:r>
      <w:r>
        <w:rPr>
          <w:noProof/>
        </w:rPr>
        <w:tab/>
        <w:t>„характеристика“ означава абстракция на дадено свойство на определен обект или набор от обекти;</w:t>
      </w:r>
    </w:p>
    <w:p w:rsidR="00242E09" w:rsidRDefault="00CE46B8">
      <w:pPr>
        <w:pStyle w:val="Point1"/>
        <w:rPr>
          <w:noProof/>
        </w:rPr>
      </w:pPr>
      <w:r>
        <w:rPr>
          <w:noProof/>
        </w:rPr>
        <w:t>ж)</w:t>
      </w:r>
      <w:r>
        <w:rPr>
          <w:noProof/>
        </w:rPr>
        <w:tab/>
        <w:t>„пазарна дейност“ и „непазарна дейност“ означават дей</w:t>
      </w:r>
      <w:r>
        <w:rPr>
          <w:noProof/>
        </w:rPr>
        <w:t>ностите, определени в Регламент (ЕС) № 549/2013;</w:t>
      </w:r>
    </w:p>
    <w:p w:rsidR="00242E09" w:rsidRDefault="00CE46B8">
      <w:pPr>
        <w:pStyle w:val="Point1"/>
        <w:rPr>
          <w:noProof/>
        </w:rPr>
      </w:pPr>
      <w:r>
        <w:rPr>
          <w:noProof/>
        </w:rPr>
        <w:lastRenderedPageBreak/>
        <w:t>з)</w:t>
      </w:r>
      <w:r>
        <w:rPr>
          <w:noProof/>
        </w:rPr>
        <w:tab/>
        <w:t>„пазарен производител“ и „непазарен производител“ означават производителите, определени в Регламент (ЕС) № 549/2013;</w:t>
      </w:r>
    </w:p>
    <w:p w:rsidR="00242E09" w:rsidRDefault="00CE46B8">
      <w:pPr>
        <w:pStyle w:val="Point1"/>
        <w:rPr>
          <w:noProof/>
        </w:rPr>
      </w:pPr>
      <w:r>
        <w:rPr>
          <w:noProof/>
        </w:rPr>
        <w:t>и)</w:t>
      </w:r>
      <w:r>
        <w:rPr>
          <w:noProof/>
        </w:rPr>
        <w:tab/>
        <w:t>„национални статистически органи“ означава определените от държавите членки национал</w:t>
      </w:r>
      <w:r>
        <w:rPr>
          <w:noProof/>
        </w:rPr>
        <w:t xml:space="preserve">ни статистически институти и другите национални органи, отговарящи за разработването, изготвянето и разпространението на европейската статистика, в съответствие с посоченото в член 5, параграфи 1 и 2 от Регламент (ЕО) № 223/2009; </w:t>
      </w:r>
    </w:p>
    <w:p w:rsidR="00242E09" w:rsidRDefault="00CE46B8">
      <w:pPr>
        <w:pStyle w:val="Point1"/>
        <w:rPr>
          <w:noProof/>
        </w:rPr>
      </w:pPr>
      <w:r>
        <w:rPr>
          <w:noProof/>
        </w:rPr>
        <w:t>й)</w:t>
      </w:r>
      <w:r>
        <w:rPr>
          <w:noProof/>
        </w:rPr>
        <w:tab/>
        <w:t xml:space="preserve">„достоверен източник“ </w:t>
      </w:r>
      <w:r>
        <w:rPr>
          <w:noProof/>
        </w:rPr>
        <w:t>означава единственият източник на записи на данни, съдържащи данни от националните статистически бизнес регистри и от регистъра EuroGroups, в съответствие със стандартите за качество, посочени в член 16;</w:t>
      </w:r>
    </w:p>
    <w:p w:rsidR="00242E09" w:rsidRDefault="00CE46B8">
      <w:pPr>
        <w:pStyle w:val="Point1"/>
        <w:rPr>
          <w:noProof/>
        </w:rPr>
      </w:pPr>
      <w:r>
        <w:rPr>
          <w:noProof/>
        </w:rPr>
        <w:t>к)</w:t>
      </w:r>
      <w:r>
        <w:rPr>
          <w:noProof/>
        </w:rPr>
        <w:tab/>
        <w:t>„микроданни“ означава индивидуални наблюдения или</w:t>
      </w:r>
      <w:r>
        <w:rPr>
          <w:noProof/>
        </w:rPr>
        <w:t xml:space="preserve"> измервания на характеристиките на разпознаваеми отчетни или статистически единици;</w:t>
      </w:r>
    </w:p>
    <w:p w:rsidR="00242E09" w:rsidRDefault="00CE46B8">
      <w:pPr>
        <w:pStyle w:val="Point1"/>
        <w:rPr>
          <w:noProof/>
        </w:rPr>
      </w:pPr>
      <w:r>
        <w:rPr>
          <w:noProof/>
        </w:rPr>
        <w:t>л)</w:t>
      </w:r>
      <w:r>
        <w:rPr>
          <w:noProof/>
        </w:rPr>
        <w:tab/>
        <w:t>„използване за статистически цели“ означава използването изключително за целите на разработването и изготвянето на статистически резултати и анализи в съответствие с опр</w:t>
      </w:r>
      <w:r>
        <w:rPr>
          <w:noProof/>
        </w:rPr>
        <w:t>еделението в член 3, параграф 8 от Регламент (ЕО) № 223/2009;</w:t>
      </w:r>
    </w:p>
    <w:p w:rsidR="00242E09" w:rsidRDefault="00CE46B8">
      <w:pPr>
        <w:pStyle w:val="Point1"/>
        <w:rPr>
          <w:noProof/>
        </w:rPr>
      </w:pPr>
      <w:r>
        <w:rPr>
          <w:noProof/>
        </w:rPr>
        <w:t>м)</w:t>
      </w:r>
      <w:r>
        <w:rPr>
          <w:noProof/>
        </w:rPr>
        <w:tab/>
        <w:t>„поверителни данни“ означава данни в съответствие с определението в член 3, параграф 7 от Регламент (ЕО) № 223/2009;</w:t>
      </w:r>
    </w:p>
    <w:p w:rsidR="00242E09" w:rsidRDefault="00CE46B8">
      <w:pPr>
        <w:pStyle w:val="Point1"/>
        <w:rPr>
          <w:noProof/>
        </w:rPr>
      </w:pPr>
      <w:r>
        <w:rPr>
          <w:noProof/>
        </w:rPr>
        <w:t>н)</w:t>
      </w:r>
      <w:r>
        <w:rPr>
          <w:noProof/>
        </w:rPr>
        <w:tab/>
        <w:t>„данъчен орган“ означава националният орган в държавата членка, който е</w:t>
      </w:r>
      <w:r>
        <w:rPr>
          <w:noProof/>
        </w:rPr>
        <w:t xml:space="preserve"> отговорен за прилагането на Директива 2006/112/ЕО на Съвета</w:t>
      </w:r>
      <w:r>
        <w:rPr>
          <w:rStyle w:val="FootnoteReference"/>
          <w:noProof/>
        </w:rPr>
        <w:footnoteReference w:id="26"/>
      </w:r>
      <w:r>
        <w:rPr>
          <w:noProof/>
        </w:rPr>
        <w:t>;</w:t>
      </w:r>
    </w:p>
    <w:p w:rsidR="00242E09" w:rsidRDefault="00CE46B8">
      <w:pPr>
        <w:pStyle w:val="Point1"/>
        <w:rPr>
          <w:noProof/>
        </w:rPr>
      </w:pPr>
      <w:r>
        <w:rPr>
          <w:noProof/>
        </w:rPr>
        <w:t>о)</w:t>
      </w:r>
      <w:r>
        <w:rPr>
          <w:noProof/>
        </w:rPr>
        <w:tab/>
        <w:t>„митнически органи“ означава митнически органи в съответствие с посоченото в член 5, параграф 1 от Регламент (ЕС) № 952/2013.</w:t>
      </w:r>
    </w:p>
    <w:p w:rsidR="00242E09" w:rsidRDefault="00CE46B8">
      <w:pPr>
        <w:pStyle w:val="ManualNumPar1"/>
        <w:rPr>
          <w:noProof/>
        </w:rPr>
      </w:pPr>
      <w:r>
        <w:t>2.</w:t>
      </w:r>
      <w:r>
        <w:tab/>
      </w:r>
      <w:r>
        <w:rPr>
          <w:noProof/>
        </w:rPr>
        <w:t>За целите на членове 11 — 15 се прилагат следните определения</w:t>
      </w:r>
      <w:r>
        <w:rPr>
          <w:noProof/>
        </w:rPr>
        <w:t>:</w:t>
      </w:r>
    </w:p>
    <w:p w:rsidR="00242E09" w:rsidRDefault="00CE46B8">
      <w:pPr>
        <w:pStyle w:val="Point1"/>
        <w:rPr>
          <w:noProof/>
        </w:rPr>
      </w:pPr>
      <w:r>
        <w:rPr>
          <w:noProof/>
        </w:rPr>
        <w:t>а)</w:t>
      </w:r>
      <w:r>
        <w:rPr>
          <w:noProof/>
        </w:rPr>
        <w:tab/>
        <w:t>„държава членка на износ“ означава държавата членка, от чиято статистическа територия се изнасят стоки за тяхното местоназначение в държавата членка на внос;</w:t>
      </w:r>
    </w:p>
    <w:p w:rsidR="00242E09" w:rsidRDefault="00CE46B8">
      <w:pPr>
        <w:pStyle w:val="Point1"/>
        <w:rPr>
          <w:noProof/>
        </w:rPr>
      </w:pPr>
      <w:r>
        <w:rPr>
          <w:noProof/>
        </w:rPr>
        <w:t>б)</w:t>
      </w:r>
      <w:r>
        <w:rPr>
          <w:noProof/>
        </w:rPr>
        <w:tab/>
        <w:t>„държава членка на внос“ означава държавата членка, на чиято статистическа територия се вн</w:t>
      </w:r>
      <w:r>
        <w:rPr>
          <w:noProof/>
        </w:rPr>
        <w:t>асят стоки от държавата членка на внос;</w:t>
      </w:r>
    </w:p>
    <w:p w:rsidR="00242E09" w:rsidRDefault="00CE46B8">
      <w:pPr>
        <w:pStyle w:val="Point1"/>
        <w:rPr>
          <w:noProof/>
        </w:rPr>
      </w:pPr>
      <w:r>
        <w:rPr>
          <w:noProof/>
        </w:rPr>
        <w:t>в)</w:t>
      </w:r>
      <w:r>
        <w:rPr>
          <w:noProof/>
        </w:rPr>
        <w:tab/>
        <w:t>„стоки“ означава всички видове движимо имущество, включително електрическа енергия и природен газ.</w:t>
      </w:r>
    </w:p>
    <w:p w:rsidR="00242E09" w:rsidRDefault="00CE46B8">
      <w:pPr>
        <w:pStyle w:val="Titrearticle"/>
        <w:rPr>
          <w:noProof/>
        </w:rPr>
      </w:pPr>
      <w:r>
        <w:rPr>
          <w:noProof/>
        </w:rPr>
        <w:t>Член 3</w:t>
      </w:r>
    </w:p>
    <w:p w:rsidR="00242E09" w:rsidRDefault="00CE46B8">
      <w:pPr>
        <w:pStyle w:val="Titrearticle"/>
        <w:rPr>
          <w:noProof/>
        </w:rPr>
      </w:pPr>
      <w:r>
        <w:rPr>
          <w:noProof/>
        </w:rPr>
        <w:t>Обхват</w:t>
      </w:r>
    </w:p>
    <w:p w:rsidR="00242E09" w:rsidRDefault="00CE46B8">
      <w:pPr>
        <w:pStyle w:val="ManualNumPar1"/>
        <w:rPr>
          <w:noProof/>
        </w:rPr>
      </w:pPr>
      <w:r>
        <w:t>1.</w:t>
      </w:r>
      <w:r>
        <w:tab/>
      </w:r>
      <w:r>
        <w:rPr>
          <w:noProof/>
        </w:rPr>
        <w:t>Европейската бизнес статистика обхваща:</w:t>
      </w:r>
    </w:p>
    <w:p w:rsidR="00242E09" w:rsidRDefault="00CE46B8">
      <w:pPr>
        <w:pStyle w:val="Point1"/>
        <w:rPr>
          <w:noProof/>
        </w:rPr>
      </w:pPr>
      <w:r>
        <w:rPr>
          <w:noProof/>
        </w:rPr>
        <w:t>а)</w:t>
      </w:r>
      <w:r>
        <w:rPr>
          <w:noProof/>
        </w:rPr>
        <w:tab/>
        <w:t xml:space="preserve">структурата, икономическите дейности и ефективността </w:t>
      </w:r>
      <w:r>
        <w:rPr>
          <w:noProof/>
        </w:rPr>
        <w:t>на статистическите единици, техните научноизследователски и развойни дейности и дейности в областта на иновациите, тяхното използване на ИКТ и електронна търговия, както и глобалните вериги за създаване на стойност;</w:t>
      </w:r>
    </w:p>
    <w:p w:rsidR="00242E09" w:rsidRDefault="00CE46B8">
      <w:pPr>
        <w:pStyle w:val="Point1"/>
        <w:rPr>
          <w:noProof/>
        </w:rPr>
      </w:pPr>
      <w:r>
        <w:rPr>
          <w:noProof/>
        </w:rPr>
        <w:lastRenderedPageBreak/>
        <w:t>б)</w:t>
      </w:r>
      <w:r>
        <w:rPr>
          <w:noProof/>
        </w:rPr>
        <w:tab/>
        <w:t xml:space="preserve">производството на промишлени стоки и </w:t>
      </w:r>
      <w:r>
        <w:rPr>
          <w:noProof/>
        </w:rPr>
        <w:t>предоставянето на услуги, както и международната търговия със стоки и услуги.</w:t>
      </w:r>
    </w:p>
    <w:p w:rsidR="00242E09" w:rsidRDefault="00CE46B8">
      <w:pPr>
        <w:pStyle w:val="ManualNumPar1"/>
        <w:rPr>
          <w:noProof/>
        </w:rPr>
      </w:pPr>
      <w:r>
        <w:t>2.</w:t>
      </w:r>
      <w:r>
        <w:tab/>
      </w:r>
      <w:r>
        <w:rPr>
          <w:noProof/>
        </w:rPr>
        <w:t>Европейската мрежа на статистическите бизнес регистри обхваща националните бизнес регистри и регистъра EuroGroups, както и информационния обмен между тях.</w:t>
      </w:r>
    </w:p>
    <w:p w:rsidR="00242E09" w:rsidRDefault="00CE46B8">
      <w:pPr>
        <w:pStyle w:val="Point1"/>
        <w:rPr>
          <w:noProof/>
        </w:rPr>
      </w:pPr>
      <w:r>
        <w:rPr>
          <w:noProof/>
        </w:rPr>
        <w:t>а)</w:t>
      </w:r>
      <w:r>
        <w:rPr>
          <w:noProof/>
        </w:rPr>
        <w:tab/>
        <w:t>Националните стат</w:t>
      </w:r>
      <w:r>
        <w:rPr>
          <w:noProof/>
        </w:rPr>
        <w:t>истически бизнес регистри обхващат:</w:t>
      </w:r>
    </w:p>
    <w:p w:rsidR="00242E09" w:rsidRDefault="00CE46B8">
      <w:pPr>
        <w:pStyle w:val="Point2"/>
        <w:rPr>
          <w:noProof/>
        </w:rPr>
      </w:pPr>
      <w:r>
        <w:rPr>
          <w:noProof/>
        </w:rPr>
        <w:t>i)</w:t>
      </w:r>
      <w:r>
        <w:rPr>
          <w:noProof/>
        </w:rPr>
        <w:tab/>
        <w:t>всички извършващи икономически дейности предприятия, които допринасят за брутния вътрешен продукт (БВП), и техните местни единици;</w:t>
      </w:r>
    </w:p>
    <w:p w:rsidR="00242E09" w:rsidRDefault="00CE46B8">
      <w:pPr>
        <w:pStyle w:val="Point2"/>
        <w:rPr>
          <w:noProof/>
        </w:rPr>
      </w:pPr>
      <w:r>
        <w:rPr>
          <w:noProof/>
        </w:rPr>
        <w:t>ii)</w:t>
      </w:r>
      <w:r>
        <w:rPr>
          <w:noProof/>
        </w:rPr>
        <w:tab/>
        <w:t>юридическите единици, от които са съставени тези предприятия;</w:t>
      </w:r>
    </w:p>
    <w:p w:rsidR="00242E09" w:rsidRDefault="00CE46B8">
      <w:pPr>
        <w:pStyle w:val="Point2"/>
        <w:rPr>
          <w:noProof/>
        </w:rPr>
      </w:pPr>
      <w:r>
        <w:rPr>
          <w:noProof/>
        </w:rPr>
        <w:t>iii)</w:t>
      </w:r>
      <w:r>
        <w:rPr>
          <w:noProof/>
        </w:rPr>
        <w:tab/>
        <w:t>единиците по ви</w:t>
      </w:r>
      <w:r>
        <w:rPr>
          <w:noProof/>
        </w:rPr>
        <w:t>д дейност (ЕВД) или кода по NACE, определени в Регламент (ЕО) № 1893/2006 на Европейския парламент и на Съвета</w:t>
      </w:r>
      <w:r>
        <w:rPr>
          <w:rStyle w:val="FootnoteReference"/>
          <w:noProof/>
        </w:rPr>
        <w:footnoteReference w:id="27"/>
      </w:r>
      <w:r>
        <w:rPr>
          <w:noProof/>
        </w:rPr>
        <w:t>, и размера на всички ЕВД, от които се състоят тези предприятия, като се вземат предвид само предприятията, които поради размера си оказват същес</w:t>
      </w:r>
      <w:r>
        <w:rPr>
          <w:noProof/>
        </w:rPr>
        <w:t>твено влияние върху агрегираните (национални) данни;</w:t>
      </w:r>
    </w:p>
    <w:p w:rsidR="00242E09" w:rsidRDefault="00CE46B8">
      <w:pPr>
        <w:pStyle w:val="Point2"/>
        <w:rPr>
          <w:noProof/>
        </w:rPr>
      </w:pPr>
      <w:r>
        <w:rPr>
          <w:noProof/>
        </w:rPr>
        <w:t>iv)</w:t>
      </w:r>
      <w:r>
        <w:rPr>
          <w:noProof/>
        </w:rPr>
        <w:tab/>
        <w:t>групи от предприятия.</w:t>
      </w:r>
    </w:p>
    <w:p w:rsidR="00242E09" w:rsidRDefault="00CE46B8">
      <w:pPr>
        <w:pStyle w:val="Point1"/>
        <w:rPr>
          <w:noProof/>
        </w:rPr>
      </w:pPr>
      <w:r>
        <w:rPr>
          <w:noProof/>
        </w:rPr>
        <w:t>б)</w:t>
      </w:r>
      <w:r>
        <w:rPr>
          <w:noProof/>
        </w:rPr>
        <w:tab/>
        <w:t>Регистърът EuroGroups обхваща:</w:t>
      </w:r>
    </w:p>
    <w:p w:rsidR="00242E09" w:rsidRDefault="00CE46B8">
      <w:pPr>
        <w:pStyle w:val="Point2"/>
        <w:rPr>
          <w:noProof/>
        </w:rPr>
      </w:pPr>
      <w:r>
        <w:rPr>
          <w:noProof/>
        </w:rPr>
        <w:t>i)</w:t>
      </w:r>
      <w:r>
        <w:rPr>
          <w:noProof/>
        </w:rPr>
        <w:tab/>
        <w:t>всички извършващи икономически дейности предприятия, които допринасят за брутния вътрешен продукт (БВП) и са част от мултинационална група о</w:t>
      </w:r>
      <w:r>
        <w:rPr>
          <w:noProof/>
        </w:rPr>
        <w:t>т предприятия;</w:t>
      </w:r>
    </w:p>
    <w:p w:rsidR="00242E09" w:rsidRDefault="00CE46B8">
      <w:pPr>
        <w:pStyle w:val="Point2"/>
        <w:rPr>
          <w:noProof/>
        </w:rPr>
      </w:pPr>
      <w:r>
        <w:rPr>
          <w:noProof/>
        </w:rPr>
        <w:t>ii)</w:t>
      </w:r>
      <w:r>
        <w:rPr>
          <w:noProof/>
        </w:rPr>
        <w:tab/>
        <w:t>юридическите единици, от които са съставени тези предприятия;</w:t>
      </w:r>
    </w:p>
    <w:p w:rsidR="00242E09" w:rsidRDefault="00CE46B8">
      <w:pPr>
        <w:pStyle w:val="Point2"/>
        <w:rPr>
          <w:noProof/>
        </w:rPr>
      </w:pPr>
      <w:r>
        <w:rPr>
          <w:noProof/>
        </w:rPr>
        <w:t>iii)</w:t>
      </w:r>
      <w:r>
        <w:rPr>
          <w:noProof/>
        </w:rPr>
        <w:tab/>
        <w:t>мултинационалните групи от предприятия.</w:t>
      </w:r>
    </w:p>
    <w:p w:rsidR="00242E09" w:rsidRDefault="00CE46B8">
      <w:pPr>
        <w:pStyle w:val="Point1"/>
        <w:rPr>
          <w:noProof/>
        </w:rPr>
      </w:pPr>
      <w:r>
        <w:rPr>
          <w:noProof/>
        </w:rPr>
        <w:t>в)</w:t>
      </w:r>
      <w:r>
        <w:rPr>
          <w:noProof/>
        </w:rPr>
        <w:tab/>
        <w:t>Домакинствата не попадат в обхвата на Европейската мрежа на статистическите бизнес регистри, доколкото произвежданите от тях ст</w:t>
      </w:r>
      <w:r>
        <w:rPr>
          <w:noProof/>
        </w:rPr>
        <w:t>оки и услуги са предназначени за тяхно собствено потребление или са свързани с отдаването под наем на собствено имущество.</w:t>
      </w:r>
    </w:p>
    <w:p w:rsidR="00242E09" w:rsidRDefault="00CE46B8">
      <w:pPr>
        <w:pStyle w:val="Point1"/>
        <w:rPr>
          <w:noProof/>
        </w:rPr>
      </w:pPr>
      <w:r>
        <w:rPr>
          <w:noProof/>
        </w:rPr>
        <w:t>г)</w:t>
      </w:r>
      <w:r>
        <w:rPr>
          <w:noProof/>
        </w:rPr>
        <w:tab/>
        <w:t>Местните единици на чуждестранни предприятия, които не представляват отделни юридически лица (клонове) и са класифицирани като ква</w:t>
      </w:r>
      <w:r>
        <w:rPr>
          <w:noProof/>
        </w:rPr>
        <w:t>зикорпорации в съответствие с Регламент (ЕС) № 549/2013, се считат за предприятия за целите на националните статистически бизнес регистри и на регистъра EuroGroups.</w:t>
      </w:r>
    </w:p>
    <w:p w:rsidR="00242E09" w:rsidRDefault="00CE46B8">
      <w:pPr>
        <w:pStyle w:val="Point1"/>
        <w:rPr>
          <w:noProof/>
        </w:rPr>
      </w:pPr>
      <w:r>
        <w:rPr>
          <w:noProof/>
        </w:rPr>
        <w:t>г)</w:t>
      </w:r>
      <w:r>
        <w:rPr>
          <w:noProof/>
        </w:rPr>
        <w:tab/>
        <w:t>Групите от предприятия се идентифицират чрез връзките на контрол между техните юридическ</w:t>
      </w:r>
      <w:r>
        <w:rPr>
          <w:noProof/>
        </w:rPr>
        <w:t>и единици в съответствие с Регламент (ЕС) № 549/2013.</w:t>
      </w:r>
    </w:p>
    <w:p w:rsidR="00242E09" w:rsidRDefault="00CE46B8">
      <w:pPr>
        <w:pStyle w:val="Point1"/>
        <w:rPr>
          <w:noProof/>
        </w:rPr>
      </w:pPr>
      <w:r>
        <w:rPr>
          <w:noProof/>
        </w:rPr>
        <w:t>е)</w:t>
      </w:r>
      <w:r>
        <w:rPr>
          <w:noProof/>
        </w:rPr>
        <w:tab/>
        <w:t>При позоваване на националните статистически бизнес регистри и на регистъра EuroGroups настоящият регламент се прилага само по отношение на единиците, които — изцяло или частично — извършват икономич</w:t>
      </w:r>
      <w:r>
        <w:rPr>
          <w:noProof/>
        </w:rPr>
        <w:t xml:space="preserve">еска дейност. За целите на Европейската мрежа на </w:t>
      </w:r>
      <w:r>
        <w:rPr>
          <w:noProof/>
        </w:rPr>
        <w:lastRenderedPageBreak/>
        <w:t>статистическите бизнес регистри всяка дейност, която включва предлагането на стоки и услуги на даден пазар, се счита за икономическа дейност. Държането на активи и/или пасиви също може да се счита за дейност</w:t>
      </w:r>
      <w:r>
        <w:rPr>
          <w:noProof/>
        </w:rPr>
        <w:t>. Освен това непазарните услуги, допринасящи за БВП, както и прякото и непрякото участие в капитала на активни юридически единици също се считат за икономически дейности за целите на Европейската мрежа на статистическите бизнес регистри. Икономически неакт</w:t>
      </w:r>
      <w:r>
        <w:rPr>
          <w:noProof/>
        </w:rPr>
        <w:t>ивните юридически единици са част от дадено предприятие единствено в съчетание с икономически активни юридически единици.</w:t>
      </w:r>
    </w:p>
    <w:p w:rsidR="00242E09" w:rsidRDefault="00CE46B8">
      <w:pPr>
        <w:pStyle w:val="Point1"/>
        <w:rPr>
          <w:noProof/>
        </w:rPr>
      </w:pPr>
      <w:r>
        <w:rPr>
          <w:noProof/>
        </w:rPr>
        <w:t>ж)</w:t>
      </w:r>
      <w:r>
        <w:rPr>
          <w:noProof/>
        </w:rPr>
        <w:tab/>
        <w:t>Статистическите единици в рамките на Европейската мрежа на статистическите бизнес регистри се определят в съответствие с приложение</w:t>
      </w:r>
      <w:r>
        <w:rPr>
          <w:noProof/>
        </w:rPr>
        <w:t>то към Регламент (ЕИО) № 696/93 на Съвета при спазване на определените в настоящия член ограничения.</w:t>
      </w:r>
    </w:p>
    <w:p w:rsidR="00242E09" w:rsidRDefault="00CE46B8">
      <w:pPr>
        <w:pStyle w:val="ChapterTitle"/>
        <w:rPr>
          <w:noProof/>
        </w:rPr>
      </w:pPr>
      <w:r>
        <w:rPr>
          <w:noProof/>
        </w:rPr>
        <w:t>ГЛАВА II</w:t>
      </w:r>
    </w:p>
    <w:p w:rsidR="00242E09" w:rsidRDefault="00CE46B8">
      <w:pPr>
        <w:pStyle w:val="ChapterTitle"/>
        <w:rPr>
          <w:noProof/>
        </w:rPr>
      </w:pPr>
      <w:r>
        <w:rPr>
          <w:noProof/>
        </w:rPr>
        <w:t>ИЗТОЧНИЦИ НА ДАННИ</w:t>
      </w:r>
    </w:p>
    <w:p w:rsidR="00242E09" w:rsidRDefault="00CE46B8">
      <w:pPr>
        <w:pStyle w:val="Titrearticle"/>
        <w:rPr>
          <w:noProof/>
        </w:rPr>
      </w:pPr>
      <w:r>
        <w:rPr>
          <w:noProof/>
        </w:rPr>
        <w:t>Член 4</w:t>
      </w:r>
    </w:p>
    <w:p w:rsidR="00242E09" w:rsidRDefault="00CE46B8">
      <w:pPr>
        <w:pStyle w:val="Titrearticle"/>
        <w:rPr>
          <w:noProof/>
        </w:rPr>
      </w:pPr>
      <w:r>
        <w:rPr>
          <w:noProof/>
        </w:rPr>
        <w:t>Източници на данни и методи</w:t>
      </w:r>
    </w:p>
    <w:p w:rsidR="00242E09" w:rsidRDefault="00CE46B8">
      <w:pPr>
        <w:pStyle w:val="ManualNumPar1"/>
        <w:rPr>
          <w:noProof/>
        </w:rPr>
      </w:pPr>
      <w:r>
        <w:t>1.</w:t>
      </w:r>
      <w:r>
        <w:tab/>
      </w:r>
      <w:r>
        <w:rPr>
          <w:noProof/>
        </w:rPr>
        <w:t>Държавите членки изготвят статистиката, посочена в членове 6 и 7, както и националните ст</w:t>
      </w:r>
      <w:r>
        <w:rPr>
          <w:noProof/>
        </w:rPr>
        <w:t>атистически бизнес регистри, посочени в член 9, като използват всички подходящи източници на данни и същевременно избягват налагането на прекомерна тежест върху респондентите и надлежно вземат предвид разходната ефективност на националните статистически ор</w:t>
      </w:r>
      <w:r>
        <w:rPr>
          <w:noProof/>
        </w:rPr>
        <w:t>гани. Националните статистически органи могат да използват следните източници на данни за изготвяне на статистиката и националните статистически бизнес регистри, изисквани съгласно настоящия регламент:</w:t>
      </w:r>
    </w:p>
    <w:p w:rsidR="00242E09" w:rsidRDefault="00CE46B8">
      <w:pPr>
        <w:pStyle w:val="Point1"/>
        <w:rPr>
          <w:noProof/>
        </w:rPr>
      </w:pPr>
      <w:r>
        <w:rPr>
          <w:noProof/>
        </w:rPr>
        <w:t>а)</w:t>
      </w:r>
      <w:r>
        <w:rPr>
          <w:noProof/>
        </w:rPr>
        <w:tab/>
        <w:t>изследвания: отчетните единици, към които държавите</w:t>
      </w:r>
      <w:r>
        <w:rPr>
          <w:noProof/>
        </w:rPr>
        <w:t xml:space="preserve"> членки са отправили искане, са длъжни да предоставят актуална, точна и пълна информация, необходима за изготвяне на статистиката и националните статистически бизнес регистри, изисквани съгласно настоящия регламент;</w:t>
      </w:r>
    </w:p>
    <w:p w:rsidR="00242E09" w:rsidRDefault="00CE46B8">
      <w:pPr>
        <w:pStyle w:val="Point1"/>
        <w:rPr>
          <w:noProof/>
        </w:rPr>
      </w:pPr>
      <w:r>
        <w:rPr>
          <w:noProof/>
        </w:rPr>
        <w:t>б)</w:t>
      </w:r>
      <w:r>
        <w:rPr>
          <w:noProof/>
        </w:rPr>
        <w:tab/>
        <w:t>административни записи, включително и</w:t>
      </w:r>
      <w:r>
        <w:rPr>
          <w:noProof/>
        </w:rPr>
        <w:t>нформация от данъчните и митническите органи;</w:t>
      </w:r>
    </w:p>
    <w:p w:rsidR="00242E09" w:rsidRDefault="00CE46B8">
      <w:pPr>
        <w:pStyle w:val="Point1"/>
        <w:rPr>
          <w:noProof/>
        </w:rPr>
      </w:pPr>
      <w:r>
        <w:rPr>
          <w:noProof/>
        </w:rPr>
        <w:t>в)</w:t>
      </w:r>
      <w:r>
        <w:rPr>
          <w:noProof/>
        </w:rPr>
        <w:tab/>
        <w:t>обменени микроданни;</w:t>
      </w:r>
    </w:p>
    <w:p w:rsidR="00242E09" w:rsidRDefault="00CE46B8">
      <w:pPr>
        <w:pStyle w:val="Point1"/>
        <w:rPr>
          <w:noProof/>
        </w:rPr>
      </w:pPr>
      <w:r>
        <w:rPr>
          <w:noProof/>
        </w:rPr>
        <w:t>г)</w:t>
      </w:r>
      <w:r>
        <w:rPr>
          <w:noProof/>
        </w:rPr>
        <w:tab/>
        <w:t>други подходящи източници на информация, които са в съответствие с посочените в член 16 критерии за качество, включително комбинации от съществуващи източници на данни.</w:t>
      </w:r>
    </w:p>
    <w:p w:rsidR="00242E09" w:rsidRDefault="00CE46B8">
      <w:pPr>
        <w:pStyle w:val="ManualNumPar1"/>
        <w:rPr>
          <w:noProof/>
        </w:rPr>
      </w:pPr>
      <w:r>
        <w:t>2.</w:t>
      </w:r>
      <w:r>
        <w:tab/>
      </w:r>
      <w:r>
        <w:rPr>
          <w:noProof/>
        </w:rPr>
        <w:t>Когато изис</w:t>
      </w:r>
      <w:r>
        <w:rPr>
          <w:noProof/>
        </w:rPr>
        <w:t>кваната статистика не може да бъде изготвена с помощта на посочените в параграф 1 източници на данни, които са в съответствие с посочените в член 16 критерии за качество, държавите членки могат да използват научно обосновани и добре документирани методи за</w:t>
      </w:r>
      <w:r>
        <w:rPr>
          <w:noProof/>
        </w:rPr>
        <w:t xml:space="preserve"> статистическа оценка и условно изчисляване, за да изготвят тази статистика.</w:t>
      </w:r>
    </w:p>
    <w:p w:rsidR="00242E09" w:rsidRDefault="00CE46B8">
      <w:pPr>
        <w:pStyle w:val="Titrearticle"/>
        <w:rPr>
          <w:noProof/>
        </w:rPr>
      </w:pPr>
      <w:r>
        <w:rPr>
          <w:noProof/>
        </w:rPr>
        <w:lastRenderedPageBreak/>
        <w:t>Член 5</w:t>
      </w:r>
    </w:p>
    <w:p w:rsidR="00242E09" w:rsidRDefault="00CE46B8">
      <w:pPr>
        <w:pStyle w:val="Titrearticle"/>
        <w:rPr>
          <w:noProof/>
        </w:rPr>
      </w:pPr>
      <w:r>
        <w:rPr>
          <w:noProof/>
        </w:rPr>
        <w:t xml:space="preserve">Достъп до административни записи и съобщаване на информация </w:t>
      </w:r>
    </w:p>
    <w:p w:rsidR="00242E09" w:rsidRDefault="00CE46B8">
      <w:pPr>
        <w:pStyle w:val="ManualNumPar1"/>
        <w:rPr>
          <w:noProof/>
        </w:rPr>
      </w:pPr>
      <w:r>
        <w:t>1.</w:t>
      </w:r>
      <w:r>
        <w:tab/>
      </w:r>
      <w:r>
        <w:rPr>
          <w:noProof/>
        </w:rPr>
        <w:t xml:space="preserve">В съответствие с принципите, изложени в член 17а от Регламент (ЕО) № 223/2009, националните статистически </w:t>
      </w:r>
      <w:r>
        <w:rPr>
          <w:noProof/>
        </w:rPr>
        <w:t>органи и Комисията (Евростат) имат право на незабавен и безвъзмезден достъп до всички административни записи, както и да интегрират тези записи с други източници на данни, за да изпълнят статистическите изисквания по настоящия регламент и да актуализират н</w:t>
      </w:r>
      <w:r>
        <w:rPr>
          <w:noProof/>
        </w:rPr>
        <w:t>ационалните статистически бизнес регистри и регистъра EuroGroups. Достъпът на националните статистически органи и на Комисията (Евростат) е ограничен до административните записи в рамките на съответните им публични административни системи.</w:t>
      </w:r>
    </w:p>
    <w:p w:rsidR="00242E09" w:rsidRDefault="00CE46B8">
      <w:pPr>
        <w:pStyle w:val="ManualNumPar1"/>
        <w:rPr>
          <w:noProof/>
        </w:rPr>
      </w:pPr>
      <w:r>
        <w:t>2.</w:t>
      </w:r>
      <w:r>
        <w:tab/>
      </w:r>
      <w:r>
        <w:rPr>
          <w:noProof/>
        </w:rPr>
        <w:t xml:space="preserve">Без да се </w:t>
      </w:r>
      <w:r>
        <w:rPr>
          <w:noProof/>
        </w:rPr>
        <w:t>засяга параграф 1, данъчният орган във всяка държава членка предоставя на националния статистически орган информация, свързана с износа и вноса на стоки.</w:t>
      </w:r>
    </w:p>
    <w:p w:rsidR="00242E09" w:rsidRDefault="00CE46B8">
      <w:pPr>
        <w:pStyle w:val="Text1"/>
        <w:ind w:left="851"/>
        <w:rPr>
          <w:noProof/>
        </w:rPr>
      </w:pPr>
      <w:r>
        <w:rPr>
          <w:noProof/>
        </w:rPr>
        <w:t>На Комисията се предоставя правомощието да приема делегирани актове в съответствие с член 21, за да оп</w:t>
      </w:r>
      <w:r>
        <w:rPr>
          <w:noProof/>
        </w:rPr>
        <w:t>редели точната информация, която трябва да се предостави от страна на данъчните органи.</w:t>
      </w:r>
    </w:p>
    <w:p w:rsidR="00242E09" w:rsidRDefault="00CE46B8">
      <w:pPr>
        <w:pStyle w:val="ManualNumPar1"/>
        <w:rPr>
          <w:noProof/>
        </w:rPr>
      </w:pPr>
      <w:r>
        <w:t>3.</w:t>
      </w:r>
      <w:r>
        <w:tab/>
      </w:r>
      <w:r>
        <w:rPr>
          <w:noProof/>
        </w:rPr>
        <w:t>Без да се засяга параграф 1, митническият орган във всяка държава членка предоставя на националния статистически орган информация, свързана с износа и вноса на стоки</w:t>
      </w:r>
      <w:r>
        <w:rPr>
          <w:noProof/>
        </w:rPr>
        <w:t>.</w:t>
      </w:r>
    </w:p>
    <w:p w:rsidR="00242E09" w:rsidRDefault="00CE46B8">
      <w:pPr>
        <w:pStyle w:val="Text1"/>
        <w:ind w:left="851"/>
        <w:rPr>
          <w:noProof/>
        </w:rPr>
      </w:pPr>
      <w:r>
        <w:rPr>
          <w:noProof/>
        </w:rPr>
        <w:t>На Комисията се предоставя правомощието да приема делегирани актове в съответствие с член 21, за да определи точната информация, която трябва да се предостави от страна на митническите органи.</w:t>
      </w:r>
    </w:p>
    <w:p w:rsidR="00242E09" w:rsidRDefault="00CE46B8">
      <w:pPr>
        <w:pStyle w:val="ManualNumPar1"/>
        <w:rPr>
          <w:noProof/>
        </w:rPr>
      </w:pPr>
      <w:r>
        <w:t>4.</w:t>
      </w:r>
      <w:r>
        <w:tab/>
      </w:r>
      <w:r>
        <w:rPr>
          <w:noProof/>
        </w:rPr>
        <w:t>За да изготвят статистика за международната търговия със с</w:t>
      </w:r>
      <w:r>
        <w:rPr>
          <w:noProof/>
        </w:rPr>
        <w:t xml:space="preserve">токи и да подобрят качеството на тази статистика, националните статистически органи на съответните държавите членки могат да обменят получени от техните митнически органи данни, свързани с износа или вноса на стоки, по-специално когато този износ или внос </w:t>
      </w:r>
      <w:r>
        <w:rPr>
          <w:noProof/>
        </w:rPr>
        <w:t>засяга митническите органи на повече от една държава членка.</w:t>
      </w:r>
    </w:p>
    <w:p w:rsidR="00242E09" w:rsidRDefault="00CE46B8">
      <w:pPr>
        <w:pStyle w:val="ManualNumPar1"/>
        <w:rPr>
          <w:noProof/>
        </w:rPr>
      </w:pPr>
      <w:r>
        <w:t>5.</w:t>
      </w:r>
      <w:r>
        <w:tab/>
      </w:r>
      <w:r>
        <w:rPr>
          <w:noProof/>
        </w:rPr>
        <w:t>На Комисията се предоставя правомощието да приема актове за изпълнение в съответствие с процедурата по разглеждане, посочена в член 22, параграф 2, за целите на определянето на условията за об</w:t>
      </w:r>
      <w:r>
        <w:rPr>
          <w:noProof/>
        </w:rPr>
        <w:t>мена на данни съгласно настоящия член.</w:t>
      </w:r>
    </w:p>
    <w:p w:rsidR="00242E09" w:rsidRDefault="00CE46B8">
      <w:pPr>
        <w:pStyle w:val="ChapterTitle"/>
        <w:rPr>
          <w:noProof/>
        </w:rPr>
      </w:pPr>
      <w:r>
        <w:rPr>
          <w:noProof/>
        </w:rPr>
        <w:t>ГЛАВА III</w:t>
      </w:r>
    </w:p>
    <w:p w:rsidR="00242E09" w:rsidRDefault="00CE46B8">
      <w:pPr>
        <w:pStyle w:val="ChapterTitle"/>
        <w:rPr>
          <w:noProof/>
        </w:rPr>
      </w:pPr>
      <w:r>
        <w:rPr>
          <w:noProof/>
        </w:rPr>
        <w:t>БИЗНЕС СТАТИСТИКА</w:t>
      </w:r>
    </w:p>
    <w:p w:rsidR="00242E09" w:rsidRDefault="00CE46B8">
      <w:pPr>
        <w:pStyle w:val="Titrearticle"/>
        <w:ind w:left="851" w:hanging="851"/>
        <w:rPr>
          <w:noProof/>
        </w:rPr>
      </w:pPr>
      <w:r>
        <w:rPr>
          <w:noProof/>
        </w:rPr>
        <w:t>Член 6</w:t>
      </w:r>
    </w:p>
    <w:p w:rsidR="00242E09" w:rsidRDefault="00CE46B8">
      <w:pPr>
        <w:pStyle w:val="Titrearticle"/>
        <w:rPr>
          <w:noProof/>
        </w:rPr>
      </w:pPr>
      <w:r>
        <w:rPr>
          <w:noProof/>
        </w:rPr>
        <w:t xml:space="preserve">Изисквания по отношение на данните </w:t>
      </w:r>
    </w:p>
    <w:p w:rsidR="00242E09" w:rsidRDefault="00CE46B8">
      <w:pPr>
        <w:pStyle w:val="ManualNumPar1"/>
        <w:rPr>
          <w:noProof/>
        </w:rPr>
      </w:pPr>
      <w:r>
        <w:t>1.</w:t>
      </w:r>
      <w:r>
        <w:tab/>
      </w:r>
      <w:r>
        <w:rPr>
          <w:noProof/>
        </w:rPr>
        <w:t>Европейската бизнес статистика обхваща следните тематични области:</w:t>
      </w:r>
    </w:p>
    <w:p w:rsidR="00242E09" w:rsidRDefault="00CE46B8">
      <w:pPr>
        <w:pStyle w:val="Point1"/>
        <w:rPr>
          <w:noProof/>
        </w:rPr>
      </w:pPr>
      <w:r>
        <w:rPr>
          <w:noProof/>
        </w:rPr>
        <w:t>а)</w:t>
      </w:r>
      <w:r>
        <w:rPr>
          <w:noProof/>
        </w:rPr>
        <w:tab/>
        <w:t>краткосрочна бизнес статистика;</w:t>
      </w:r>
    </w:p>
    <w:p w:rsidR="00242E09" w:rsidRDefault="00CE46B8">
      <w:pPr>
        <w:pStyle w:val="Point1"/>
        <w:rPr>
          <w:noProof/>
        </w:rPr>
      </w:pPr>
      <w:r>
        <w:rPr>
          <w:noProof/>
        </w:rPr>
        <w:t>б)</w:t>
      </w:r>
      <w:r>
        <w:rPr>
          <w:noProof/>
        </w:rPr>
        <w:tab/>
        <w:t>бизнес статистика на национално равнищ</w:t>
      </w:r>
      <w:r>
        <w:rPr>
          <w:noProof/>
        </w:rPr>
        <w:t>е;</w:t>
      </w:r>
    </w:p>
    <w:p w:rsidR="00242E09" w:rsidRDefault="00CE46B8">
      <w:pPr>
        <w:pStyle w:val="Point1"/>
        <w:rPr>
          <w:noProof/>
        </w:rPr>
      </w:pPr>
      <w:r>
        <w:rPr>
          <w:noProof/>
        </w:rPr>
        <w:lastRenderedPageBreak/>
        <w:t>в)</w:t>
      </w:r>
      <w:r>
        <w:rPr>
          <w:noProof/>
        </w:rPr>
        <w:tab/>
        <w:t>регионална бизнес статистика;</w:t>
      </w:r>
    </w:p>
    <w:p w:rsidR="00242E09" w:rsidRDefault="00CE46B8">
      <w:pPr>
        <w:pStyle w:val="Point1"/>
        <w:rPr>
          <w:noProof/>
        </w:rPr>
      </w:pPr>
      <w:r>
        <w:rPr>
          <w:noProof/>
        </w:rPr>
        <w:t>г)</w:t>
      </w:r>
      <w:r>
        <w:rPr>
          <w:noProof/>
        </w:rPr>
        <w:tab/>
        <w:t>статистика за международните дейности.</w:t>
      </w:r>
    </w:p>
    <w:p w:rsidR="00242E09" w:rsidRDefault="00CE46B8">
      <w:pPr>
        <w:pStyle w:val="ManualNumPar1"/>
        <w:rPr>
          <w:noProof/>
        </w:rPr>
      </w:pPr>
      <w:r>
        <w:t>2.</w:t>
      </w:r>
      <w:r>
        <w:tab/>
      </w:r>
      <w:r>
        <w:rPr>
          <w:noProof/>
        </w:rPr>
        <w:t>Тематичните области включват една или повече от следните теми, както е обяснено подробно в приложение I:</w:t>
      </w:r>
    </w:p>
    <w:p w:rsidR="00242E09" w:rsidRDefault="00CE46B8">
      <w:pPr>
        <w:pStyle w:val="Point1"/>
        <w:rPr>
          <w:noProof/>
        </w:rPr>
      </w:pPr>
      <w:r>
        <w:rPr>
          <w:noProof/>
        </w:rPr>
        <w:t>а)</w:t>
      </w:r>
      <w:r>
        <w:rPr>
          <w:noProof/>
        </w:rPr>
        <w:tab/>
        <w:t>съвкупност от предприятия;</w:t>
      </w:r>
    </w:p>
    <w:p w:rsidR="00242E09" w:rsidRDefault="00CE46B8">
      <w:pPr>
        <w:pStyle w:val="Point1"/>
        <w:rPr>
          <w:noProof/>
        </w:rPr>
      </w:pPr>
      <w:r>
        <w:rPr>
          <w:noProof/>
        </w:rPr>
        <w:t>б)</w:t>
      </w:r>
      <w:r>
        <w:rPr>
          <w:noProof/>
        </w:rPr>
        <w:tab/>
        <w:t>глобални вериги за създаване на стойн</w:t>
      </w:r>
      <w:r>
        <w:rPr>
          <w:noProof/>
        </w:rPr>
        <w:t>ост;</w:t>
      </w:r>
    </w:p>
    <w:p w:rsidR="00242E09" w:rsidRDefault="00CE46B8">
      <w:pPr>
        <w:pStyle w:val="Point1"/>
        <w:rPr>
          <w:noProof/>
        </w:rPr>
      </w:pPr>
      <w:r>
        <w:rPr>
          <w:noProof/>
        </w:rPr>
        <w:t>в)</w:t>
      </w:r>
      <w:r>
        <w:rPr>
          <w:noProof/>
        </w:rPr>
        <w:tab/>
        <w:t>използване на ИКТ и електронна търговия;</w:t>
      </w:r>
    </w:p>
    <w:p w:rsidR="00242E09" w:rsidRDefault="00CE46B8">
      <w:pPr>
        <w:pStyle w:val="Point1"/>
        <w:rPr>
          <w:noProof/>
        </w:rPr>
      </w:pPr>
      <w:r>
        <w:rPr>
          <w:noProof/>
        </w:rPr>
        <w:t>г)</w:t>
      </w:r>
      <w:r>
        <w:rPr>
          <w:noProof/>
        </w:rPr>
        <w:tab/>
        <w:t>иновации;</w:t>
      </w:r>
    </w:p>
    <w:p w:rsidR="00242E09" w:rsidRDefault="00CE46B8">
      <w:pPr>
        <w:pStyle w:val="Point1"/>
        <w:rPr>
          <w:noProof/>
        </w:rPr>
      </w:pPr>
      <w:r>
        <w:rPr>
          <w:noProof/>
        </w:rPr>
        <w:t>д)</w:t>
      </w:r>
      <w:r>
        <w:rPr>
          <w:noProof/>
        </w:rPr>
        <w:tab/>
        <w:t>международна търговия със стоки;</w:t>
      </w:r>
    </w:p>
    <w:p w:rsidR="00242E09" w:rsidRDefault="00CE46B8">
      <w:pPr>
        <w:pStyle w:val="Point1"/>
        <w:rPr>
          <w:noProof/>
        </w:rPr>
      </w:pPr>
      <w:r>
        <w:rPr>
          <w:noProof/>
        </w:rPr>
        <w:t>е)</w:t>
      </w:r>
      <w:r>
        <w:rPr>
          <w:noProof/>
        </w:rPr>
        <w:tab/>
        <w:t>международна търговия с услуги;</w:t>
      </w:r>
    </w:p>
    <w:p w:rsidR="00242E09" w:rsidRDefault="00CE46B8">
      <w:pPr>
        <w:pStyle w:val="Point1"/>
        <w:rPr>
          <w:noProof/>
        </w:rPr>
      </w:pPr>
      <w:r>
        <w:rPr>
          <w:noProof/>
        </w:rPr>
        <w:t>ж)</w:t>
      </w:r>
      <w:r>
        <w:rPr>
          <w:noProof/>
        </w:rPr>
        <w:tab/>
        <w:t>инвестиции;</w:t>
      </w:r>
    </w:p>
    <w:p w:rsidR="00242E09" w:rsidRDefault="00CE46B8">
      <w:pPr>
        <w:pStyle w:val="Point1"/>
        <w:rPr>
          <w:noProof/>
        </w:rPr>
      </w:pPr>
      <w:r>
        <w:rPr>
          <w:noProof/>
        </w:rPr>
        <w:t>з)</w:t>
      </w:r>
      <w:r>
        <w:rPr>
          <w:noProof/>
        </w:rPr>
        <w:tab/>
        <w:t>вложен труд;</w:t>
      </w:r>
    </w:p>
    <w:p w:rsidR="00242E09" w:rsidRDefault="00CE46B8">
      <w:pPr>
        <w:pStyle w:val="Point1"/>
        <w:rPr>
          <w:noProof/>
        </w:rPr>
      </w:pPr>
      <w:r>
        <w:rPr>
          <w:noProof/>
        </w:rPr>
        <w:t>и)</w:t>
      </w:r>
      <w:r>
        <w:rPr>
          <w:noProof/>
        </w:rPr>
        <w:tab/>
        <w:t>резултати и ефективност;</w:t>
      </w:r>
    </w:p>
    <w:p w:rsidR="00242E09" w:rsidRDefault="00CE46B8">
      <w:pPr>
        <w:pStyle w:val="Point1"/>
        <w:rPr>
          <w:noProof/>
        </w:rPr>
      </w:pPr>
      <w:r>
        <w:rPr>
          <w:noProof/>
        </w:rPr>
        <w:t>й)</w:t>
      </w:r>
      <w:r>
        <w:rPr>
          <w:noProof/>
        </w:rPr>
        <w:tab/>
        <w:t>разрешителни;</w:t>
      </w:r>
    </w:p>
    <w:p w:rsidR="00242E09" w:rsidRDefault="00CE46B8">
      <w:pPr>
        <w:pStyle w:val="Point1"/>
        <w:rPr>
          <w:noProof/>
        </w:rPr>
      </w:pPr>
      <w:r>
        <w:rPr>
          <w:noProof/>
        </w:rPr>
        <w:t>к)</w:t>
      </w:r>
      <w:r>
        <w:rPr>
          <w:noProof/>
        </w:rPr>
        <w:tab/>
        <w:t>цени;</w:t>
      </w:r>
    </w:p>
    <w:p w:rsidR="00242E09" w:rsidRDefault="00CE46B8">
      <w:pPr>
        <w:pStyle w:val="Point1"/>
        <w:rPr>
          <w:noProof/>
        </w:rPr>
      </w:pPr>
      <w:r>
        <w:rPr>
          <w:noProof/>
        </w:rPr>
        <w:t>л)</w:t>
      </w:r>
      <w:r>
        <w:rPr>
          <w:noProof/>
        </w:rPr>
        <w:tab/>
        <w:t>покупки;</w:t>
      </w:r>
    </w:p>
    <w:p w:rsidR="00242E09" w:rsidRDefault="00CE46B8">
      <w:pPr>
        <w:pStyle w:val="Point1"/>
        <w:rPr>
          <w:noProof/>
        </w:rPr>
      </w:pPr>
      <w:r>
        <w:rPr>
          <w:noProof/>
        </w:rPr>
        <w:t>м)</w:t>
      </w:r>
      <w:r>
        <w:rPr>
          <w:noProof/>
        </w:rPr>
        <w:tab/>
        <w:t xml:space="preserve">ресурси за </w:t>
      </w:r>
      <w:r>
        <w:rPr>
          <w:noProof/>
        </w:rPr>
        <w:t>научноизследователски и развойни дейности.</w:t>
      </w:r>
    </w:p>
    <w:p w:rsidR="00242E09" w:rsidRDefault="00CE46B8">
      <w:pPr>
        <w:pStyle w:val="ManualNumPar1"/>
        <w:rPr>
          <w:noProof/>
        </w:rPr>
      </w:pPr>
      <w:r>
        <w:t>3.</w:t>
      </w:r>
      <w:r>
        <w:tab/>
      </w:r>
      <w:r>
        <w:rPr>
          <w:noProof/>
        </w:rPr>
        <w:t xml:space="preserve">Периодичността на всяка тема се определя в приложение II. </w:t>
      </w:r>
    </w:p>
    <w:p w:rsidR="00242E09" w:rsidRDefault="00CE46B8">
      <w:pPr>
        <w:pStyle w:val="ManualNumPar1"/>
        <w:rPr>
          <w:noProof/>
        </w:rPr>
      </w:pPr>
      <w:r>
        <w:t>4.</w:t>
      </w:r>
      <w:r>
        <w:tab/>
      </w:r>
      <w:r>
        <w:rPr>
          <w:noProof/>
        </w:rPr>
        <w:t>На Комисията се предоставя правомощието да приема делегирани актове в съответствие с член 21 с цел изменение на определените в приложение I подробни</w:t>
      </w:r>
      <w:r>
        <w:rPr>
          <w:noProof/>
        </w:rPr>
        <w:t xml:space="preserve"> теми и определяне на подтемите и характеристиките, обхванати от подробните теми „Иновации“, „Използване на ИКТ и електронна търговия“ и „Глобални вериги за създаване на стойност“.</w:t>
      </w:r>
    </w:p>
    <w:p w:rsidR="00242E09" w:rsidRDefault="00CE46B8">
      <w:pPr>
        <w:pStyle w:val="ManualNumPar1"/>
        <w:rPr>
          <w:noProof/>
        </w:rPr>
      </w:pPr>
      <w:r>
        <w:t>5.</w:t>
      </w:r>
      <w:r>
        <w:tab/>
      </w:r>
      <w:r>
        <w:rPr>
          <w:noProof/>
        </w:rPr>
        <w:t>При упражняване на правомощието си да приема делегирани актове Комисията</w:t>
      </w:r>
      <w:r>
        <w:rPr>
          <w:noProof/>
        </w:rPr>
        <w:t xml:space="preserve"> се уверява, че са изпълнени следните три условия:</w:t>
      </w:r>
    </w:p>
    <w:p w:rsidR="00242E09" w:rsidRDefault="00CE46B8">
      <w:pPr>
        <w:pStyle w:val="Point1"/>
        <w:rPr>
          <w:noProof/>
        </w:rPr>
      </w:pPr>
      <w:r>
        <w:rPr>
          <w:noProof/>
        </w:rPr>
        <w:t>а)</w:t>
      </w:r>
      <w:r>
        <w:rPr>
          <w:noProof/>
        </w:rPr>
        <w:tab/>
        <w:t xml:space="preserve"> стремежът е делегираните актове да са неутрални по отношение на разходите и тежестта или да водят до тяхното намаляване, и при всички положения не налагат значителни допълнителни разходи или значителна</w:t>
      </w:r>
      <w:r>
        <w:rPr>
          <w:noProof/>
        </w:rPr>
        <w:t xml:space="preserve"> допълнителна тежест за държавите членки или за респондентите;</w:t>
      </w:r>
    </w:p>
    <w:p w:rsidR="00242E09" w:rsidRDefault="00CE46B8">
      <w:pPr>
        <w:pStyle w:val="Point1"/>
        <w:rPr>
          <w:noProof/>
        </w:rPr>
      </w:pPr>
      <w:r>
        <w:rPr>
          <w:noProof/>
        </w:rPr>
        <w:t>б)</w:t>
      </w:r>
      <w:r>
        <w:rPr>
          <w:noProof/>
        </w:rPr>
        <w:tab/>
        <w:t>не повече от една подробна тема за тематична област „краткосрочна бизнес статистика“, пет подробни теми за тематична област „бизнес статистика на национално равнище“, две подробни теми за те</w:t>
      </w:r>
      <w:r>
        <w:rPr>
          <w:noProof/>
        </w:rPr>
        <w:t xml:space="preserve">матична област „регионална бизнес статистика“ и две подробни теми за тематична област „статистика за международните дейности“ в съществуващ делегиран акт се добавят или заменят с друга подробна тема за период от пет последователни години. Това ограничение </w:t>
      </w:r>
      <w:r>
        <w:rPr>
          <w:noProof/>
        </w:rPr>
        <w:t>не се отнася за измененията, произтичащи от споразумения, договори и конвенции, както и от други международни институции, в които Съюзът е член, а също и за промените, произтичащи от промени в рамките за отчетност на националните и регионалните сметки в съ</w:t>
      </w:r>
      <w:r>
        <w:rPr>
          <w:noProof/>
        </w:rPr>
        <w:t xml:space="preserve">ответствие с Регламент (ЕО) № 549/2013 и на статистиката на платежния баланс в съответствие с Регламент (ЕО) № 184/2005. Броят на характеристиките за подробните </w:t>
      </w:r>
      <w:r>
        <w:rPr>
          <w:noProof/>
        </w:rPr>
        <w:lastRenderedPageBreak/>
        <w:t>теми на динамичната бизнес статистика не може да се увеличава значително между два последовател</w:t>
      </w:r>
      <w:r>
        <w:rPr>
          <w:noProof/>
        </w:rPr>
        <w:t xml:space="preserve">ни референтни периода и не може да надвишава броя на характеристиките за първата година от прилагането на настоящия регламент; </w:t>
      </w:r>
    </w:p>
    <w:p w:rsidR="00242E09" w:rsidRDefault="00CE46B8">
      <w:pPr>
        <w:pStyle w:val="Point1"/>
        <w:rPr>
          <w:noProof/>
        </w:rPr>
      </w:pPr>
      <w:r>
        <w:rPr>
          <w:noProof/>
        </w:rPr>
        <w:t>в)</w:t>
      </w:r>
      <w:r>
        <w:rPr>
          <w:noProof/>
        </w:rPr>
        <w:tab/>
        <w:t xml:space="preserve"> делегираните актове се приемат най-малко 15 месеца преди края на референтния за данните период, с изключение на темите „Инов</w:t>
      </w:r>
      <w:r>
        <w:rPr>
          <w:noProof/>
        </w:rPr>
        <w:t>ации“ и „Използване на ИКТ и електронна търговия“, за които тези актове се приемат съответно най-малко шест и дванадесет месеца преди края на референтния за данните период.</w:t>
      </w:r>
    </w:p>
    <w:p w:rsidR="00242E09" w:rsidRDefault="00CE46B8">
      <w:pPr>
        <w:pStyle w:val="Titrearticle"/>
        <w:rPr>
          <w:noProof/>
        </w:rPr>
      </w:pPr>
      <w:r>
        <w:rPr>
          <w:noProof/>
        </w:rPr>
        <w:t>Член 7</w:t>
      </w:r>
    </w:p>
    <w:p w:rsidR="00242E09" w:rsidRDefault="00CE46B8">
      <w:pPr>
        <w:pStyle w:val="Titrearticle"/>
        <w:rPr>
          <w:noProof/>
        </w:rPr>
      </w:pPr>
      <w:r>
        <w:rPr>
          <w:noProof/>
        </w:rPr>
        <w:t>Технически спецификации на изискванията по отношение на данните</w:t>
      </w:r>
    </w:p>
    <w:p w:rsidR="00242E09" w:rsidRDefault="00CE46B8">
      <w:pPr>
        <w:pStyle w:val="ManualNumPar1"/>
        <w:rPr>
          <w:noProof/>
        </w:rPr>
      </w:pPr>
      <w:r>
        <w:t>1.</w:t>
      </w:r>
      <w:r>
        <w:tab/>
      </w:r>
      <w:r>
        <w:rPr>
          <w:noProof/>
        </w:rPr>
        <w:t>По отноше</w:t>
      </w:r>
      <w:r>
        <w:rPr>
          <w:noProof/>
        </w:rPr>
        <w:t>ние на посочените в приложение I подробни теми държавите членки съставят данни, които са от значение за всяка от тези теми. На Комисията се предоставя правомощието да приема актове за изпълнение с цел допълнително уточняване на следните елементи на предава</w:t>
      </w:r>
      <w:r>
        <w:rPr>
          <w:noProof/>
        </w:rPr>
        <w:t>ните по настоящия регламент данни, техните технически определения и опростяванията:</w:t>
      </w:r>
    </w:p>
    <w:p w:rsidR="00242E09" w:rsidRDefault="00CE46B8">
      <w:pPr>
        <w:pStyle w:val="Point1"/>
        <w:rPr>
          <w:noProof/>
        </w:rPr>
      </w:pPr>
      <w:r>
        <w:rPr>
          <w:noProof/>
        </w:rPr>
        <w:t>а)</w:t>
      </w:r>
      <w:r>
        <w:rPr>
          <w:noProof/>
        </w:rPr>
        <w:tab/>
        <w:t>променливи (с изключение на подробните теми „Иновации“, „Използване на ИКТ и електронна търговия“ и „Глобални вериги за създаване на стойност“);</w:t>
      </w:r>
    </w:p>
    <w:p w:rsidR="00242E09" w:rsidRDefault="00CE46B8">
      <w:pPr>
        <w:pStyle w:val="Point1"/>
        <w:rPr>
          <w:noProof/>
        </w:rPr>
      </w:pPr>
      <w:r>
        <w:rPr>
          <w:noProof/>
        </w:rPr>
        <w:t>б)</w:t>
      </w:r>
      <w:r>
        <w:rPr>
          <w:noProof/>
        </w:rPr>
        <w:tab/>
        <w:t>статистическа единица</w:t>
      </w:r>
      <w:r>
        <w:rPr>
          <w:noProof/>
        </w:rPr>
        <w:t>;</w:t>
      </w:r>
    </w:p>
    <w:p w:rsidR="00242E09" w:rsidRDefault="00CE46B8">
      <w:pPr>
        <w:pStyle w:val="Point1"/>
        <w:rPr>
          <w:noProof/>
        </w:rPr>
      </w:pPr>
      <w:r>
        <w:rPr>
          <w:noProof/>
        </w:rPr>
        <w:t>в)</w:t>
      </w:r>
      <w:r>
        <w:rPr>
          <w:noProof/>
        </w:rPr>
        <w:tab/>
        <w:t>мерна единица;</w:t>
      </w:r>
    </w:p>
    <w:p w:rsidR="00242E09" w:rsidRDefault="00CE46B8">
      <w:pPr>
        <w:pStyle w:val="Point1"/>
        <w:rPr>
          <w:noProof/>
        </w:rPr>
      </w:pPr>
      <w:r>
        <w:rPr>
          <w:noProof/>
        </w:rPr>
        <w:t>г)</w:t>
      </w:r>
      <w:r>
        <w:rPr>
          <w:noProof/>
        </w:rPr>
        <w:tab/>
        <w:t>референтен период;</w:t>
      </w:r>
    </w:p>
    <w:p w:rsidR="00242E09" w:rsidRDefault="00CE46B8">
      <w:pPr>
        <w:pStyle w:val="Point1"/>
        <w:rPr>
          <w:noProof/>
        </w:rPr>
      </w:pPr>
      <w:r>
        <w:rPr>
          <w:noProof/>
        </w:rPr>
        <w:t>д)</w:t>
      </w:r>
      <w:r>
        <w:rPr>
          <w:noProof/>
        </w:rPr>
        <w:tab/>
        <w:t>статистическа съвкупност (включително изискванията по отношение на пазарните/непазарните дейности или производители);</w:t>
      </w:r>
    </w:p>
    <w:p w:rsidR="00242E09" w:rsidRDefault="00CE46B8">
      <w:pPr>
        <w:pStyle w:val="Point1"/>
        <w:rPr>
          <w:noProof/>
        </w:rPr>
      </w:pPr>
      <w:r>
        <w:rPr>
          <w:noProof/>
        </w:rPr>
        <w:t>е)</w:t>
      </w:r>
      <w:r>
        <w:rPr>
          <w:noProof/>
        </w:rPr>
        <w:tab/>
      </w:r>
      <w:r>
        <w:rPr>
          <w:noProof/>
        </w:rPr>
        <w:t xml:space="preserve">класификации (включително за продукта, държавите и териториите, както и естеството на списъците на операциите) и разбивки; </w:t>
      </w:r>
    </w:p>
    <w:p w:rsidR="00242E09" w:rsidRDefault="00CE46B8">
      <w:pPr>
        <w:pStyle w:val="Point1"/>
        <w:rPr>
          <w:noProof/>
        </w:rPr>
      </w:pPr>
      <w:r>
        <w:rPr>
          <w:noProof/>
        </w:rPr>
        <w:t>ж)</w:t>
      </w:r>
      <w:r>
        <w:rPr>
          <w:noProof/>
        </w:rPr>
        <w:tab/>
        <w:t>незадължително предаване на отделни записи на данни;</w:t>
      </w:r>
    </w:p>
    <w:p w:rsidR="00242E09" w:rsidRDefault="00CE46B8">
      <w:pPr>
        <w:pStyle w:val="Point1"/>
        <w:rPr>
          <w:noProof/>
        </w:rPr>
      </w:pPr>
      <w:r>
        <w:rPr>
          <w:noProof/>
        </w:rPr>
        <w:t>з)</w:t>
      </w:r>
      <w:r>
        <w:rPr>
          <w:noProof/>
        </w:rPr>
        <w:tab/>
        <w:t>използване на приблизителни стойности и изисквания за качество;</w:t>
      </w:r>
    </w:p>
    <w:p w:rsidR="00242E09" w:rsidRDefault="00CE46B8">
      <w:pPr>
        <w:pStyle w:val="Point1"/>
        <w:rPr>
          <w:noProof/>
        </w:rPr>
      </w:pPr>
      <w:r>
        <w:rPr>
          <w:noProof/>
        </w:rPr>
        <w:t>и)</w:t>
      </w:r>
      <w:r>
        <w:rPr>
          <w:noProof/>
        </w:rPr>
        <w:tab/>
        <w:t xml:space="preserve">краен </w:t>
      </w:r>
      <w:r>
        <w:rPr>
          <w:noProof/>
        </w:rPr>
        <w:t>срок за предаване на данните;</w:t>
      </w:r>
    </w:p>
    <w:p w:rsidR="00242E09" w:rsidRDefault="00CE46B8">
      <w:pPr>
        <w:pStyle w:val="Point1"/>
        <w:rPr>
          <w:noProof/>
        </w:rPr>
      </w:pPr>
      <w:r>
        <w:rPr>
          <w:noProof/>
        </w:rPr>
        <w:t>й)</w:t>
      </w:r>
      <w:r>
        <w:rPr>
          <w:noProof/>
        </w:rPr>
        <w:tab/>
        <w:t>първи референтен период;</w:t>
      </w:r>
    </w:p>
    <w:p w:rsidR="00242E09" w:rsidRDefault="00CE46B8">
      <w:pPr>
        <w:pStyle w:val="Point1"/>
        <w:rPr>
          <w:noProof/>
        </w:rPr>
      </w:pPr>
      <w:r>
        <w:rPr>
          <w:noProof/>
        </w:rPr>
        <w:t>к)</w:t>
      </w:r>
      <w:r>
        <w:rPr>
          <w:noProof/>
        </w:rPr>
        <w:tab/>
        <w:t>претегляне и промяна на базовата година за тематична област „краткосрочна бизнес статистика“;</w:t>
      </w:r>
    </w:p>
    <w:p w:rsidR="00242E09" w:rsidRDefault="00CE46B8">
      <w:pPr>
        <w:pStyle w:val="Point1"/>
        <w:rPr>
          <w:noProof/>
        </w:rPr>
      </w:pPr>
      <w:r>
        <w:rPr>
          <w:noProof/>
        </w:rPr>
        <w:t>л)</w:t>
      </w:r>
      <w:r>
        <w:rPr>
          <w:noProof/>
        </w:rPr>
        <w:tab/>
        <w:t>технически спецификации за тема „международна търговия със стоки“.</w:t>
      </w:r>
    </w:p>
    <w:p w:rsidR="00242E09" w:rsidRDefault="00CE46B8">
      <w:pPr>
        <w:pStyle w:val="ManualNumPar1"/>
        <w:rPr>
          <w:noProof/>
        </w:rPr>
      </w:pPr>
      <w:r>
        <w:t>2.</w:t>
      </w:r>
      <w:r>
        <w:tab/>
      </w:r>
      <w:r>
        <w:rPr>
          <w:noProof/>
        </w:rPr>
        <w:t>При упражняване на посоченит</w:t>
      </w:r>
      <w:r>
        <w:rPr>
          <w:noProof/>
        </w:rPr>
        <w:t>е в параграф 1 правомощия по отношение на опростяванията Комисията взема под внимание размера и значимостта на бизнес секторите в съответствие с принципа на пропорционалност с цел облекчаване на тежестта за предприятията. Освен това Комисията прави нужното</w:t>
      </w:r>
      <w:r>
        <w:rPr>
          <w:noProof/>
        </w:rPr>
        <w:t xml:space="preserve"> за поддържане на ресурса, необходим за съставяне на рамките за отчетност на националните и регионалните сметки в съответствие с Регламент (ЕО) № 549/2013 и на статистиката на платежния баланс в съответствие с Регламент (ЕО) № 184/2005. По отношение на пос</w:t>
      </w:r>
      <w:r>
        <w:rPr>
          <w:noProof/>
        </w:rPr>
        <w:t xml:space="preserve">очените в приложение I теми </w:t>
      </w:r>
      <w:r>
        <w:rPr>
          <w:noProof/>
        </w:rPr>
        <w:lastRenderedPageBreak/>
        <w:t>актовете за изпълнение, с изключение на тези, които уреждат началния период на прилагане на настоящия регламент, се приемат най-малко 15 месеца преди края на референтния за данните период. По отношение на темите „Иновации“ и „Из</w:t>
      </w:r>
      <w:r>
        <w:rPr>
          <w:noProof/>
        </w:rPr>
        <w:t xml:space="preserve">ползване на ИКТ и електронна търговия“ актовете за изпълнение се приемат съответно най-малко шест и дванадесет месеца преди края на референтния за данните период. </w:t>
      </w:r>
    </w:p>
    <w:p w:rsidR="00242E09" w:rsidRDefault="00CE46B8">
      <w:pPr>
        <w:pStyle w:val="ManualNumPar1"/>
        <w:rPr>
          <w:noProof/>
        </w:rPr>
      </w:pPr>
      <w:r>
        <w:t>3.</w:t>
      </w:r>
      <w:r>
        <w:tab/>
      </w:r>
      <w:r>
        <w:rPr>
          <w:noProof/>
        </w:rPr>
        <w:t>Актовете за изпълнение по параграф 1 се приемат в съответствие с процедурата по разглежда</w:t>
      </w:r>
      <w:r>
        <w:rPr>
          <w:noProof/>
        </w:rPr>
        <w:t>не, посочена в член 22, параграф 2.</w:t>
      </w:r>
    </w:p>
    <w:p w:rsidR="00242E09" w:rsidRDefault="00CE46B8">
      <w:pPr>
        <w:pStyle w:val="ChapterTitle"/>
        <w:rPr>
          <w:noProof/>
        </w:rPr>
      </w:pPr>
      <w:r>
        <w:rPr>
          <w:noProof/>
        </w:rPr>
        <w:t xml:space="preserve">ГЛАВА IV </w:t>
      </w:r>
    </w:p>
    <w:p w:rsidR="00242E09" w:rsidRDefault="00CE46B8">
      <w:pPr>
        <w:pStyle w:val="ChapterTitle"/>
        <w:rPr>
          <w:noProof/>
        </w:rPr>
      </w:pPr>
      <w:r>
        <w:rPr>
          <w:noProof/>
        </w:rPr>
        <w:t>БИЗНЕС РЕГИСТРИ</w:t>
      </w:r>
    </w:p>
    <w:p w:rsidR="00242E09" w:rsidRDefault="00CE46B8">
      <w:pPr>
        <w:pStyle w:val="Titrearticle"/>
        <w:rPr>
          <w:noProof/>
        </w:rPr>
      </w:pPr>
      <w:r>
        <w:rPr>
          <w:noProof/>
        </w:rPr>
        <w:t>Член 8</w:t>
      </w:r>
    </w:p>
    <w:p w:rsidR="00242E09" w:rsidRDefault="00CE46B8">
      <w:pPr>
        <w:pStyle w:val="Titrearticle"/>
        <w:rPr>
          <w:noProof/>
        </w:rPr>
      </w:pPr>
      <w:r>
        <w:rPr>
          <w:noProof/>
        </w:rPr>
        <w:t xml:space="preserve">Европейска мрежа на статистическите бизнес регистри </w:t>
      </w:r>
    </w:p>
    <w:p w:rsidR="00242E09" w:rsidRDefault="00CE46B8">
      <w:pPr>
        <w:pStyle w:val="ManualNumPar1"/>
        <w:rPr>
          <w:noProof/>
        </w:rPr>
      </w:pPr>
      <w:r>
        <w:t>1.</w:t>
      </w:r>
      <w:r>
        <w:tab/>
      </w:r>
      <w:r>
        <w:rPr>
          <w:noProof/>
        </w:rPr>
        <w:t xml:space="preserve">Комисията (Евростат) създава на равнището на Съюза регистъра EuroGroups на мултинационалните групи от предприятия за целите на статистиката. </w:t>
      </w:r>
    </w:p>
    <w:p w:rsidR="00242E09" w:rsidRDefault="00CE46B8">
      <w:pPr>
        <w:pStyle w:val="ManualNumPar1"/>
        <w:rPr>
          <w:noProof/>
        </w:rPr>
      </w:pPr>
      <w:r>
        <w:t>2.</w:t>
      </w:r>
      <w:r>
        <w:tab/>
      </w:r>
      <w:r>
        <w:rPr>
          <w:noProof/>
        </w:rPr>
        <w:t>Държавите членки създават на национално равнище по един или повече хармонизирани национални статистически бизне</w:t>
      </w:r>
      <w:r>
        <w:rPr>
          <w:noProof/>
        </w:rPr>
        <w:t>с регистри, които да служат за основа за подготовката и координацията на изследвания, за източник на информация за статистическия анализ на съвкупността от предприятия и тяхната демография, за използването на административни данни и за идентифициране и съз</w:t>
      </w:r>
      <w:r>
        <w:rPr>
          <w:noProof/>
        </w:rPr>
        <w:t>даване на статистически единици.</w:t>
      </w:r>
    </w:p>
    <w:p w:rsidR="00242E09" w:rsidRDefault="00CE46B8">
      <w:pPr>
        <w:pStyle w:val="ManualNumPar1"/>
        <w:rPr>
          <w:noProof/>
        </w:rPr>
      </w:pPr>
      <w:r>
        <w:t>3.</w:t>
      </w:r>
      <w:r>
        <w:tab/>
      </w:r>
      <w:r>
        <w:rPr>
          <w:noProof/>
        </w:rPr>
        <w:t>Държавите членки и Комисията (Евростат) обменят данни за целите на Европейската мрежа на статистическите бизнес регистри в съответствие с посоченото в член 10.</w:t>
      </w:r>
    </w:p>
    <w:p w:rsidR="00242E09" w:rsidRDefault="00CE46B8">
      <w:pPr>
        <w:pStyle w:val="ManualNumPar1"/>
        <w:rPr>
          <w:noProof/>
        </w:rPr>
      </w:pPr>
      <w:r>
        <w:t>4.</w:t>
      </w:r>
      <w:r>
        <w:tab/>
      </w:r>
      <w:r>
        <w:rPr>
          <w:noProof/>
        </w:rPr>
        <w:t>Националните статистически бизнес регистри и регистърът E</w:t>
      </w:r>
      <w:r>
        <w:rPr>
          <w:noProof/>
        </w:rPr>
        <w:t xml:space="preserve">uroGroups са достоверните източници за получаване, в съответствие с член 16 от настоящия регламент, на висококачествени, съгласувани и координирани съвкупности, основани на регистри, за целите на изготвянето на европейска статистика. </w:t>
      </w:r>
    </w:p>
    <w:p w:rsidR="00242E09" w:rsidRDefault="00CE46B8">
      <w:pPr>
        <w:pStyle w:val="Text1"/>
        <w:rPr>
          <w:noProof/>
        </w:rPr>
      </w:pPr>
      <w:r>
        <w:rPr>
          <w:noProof/>
        </w:rPr>
        <w:t>Националните статисти</w:t>
      </w:r>
      <w:r>
        <w:rPr>
          <w:noProof/>
        </w:rPr>
        <w:t>чески бизнес регистри са достоверният източник за получаване на национално равнище на основани на регистри съвкупности. Регистърът EuroGroups е достоверният източник за получаване на равнището на Европейската статистическа система на основани на регистри с</w:t>
      </w:r>
      <w:r>
        <w:rPr>
          <w:noProof/>
        </w:rPr>
        <w:t>ъвкупности за целите на изготвянето на бизнес статистика, за която е необходима координация на трансгранична информация.</w:t>
      </w:r>
    </w:p>
    <w:p w:rsidR="00242E09" w:rsidRDefault="00CE46B8">
      <w:pPr>
        <w:pStyle w:val="Titrearticle"/>
        <w:rPr>
          <w:noProof/>
        </w:rPr>
      </w:pPr>
      <w:r>
        <w:rPr>
          <w:noProof/>
        </w:rPr>
        <w:t>Член 9</w:t>
      </w:r>
    </w:p>
    <w:p w:rsidR="00242E09" w:rsidRDefault="00CE46B8">
      <w:pPr>
        <w:pStyle w:val="Titrearticle"/>
        <w:rPr>
          <w:noProof/>
        </w:rPr>
      </w:pPr>
      <w:r>
        <w:rPr>
          <w:noProof/>
        </w:rPr>
        <w:t>Изисквания по отношение на Европейската мрежа на статистическите бизнес регистри</w:t>
      </w:r>
    </w:p>
    <w:p w:rsidR="00242E09" w:rsidRDefault="00CE46B8">
      <w:pPr>
        <w:pStyle w:val="ManualNumPar1"/>
        <w:rPr>
          <w:noProof/>
        </w:rPr>
      </w:pPr>
      <w:r>
        <w:t>1.</w:t>
      </w:r>
      <w:r>
        <w:tab/>
      </w:r>
      <w:r>
        <w:rPr>
          <w:noProof/>
        </w:rPr>
        <w:t>Статистическите и юридическите единици от об</w:t>
      </w:r>
      <w:r>
        <w:rPr>
          <w:noProof/>
        </w:rPr>
        <w:t>хвата на Европейската мрежа на националните статистически бизнес регистри в съответствие с член 8 се характеризират със следните елементи, допълнително уточнено в приложение III:</w:t>
      </w:r>
    </w:p>
    <w:p w:rsidR="00242E09" w:rsidRDefault="00CE46B8">
      <w:pPr>
        <w:pStyle w:val="Point1"/>
        <w:rPr>
          <w:noProof/>
        </w:rPr>
      </w:pPr>
      <w:r>
        <w:rPr>
          <w:noProof/>
        </w:rPr>
        <w:lastRenderedPageBreak/>
        <w:t>а)</w:t>
      </w:r>
      <w:r>
        <w:rPr>
          <w:noProof/>
        </w:rPr>
        <w:tab/>
        <w:t>подробните теми на регистрите и уникалния идентификатор;</w:t>
      </w:r>
    </w:p>
    <w:p w:rsidR="00242E09" w:rsidRDefault="00CE46B8">
      <w:pPr>
        <w:pStyle w:val="Point1"/>
        <w:rPr>
          <w:noProof/>
        </w:rPr>
      </w:pPr>
      <w:r>
        <w:rPr>
          <w:noProof/>
        </w:rPr>
        <w:t>б)</w:t>
      </w:r>
      <w:r>
        <w:rPr>
          <w:noProof/>
        </w:rPr>
        <w:tab/>
        <w:t>сроковете и пе</w:t>
      </w:r>
      <w:r>
        <w:rPr>
          <w:noProof/>
        </w:rPr>
        <w:t>риодичността.</w:t>
      </w:r>
    </w:p>
    <w:p w:rsidR="00242E09" w:rsidRDefault="00CE46B8">
      <w:pPr>
        <w:pStyle w:val="ManualNumPar1"/>
        <w:rPr>
          <w:noProof/>
        </w:rPr>
      </w:pPr>
      <w:r>
        <w:t>2.</w:t>
      </w:r>
      <w:r>
        <w:tab/>
      </w:r>
      <w:r>
        <w:rPr>
          <w:noProof/>
        </w:rPr>
        <w:t xml:space="preserve">На Комисията се предоставя правомощието да приема делегирани актове в съответствие с член 21 с цел изменение на включените в приложение III подробни теми на регистрите, за да се вземат предвид съответните технически и икономически промени </w:t>
      </w:r>
      <w:r>
        <w:rPr>
          <w:noProof/>
        </w:rPr>
        <w:t>и новите потребности на ползвателите.</w:t>
      </w:r>
    </w:p>
    <w:p w:rsidR="00242E09" w:rsidRDefault="00CE46B8">
      <w:pPr>
        <w:pStyle w:val="ManualNumPar1"/>
        <w:rPr>
          <w:noProof/>
        </w:rPr>
      </w:pPr>
      <w:r>
        <w:t>3.</w:t>
      </w:r>
      <w:r>
        <w:tab/>
      </w:r>
      <w:r>
        <w:rPr>
          <w:noProof/>
        </w:rPr>
        <w:t>При упражняване на правомощието си да изменя приложение III Комисията се уверява, че са изпълнени следните две условия:</w:t>
      </w:r>
    </w:p>
    <w:p w:rsidR="00242E09" w:rsidRDefault="00CE46B8">
      <w:pPr>
        <w:pStyle w:val="Point1"/>
        <w:rPr>
          <w:noProof/>
        </w:rPr>
      </w:pPr>
      <w:r>
        <w:rPr>
          <w:noProof/>
        </w:rPr>
        <w:t>а)</w:t>
      </w:r>
      <w:r>
        <w:rPr>
          <w:noProof/>
        </w:rPr>
        <w:tab/>
        <w:t>съответният делегиран акт не налага значителни допълнителни разходи или значителна допълните</w:t>
      </w:r>
      <w:r>
        <w:rPr>
          <w:noProof/>
        </w:rPr>
        <w:t xml:space="preserve">лна тежест за държавите членки или за респондентите; </w:t>
      </w:r>
    </w:p>
    <w:p w:rsidR="00242E09" w:rsidRDefault="00CE46B8">
      <w:pPr>
        <w:pStyle w:val="Point1"/>
        <w:rPr>
          <w:noProof/>
        </w:rPr>
      </w:pPr>
      <w:r>
        <w:rPr>
          <w:noProof/>
        </w:rPr>
        <w:t>б)</w:t>
      </w:r>
      <w:r>
        <w:rPr>
          <w:noProof/>
        </w:rPr>
        <w:tab/>
        <w:t>не повече от една подробна тема се добавя или заменя с делегиран акт за период от пет последователни години.</w:t>
      </w:r>
    </w:p>
    <w:p w:rsidR="00242E09" w:rsidRDefault="00CE46B8">
      <w:pPr>
        <w:pStyle w:val="ManualNumPar1"/>
        <w:rPr>
          <w:noProof/>
        </w:rPr>
      </w:pPr>
      <w:r>
        <w:t>4.</w:t>
      </w:r>
      <w:r>
        <w:tab/>
      </w:r>
      <w:r>
        <w:rPr>
          <w:noProof/>
        </w:rPr>
        <w:t>На Комисията се предоставя правомощието да приема актове за изпълнение в съответствие с</w:t>
      </w:r>
      <w:r>
        <w:rPr>
          <w:noProof/>
        </w:rPr>
        <w:t xml:space="preserve"> процедурата по разглеждане, посочена в член 22, параграф 2, за целите на допълнителното уточняване на описателните елементи за всяка от подробните теми на регистрите.</w:t>
      </w:r>
    </w:p>
    <w:p w:rsidR="00242E09" w:rsidRDefault="00CE46B8">
      <w:pPr>
        <w:pStyle w:val="Titrearticle"/>
        <w:rPr>
          <w:noProof/>
        </w:rPr>
      </w:pPr>
      <w:r>
        <w:rPr>
          <w:noProof/>
        </w:rPr>
        <w:t>Член 10</w:t>
      </w:r>
    </w:p>
    <w:p w:rsidR="00242E09" w:rsidRDefault="00CE46B8">
      <w:pPr>
        <w:pStyle w:val="Titrearticle"/>
        <w:rPr>
          <w:noProof/>
        </w:rPr>
      </w:pPr>
      <w:r>
        <w:rPr>
          <w:noProof/>
        </w:rPr>
        <w:t>Обмен на поверителни данни и достъп до такива данни за целите на Европейската мр</w:t>
      </w:r>
      <w:r>
        <w:rPr>
          <w:noProof/>
        </w:rPr>
        <w:t xml:space="preserve">ежа на статистическите бизнес регистри </w:t>
      </w:r>
    </w:p>
    <w:p w:rsidR="00242E09" w:rsidRDefault="00CE46B8">
      <w:pPr>
        <w:pStyle w:val="ManualNumPar1"/>
        <w:rPr>
          <w:noProof/>
        </w:rPr>
      </w:pPr>
      <w:r>
        <w:t>1.</w:t>
      </w:r>
      <w:r>
        <w:tab/>
      </w:r>
      <w:r>
        <w:rPr>
          <w:noProof/>
        </w:rPr>
        <w:t xml:space="preserve">Държавите членки обменят поверителни данни при следните условия: </w:t>
      </w:r>
    </w:p>
    <w:p w:rsidR="00242E09" w:rsidRDefault="00CE46B8">
      <w:pPr>
        <w:pStyle w:val="Point1"/>
        <w:rPr>
          <w:noProof/>
        </w:rPr>
      </w:pPr>
      <w:r>
        <w:rPr>
          <w:noProof/>
        </w:rPr>
        <w:t>а)</w:t>
      </w:r>
      <w:r>
        <w:rPr>
          <w:noProof/>
        </w:rPr>
        <w:tab/>
        <w:t>обменът на поверителни данни за мултинационалните групи от предприятия и за принадлежащите към тези групи единици в съответствие с член 9, параг</w:t>
      </w:r>
      <w:r>
        <w:rPr>
          <w:noProof/>
        </w:rPr>
        <w:t>раф 4 се извършва изключително за статистически цели между участващите в изготвянето на регистъра EuroGroups служители в националните статистически органи на отделните държави членки, като този обмен трябва да гарантира качеството на информацията за мултин</w:t>
      </w:r>
      <w:r>
        <w:rPr>
          <w:noProof/>
        </w:rPr>
        <w:t>ационалните групи от предприятия в Съюза. Този обмен може да се извършва и с цел намаляване на тежестта за респондентите;</w:t>
      </w:r>
    </w:p>
    <w:p w:rsidR="00242E09" w:rsidRDefault="00CE46B8">
      <w:pPr>
        <w:pStyle w:val="Point1"/>
        <w:rPr>
          <w:noProof/>
        </w:rPr>
      </w:pPr>
      <w:r>
        <w:rPr>
          <w:noProof/>
        </w:rPr>
        <w:t>б)</w:t>
      </w:r>
      <w:r>
        <w:rPr>
          <w:noProof/>
        </w:rPr>
        <w:tab/>
        <w:t>когато обменът трябва да гарантира качеството на информацията за мултинационалните групи от предприятия в Съюза, националните центр</w:t>
      </w:r>
      <w:r>
        <w:rPr>
          <w:noProof/>
        </w:rPr>
        <w:t>ални банки могат да бъдат страна по обмена на поверителни данни изключително за статистически цели.</w:t>
      </w:r>
    </w:p>
    <w:p w:rsidR="00242E09" w:rsidRDefault="00CE46B8">
      <w:pPr>
        <w:pStyle w:val="ManualNumPar1"/>
        <w:rPr>
          <w:noProof/>
        </w:rPr>
      </w:pPr>
      <w:r>
        <w:t>2.</w:t>
      </w:r>
      <w:r>
        <w:tab/>
      </w:r>
      <w:r>
        <w:rPr>
          <w:noProof/>
        </w:rPr>
        <w:t>Комисията (Евростат) и държавите членки обменят поверителни данни при следните условия:</w:t>
      </w:r>
    </w:p>
    <w:p w:rsidR="00242E09" w:rsidRDefault="00CE46B8">
      <w:pPr>
        <w:pStyle w:val="Point1"/>
        <w:rPr>
          <w:noProof/>
        </w:rPr>
      </w:pPr>
      <w:r>
        <w:rPr>
          <w:noProof/>
        </w:rPr>
        <w:t>а)</w:t>
      </w:r>
      <w:r>
        <w:rPr>
          <w:noProof/>
        </w:rPr>
        <w:tab/>
        <w:t>националните статистически органи предават на Комисията (Еврос</w:t>
      </w:r>
      <w:r>
        <w:rPr>
          <w:noProof/>
        </w:rPr>
        <w:t>тат) данни за мултинационалните групи от предприятия и за принадлежащите към тези групи единици в съответствие с член 9, параграф 4 с цел предоставяне изключително за статистически цели на информация за мултинационалните групи от предприятия в Съюза;</w:t>
      </w:r>
    </w:p>
    <w:p w:rsidR="00242E09" w:rsidRDefault="00CE46B8">
      <w:pPr>
        <w:pStyle w:val="Point1"/>
        <w:rPr>
          <w:noProof/>
        </w:rPr>
      </w:pPr>
      <w:r>
        <w:rPr>
          <w:noProof/>
        </w:rPr>
        <w:t>б)</w:t>
      </w:r>
      <w:r>
        <w:rPr>
          <w:noProof/>
        </w:rPr>
        <w:tab/>
        <w:t xml:space="preserve">с </w:t>
      </w:r>
      <w:r>
        <w:rPr>
          <w:noProof/>
        </w:rPr>
        <w:t xml:space="preserve">цел да се осигури съгласувано отразяване на данните, Комисията (Евростат) предава на съответните национални статистически органи във </w:t>
      </w:r>
      <w:r>
        <w:rPr>
          <w:noProof/>
        </w:rPr>
        <w:lastRenderedPageBreak/>
        <w:t>всяка държава членка изключително за статистически цели данни за мултинационалните групи от предприятия, включително за при</w:t>
      </w:r>
      <w:r>
        <w:rPr>
          <w:noProof/>
        </w:rPr>
        <w:t xml:space="preserve">надлежащите към тези групи единици, когато поне една юридическа единица на съответната група се намира на територията на съответната държава членка; </w:t>
      </w:r>
    </w:p>
    <w:p w:rsidR="00242E09" w:rsidRDefault="00CE46B8">
      <w:pPr>
        <w:pStyle w:val="Point1"/>
        <w:rPr>
          <w:noProof/>
        </w:rPr>
      </w:pPr>
      <w:r>
        <w:rPr>
          <w:noProof/>
        </w:rPr>
        <w:t>в)</w:t>
      </w:r>
      <w:r>
        <w:rPr>
          <w:noProof/>
        </w:rPr>
        <w:tab/>
        <w:t>с цел да се осигури ефикасност и високо качество при изготвянето на регистъра EuroGroups, Комисията (Ев</w:t>
      </w:r>
      <w:r>
        <w:rPr>
          <w:noProof/>
        </w:rPr>
        <w:t>ростат) предава на участващите в изготвянето на регистъра EuroGroups служители в националните статистически органи на отделните държави членки изключително за статистически цели данни за всички вписани в регистъра EuroGroups мултинационални групи от предпр</w:t>
      </w:r>
      <w:r>
        <w:rPr>
          <w:noProof/>
        </w:rPr>
        <w:t>иятия, включително за принадлежащите към тези групи единици.</w:t>
      </w:r>
    </w:p>
    <w:p w:rsidR="00242E09" w:rsidRDefault="00CE46B8">
      <w:pPr>
        <w:pStyle w:val="ManualNumPar1"/>
        <w:rPr>
          <w:noProof/>
        </w:rPr>
      </w:pPr>
      <w:r>
        <w:t>3.</w:t>
      </w:r>
      <w:r>
        <w:tab/>
      </w:r>
      <w:r>
        <w:rPr>
          <w:noProof/>
        </w:rPr>
        <w:t>Комисията (Евростат) и държавите членки обменят поверителни данни за идентифициране на юридическите единици при следните условия:</w:t>
      </w:r>
    </w:p>
    <w:p w:rsidR="00242E09" w:rsidRDefault="00CE46B8">
      <w:pPr>
        <w:pStyle w:val="Point1"/>
        <w:rPr>
          <w:noProof/>
        </w:rPr>
      </w:pPr>
      <w:r>
        <w:rPr>
          <w:noProof/>
        </w:rPr>
        <w:t>а)</w:t>
      </w:r>
      <w:r>
        <w:rPr>
          <w:noProof/>
        </w:rPr>
        <w:tab/>
        <w:t xml:space="preserve">националните статистически органи предават на Комисията </w:t>
      </w:r>
      <w:r>
        <w:rPr>
          <w:noProof/>
        </w:rPr>
        <w:t>(Евростат) данни за регистрираните юридически единици в съответствие с член 9, параграф 4 изключително за целите на уникалното идентифициране на юридическите единици в Съюза;</w:t>
      </w:r>
    </w:p>
    <w:p w:rsidR="00242E09" w:rsidRDefault="00CE46B8">
      <w:pPr>
        <w:pStyle w:val="Point1"/>
        <w:rPr>
          <w:noProof/>
        </w:rPr>
      </w:pPr>
      <w:r>
        <w:rPr>
          <w:noProof/>
        </w:rPr>
        <w:t>б)</w:t>
      </w:r>
      <w:r>
        <w:rPr>
          <w:noProof/>
        </w:rPr>
        <w:tab/>
        <w:t xml:space="preserve">с цел да се осигури ефикасност и високо качество при изготвянето на регистъра </w:t>
      </w:r>
      <w:r>
        <w:rPr>
          <w:noProof/>
        </w:rPr>
        <w:t>EuroGroups, Комисията (Евростат) предава на националните статистически органи на всяка държава членка данни за юридически единици в съответствие с член 9, параграф 4 изключително за целите на идентифицирането на юридическите единици в Съюза.</w:t>
      </w:r>
    </w:p>
    <w:p w:rsidR="00242E09" w:rsidRDefault="00CE46B8">
      <w:pPr>
        <w:pStyle w:val="ManualNumPar1"/>
        <w:rPr>
          <w:noProof/>
        </w:rPr>
      </w:pPr>
      <w:r>
        <w:t>4.</w:t>
      </w:r>
      <w:r>
        <w:tab/>
      </w:r>
      <w:r>
        <w:rPr>
          <w:noProof/>
        </w:rPr>
        <w:t>Комисията (</w:t>
      </w:r>
      <w:r>
        <w:rPr>
          <w:noProof/>
        </w:rPr>
        <w:t>Евростат) и централните банки могат да обменят поверителни данни при следните условия:</w:t>
      </w:r>
    </w:p>
    <w:p w:rsidR="00242E09" w:rsidRDefault="00CE46B8">
      <w:pPr>
        <w:pStyle w:val="Text1"/>
        <w:rPr>
          <w:noProof/>
        </w:rPr>
      </w:pPr>
      <w:r>
        <w:rPr>
          <w:noProof/>
        </w:rPr>
        <w:t>между Комисията (Евростат) и централните банки, както и между Комисията (Евростат) и Европейската централна банка може да се осъществи изключително за статистически цели обмен на поверителни данни, когато с обмена се осигурява качеството на информацията за</w:t>
      </w:r>
      <w:r>
        <w:rPr>
          <w:noProof/>
        </w:rPr>
        <w:t xml:space="preserve"> мултинационалните групи от предприятия в Съюза и когато обменът е изрично разрешен от съответния национален статистически орган. </w:t>
      </w:r>
    </w:p>
    <w:p w:rsidR="00242E09" w:rsidRDefault="00CE46B8">
      <w:pPr>
        <w:pStyle w:val="ManualNumPar1"/>
        <w:rPr>
          <w:noProof/>
        </w:rPr>
      </w:pPr>
      <w:r>
        <w:t>5.</w:t>
      </w:r>
      <w:r>
        <w:tab/>
      </w:r>
      <w:r>
        <w:rPr>
          <w:noProof/>
        </w:rPr>
        <w:t>За да се гарантира, че обменената по настоящия член информация се използва изключително за статистически цели, на Комисият</w:t>
      </w:r>
      <w:r>
        <w:rPr>
          <w:noProof/>
        </w:rPr>
        <w:t>а се предоставя правомощието да приема актове за изпълнение за определяне на формàта и мерките за сигурност и поверителност на тези данни, както и за определяне на процедурата за обмен на данни, в съответствие с процедурата по разглеждане, посочена в член </w:t>
      </w:r>
      <w:r>
        <w:rPr>
          <w:noProof/>
        </w:rPr>
        <w:t>22, параграф 2.</w:t>
      </w:r>
    </w:p>
    <w:p w:rsidR="00242E09" w:rsidRDefault="00CE46B8">
      <w:pPr>
        <w:pStyle w:val="ManualNumPar1"/>
        <w:rPr>
          <w:noProof/>
        </w:rPr>
      </w:pPr>
      <w:r>
        <w:t>6.</w:t>
      </w:r>
      <w:r>
        <w:tab/>
      </w:r>
      <w:r>
        <w:rPr>
          <w:noProof/>
        </w:rPr>
        <w:t>Когато Комисията (Евростат), националните статистически органи, националните централни банки или Европейската централна банка получат поверителни данни за единици, разположени на националната територия или извън нея, съгласно настоящия ч</w:t>
      </w:r>
      <w:r>
        <w:rPr>
          <w:noProof/>
        </w:rPr>
        <w:t>лен те обработват информацията при спазване на поверителността в съответствие с Регламент (ЕО) № 223/2009.</w:t>
      </w:r>
    </w:p>
    <w:p w:rsidR="00242E09" w:rsidRDefault="00CE46B8">
      <w:pPr>
        <w:pStyle w:val="Text1"/>
        <w:rPr>
          <w:noProof/>
        </w:rPr>
      </w:pPr>
      <w:r>
        <w:rPr>
          <w:noProof/>
        </w:rPr>
        <w:t>Предаването на поверителни данни между националните статистически органи и Комисията (Евростат) се осъществява дотолкова, доколкото то е необходимо з</w:t>
      </w:r>
      <w:r>
        <w:rPr>
          <w:noProof/>
        </w:rPr>
        <w:t>а изготвянето на европейска статистика. Всяко допълнително предаване трябва да бъде изрично разрешено от събралия данните национален орган.</w:t>
      </w:r>
    </w:p>
    <w:p w:rsidR="00242E09" w:rsidRDefault="00CE46B8">
      <w:pPr>
        <w:pStyle w:val="ChapterTitle"/>
        <w:rPr>
          <w:noProof/>
        </w:rPr>
      </w:pPr>
      <w:r>
        <w:rPr>
          <w:noProof/>
        </w:rPr>
        <w:lastRenderedPageBreak/>
        <w:t xml:space="preserve">ГЛАВА V </w:t>
      </w:r>
    </w:p>
    <w:p w:rsidR="00242E09" w:rsidRDefault="00CE46B8">
      <w:pPr>
        <w:pStyle w:val="ChapterTitle"/>
        <w:rPr>
          <w:noProof/>
        </w:rPr>
      </w:pPr>
      <w:r>
        <w:rPr>
          <w:noProof/>
        </w:rPr>
        <w:t>ОБМЕН НА ПОВЕРИТЕЛНИ ДАННИ ЗА ЦЕЛИТЕ НА СТАТИСТИКАТА ЗА ВЪТРЕСЪЮЗНАТА ТЪРГОВИЯ СЪС СТОКИ</w:t>
      </w:r>
    </w:p>
    <w:p w:rsidR="00242E09" w:rsidRDefault="00CE46B8">
      <w:pPr>
        <w:pStyle w:val="Titrearticle"/>
        <w:rPr>
          <w:noProof/>
        </w:rPr>
      </w:pPr>
      <w:r>
        <w:rPr>
          <w:noProof/>
        </w:rPr>
        <w:t>Член 11</w:t>
      </w:r>
    </w:p>
    <w:p w:rsidR="00242E09" w:rsidRDefault="00CE46B8">
      <w:pPr>
        <w:pStyle w:val="Titrearticle"/>
        <w:rPr>
          <w:noProof/>
        </w:rPr>
      </w:pPr>
      <w:r>
        <w:rPr>
          <w:noProof/>
        </w:rPr>
        <w:t>Обмен на п</w:t>
      </w:r>
      <w:r>
        <w:rPr>
          <w:noProof/>
        </w:rPr>
        <w:t>оверителни данни</w:t>
      </w:r>
    </w:p>
    <w:p w:rsidR="00242E09" w:rsidRDefault="00CE46B8">
      <w:pPr>
        <w:pStyle w:val="ManualNumPar1"/>
        <w:rPr>
          <w:noProof/>
        </w:rPr>
      </w:pPr>
      <w:r>
        <w:t>1.</w:t>
      </w:r>
      <w:r>
        <w:tab/>
      </w:r>
      <w:r>
        <w:rPr>
          <w:noProof/>
        </w:rPr>
        <w:t>Обменът между държавите членки на поверителни данни за вътресъюзния износ на стоки се осъществява изключително за статистически цели между националните статистически органи, които участват в разработването, изготвянето и разпространение</w:t>
      </w:r>
      <w:r>
        <w:rPr>
          <w:noProof/>
        </w:rPr>
        <w:t>то на статистика за вътресъюзната търговия със стоки.</w:t>
      </w:r>
    </w:p>
    <w:p w:rsidR="00242E09" w:rsidRDefault="00CE46B8">
      <w:pPr>
        <w:pStyle w:val="Text1"/>
        <w:rPr>
          <w:noProof/>
        </w:rPr>
      </w:pPr>
      <w:r>
        <w:rPr>
          <w:noProof/>
        </w:rPr>
        <w:t>Техническите спецификации за посочените в член 7, параграфи 1 и 2 изисквания по отношение на данните се прилагат и за обмена на поверителни данни в съответствие с разпоредбите на настоящата глава.</w:t>
      </w:r>
    </w:p>
    <w:p w:rsidR="00242E09" w:rsidRDefault="00CE46B8">
      <w:pPr>
        <w:pStyle w:val="ManualNumPar1"/>
        <w:rPr>
          <w:noProof/>
        </w:rPr>
      </w:pPr>
      <w:r>
        <w:t>2.</w:t>
      </w:r>
      <w:r>
        <w:tab/>
      </w:r>
      <w:r>
        <w:rPr>
          <w:noProof/>
        </w:rPr>
        <w:t>На</w:t>
      </w:r>
      <w:r>
        <w:rPr>
          <w:noProof/>
        </w:rPr>
        <w:t>ционалният статистически орган на държавата членка на износ предоставя на националния статистически орган на държавата членка на внос статистическата информация за вътресъюзния износ на стоки от първата за втората държава членка в съответствие с посоченото</w:t>
      </w:r>
      <w:r>
        <w:rPr>
          <w:noProof/>
        </w:rPr>
        <w:t xml:space="preserve"> в член 12.</w:t>
      </w:r>
    </w:p>
    <w:p w:rsidR="00242E09" w:rsidRDefault="00CE46B8">
      <w:pPr>
        <w:pStyle w:val="ManualNumPar1"/>
        <w:rPr>
          <w:noProof/>
        </w:rPr>
      </w:pPr>
      <w:r>
        <w:t>3.</w:t>
      </w:r>
      <w:r>
        <w:tab/>
      </w:r>
      <w:r>
        <w:rPr>
          <w:noProof/>
        </w:rPr>
        <w:t>Националният статистически орган на държавата членка на износ предоставя на националния статистически орган на държавата членка на внос метаданните, които са от значение за използването на обменяните данни при изготвянето на статистика.</w:t>
      </w:r>
    </w:p>
    <w:p w:rsidR="00242E09" w:rsidRDefault="00CE46B8">
      <w:pPr>
        <w:pStyle w:val="ManualNumPar1"/>
        <w:rPr>
          <w:noProof/>
        </w:rPr>
      </w:pPr>
      <w:r>
        <w:t>4.</w:t>
      </w:r>
      <w:r>
        <w:tab/>
      </w:r>
      <w:r>
        <w:rPr>
          <w:noProof/>
        </w:rPr>
        <w:t>Н</w:t>
      </w:r>
      <w:r>
        <w:rPr>
          <w:noProof/>
        </w:rPr>
        <w:t>а Комисията се предоставя правомощието да приема актове за изпълнение за целите на уточняването на информацията, която трябва да се счита за значими метаданни в съответствие с посоченото в параграф 3, както и графика за предоставяне на тази информация и по</w:t>
      </w:r>
      <w:r>
        <w:rPr>
          <w:noProof/>
        </w:rPr>
        <w:t>сочената в параграф 2 статистическа информация, в съответствие с процедурата по разглеждане, посочена в член 22, параграф 2.</w:t>
      </w:r>
    </w:p>
    <w:p w:rsidR="00242E09" w:rsidRDefault="00CE46B8">
      <w:pPr>
        <w:pStyle w:val="ManualNumPar1"/>
        <w:rPr>
          <w:noProof/>
        </w:rPr>
      </w:pPr>
      <w:r>
        <w:t>5.</w:t>
      </w:r>
      <w:r>
        <w:tab/>
      </w:r>
      <w:r>
        <w:rPr>
          <w:noProof/>
        </w:rPr>
        <w:t>По искане на националния статистически орган на държавата членка на износ държавата членка на внос може да предостави на този ор</w:t>
      </w:r>
      <w:r>
        <w:rPr>
          <w:noProof/>
        </w:rPr>
        <w:t>ган събраните микроданни за своя вътресъюзен внос на стоки от тази държава членка на износ.</w:t>
      </w:r>
    </w:p>
    <w:p w:rsidR="00242E09" w:rsidRDefault="00CE46B8">
      <w:pPr>
        <w:pStyle w:val="Titrearticle"/>
        <w:rPr>
          <w:noProof/>
        </w:rPr>
      </w:pPr>
      <w:r>
        <w:rPr>
          <w:noProof/>
        </w:rPr>
        <w:t>Член 12</w:t>
      </w:r>
    </w:p>
    <w:p w:rsidR="00242E09" w:rsidRDefault="00CE46B8">
      <w:pPr>
        <w:pStyle w:val="Titrearticle"/>
        <w:rPr>
          <w:noProof/>
        </w:rPr>
      </w:pPr>
      <w:r>
        <w:rPr>
          <w:noProof/>
        </w:rPr>
        <w:t>Статистическа информация, която подлежи на обмен</w:t>
      </w:r>
    </w:p>
    <w:p w:rsidR="00242E09" w:rsidRDefault="00CE46B8">
      <w:pPr>
        <w:pStyle w:val="ManualNumPar1"/>
        <w:rPr>
          <w:noProof/>
        </w:rPr>
      </w:pPr>
      <w:r>
        <w:t>1.</w:t>
      </w:r>
      <w:r>
        <w:tab/>
      </w:r>
      <w:r>
        <w:rPr>
          <w:noProof/>
        </w:rPr>
        <w:t xml:space="preserve"> Статистическата информация, посочена в член 11, параграф 2, се състои от:</w:t>
      </w:r>
    </w:p>
    <w:p w:rsidR="00242E09" w:rsidRDefault="00CE46B8">
      <w:pPr>
        <w:pStyle w:val="Point1"/>
        <w:rPr>
          <w:noProof/>
        </w:rPr>
      </w:pPr>
      <w:r>
        <w:rPr>
          <w:noProof/>
        </w:rPr>
        <w:t>а)</w:t>
      </w:r>
      <w:r>
        <w:rPr>
          <w:noProof/>
        </w:rPr>
        <w:tab/>
        <w:t>микроданни, събрани чрез и</w:t>
      </w:r>
      <w:r>
        <w:rPr>
          <w:noProof/>
        </w:rPr>
        <w:t>зследвания;</w:t>
      </w:r>
    </w:p>
    <w:p w:rsidR="00242E09" w:rsidRDefault="00CE46B8">
      <w:pPr>
        <w:pStyle w:val="Point1"/>
        <w:rPr>
          <w:noProof/>
        </w:rPr>
      </w:pPr>
      <w:r>
        <w:rPr>
          <w:noProof/>
        </w:rPr>
        <w:t>б)</w:t>
      </w:r>
      <w:r>
        <w:rPr>
          <w:noProof/>
        </w:rPr>
        <w:tab/>
        <w:t>данни за специфични стоки или движения, съставени чрез използване на други източници на данни освен изследванията; и</w:t>
      </w:r>
    </w:p>
    <w:p w:rsidR="00242E09" w:rsidRDefault="00CE46B8">
      <w:pPr>
        <w:pStyle w:val="Point1"/>
        <w:rPr>
          <w:noProof/>
        </w:rPr>
      </w:pPr>
      <w:r>
        <w:rPr>
          <w:noProof/>
        </w:rPr>
        <w:lastRenderedPageBreak/>
        <w:t>в)</w:t>
      </w:r>
      <w:r>
        <w:rPr>
          <w:noProof/>
        </w:rPr>
        <w:tab/>
        <w:t>данни, съставени чрез използване на данните от митническите декларации.</w:t>
      </w:r>
    </w:p>
    <w:p w:rsidR="00242E09" w:rsidRDefault="00CE46B8">
      <w:pPr>
        <w:pStyle w:val="ManualNumPar1"/>
        <w:rPr>
          <w:noProof/>
        </w:rPr>
      </w:pPr>
      <w:r>
        <w:t>2.</w:t>
      </w:r>
      <w:r>
        <w:tab/>
      </w:r>
      <w:r>
        <w:rPr>
          <w:noProof/>
        </w:rPr>
        <w:t>Статистическата информация, посочена в член 11</w:t>
      </w:r>
      <w:r>
        <w:rPr>
          <w:noProof/>
        </w:rPr>
        <w:t>, параграф 2, трябва да обхваща най-малко 95 % от общата стойност на вътресъюзния износ на стоки от всяка държава членка за всички останали държави членки, взети заедно.</w:t>
      </w:r>
    </w:p>
    <w:p w:rsidR="00242E09" w:rsidRDefault="00CE46B8">
      <w:pPr>
        <w:pStyle w:val="Text2"/>
        <w:ind w:left="851"/>
        <w:rPr>
          <w:noProof/>
        </w:rPr>
      </w:pPr>
      <w:r>
        <w:rPr>
          <w:noProof/>
        </w:rPr>
        <w:t>На Комисията се предоставя правомощието да приема делегирани актове в съответствие с ч</w:t>
      </w:r>
      <w:r>
        <w:rPr>
          <w:noProof/>
        </w:rPr>
        <w:t>лен 21 с цел изменение на настоящия регламент чрез намаляване на този процент на обхващане предвид техническите и икономическите промени, като същевременно продължат да се спазват действащите стандарти за качество на статистиката.</w:t>
      </w:r>
    </w:p>
    <w:p w:rsidR="00242E09" w:rsidRDefault="00CE46B8">
      <w:pPr>
        <w:pStyle w:val="ManualNumPar1"/>
        <w:rPr>
          <w:noProof/>
        </w:rPr>
      </w:pPr>
      <w:r>
        <w:t>3.</w:t>
      </w:r>
      <w:r>
        <w:tab/>
      </w:r>
      <w:r>
        <w:rPr>
          <w:noProof/>
        </w:rPr>
        <w:t>На Комисията се предос</w:t>
      </w:r>
      <w:r>
        <w:rPr>
          <w:noProof/>
        </w:rPr>
        <w:t>тавя правомощието да приема актове за изпълнение в съответствие с процедурата по разглеждане, посочена в член 22, параграф 2, за целите на определянето на условията за събиране и съответно съставяне на посочената в параграф 1 информация и за целите на допъ</w:t>
      </w:r>
      <w:r>
        <w:rPr>
          <w:noProof/>
        </w:rPr>
        <w:t>лнителното уточняване на условията за прилагане на посочения в параграф 2 процент на обхващане.</w:t>
      </w:r>
    </w:p>
    <w:p w:rsidR="00242E09" w:rsidRDefault="00CE46B8">
      <w:pPr>
        <w:pStyle w:val="Titrearticle"/>
        <w:rPr>
          <w:noProof/>
        </w:rPr>
      </w:pPr>
      <w:r>
        <w:rPr>
          <w:noProof/>
        </w:rPr>
        <w:t>Член 13</w:t>
      </w:r>
    </w:p>
    <w:p w:rsidR="00242E09" w:rsidRDefault="00CE46B8">
      <w:pPr>
        <w:pStyle w:val="Titrearticle"/>
        <w:rPr>
          <w:noProof/>
        </w:rPr>
      </w:pPr>
      <w:r>
        <w:rPr>
          <w:noProof/>
        </w:rPr>
        <w:t xml:space="preserve">Елементи на статистическите данни </w:t>
      </w:r>
      <w:r>
        <w:rPr>
          <w:noProof/>
        </w:rPr>
        <w:br/>
      </w:r>
    </w:p>
    <w:p w:rsidR="00242E09" w:rsidRDefault="00CE46B8">
      <w:pPr>
        <w:pStyle w:val="ManualNumPar1"/>
        <w:rPr>
          <w:noProof/>
        </w:rPr>
      </w:pPr>
      <w:r>
        <w:t>1.</w:t>
      </w:r>
      <w:r>
        <w:tab/>
      </w:r>
      <w:r>
        <w:rPr>
          <w:noProof/>
        </w:rPr>
        <w:t xml:space="preserve">Микроданните, посочени в член 12, параграф 1, буква а), трябва да съдържат следните елементи на статистическите </w:t>
      </w:r>
      <w:r>
        <w:rPr>
          <w:noProof/>
        </w:rPr>
        <w:t>данни:</w:t>
      </w:r>
    </w:p>
    <w:p w:rsidR="00242E09" w:rsidRDefault="00CE46B8">
      <w:pPr>
        <w:pStyle w:val="Point1"/>
        <w:rPr>
          <w:noProof/>
        </w:rPr>
      </w:pPr>
      <w:r>
        <w:rPr>
          <w:noProof/>
        </w:rPr>
        <w:t>а)</w:t>
      </w:r>
      <w:r>
        <w:rPr>
          <w:noProof/>
        </w:rPr>
        <w:tab/>
        <w:t>индивидуалния идентификационен номер, определен за оператора партньор в държавата членка на внос, в съответствие с член 214 на Директива 2006/112/ЕО</w:t>
      </w:r>
      <w:r>
        <w:rPr>
          <w:rStyle w:val="FootnoteReference"/>
          <w:noProof/>
        </w:rPr>
        <w:footnoteReference w:id="28"/>
      </w:r>
      <w:r>
        <w:rPr>
          <w:noProof/>
        </w:rPr>
        <w:t>;</w:t>
      </w:r>
    </w:p>
    <w:p w:rsidR="00242E09" w:rsidRDefault="00CE46B8">
      <w:pPr>
        <w:pStyle w:val="Point1"/>
        <w:rPr>
          <w:noProof/>
        </w:rPr>
      </w:pPr>
      <w:r>
        <w:rPr>
          <w:noProof/>
        </w:rPr>
        <w:t>б)</w:t>
      </w:r>
      <w:r>
        <w:rPr>
          <w:noProof/>
        </w:rPr>
        <w:tab/>
        <w:t>референтния период;</w:t>
      </w:r>
    </w:p>
    <w:p w:rsidR="00242E09" w:rsidRDefault="00CE46B8">
      <w:pPr>
        <w:pStyle w:val="Point1"/>
        <w:rPr>
          <w:noProof/>
        </w:rPr>
      </w:pPr>
      <w:r>
        <w:rPr>
          <w:noProof/>
        </w:rPr>
        <w:t>в)</w:t>
      </w:r>
      <w:r>
        <w:rPr>
          <w:noProof/>
        </w:rPr>
        <w:tab/>
        <w:t>потока;</w:t>
      </w:r>
    </w:p>
    <w:p w:rsidR="00242E09" w:rsidRDefault="00CE46B8">
      <w:pPr>
        <w:pStyle w:val="Point1"/>
        <w:rPr>
          <w:noProof/>
        </w:rPr>
      </w:pPr>
      <w:r>
        <w:rPr>
          <w:noProof/>
        </w:rPr>
        <w:t>г)</w:t>
      </w:r>
      <w:r>
        <w:rPr>
          <w:noProof/>
        </w:rPr>
        <w:tab/>
        <w:t>стоката;</w:t>
      </w:r>
    </w:p>
    <w:p w:rsidR="00242E09" w:rsidRDefault="00CE46B8">
      <w:pPr>
        <w:pStyle w:val="Point1"/>
        <w:rPr>
          <w:noProof/>
        </w:rPr>
      </w:pPr>
      <w:r>
        <w:rPr>
          <w:noProof/>
        </w:rPr>
        <w:t>д)</w:t>
      </w:r>
      <w:r>
        <w:rPr>
          <w:noProof/>
        </w:rPr>
        <w:tab/>
        <w:t>партниращата държава членка;</w:t>
      </w:r>
    </w:p>
    <w:p w:rsidR="00242E09" w:rsidRDefault="00CE46B8">
      <w:pPr>
        <w:pStyle w:val="Point1"/>
        <w:rPr>
          <w:noProof/>
        </w:rPr>
      </w:pPr>
      <w:r>
        <w:rPr>
          <w:noProof/>
        </w:rPr>
        <w:t>е)</w:t>
      </w:r>
      <w:r>
        <w:rPr>
          <w:noProof/>
        </w:rPr>
        <w:tab/>
        <w:t>държавата на п</w:t>
      </w:r>
      <w:r>
        <w:rPr>
          <w:noProof/>
        </w:rPr>
        <w:t>роизход;</w:t>
      </w:r>
    </w:p>
    <w:p w:rsidR="00242E09" w:rsidRDefault="00CE46B8">
      <w:pPr>
        <w:pStyle w:val="Point1"/>
        <w:rPr>
          <w:noProof/>
        </w:rPr>
      </w:pPr>
      <w:r>
        <w:rPr>
          <w:noProof/>
        </w:rPr>
        <w:t>ж)</w:t>
      </w:r>
      <w:r>
        <w:rPr>
          <w:noProof/>
        </w:rPr>
        <w:tab/>
        <w:t>стойността на стоките;</w:t>
      </w:r>
    </w:p>
    <w:p w:rsidR="00242E09" w:rsidRDefault="00CE46B8">
      <w:pPr>
        <w:pStyle w:val="Point1"/>
        <w:rPr>
          <w:noProof/>
        </w:rPr>
      </w:pPr>
      <w:r>
        <w:rPr>
          <w:noProof/>
        </w:rPr>
        <w:t>з)</w:t>
      </w:r>
      <w:r>
        <w:rPr>
          <w:noProof/>
        </w:rPr>
        <w:tab/>
        <w:t>количеството на стоките;</w:t>
      </w:r>
    </w:p>
    <w:p w:rsidR="00242E09" w:rsidRDefault="00CE46B8">
      <w:pPr>
        <w:pStyle w:val="Point1"/>
        <w:rPr>
          <w:noProof/>
        </w:rPr>
      </w:pPr>
      <w:r>
        <w:rPr>
          <w:noProof/>
        </w:rPr>
        <w:t>и)</w:t>
      </w:r>
      <w:r>
        <w:rPr>
          <w:noProof/>
        </w:rPr>
        <w:tab/>
        <w:t>естеството на операцията.</w:t>
      </w:r>
    </w:p>
    <w:p w:rsidR="00242E09" w:rsidRDefault="00CE46B8">
      <w:pPr>
        <w:pStyle w:val="Text1"/>
        <w:rPr>
          <w:noProof/>
        </w:rPr>
      </w:pPr>
      <w:r>
        <w:rPr>
          <w:noProof/>
        </w:rPr>
        <w:t>Микроданните, посочени в член 12, параграф 1, буква а), може да съдържат вида транспорт, при условие че се събират от държавата членка на износ.</w:t>
      </w:r>
    </w:p>
    <w:p w:rsidR="00242E09" w:rsidRDefault="00CE46B8">
      <w:pPr>
        <w:pStyle w:val="Text1"/>
        <w:rPr>
          <w:noProof/>
        </w:rPr>
      </w:pPr>
      <w:r>
        <w:rPr>
          <w:noProof/>
        </w:rPr>
        <w:t>На Комисията се пре</w:t>
      </w:r>
      <w:r>
        <w:rPr>
          <w:noProof/>
        </w:rPr>
        <w:t xml:space="preserve">доставя правомощието да приема актове за изпълнение в съответствие с процедурата по разглеждане, посочена в член 22, параграф 2, за определяне на посочените в букви а) — и) елементи на статистическите данни </w:t>
      </w:r>
      <w:r>
        <w:rPr>
          <w:noProof/>
        </w:rPr>
        <w:lastRenderedPageBreak/>
        <w:t>и за определяне на списъка на елементите на стати</w:t>
      </w:r>
      <w:r>
        <w:rPr>
          <w:noProof/>
        </w:rPr>
        <w:t>стическите данни, приложими за данните за специфичните стоки или движения и за данните, съставени чрез използване на данните от митническите декларации, посочени в член 12, параграф 1, букви б) и в).</w:t>
      </w:r>
    </w:p>
    <w:p w:rsidR="00242E09" w:rsidRDefault="00CE46B8">
      <w:pPr>
        <w:pStyle w:val="ManualNumPar1"/>
        <w:rPr>
          <w:noProof/>
        </w:rPr>
      </w:pPr>
      <w:r>
        <w:t>2.</w:t>
      </w:r>
      <w:r>
        <w:tab/>
      </w:r>
      <w:r>
        <w:rPr>
          <w:noProof/>
        </w:rPr>
        <w:t>При определени условия, които да отговарят на изисква</w:t>
      </w:r>
      <w:r>
        <w:rPr>
          <w:noProof/>
        </w:rPr>
        <w:t>нията за качество, държавите членки могат да опростят информацията, която се предоставя за малки индивидуални операции, при условие че опростяването не оказва отрицателно въздействие върху качеството на статистическата.</w:t>
      </w:r>
    </w:p>
    <w:p w:rsidR="00242E09" w:rsidRDefault="00CE46B8">
      <w:pPr>
        <w:pStyle w:val="Text1"/>
        <w:ind w:left="851"/>
        <w:rPr>
          <w:noProof/>
        </w:rPr>
      </w:pPr>
      <w:r>
        <w:rPr>
          <w:noProof/>
        </w:rPr>
        <w:t xml:space="preserve">В конкретни случаи държавите членки </w:t>
      </w:r>
      <w:r>
        <w:rPr>
          <w:noProof/>
        </w:rPr>
        <w:t>могат да събират намален набор от посочените в параграф 1 елементи на статистическите данни или да събират информация, свързана с някои от тези елементи на данните, с по-ниска степен на подробност.</w:t>
      </w:r>
    </w:p>
    <w:p w:rsidR="00242E09" w:rsidRDefault="00CE46B8">
      <w:pPr>
        <w:pStyle w:val="Text1"/>
        <w:rPr>
          <w:noProof/>
        </w:rPr>
      </w:pPr>
      <w:r>
        <w:rPr>
          <w:noProof/>
        </w:rPr>
        <w:t>На Комисията се предоставя правомощието да приема актове з</w:t>
      </w:r>
      <w:r>
        <w:rPr>
          <w:noProof/>
        </w:rPr>
        <w:t>а изпълнение в съответствие с процедурата по разглеждане, посочена в член 22, параграф 2, за целите на определянето на условията за това опростяване и на максималната стойност на вътресъюзния износ, за който може да се ползва това опростяване.</w:t>
      </w:r>
    </w:p>
    <w:p w:rsidR="00242E09" w:rsidRDefault="00CE46B8">
      <w:pPr>
        <w:pStyle w:val="Titrearticle"/>
        <w:rPr>
          <w:noProof/>
        </w:rPr>
      </w:pPr>
      <w:r>
        <w:rPr>
          <w:noProof/>
        </w:rPr>
        <w:tab/>
        <w:t xml:space="preserve"> Член 14</w:t>
      </w:r>
    </w:p>
    <w:p w:rsidR="00242E09" w:rsidRDefault="00CE46B8">
      <w:pPr>
        <w:pStyle w:val="Titrearticle"/>
        <w:rPr>
          <w:noProof/>
        </w:rPr>
      </w:pPr>
      <w:r>
        <w:rPr>
          <w:noProof/>
        </w:rPr>
        <w:t>Защита на обменяните поверителни данни</w:t>
      </w:r>
    </w:p>
    <w:p w:rsidR="00242E09" w:rsidRDefault="00CE46B8">
      <w:pPr>
        <w:pStyle w:val="ManualNumPar1"/>
        <w:rPr>
          <w:noProof/>
        </w:rPr>
      </w:pPr>
      <w:r>
        <w:t>1.</w:t>
      </w:r>
      <w:r>
        <w:tab/>
      </w:r>
      <w:r>
        <w:rPr>
          <w:noProof/>
        </w:rPr>
        <w:t>Прилагат се следните правила за поверителност:</w:t>
      </w:r>
    </w:p>
    <w:p w:rsidR="00242E09" w:rsidRDefault="00CE46B8">
      <w:pPr>
        <w:pStyle w:val="Point1"/>
        <w:rPr>
          <w:noProof/>
        </w:rPr>
      </w:pPr>
      <w:r>
        <w:rPr>
          <w:noProof/>
        </w:rPr>
        <w:t>а)</w:t>
      </w:r>
      <w:r>
        <w:rPr>
          <w:noProof/>
        </w:rPr>
        <w:tab/>
        <w:t xml:space="preserve">Записите на микроданни, свързани с даден износител, чието искане за статистическа поверителност в съответствие с член 18 е било прието от националния статистически </w:t>
      </w:r>
      <w:r>
        <w:rPr>
          <w:noProof/>
        </w:rPr>
        <w:t>орган на държавата членка на износ, се предоставят от този орган на националния статистически орган на държавата членка на внос с действителната им стойност и с всички посочени в член 13, параграф 1 елементи на статистическите данни, както и с флаг, показв</w:t>
      </w:r>
      <w:r>
        <w:rPr>
          <w:noProof/>
        </w:rPr>
        <w:t>ащ, че съответният запис на микроданни е поверителен.</w:t>
      </w:r>
    </w:p>
    <w:p w:rsidR="00242E09" w:rsidRDefault="00CE46B8">
      <w:pPr>
        <w:pStyle w:val="Point1"/>
        <w:rPr>
          <w:noProof/>
        </w:rPr>
      </w:pPr>
      <w:r>
        <w:rPr>
          <w:noProof/>
        </w:rPr>
        <w:t>б)</w:t>
      </w:r>
      <w:r>
        <w:rPr>
          <w:noProof/>
        </w:rPr>
        <w:tab/>
        <w:t>Националният статистически орган на държавата членка на внос може да използва поверителни записи на микроданни за износа при съставянето на статистическите резултати за вътресъюзния внос. Ако национа</w:t>
      </w:r>
      <w:r>
        <w:rPr>
          <w:noProof/>
        </w:rPr>
        <w:t>лният статистически орган на държавата членка на внос използва поверителни записи на микроданни за износа, той прави необходимото при извършваното от него разпространение на статистическите резултати за вътресъюзния внос да се спазва статистическата повери</w:t>
      </w:r>
      <w:r>
        <w:rPr>
          <w:noProof/>
        </w:rPr>
        <w:t>телност, предоставена от националния статистически орган на държавата членка на износ.</w:t>
      </w:r>
    </w:p>
    <w:p w:rsidR="00242E09" w:rsidRDefault="00CE46B8">
      <w:pPr>
        <w:pStyle w:val="ManualNumPar1"/>
        <w:rPr>
          <w:noProof/>
        </w:rPr>
      </w:pPr>
      <w:r>
        <w:t>2.</w:t>
      </w:r>
      <w:r>
        <w:tab/>
      </w:r>
      <w:r>
        <w:rPr>
          <w:noProof/>
        </w:rPr>
        <w:t>С цел да се гарантира защитата на обменяните в съответствие с настоящата глава поверителни данни, на Комисията се предоставя правомощието да приема актове за изпълнен</w:t>
      </w:r>
      <w:r>
        <w:rPr>
          <w:noProof/>
        </w:rPr>
        <w:t>ие за определяне на формàта и мерките за сигурност и поверителност на тези данни, включително условията за прилагане на правилата по параграф 1, както и процедурата за обмен на данни, в съответствие с процедурата по разглеждане, посочена в член 22, парагра</w:t>
      </w:r>
      <w:r>
        <w:rPr>
          <w:noProof/>
        </w:rPr>
        <w:t>ф 2.</w:t>
      </w:r>
    </w:p>
    <w:p w:rsidR="00242E09" w:rsidRDefault="00CE46B8">
      <w:pPr>
        <w:pStyle w:val="ManualNumPar1"/>
        <w:rPr>
          <w:noProof/>
        </w:rPr>
      </w:pPr>
      <w:r>
        <w:t>3.</w:t>
      </w:r>
      <w:r>
        <w:tab/>
      </w:r>
      <w:r>
        <w:rPr>
          <w:noProof/>
        </w:rPr>
        <w:t xml:space="preserve">Държавите членки и Комисията предприемат подходящи мерки за предотвратяване и санкциониране на всякакви нарушения на статистическата </w:t>
      </w:r>
      <w:r>
        <w:rPr>
          <w:noProof/>
        </w:rPr>
        <w:lastRenderedPageBreak/>
        <w:t>поверителност на обменяните данни. Предвидените санкции трябва да бъдат ефективни, пропорционални и възпиращи.</w:t>
      </w:r>
    </w:p>
    <w:p w:rsidR="00242E09" w:rsidRDefault="00CE46B8">
      <w:pPr>
        <w:pStyle w:val="Titrearticle"/>
        <w:rPr>
          <w:noProof/>
        </w:rPr>
      </w:pPr>
      <w:r>
        <w:rPr>
          <w:noProof/>
        </w:rPr>
        <w:t>Член</w:t>
      </w:r>
      <w:r>
        <w:rPr>
          <w:noProof/>
        </w:rPr>
        <w:t xml:space="preserve"> 15</w:t>
      </w:r>
    </w:p>
    <w:p w:rsidR="00242E09" w:rsidRDefault="00CE46B8">
      <w:pPr>
        <w:pStyle w:val="Titrearticle"/>
        <w:rPr>
          <w:noProof/>
        </w:rPr>
      </w:pPr>
      <w:r>
        <w:rPr>
          <w:noProof/>
        </w:rPr>
        <w:t>Достъп до обменяните поверителни данни за научни цели</w:t>
      </w:r>
    </w:p>
    <w:p w:rsidR="00242E09" w:rsidRDefault="00CE46B8">
      <w:pPr>
        <w:pStyle w:val="Text1"/>
        <w:ind w:left="142"/>
        <w:rPr>
          <w:noProof/>
        </w:rPr>
      </w:pPr>
      <w:r>
        <w:rPr>
          <w:noProof/>
        </w:rPr>
        <w:t>Достъп до обменяните поверителни данни може да се предостави на изследователи, извършващи статистически анализи за научни цели, в съответствие с член 23 от Регламент (ЕО) № 223/2009. Изисква се одоб</w:t>
      </w:r>
      <w:r>
        <w:rPr>
          <w:noProof/>
        </w:rPr>
        <w:t>рението на националния статистически орган на държавата членка на износ, който е предоставил данните.</w:t>
      </w:r>
    </w:p>
    <w:p w:rsidR="00242E09" w:rsidRDefault="00CE46B8">
      <w:pPr>
        <w:pStyle w:val="ChapterTitle"/>
        <w:ind w:left="120"/>
        <w:rPr>
          <w:noProof/>
        </w:rPr>
      </w:pPr>
      <w:r>
        <w:rPr>
          <w:noProof/>
        </w:rPr>
        <w:t xml:space="preserve">ГЛАВА VI </w:t>
      </w:r>
    </w:p>
    <w:p w:rsidR="00242E09" w:rsidRDefault="00CE46B8">
      <w:pPr>
        <w:pStyle w:val="ChapterTitle"/>
        <w:ind w:left="120"/>
        <w:rPr>
          <w:noProof/>
        </w:rPr>
      </w:pPr>
      <w:r>
        <w:rPr>
          <w:noProof/>
        </w:rPr>
        <w:t>КАЧЕСТВО, ПРЕДАВАНЕ И РАЗПРОСТРАНЕНИЕ</w:t>
      </w:r>
    </w:p>
    <w:p w:rsidR="00242E09" w:rsidRDefault="00CE46B8">
      <w:pPr>
        <w:pStyle w:val="Titrearticle"/>
        <w:rPr>
          <w:noProof/>
        </w:rPr>
      </w:pPr>
      <w:r>
        <w:rPr>
          <w:noProof/>
        </w:rPr>
        <w:t>Член 16</w:t>
      </w:r>
    </w:p>
    <w:p w:rsidR="00242E09" w:rsidRDefault="00CE46B8">
      <w:pPr>
        <w:pStyle w:val="Titrearticle"/>
        <w:rPr>
          <w:noProof/>
        </w:rPr>
      </w:pPr>
      <w:r>
        <w:rPr>
          <w:noProof/>
        </w:rPr>
        <w:t xml:space="preserve">Качество </w:t>
      </w:r>
    </w:p>
    <w:p w:rsidR="00242E09" w:rsidRDefault="00CE46B8">
      <w:pPr>
        <w:pStyle w:val="ManualNumPar1"/>
        <w:rPr>
          <w:noProof/>
        </w:rPr>
      </w:pPr>
      <w:r>
        <w:t>1.</w:t>
      </w:r>
      <w:r>
        <w:tab/>
      </w:r>
      <w:r>
        <w:rPr>
          <w:noProof/>
        </w:rPr>
        <w:t xml:space="preserve">Държавите членки предприемат всички необходими мерки, за да гарантират качеството на </w:t>
      </w:r>
      <w:r>
        <w:rPr>
          <w:noProof/>
        </w:rPr>
        <w:t>предаваната европейска бизнес статистика, както и на националните статистически бизнес регистри и регистъра EuroGroups.</w:t>
      </w:r>
    </w:p>
    <w:p w:rsidR="00242E09" w:rsidRDefault="00CE46B8">
      <w:pPr>
        <w:pStyle w:val="ManualNumPar1"/>
        <w:rPr>
          <w:noProof/>
        </w:rPr>
      </w:pPr>
      <w:r>
        <w:t>2.</w:t>
      </w:r>
      <w:r>
        <w:tab/>
      </w:r>
      <w:r>
        <w:rPr>
          <w:noProof/>
        </w:rPr>
        <w:t>За целите на настоящия регламент се прилагат критериите за качество, посочени в член 12, параграф 1 от Регламент (ЕО) № 223/2009.</w:t>
      </w:r>
    </w:p>
    <w:p w:rsidR="00242E09" w:rsidRDefault="00CE46B8">
      <w:pPr>
        <w:pStyle w:val="ManualNumPar1"/>
        <w:rPr>
          <w:noProof/>
        </w:rPr>
      </w:pPr>
      <w:r>
        <w:t>3.</w:t>
      </w:r>
      <w:r>
        <w:tab/>
      </w:r>
      <w:r>
        <w:rPr>
          <w:noProof/>
        </w:rPr>
        <w:t xml:space="preserve">Комисията (Евростат) оценява качеството на предаваните данни и метаданни. </w:t>
      </w:r>
    </w:p>
    <w:p w:rsidR="00242E09" w:rsidRDefault="00CE46B8">
      <w:pPr>
        <w:pStyle w:val="ManualNumPar1"/>
        <w:rPr>
          <w:noProof/>
        </w:rPr>
      </w:pPr>
      <w:r>
        <w:t>4.</w:t>
      </w:r>
      <w:r>
        <w:tab/>
      </w:r>
      <w:r>
        <w:rPr>
          <w:noProof/>
        </w:rPr>
        <w:t>За тази цел държавите членки предават:</w:t>
      </w:r>
    </w:p>
    <w:p w:rsidR="00242E09" w:rsidRDefault="00CE46B8">
      <w:pPr>
        <w:pStyle w:val="Point1"/>
        <w:rPr>
          <w:noProof/>
        </w:rPr>
      </w:pPr>
      <w:r>
        <w:rPr>
          <w:noProof/>
        </w:rPr>
        <w:t>а)</w:t>
      </w:r>
      <w:r>
        <w:rPr>
          <w:noProof/>
        </w:rPr>
        <w:tab/>
        <w:t xml:space="preserve"> годишни доклади за качеството и за метаданните за предадените данни. В случай на многогодишна статистическа информация, честотата на до</w:t>
      </w:r>
      <w:r>
        <w:rPr>
          <w:noProof/>
        </w:rPr>
        <w:t>кладите трябва да е същата като тази за статистическата информация;</w:t>
      </w:r>
    </w:p>
    <w:p w:rsidR="00242E09" w:rsidRDefault="00CE46B8">
      <w:pPr>
        <w:pStyle w:val="Point1"/>
        <w:rPr>
          <w:noProof/>
        </w:rPr>
      </w:pPr>
      <w:r>
        <w:rPr>
          <w:noProof/>
        </w:rPr>
        <w:t>б)</w:t>
      </w:r>
      <w:r>
        <w:rPr>
          <w:noProof/>
        </w:rPr>
        <w:tab/>
        <w:t xml:space="preserve"> годишни доклади за качеството и за метаданните, свързани с националните статистически бизнес регистри. </w:t>
      </w:r>
    </w:p>
    <w:p w:rsidR="00242E09" w:rsidRDefault="00CE46B8">
      <w:pPr>
        <w:pStyle w:val="ManualNumPar1"/>
        <w:rPr>
          <w:noProof/>
        </w:rPr>
      </w:pPr>
      <w:r>
        <w:t>5.</w:t>
      </w:r>
      <w:r>
        <w:tab/>
      </w:r>
      <w:r>
        <w:rPr>
          <w:noProof/>
        </w:rPr>
        <w:t>Комисията (Евростат) предоставя на държавите членки свързани с регистъра Euro</w:t>
      </w:r>
      <w:r>
        <w:rPr>
          <w:noProof/>
        </w:rPr>
        <w:t>Groups годишни доклади за метаданните и за качеството.</w:t>
      </w:r>
    </w:p>
    <w:p w:rsidR="00242E09" w:rsidRDefault="00CE46B8">
      <w:pPr>
        <w:pStyle w:val="ManualNumPar1"/>
        <w:rPr>
          <w:noProof/>
        </w:rPr>
      </w:pPr>
      <w:r>
        <w:t>6.</w:t>
      </w:r>
      <w:r>
        <w:tab/>
      </w:r>
      <w:r>
        <w:rPr>
          <w:noProof/>
        </w:rPr>
        <w:t>На Комисията се предоставя правомощието да приема актове за изпълнение за определяне на условията, съдържанието и сроковете за предаване на докладите за метаданните и за качеството. Тези актове за и</w:t>
      </w:r>
      <w:r>
        <w:rPr>
          <w:noProof/>
        </w:rPr>
        <w:t>зпълнение се приемат в съответствие с процедурата по разглеждане, посочена в член 22, параграф 2.</w:t>
      </w:r>
    </w:p>
    <w:p w:rsidR="00242E09" w:rsidRDefault="00CE46B8">
      <w:pPr>
        <w:pStyle w:val="ManualNumPar1"/>
        <w:rPr>
          <w:noProof/>
        </w:rPr>
      </w:pPr>
      <w:r>
        <w:t>7.</w:t>
      </w:r>
      <w:r>
        <w:tab/>
      </w:r>
      <w:r>
        <w:rPr>
          <w:noProof/>
        </w:rPr>
        <w:t>Държавите членки уведомяват Комисията (Евростат) възможно най-скоро за всяка значима информация или промяна във връзка с прилагането на настоящия регламент</w:t>
      </w:r>
      <w:r>
        <w:rPr>
          <w:noProof/>
        </w:rPr>
        <w:t>, която би засегнала качеството на предаваните данни. Държавите членки информират Комисията (Евростат) за основните методологични или други промени, които засягат качеството на националните статистически бизнес регистри. Информацията се предоставя във възм</w:t>
      </w:r>
      <w:r>
        <w:rPr>
          <w:noProof/>
        </w:rPr>
        <w:t>ожно най-кратък срок, и не по-късно от шест месеца след влизането в сила на всяка такава промяна.</w:t>
      </w:r>
    </w:p>
    <w:p w:rsidR="00242E09" w:rsidRDefault="00CE46B8">
      <w:pPr>
        <w:pStyle w:val="ManualNumPar1"/>
        <w:rPr>
          <w:noProof/>
        </w:rPr>
      </w:pPr>
      <w:r>
        <w:lastRenderedPageBreak/>
        <w:t>8.</w:t>
      </w:r>
      <w:r>
        <w:tab/>
      </w:r>
      <w:r>
        <w:rPr>
          <w:noProof/>
        </w:rPr>
        <w:t>По искане на Комисията (Евростат) държавите членки предоставят допълнителна информация, необходима за оценяване на качеството на статистическата информация</w:t>
      </w:r>
      <w:r>
        <w:rPr>
          <w:noProof/>
        </w:rPr>
        <w:t>.</w:t>
      </w:r>
    </w:p>
    <w:p w:rsidR="00242E09" w:rsidRDefault="00CE46B8">
      <w:pPr>
        <w:pStyle w:val="Titrearticle"/>
        <w:rPr>
          <w:noProof/>
        </w:rPr>
      </w:pPr>
      <w:r>
        <w:rPr>
          <w:noProof/>
        </w:rPr>
        <w:t>Член 17</w:t>
      </w:r>
    </w:p>
    <w:p w:rsidR="00242E09" w:rsidRDefault="00CE46B8">
      <w:pPr>
        <w:pStyle w:val="Titrearticle"/>
        <w:rPr>
          <w:noProof/>
        </w:rPr>
      </w:pPr>
      <w:r>
        <w:rPr>
          <w:noProof/>
        </w:rPr>
        <w:t>Предаване на данните и метаданните</w:t>
      </w:r>
    </w:p>
    <w:p w:rsidR="00242E09" w:rsidRDefault="00CE46B8">
      <w:pPr>
        <w:pStyle w:val="ManualNumPar1"/>
        <w:rPr>
          <w:noProof/>
        </w:rPr>
      </w:pPr>
      <w:r>
        <w:t>1.</w:t>
      </w:r>
      <w:r>
        <w:tab/>
      </w:r>
      <w:r>
        <w:rPr>
          <w:noProof/>
        </w:rPr>
        <w:t xml:space="preserve">Държавите членки предоставят на Комисията (Евростат) изискваните с настоящия регламент данни и метаданни в съответствие със стандарти за обмен на данни и метаданни. На Комисията се предоставя правомощието да </w:t>
      </w:r>
      <w:r>
        <w:rPr>
          <w:noProof/>
        </w:rPr>
        <w:t>приема актове за изпълнение в съответствие с процедурата по разглеждане, посочена в член 22, параграф 2, за целите на установяването на такива стандарти, както и на процедура за предаване на данните и метаданните. Когато предаваните данни са поверителни, с</w:t>
      </w:r>
      <w:r>
        <w:rPr>
          <w:noProof/>
        </w:rPr>
        <w:t>е изпраща действителната стойност с флаг, показващ, че данните са поверителни и не могат да бъдат разпространявани.</w:t>
      </w:r>
    </w:p>
    <w:p w:rsidR="00242E09" w:rsidRDefault="00CE46B8">
      <w:pPr>
        <w:pStyle w:val="ManualNumPar1"/>
        <w:rPr>
          <w:noProof/>
        </w:rPr>
      </w:pPr>
      <w:r>
        <w:t>2.</w:t>
      </w:r>
      <w:r>
        <w:tab/>
      </w:r>
      <w:r>
        <w:rPr>
          <w:noProof/>
        </w:rPr>
        <w:t>Държавите членки извършват статистически анализи на националните статистически бизнес регистри и предават информацията на Комисията (Евро</w:t>
      </w:r>
      <w:r>
        <w:rPr>
          <w:noProof/>
        </w:rPr>
        <w:t xml:space="preserve">стат), като следват формат и процедура, които ще бъдат уточнени с актове за изпълнение, приети в съответствие с процедурата по разглеждане, посочена в член 22, параграф 2. </w:t>
      </w:r>
    </w:p>
    <w:p w:rsidR="00242E09" w:rsidRDefault="00CE46B8">
      <w:pPr>
        <w:pStyle w:val="ManualNumPar1"/>
        <w:rPr>
          <w:noProof/>
        </w:rPr>
      </w:pPr>
      <w:r>
        <w:t>3.</w:t>
      </w:r>
      <w:r>
        <w:tab/>
      </w:r>
      <w:r>
        <w:rPr>
          <w:noProof/>
        </w:rPr>
        <w:t>По искане на Комисията (Евростат) държавите членки ѝ предават всяка значима инфо</w:t>
      </w:r>
      <w:r>
        <w:rPr>
          <w:noProof/>
        </w:rPr>
        <w:t>рмация във връзка с прилагането на настоящия регламент в държавите членки.</w:t>
      </w:r>
    </w:p>
    <w:p w:rsidR="00242E09" w:rsidRDefault="00CE46B8">
      <w:pPr>
        <w:pStyle w:val="Titrearticle"/>
        <w:rPr>
          <w:noProof/>
        </w:rPr>
      </w:pPr>
      <w:r>
        <w:rPr>
          <w:noProof/>
        </w:rPr>
        <w:t>Член 18</w:t>
      </w:r>
    </w:p>
    <w:p w:rsidR="00242E09" w:rsidRDefault="00CE46B8">
      <w:pPr>
        <w:pStyle w:val="Titrearticle"/>
        <w:rPr>
          <w:noProof/>
        </w:rPr>
      </w:pPr>
      <w:r>
        <w:rPr>
          <w:noProof/>
        </w:rPr>
        <w:t>Поверителност по отношение на разпространението на статистически данни за международната търговия със стоки</w:t>
      </w:r>
    </w:p>
    <w:p w:rsidR="00242E09" w:rsidRDefault="00CE46B8">
      <w:pPr>
        <w:rPr>
          <w:rStyle w:val="Text2Char"/>
          <w:noProof/>
        </w:rPr>
      </w:pPr>
      <w:r>
        <w:rPr>
          <w:rStyle w:val="Text2Char"/>
          <w:noProof/>
        </w:rPr>
        <w:t xml:space="preserve">По искане на вносителя или износителя националните статистически </w:t>
      </w:r>
      <w:r>
        <w:rPr>
          <w:rStyle w:val="Text2Char"/>
          <w:noProof/>
        </w:rPr>
        <w:t xml:space="preserve">органи вземат решение дали да разпространят статистическите резултати, които могат да дадат възможност за идентифициране на съответния вносител или износител, или дали статистическите резултати трябва да бъдат изменени, за да не се накърни статистическата </w:t>
      </w:r>
      <w:r>
        <w:rPr>
          <w:rStyle w:val="Text2Char"/>
          <w:noProof/>
        </w:rPr>
        <w:t>поверителност, в съответствие с член 20, параграф 3, буква а) от Регламент (ЕО) № 223/2009.</w:t>
      </w:r>
    </w:p>
    <w:p w:rsidR="00242E09" w:rsidRDefault="00CE46B8">
      <w:pPr>
        <w:pStyle w:val="ChapterTitle"/>
        <w:rPr>
          <w:noProof/>
        </w:rPr>
      </w:pPr>
      <w:r>
        <w:rPr>
          <w:noProof/>
        </w:rPr>
        <w:t>ГЛАВА VII</w:t>
      </w:r>
    </w:p>
    <w:p w:rsidR="00242E09" w:rsidRDefault="00CE46B8">
      <w:pPr>
        <w:pStyle w:val="ChapterTitle"/>
        <w:rPr>
          <w:noProof/>
        </w:rPr>
      </w:pPr>
      <w:r>
        <w:rPr>
          <w:noProof/>
        </w:rPr>
        <w:t>ПИЛОТНИ ПРОУЧВАНИЯ И ФИНАНСИРАНЕ</w:t>
      </w:r>
    </w:p>
    <w:p w:rsidR="00242E09" w:rsidRDefault="00CE46B8">
      <w:pPr>
        <w:pStyle w:val="Titrearticle"/>
        <w:rPr>
          <w:noProof/>
        </w:rPr>
      </w:pPr>
      <w:r>
        <w:rPr>
          <w:noProof/>
        </w:rPr>
        <w:t>Член 19</w:t>
      </w:r>
    </w:p>
    <w:p w:rsidR="00242E09" w:rsidRDefault="00CE46B8">
      <w:pPr>
        <w:pStyle w:val="Titrearticle"/>
        <w:rPr>
          <w:noProof/>
        </w:rPr>
      </w:pPr>
      <w:r>
        <w:rPr>
          <w:noProof/>
        </w:rPr>
        <w:t>Пилотни проучвания</w:t>
      </w:r>
    </w:p>
    <w:p w:rsidR="00242E09" w:rsidRDefault="00CE46B8">
      <w:pPr>
        <w:pStyle w:val="ManualNumPar1"/>
        <w:rPr>
          <w:noProof/>
        </w:rPr>
      </w:pPr>
      <w:r>
        <w:t>1.</w:t>
      </w:r>
      <w:r>
        <w:tab/>
      </w:r>
      <w:r>
        <w:rPr>
          <w:noProof/>
        </w:rPr>
        <w:t>Когато Комисията (Евростат) установи необходимост от съществени нови изисквания по отношени</w:t>
      </w:r>
      <w:r>
        <w:rPr>
          <w:noProof/>
        </w:rPr>
        <w:t xml:space="preserve">е на данните или подобрения на масивите от данни, попадащи в обхвата на настоящия регламент, тя може да започне пилотни </w:t>
      </w:r>
      <w:r>
        <w:rPr>
          <w:noProof/>
        </w:rPr>
        <w:lastRenderedPageBreak/>
        <w:t>проучвания, които да се извършат от държавите членки на доброволна основа, преди да се предприемат нови събирания на данни.</w:t>
      </w:r>
    </w:p>
    <w:p w:rsidR="00242E09" w:rsidRDefault="00CE46B8">
      <w:pPr>
        <w:pStyle w:val="ManualNumPar1"/>
        <w:rPr>
          <w:noProof/>
        </w:rPr>
      </w:pPr>
      <w:r>
        <w:t>2.</w:t>
      </w:r>
      <w:r>
        <w:tab/>
      </w:r>
      <w:r>
        <w:rPr>
          <w:noProof/>
        </w:rPr>
        <w:t xml:space="preserve">Тези </w:t>
      </w:r>
      <w:r>
        <w:rPr>
          <w:noProof/>
        </w:rPr>
        <w:t>пилотни проучвания се провеждат, с цел да се прецени доколко целесъобразно и възможно е да се получат данни, като предимствата от наличието на данните се отчитат от гледна точка на разходите за събиране и се взема предвид тежестта за предприятията.</w:t>
      </w:r>
    </w:p>
    <w:p w:rsidR="00242E09" w:rsidRDefault="00CE46B8">
      <w:pPr>
        <w:pStyle w:val="ManualNumPar1"/>
        <w:rPr>
          <w:noProof/>
        </w:rPr>
      </w:pPr>
      <w:r>
        <w:t>3.</w:t>
      </w:r>
      <w:r>
        <w:tab/>
      </w:r>
      <w:r>
        <w:rPr>
          <w:noProof/>
        </w:rPr>
        <w:t>Първ</w:t>
      </w:r>
      <w:r>
        <w:rPr>
          <w:noProof/>
        </w:rPr>
        <w:t>ите пилотни проучвания, които ще бъдат започнати, ще обхванат международната търговия с услуги по отношение на начините за предоставяне на услугите, както и според характеристиките на предприятията.</w:t>
      </w:r>
    </w:p>
    <w:p w:rsidR="00242E09" w:rsidRDefault="00CE46B8">
      <w:pPr>
        <w:pStyle w:val="Titrearticle"/>
        <w:rPr>
          <w:noProof/>
        </w:rPr>
      </w:pPr>
      <w:r>
        <w:rPr>
          <w:noProof/>
        </w:rPr>
        <w:t>Член 20</w:t>
      </w:r>
    </w:p>
    <w:p w:rsidR="00242E09" w:rsidRDefault="00CE46B8">
      <w:pPr>
        <w:pStyle w:val="Titrearticle"/>
        <w:rPr>
          <w:noProof/>
        </w:rPr>
      </w:pPr>
      <w:r>
        <w:rPr>
          <w:noProof/>
        </w:rPr>
        <w:t>Финансиране</w:t>
      </w:r>
    </w:p>
    <w:p w:rsidR="00242E09" w:rsidRDefault="00CE46B8">
      <w:pPr>
        <w:pStyle w:val="ManualNumPar1"/>
        <w:rPr>
          <w:noProof/>
        </w:rPr>
      </w:pPr>
      <w:r>
        <w:t>1.</w:t>
      </w:r>
      <w:r>
        <w:tab/>
      </w:r>
      <w:r>
        <w:rPr>
          <w:noProof/>
        </w:rPr>
        <w:t>За целите на прилагането на настоя</w:t>
      </w:r>
      <w:r>
        <w:rPr>
          <w:noProof/>
        </w:rPr>
        <w:t>щия регламент Съюзът може да предоставя финансова подкрепа на националните статистически институти и на други национални органи, посочени в списъка, съставен в съответствие с член 5, параграф 2 от Регламент (ЕО) № 223/2009, за покриване на разходите за:</w:t>
      </w:r>
    </w:p>
    <w:p w:rsidR="00242E09" w:rsidRDefault="00CE46B8">
      <w:pPr>
        <w:pStyle w:val="Point1"/>
        <w:rPr>
          <w:noProof/>
        </w:rPr>
      </w:pPr>
      <w:r>
        <w:rPr>
          <w:noProof/>
        </w:rPr>
        <w:t>а)</w:t>
      </w:r>
      <w:r>
        <w:rPr>
          <w:noProof/>
        </w:rPr>
        <w:tab/>
        <w:t xml:space="preserve">разработване или изпълнение на изискванията по отношение на данните в областта на бизнес статистиката; </w:t>
      </w:r>
    </w:p>
    <w:p w:rsidR="00242E09" w:rsidRDefault="00CE46B8">
      <w:pPr>
        <w:pStyle w:val="Point1"/>
        <w:rPr>
          <w:noProof/>
        </w:rPr>
      </w:pPr>
      <w:r>
        <w:rPr>
          <w:noProof/>
        </w:rPr>
        <w:t>б)</w:t>
      </w:r>
      <w:r>
        <w:rPr>
          <w:noProof/>
        </w:rPr>
        <w:tab/>
        <w:t>разработване на методологии, с които се цели постигане на по-високо качество или по-ниски разходи и административна тежест при събирането и изготвян</w:t>
      </w:r>
      <w:r>
        <w:rPr>
          <w:noProof/>
        </w:rPr>
        <w:t>ето на бизнес статистика, както и подобряване на Европейската мрежа на статистическите бизнес регистри.</w:t>
      </w:r>
    </w:p>
    <w:p w:rsidR="00242E09" w:rsidRDefault="00CE46B8">
      <w:pPr>
        <w:pStyle w:val="ManualNumPar1"/>
        <w:rPr>
          <w:noProof/>
        </w:rPr>
      </w:pPr>
      <w:r>
        <w:t>2.</w:t>
      </w:r>
      <w:r>
        <w:tab/>
      </w:r>
      <w:r>
        <w:rPr>
          <w:noProof/>
        </w:rPr>
        <w:t>Финансовото участие на Съюза се осигурява в съответствие с член 7 от Регламент (ЕС) № 99/2013 на Европейския парламент и на Съвета и член 6 от Реглам</w:t>
      </w:r>
      <w:r>
        <w:rPr>
          <w:noProof/>
        </w:rPr>
        <w:t>ент (ЕС) № 1291/2013 на Европейския парламент и на Съвета.</w:t>
      </w:r>
    </w:p>
    <w:p w:rsidR="00242E09" w:rsidRDefault="00CE46B8">
      <w:pPr>
        <w:pStyle w:val="ManualNumPar1"/>
        <w:rPr>
          <w:noProof/>
        </w:rPr>
      </w:pPr>
      <w:r>
        <w:t>3.</w:t>
      </w:r>
      <w:r>
        <w:tab/>
      </w:r>
      <w:r>
        <w:rPr>
          <w:noProof/>
        </w:rPr>
        <w:t>Това финансово участие на Съюза не може да надвишава 95 % от допустимите разходи.</w:t>
      </w:r>
    </w:p>
    <w:p w:rsidR="00242E09" w:rsidRDefault="00CE46B8">
      <w:pPr>
        <w:pStyle w:val="ChapterTitle"/>
        <w:rPr>
          <w:noProof/>
        </w:rPr>
      </w:pPr>
      <w:r>
        <w:rPr>
          <w:noProof/>
        </w:rPr>
        <w:t>ГЛАВА VIII</w:t>
      </w:r>
    </w:p>
    <w:p w:rsidR="00242E09" w:rsidRDefault="00CE46B8">
      <w:pPr>
        <w:pStyle w:val="ChapterTitle"/>
        <w:rPr>
          <w:noProof/>
        </w:rPr>
      </w:pPr>
      <w:r>
        <w:rPr>
          <w:noProof/>
        </w:rPr>
        <w:t>ЗАКЛЮЧИТЕЛНИ РАЗПОРЕДБИ</w:t>
      </w:r>
    </w:p>
    <w:p w:rsidR="00242E09" w:rsidRDefault="00CE46B8">
      <w:pPr>
        <w:pStyle w:val="Titrearticle"/>
        <w:rPr>
          <w:noProof/>
        </w:rPr>
      </w:pPr>
      <w:r>
        <w:rPr>
          <w:noProof/>
        </w:rPr>
        <w:t>Член 21</w:t>
      </w:r>
    </w:p>
    <w:p w:rsidR="00242E09" w:rsidRDefault="00CE46B8">
      <w:pPr>
        <w:pStyle w:val="Titrearticle"/>
        <w:rPr>
          <w:noProof/>
        </w:rPr>
      </w:pPr>
      <w:r>
        <w:rPr>
          <w:noProof/>
        </w:rPr>
        <w:t>Упражняване на делегирането</w:t>
      </w:r>
    </w:p>
    <w:p w:rsidR="00242E09" w:rsidRDefault="00CE46B8">
      <w:pPr>
        <w:pStyle w:val="ManualNumPar1"/>
        <w:rPr>
          <w:noProof/>
        </w:rPr>
      </w:pPr>
      <w:r>
        <w:t>1.</w:t>
      </w:r>
      <w:r>
        <w:tab/>
      </w:r>
      <w:r>
        <w:rPr>
          <w:noProof/>
        </w:rPr>
        <w:t>Правомощието да приема делегирани акто</w:t>
      </w:r>
      <w:r>
        <w:rPr>
          <w:noProof/>
        </w:rPr>
        <w:t xml:space="preserve">ве се предоставя на Комисията при спазване на предвидените в настоящия член условия. </w:t>
      </w:r>
    </w:p>
    <w:p w:rsidR="00242E09" w:rsidRDefault="00CE46B8">
      <w:pPr>
        <w:pStyle w:val="ManualNumPar1"/>
        <w:rPr>
          <w:noProof/>
        </w:rPr>
      </w:pPr>
      <w:r>
        <w:t>2.</w:t>
      </w:r>
      <w:r>
        <w:tab/>
      </w:r>
      <w:r>
        <w:rPr>
          <w:noProof/>
        </w:rPr>
        <w:t>Правомощието да приема делегирани актове, посочено в членове 5, 6, 9 и 12, се предоставя на Комисията за неопределен срок.</w:t>
      </w:r>
    </w:p>
    <w:p w:rsidR="00242E09" w:rsidRDefault="00CE46B8">
      <w:pPr>
        <w:pStyle w:val="ManualNumPar1"/>
        <w:rPr>
          <w:noProof/>
        </w:rPr>
      </w:pPr>
      <w:r>
        <w:t>3.</w:t>
      </w:r>
      <w:r>
        <w:tab/>
      </w:r>
      <w:r>
        <w:rPr>
          <w:noProof/>
        </w:rPr>
        <w:t>Делегирането на правомощия, посочено в чл</w:t>
      </w:r>
      <w:r>
        <w:rPr>
          <w:noProof/>
        </w:rPr>
        <w:t xml:space="preserve">енове 5, 6, 9 и 12,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деня на публикуването на решението в </w:t>
      </w:r>
      <w:r>
        <w:rPr>
          <w:i/>
          <w:noProof/>
        </w:rPr>
        <w:t>Официа</w:t>
      </w:r>
      <w:r>
        <w:rPr>
          <w:i/>
          <w:noProof/>
        </w:rPr>
        <w:t>лен вестник на Европейския съюз</w:t>
      </w:r>
      <w:r>
        <w:rPr>
          <w:noProof/>
        </w:rPr>
        <w:t xml:space="preserve"> или на по-късна, </w:t>
      </w:r>
      <w:r>
        <w:rPr>
          <w:noProof/>
        </w:rPr>
        <w:lastRenderedPageBreak/>
        <w:t>посочена в решението дата. Решението не засяга действителността на делегираните актове, които вече са в сила.</w:t>
      </w:r>
    </w:p>
    <w:p w:rsidR="00242E09" w:rsidRDefault="00CE46B8">
      <w:pPr>
        <w:pStyle w:val="ManualNumPar1"/>
        <w:rPr>
          <w:noProof/>
        </w:rPr>
      </w:pPr>
      <w:r>
        <w:t>4.</w:t>
      </w:r>
      <w:r>
        <w:tab/>
      </w:r>
      <w:r>
        <w:rPr>
          <w:noProof/>
        </w:rPr>
        <w:t>Преди приемането на делегиран акт Комисията се консултира с експерти, определени от всяка държ</w:t>
      </w:r>
      <w:r>
        <w:rPr>
          <w:noProof/>
        </w:rPr>
        <w:t>ава членка в съответствие с принципите, залегнали в Междуинституционалното споразумение за по-добро законотворчество от 13 април 2016 г.</w:t>
      </w:r>
    </w:p>
    <w:p w:rsidR="00242E09" w:rsidRDefault="00CE46B8">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Съвета.</w:t>
      </w:r>
    </w:p>
    <w:p w:rsidR="00242E09" w:rsidRDefault="00CE46B8">
      <w:pPr>
        <w:pStyle w:val="ManualNumPar1"/>
        <w:rPr>
          <w:noProof/>
        </w:rPr>
      </w:pPr>
      <w:r>
        <w:t>6.</w:t>
      </w:r>
      <w:r>
        <w:tab/>
      </w:r>
      <w:r>
        <w:rPr>
          <w:noProof/>
        </w:rPr>
        <w:t>Делегиран акт, приет в съответствие с членове 5, 6, 9 и 12, влиза в сила само ако нито Европейският парламент, нито Съветът са представили възражения в срок от два месеца след нотифицирането на акта на Европейския парламент и на Съвета, или ако преди изти</w:t>
      </w:r>
      <w:r>
        <w:rPr>
          <w:noProof/>
        </w:rPr>
        <w:t>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rsidR="00242E09" w:rsidRDefault="00CE46B8">
      <w:pPr>
        <w:pStyle w:val="Titrearticle"/>
        <w:rPr>
          <w:noProof/>
        </w:rPr>
      </w:pPr>
      <w:r>
        <w:rPr>
          <w:noProof/>
        </w:rPr>
        <w:t>Член 22</w:t>
      </w:r>
    </w:p>
    <w:p w:rsidR="00242E09" w:rsidRDefault="00CE46B8">
      <w:pPr>
        <w:pStyle w:val="Titrearticle"/>
        <w:rPr>
          <w:noProof/>
        </w:rPr>
      </w:pPr>
      <w:r>
        <w:rPr>
          <w:noProof/>
        </w:rPr>
        <w:t>Комитет</w:t>
      </w:r>
    </w:p>
    <w:p w:rsidR="00242E09" w:rsidRDefault="00CE46B8">
      <w:pPr>
        <w:pStyle w:val="ManualNumPar1"/>
        <w:rPr>
          <w:noProof/>
        </w:rPr>
      </w:pPr>
      <w:r>
        <w:t>1.</w:t>
      </w:r>
      <w:r>
        <w:tab/>
      </w:r>
      <w:r>
        <w:rPr>
          <w:noProof/>
        </w:rPr>
        <w:t>Комисията се подпомага от Комитета</w:t>
      </w:r>
      <w:r>
        <w:rPr>
          <w:noProof/>
        </w:rPr>
        <w:t xml:space="preserve"> на Европейската статистическа система, създаден с Регламент (ЕО) № 223/2009. Този комитет е комитет по смисъла на Регламент (ЕС) № 182/2011.</w:t>
      </w:r>
    </w:p>
    <w:p w:rsidR="00242E09" w:rsidRDefault="00CE46B8">
      <w:pPr>
        <w:pStyle w:val="ManualNumPar1"/>
        <w:rPr>
          <w:noProof/>
        </w:rPr>
      </w:pPr>
      <w:r>
        <w:t>2.</w:t>
      </w:r>
      <w:r>
        <w:tab/>
      </w:r>
      <w:r>
        <w:rPr>
          <w:noProof/>
        </w:rPr>
        <w:t>При позоваване на настоящия параграф се прилага член 5 от Регламент (ЕС) № 182/2011.</w:t>
      </w:r>
    </w:p>
    <w:p w:rsidR="00242E09" w:rsidRDefault="00CE46B8">
      <w:pPr>
        <w:pStyle w:val="Titrearticle"/>
        <w:rPr>
          <w:noProof/>
        </w:rPr>
      </w:pPr>
      <w:r>
        <w:rPr>
          <w:noProof/>
        </w:rPr>
        <w:t>Член 23</w:t>
      </w:r>
    </w:p>
    <w:p w:rsidR="00242E09" w:rsidRDefault="00CE46B8">
      <w:pPr>
        <w:pStyle w:val="Titrearticle"/>
        <w:rPr>
          <w:noProof/>
        </w:rPr>
      </w:pPr>
      <w:r>
        <w:rPr>
          <w:noProof/>
        </w:rPr>
        <w:t>Сътрудничество с д</w:t>
      </w:r>
      <w:r>
        <w:rPr>
          <w:noProof/>
        </w:rPr>
        <w:t>руги комитети</w:t>
      </w:r>
    </w:p>
    <w:p w:rsidR="00242E09" w:rsidRDefault="00CE46B8">
      <w:pPr>
        <w:spacing w:after="200" w:line="276" w:lineRule="auto"/>
        <w:rPr>
          <w:noProof/>
        </w:rPr>
      </w:pPr>
      <w:r>
        <w:rPr>
          <w:noProof/>
        </w:rPr>
        <w:t>В съответствие с Решение 2006/856/ЕО на Съвета Комисията изисква становището на Комитета по парична и финансова статистика и статистика на платежния баланс, създаден с посоченото решение, по всички въпроси, попадащи в областта на компетентнос</w:t>
      </w:r>
      <w:r>
        <w:rPr>
          <w:noProof/>
        </w:rPr>
        <w:t>т на този комитет.</w:t>
      </w:r>
    </w:p>
    <w:p w:rsidR="00242E09" w:rsidRDefault="00CE46B8">
      <w:pPr>
        <w:pStyle w:val="Titrearticle"/>
        <w:rPr>
          <w:noProof/>
        </w:rPr>
      </w:pPr>
      <w:r>
        <w:rPr>
          <w:noProof/>
        </w:rPr>
        <w:t>Член 24</w:t>
      </w:r>
    </w:p>
    <w:p w:rsidR="00242E09" w:rsidRDefault="00CE46B8">
      <w:pPr>
        <w:pStyle w:val="Titrearticle"/>
        <w:rPr>
          <w:noProof/>
        </w:rPr>
      </w:pPr>
      <w:r>
        <w:rPr>
          <w:noProof/>
        </w:rPr>
        <w:t>Дерогации</w:t>
      </w:r>
    </w:p>
    <w:p w:rsidR="00242E09" w:rsidRDefault="00CE46B8">
      <w:pPr>
        <w:pStyle w:val="ManualNumPar1"/>
        <w:rPr>
          <w:noProof/>
        </w:rPr>
      </w:pPr>
      <w:r>
        <w:t>1.</w:t>
      </w:r>
      <w:r>
        <w:tab/>
      </w:r>
      <w:r>
        <w:rPr>
          <w:noProof/>
        </w:rPr>
        <w:t xml:space="preserve">Когато за прилагането на настоящия регламент в рамките на националната статистическа система на държава членка е необходимо значително адаптиране, Комисията може да предостави чрез актове за изпълнение дерогации от </w:t>
      </w:r>
      <w:r>
        <w:rPr>
          <w:noProof/>
        </w:rPr>
        <w:t>прилагането му за максимален срок от три години, при условие че тези дерогации нито накърняват съпоставимостта на данните на държавите членки, нито възпрепятстват изчисляването на изискваните актуални и представителни европейски агрегати.</w:t>
      </w:r>
    </w:p>
    <w:p w:rsidR="00242E09" w:rsidRDefault="00CE46B8">
      <w:pPr>
        <w:pStyle w:val="ManualNumPar1"/>
        <w:rPr>
          <w:noProof/>
        </w:rPr>
      </w:pPr>
      <w:r>
        <w:t>2.</w:t>
      </w:r>
      <w:r>
        <w:tab/>
      </w:r>
      <w:r>
        <w:rPr>
          <w:noProof/>
        </w:rPr>
        <w:t>Комисията прие</w:t>
      </w:r>
      <w:r>
        <w:rPr>
          <w:noProof/>
        </w:rPr>
        <w:t>ма тези актове за изпълнение в съответствие с процедурата по разглеждане, посочена в член 22, параграф 2.</w:t>
      </w:r>
    </w:p>
    <w:p w:rsidR="00242E09" w:rsidRDefault="00CE46B8">
      <w:pPr>
        <w:pStyle w:val="Titrearticle"/>
        <w:rPr>
          <w:noProof/>
        </w:rPr>
      </w:pPr>
      <w:r>
        <w:rPr>
          <w:noProof/>
        </w:rPr>
        <w:lastRenderedPageBreak/>
        <w:t xml:space="preserve">Член 25 </w:t>
      </w:r>
    </w:p>
    <w:p w:rsidR="00242E09" w:rsidRDefault="00CE46B8">
      <w:pPr>
        <w:pStyle w:val="Titrearticle"/>
        <w:rPr>
          <w:noProof/>
        </w:rPr>
      </w:pPr>
      <w:r>
        <w:rPr>
          <w:noProof/>
        </w:rPr>
        <w:t>Изменение на Регламент (ЕО) № 184/2005</w:t>
      </w:r>
    </w:p>
    <w:p w:rsidR="00242E09" w:rsidRDefault="00CE46B8">
      <w:pPr>
        <w:rPr>
          <w:noProof/>
        </w:rPr>
      </w:pPr>
      <w:r>
        <w:rPr>
          <w:noProof/>
        </w:rPr>
        <w:t>Регламент (ЕО) № 184/2005 се изменя, както следва:</w:t>
      </w:r>
    </w:p>
    <w:p w:rsidR="00242E09" w:rsidRDefault="00CE46B8">
      <w:pPr>
        <w:pStyle w:val="Point0"/>
        <w:rPr>
          <w:noProof/>
        </w:rPr>
      </w:pPr>
      <w:r>
        <w:rPr>
          <w:noProof/>
        </w:rPr>
        <w:t>а)</w:t>
      </w:r>
      <w:r>
        <w:rPr>
          <w:noProof/>
        </w:rPr>
        <w:tab/>
        <w:t xml:space="preserve">член 1 се заменя със следното: </w:t>
      </w:r>
    </w:p>
    <w:p w:rsidR="00242E09" w:rsidRDefault="00CE46B8">
      <w:pPr>
        <w:pStyle w:val="title-article-norm2"/>
        <w:rPr>
          <w:rFonts w:eastAsia="Arial Unicode MS"/>
          <w:noProof/>
          <w:color w:val="444444"/>
        </w:rPr>
      </w:pPr>
      <w:r>
        <w:rPr>
          <w:noProof/>
        </w:rPr>
        <w:t>„</w:t>
      </w:r>
      <w:r>
        <w:rPr>
          <w:noProof/>
          <w:color w:val="444444"/>
        </w:rPr>
        <w:t>Член 1</w:t>
      </w:r>
    </w:p>
    <w:p w:rsidR="00242E09" w:rsidRDefault="00CE46B8">
      <w:pPr>
        <w:pStyle w:val="stitle-article-norm2"/>
        <w:rPr>
          <w:rFonts w:eastAsia="Arial Unicode MS"/>
          <w:noProof/>
          <w:color w:val="444444"/>
        </w:rPr>
      </w:pPr>
      <w:r>
        <w:rPr>
          <w:noProof/>
          <w:color w:val="444444"/>
        </w:rPr>
        <w:t>Предмет</w:t>
      </w:r>
    </w:p>
    <w:p w:rsidR="00242E09" w:rsidRDefault="00CE46B8">
      <w:pPr>
        <w:pStyle w:val="stitle-article-norm2"/>
        <w:jc w:val="left"/>
        <w:rPr>
          <w:rFonts w:eastAsia="Arial Unicode MS"/>
          <w:noProof/>
          <w:color w:val="444444"/>
        </w:rPr>
      </w:pPr>
      <w:r>
        <w:rPr>
          <w:b w:val="0"/>
          <w:noProof/>
          <w:color w:val="444444"/>
        </w:rPr>
        <w:t>С настоящия регламент се създава обща рамка за системно изготвяне на статистика на Общността за платежния баланс и преките чуждестранни инвестиции.</w:t>
      </w:r>
      <w:r>
        <w:rPr>
          <w:b w:val="0"/>
          <w:noProof/>
        </w:rPr>
        <w:t>“;</w:t>
      </w:r>
    </w:p>
    <w:p w:rsidR="00242E09" w:rsidRDefault="00242E09">
      <w:pPr>
        <w:pStyle w:val="norm3"/>
        <w:rPr>
          <w:noProof/>
        </w:rPr>
      </w:pPr>
    </w:p>
    <w:p w:rsidR="00242E09" w:rsidRDefault="00CE46B8">
      <w:pPr>
        <w:pStyle w:val="Point0"/>
        <w:rPr>
          <w:noProof/>
        </w:rPr>
      </w:pPr>
      <w:r>
        <w:rPr>
          <w:noProof/>
        </w:rPr>
        <w:t>б)</w:t>
      </w:r>
      <w:r>
        <w:rPr>
          <w:noProof/>
        </w:rPr>
        <w:tab/>
        <w:t xml:space="preserve">член 2, параграф 1 се заменя със следното: </w:t>
      </w:r>
    </w:p>
    <w:p w:rsidR="00242E09" w:rsidRDefault="00CE46B8">
      <w:pPr>
        <w:pStyle w:val="Point1"/>
        <w:rPr>
          <w:noProof/>
        </w:rPr>
      </w:pPr>
      <w:r>
        <w:rPr>
          <w:noProof/>
        </w:rPr>
        <w:t>„1. Държавите членки представят на Комисията (Евростат) да</w:t>
      </w:r>
      <w:r>
        <w:rPr>
          <w:noProof/>
        </w:rPr>
        <w:t>нни за платежния баланс и преките чуждестранни инвестиции, както се посочва в приложение I. Данните отговарят на определенията в приложение II.“;</w:t>
      </w:r>
    </w:p>
    <w:p w:rsidR="00242E09" w:rsidRDefault="00CE46B8">
      <w:pPr>
        <w:pStyle w:val="Point0"/>
        <w:rPr>
          <w:noProof/>
        </w:rPr>
      </w:pPr>
      <w:r>
        <w:rPr>
          <w:noProof/>
        </w:rPr>
        <w:t>в)</w:t>
      </w:r>
      <w:r>
        <w:rPr>
          <w:noProof/>
        </w:rPr>
        <w:tab/>
        <w:t>в член 5, параграф 1 буква в) се заличава;</w:t>
      </w:r>
    </w:p>
    <w:p w:rsidR="00242E09" w:rsidRDefault="00CE46B8">
      <w:pPr>
        <w:pStyle w:val="Point0"/>
        <w:rPr>
          <w:noProof/>
        </w:rPr>
      </w:pPr>
      <w:r>
        <w:rPr>
          <w:noProof/>
        </w:rPr>
        <w:t>г)</w:t>
      </w:r>
      <w:r>
        <w:rPr>
          <w:noProof/>
        </w:rPr>
        <w:tab/>
        <w:t xml:space="preserve">в член 12 буква а) се заменя със следното: </w:t>
      </w:r>
    </w:p>
    <w:p w:rsidR="00242E09" w:rsidRDefault="00CE46B8">
      <w:pPr>
        <w:pStyle w:val="Point1"/>
        <w:rPr>
          <w:noProof/>
        </w:rPr>
      </w:pPr>
      <w:r>
        <w:rPr>
          <w:noProof/>
        </w:rPr>
        <w:t>„а) се оценява ка</w:t>
      </w:r>
      <w:r>
        <w:rPr>
          <w:noProof/>
        </w:rPr>
        <w:t>чеството на данните за платежния баланс и ПЧИ;“;</w:t>
      </w:r>
    </w:p>
    <w:p w:rsidR="00242E09" w:rsidRDefault="00CE46B8">
      <w:pPr>
        <w:pStyle w:val="Point0"/>
        <w:rPr>
          <w:noProof/>
        </w:rPr>
      </w:pPr>
      <w:r>
        <w:rPr>
          <w:noProof/>
        </w:rPr>
        <w:t>д)</w:t>
      </w:r>
      <w:r>
        <w:rPr>
          <w:noProof/>
        </w:rPr>
        <w:tab/>
        <w:t xml:space="preserve">в приложение I таблица 3 (Международна търговия с услуги) се изменя в съответствие с приложение IV към настоящия регламент. </w:t>
      </w:r>
    </w:p>
    <w:p w:rsidR="00242E09" w:rsidRDefault="00CE46B8">
      <w:pPr>
        <w:pStyle w:val="Titrearticle"/>
        <w:rPr>
          <w:noProof/>
        </w:rPr>
      </w:pPr>
      <w:r>
        <w:rPr>
          <w:noProof/>
        </w:rPr>
        <w:t>Член 26</w:t>
      </w:r>
    </w:p>
    <w:p w:rsidR="00242E09" w:rsidRDefault="00CE46B8">
      <w:pPr>
        <w:pStyle w:val="Titrearticle"/>
        <w:rPr>
          <w:noProof/>
        </w:rPr>
      </w:pPr>
      <w:r>
        <w:rPr>
          <w:noProof/>
        </w:rPr>
        <w:t>Отмяна</w:t>
      </w:r>
    </w:p>
    <w:p w:rsidR="00242E09" w:rsidRDefault="00CE46B8">
      <w:pPr>
        <w:pStyle w:val="ManualNumPar1"/>
        <w:rPr>
          <w:noProof/>
        </w:rPr>
      </w:pPr>
      <w:r>
        <w:t>1.</w:t>
      </w:r>
      <w:r>
        <w:tab/>
      </w:r>
      <w:r>
        <w:rPr>
          <w:noProof/>
        </w:rPr>
        <w:t xml:space="preserve">Регламенти (ЕИО) № 3924/91, (ЕО) № 48/2004, (ЕО) № 716/2007, </w:t>
      </w:r>
      <w:r>
        <w:rPr>
          <w:noProof/>
        </w:rPr>
        <w:t xml:space="preserve">(ЕО) № 177/2008 и (ЕО) № 295/2008 и Решение (ЕО) № 1608/2003 се отменят, считано от 1 януари 2019 г. </w:t>
      </w:r>
    </w:p>
    <w:p w:rsidR="00242E09" w:rsidRDefault="00CE46B8">
      <w:pPr>
        <w:pStyle w:val="ManualNumPar1"/>
        <w:rPr>
          <w:noProof/>
        </w:rPr>
      </w:pPr>
      <w:r>
        <w:t>2.</w:t>
      </w:r>
      <w:r>
        <w:tab/>
      </w:r>
      <w:r>
        <w:rPr>
          <w:noProof/>
        </w:rPr>
        <w:t>Регламент (ЕО) № 1165/1998 се отменя, считано от 1 януари 2024 г.</w:t>
      </w:r>
    </w:p>
    <w:p w:rsidR="00242E09" w:rsidRDefault="00CE46B8">
      <w:pPr>
        <w:pStyle w:val="ManualNumPar1"/>
        <w:rPr>
          <w:noProof/>
        </w:rPr>
      </w:pPr>
      <w:r>
        <w:t>3.</w:t>
      </w:r>
      <w:r>
        <w:tab/>
      </w:r>
      <w:r>
        <w:rPr>
          <w:noProof/>
        </w:rPr>
        <w:t xml:space="preserve">Регламент (ЕО) № 808/2004 се отменя, считано от 1 януари 2020 г. </w:t>
      </w:r>
    </w:p>
    <w:p w:rsidR="00242E09" w:rsidRDefault="00CE46B8">
      <w:pPr>
        <w:pStyle w:val="ManualNumPar1"/>
        <w:rPr>
          <w:noProof/>
        </w:rPr>
      </w:pPr>
      <w:r>
        <w:t>4.</w:t>
      </w:r>
      <w:r>
        <w:tab/>
      </w:r>
      <w:r>
        <w:rPr>
          <w:noProof/>
        </w:rPr>
        <w:t>Регламенти (Е</w:t>
      </w:r>
      <w:r>
        <w:rPr>
          <w:noProof/>
        </w:rPr>
        <w:t>О) № 638/2004 и (ЕО) № 471/2009 се отменят, считано от 1 януари 2020 г.</w:t>
      </w:r>
    </w:p>
    <w:p w:rsidR="00242E09" w:rsidRDefault="00CE46B8">
      <w:pPr>
        <w:pStyle w:val="ManualNumPar1"/>
        <w:rPr>
          <w:noProof/>
        </w:rPr>
      </w:pPr>
      <w:r>
        <w:t>5.</w:t>
      </w:r>
      <w:r>
        <w:tab/>
      </w:r>
      <w:r>
        <w:rPr>
          <w:noProof/>
        </w:rPr>
        <w:t>Позоваванията на отменените актове се смятат за позовавания на настоящия регламент.</w:t>
      </w:r>
    </w:p>
    <w:p w:rsidR="00242E09" w:rsidRDefault="00CE46B8">
      <w:pPr>
        <w:pStyle w:val="Titrearticle"/>
        <w:rPr>
          <w:noProof/>
        </w:rPr>
      </w:pPr>
      <w:r>
        <w:rPr>
          <w:noProof/>
        </w:rPr>
        <w:t>Член 27</w:t>
      </w:r>
    </w:p>
    <w:p w:rsidR="00242E09" w:rsidRDefault="00CE46B8">
      <w:pPr>
        <w:pStyle w:val="Titrearticle"/>
        <w:rPr>
          <w:noProof/>
        </w:rPr>
      </w:pPr>
      <w:r>
        <w:rPr>
          <w:noProof/>
        </w:rPr>
        <w:t>Влизане в сила и прилагане</w:t>
      </w:r>
    </w:p>
    <w:p w:rsidR="00242E09" w:rsidRDefault="00CE46B8">
      <w:pPr>
        <w:pStyle w:val="ManualNumPar1"/>
        <w:rPr>
          <w:noProof/>
        </w:rPr>
      </w:pPr>
      <w:r>
        <w:t>1.</w:t>
      </w:r>
      <w:r>
        <w:tab/>
      </w:r>
      <w:r>
        <w:rPr>
          <w:noProof/>
        </w:rPr>
        <w:t>Настоящият регламент влиза в сила на двадесетия ден след де</w:t>
      </w:r>
      <w:r>
        <w:rPr>
          <w:noProof/>
        </w:rPr>
        <w:t xml:space="preserve">ня на публикуването му в </w:t>
      </w:r>
      <w:r>
        <w:rPr>
          <w:i/>
          <w:noProof/>
        </w:rPr>
        <w:t>Официален вестник на Европейския съюз</w:t>
      </w:r>
      <w:r>
        <w:rPr>
          <w:noProof/>
        </w:rPr>
        <w:t>.</w:t>
      </w:r>
    </w:p>
    <w:p w:rsidR="00242E09" w:rsidRDefault="00CE46B8">
      <w:pPr>
        <w:pStyle w:val="ManualNumPar1"/>
        <w:rPr>
          <w:noProof/>
        </w:rPr>
      </w:pPr>
      <w:r>
        <w:t>2.</w:t>
      </w:r>
      <w:r>
        <w:tab/>
      </w:r>
      <w:r>
        <w:rPr>
          <w:noProof/>
        </w:rPr>
        <w:t>Той се прилага от 1 януари 2019 г.</w:t>
      </w:r>
    </w:p>
    <w:p w:rsidR="00242E09" w:rsidRDefault="00CE46B8">
      <w:pPr>
        <w:pStyle w:val="ManualNumPar1"/>
        <w:rPr>
          <w:noProof/>
        </w:rPr>
      </w:pPr>
      <w:r>
        <w:lastRenderedPageBreak/>
        <w:t>3.</w:t>
      </w:r>
      <w:r>
        <w:tab/>
      </w:r>
      <w:r>
        <w:rPr>
          <w:noProof/>
        </w:rPr>
        <w:t>Членове 11 — 15 обаче се прилагат от 1 януари 2020 г.</w:t>
      </w:r>
    </w:p>
    <w:p w:rsidR="00242E09" w:rsidRDefault="00CE46B8">
      <w:pPr>
        <w:pStyle w:val="Applicationdirecte"/>
        <w:rPr>
          <w:noProof/>
        </w:rPr>
      </w:pPr>
      <w:r>
        <w:rPr>
          <w:noProof/>
        </w:rPr>
        <w:t>Настоящият регламент е задължителен в своята цялост и се прилага пряко във всички държави членки.</w:t>
      </w:r>
    </w:p>
    <w:p w:rsidR="00242E09" w:rsidRDefault="00CE46B8">
      <w:pPr>
        <w:pStyle w:val="Fait"/>
        <w:rPr>
          <w:noProof/>
        </w:rPr>
      </w:pPr>
      <w:r>
        <w:rPr>
          <w:noProof/>
        </w:rPr>
        <w:t>Съставено в Брюксел на  година.</w:t>
      </w:r>
    </w:p>
    <w:p w:rsidR="00242E09" w:rsidRDefault="00CE46B8">
      <w:pPr>
        <w:pStyle w:val="Institutionquisigne"/>
        <w:rPr>
          <w:noProof/>
        </w:rPr>
      </w:pPr>
      <w:r>
        <w:rPr>
          <w:noProof/>
        </w:rPr>
        <w:t>за Европейския парламент</w:t>
      </w:r>
      <w:r>
        <w:rPr>
          <w:noProof/>
        </w:rPr>
        <w:tab/>
        <w:t>за Съвета</w:t>
      </w:r>
    </w:p>
    <w:p w:rsidR="00242E09" w:rsidRDefault="00CE46B8">
      <w:pPr>
        <w:pStyle w:val="Personnequisigne"/>
        <w:rPr>
          <w:noProof/>
        </w:rPr>
      </w:pPr>
      <w:r>
        <w:rPr>
          <w:noProof/>
        </w:rPr>
        <w:t>Председател</w:t>
      </w:r>
      <w:r>
        <w:rPr>
          <w:noProof/>
        </w:rPr>
        <w:tab/>
        <w:t>Председател</w:t>
      </w:r>
    </w:p>
    <w:p w:rsidR="00242E09" w:rsidRDefault="00242E09">
      <w:pPr>
        <w:rPr>
          <w:noProof/>
        </w:rPr>
        <w:sectPr w:rsidR="00242E09">
          <w:pgSz w:w="11907" w:h="16839"/>
          <w:pgMar w:top="1134" w:right="1417" w:bottom="1134" w:left="1417" w:header="709" w:footer="709" w:gutter="0"/>
          <w:cols w:space="708"/>
          <w:docGrid w:linePitch="360"/>
        </w:sectPr>
      </w:pPr>
    </w:p>
    <w:p w:rsidR="00242E09" w:rsidRDefault="00CE46B8">
      <w:pPr>
        <w:pStyle w:val="Fichefinanciretitre"/>
        <w:rPr>
          <w:noProof/>
        </w:rPr>
      </w:pPr>
      <w:r>
        <w:rPr>
          <w:noProof/>
        </w:rPr>
        <w:lastRenderedPageBreak/>
        <w:t>ЗАКОНОДАТЕЛНА ФИНАНСОВА ОБОСНОВКА</w:t>
      </w:r>
    </w:p>
    <w:p w:rsidR="00242E09" w:rsidRDefault="00CE46B8">
      <w:pPr>
        <w:pStyle w:val="ManualHeading1"/>
        <w:rPr>
          <w:noProof/>
        </w:rPr>
      </w:pPr>
      <w:r>
        <w:rPr>
          <w:noProof/>
        </w:rPr>
        <w:t>1.</w:t>
      </w:r>
      <w:r>
        <w:rPr>
          <w:noProof/>
        </w:rPr>
        <w:tab/>
        <w:t xml:space="preserve">РАМКА НА ПРЕДЛОЖЕНИЕТО/ИНИЦИАТИВАТА </w:t>
      </w:r>
    </w:p>
    <w:p w:rsidR="00242E09" w:rsidRDefault="00CE46B8">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242E09" w:rsidRDefault="00CE46B8">
      <w:pPr>
        <w:pStyle w:val="ManualHeading2"/>
        <w:rPr>
          <w:b w:val="0"/>
          <w:noProof/>
        </w:rPr>
      </w:pPr>
      <w:r>
        <w:rPr>
          <w:noProof/>
        </w:rPr>
        <w:tab/>
      </w:r>
      <w:r>
        <w:rPr>
          <w:b w:val="0"/>
          <w:noProof/>
        </w:rPr>
        <w:t>1.2.</w:t>
      </w:r>
      <w:r>
        <w:rPr>
          <w:noProof/>
        </w:rPr>
        <w:tab/>
      </w:r>
      <w:r>
        <w:rPr>
          <w:b w:val="0"/>
          <w:noProof/>
        </w:rPr>
        <w:t>Съответни област</w:t>
      </w:r>
      <w:r>
        <w:rPr>
          <w:b w:val="0"/>
          <w:noProof/>
        </w:rPr>
        <w:t>и на политиката в структурата на УД/БД</w:t>
      </w:r>
    </w:p>
    <w:p w:rsidR="00242E09" w:rsidRDefault="00CE46B8">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242E09" w:rsidRDefault="00CE46B8">
      <w:pPr>
        <w:pStyle w:val="ManualHeading2"/>
        <w:rPr>
          <w:b w:val="0"/>
          <w:noProof/>
        </w:rPr>
      </w:pPr>
      <w:r>
        <w:rPr>
          <w:noProof/>
        </w:rPr>
        <w:tab/>
      </w:r>
      <w:r>
        <w:rPr>
          <w:b w:val="0"/>
          <w:noProof/>
        </w:rPr>
        <w:t>1.4.</w:t>
      </w:r>
      <w:r>
        <w:rPr>
          <w:noProof/>
        </w:rPr>
        <w:tab/>
      </w:r>
      <w:r>
        <w:rPr>
          <w:b w:val="0"/>
          <w:noProof/>
        </w:rPr>
        <w:t xml:space="preserve">Цели </w:t>
      </w:r>
    </w:p>
    <w:p w:rsidR="00242E09" w:rsidRDefault="00CE46B8">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242E09" w:rsidRDefault="00CE46B8">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242E09" w:rsidRDefault="00CE46B8">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242E09" w:rsidRDefault="00CE46B8">
      <w:pPr>
        <w:pStyle w:val="ManualHeading1"/>
        <w:rPr>
          <w:noProof/>
        </w:rPr>
      </w:pPr>
      <w:r>
        <w:rPr>
          <w:noProof/>
        </w:rPr>
        <w:t>2.</w:t>
      </w:r>
      <w:r>
        <w:rPr>
          <w:noProof/>
        </w:rPr>
        <w:tab/>
        <w:t xml:space="preserve">МЕРКИ ЗА УПРАВЛЕНИЕ </w:t>
      </w:r>
    </w:p>
    <w:p w:rsidR="00242E09" w:rsidRDefault="00CE46B8">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242E09" w:rsidRDefault="00CE46B8">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242E09" w:rsidRDefault="00CE46B8">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242E09" w:rsidRDefault="00CE46B8">
      <w:pPr>
        <w:pStyle w:val="ManualHeading1"/>
        <w:rPr>
          <w:noProof/>
        </w:rPr>
      </w:pPr>
      <w:r>
        <w:rPr>
          <w:noProof/>
        </w:rPr>
        <w:t>3.</w:t>
      </w:r>
      <w:r>
        <w:rPr>
          <w:noProof/>
        </w:rPr>
        <w:tab/>
        <w:t xml:space="preserve">ОЧАКВАНО ФИНАНСОВО ОТРАЖЕНИЕ НА ПРЕДЛОЖЕНИЕТО/ИНИЦИАТИВАТА </w:t>
      </w:r>
    </w:p>
    <w:p w:rsidR="00242E09" w:rsidRDefault="00CE46B8">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w:t>
      </w:r>
      <w:r>
        <w:rPr>
          <w:b w:val="0"/>
          <w:noProof/>
        </w:rPr>
        <w:t xml:space="preserve">ходни бюджетни редове </w:t>
      </w:r>
    </w:p>
    <w:p w:rsidR="00242E09" w:rsidRDefault="00CE46B8">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242E09" w:rsidRDefault="00CE46B8">
      <w:pPr>
        <w:pStyle w:val="ManualHeading3"/>
        <w:rPr>
          <w:noProof/>
        </w:rPr>
      </w:pPr>
      <w:r>
        <w:rPr>
          <w:noProof/>
        </w:rPr>
        <w:tab/>
        <w:t>3.2.1.</w:t>
      </w:r>
      <w:r>
        <w:rPr>
          <w:noProof/>
        </w:rPr>
        <w:tab/>
        <w:t xml:space="preserve">Обобщение на очакваното отражение върху разходите </w:t>
      </w:r>
    </w:p>
    <w:p w:rsidR="00242E09" w:rsidRDefault="00CE46B8">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242E09" w:rsidRDefault="00CE46B8">
      <w:pPr>
        <w:pStyle w:val="ManualHeading3"/>
        <w:rPr>
          <w:noProof/>
        </w:rPr>
      </w:pPr>
      <w:r>
        <w:rPr>
          <w:noProof/>
        </w:rPr>
        <w:tab/>
        <w:t>3.2.3.</w:t>
      </w:r>
      <w:r>
        <w:rPr>
          <w:noProof/>
        </w:rPr>
        <w:tab/>
        <w:t>Очаквано отражение върху бюджетните кредити за ад</w:t>
      </w:r>
      <w:r>
        <w:rPr>
          <w:noProof/>
        </w:rPr>
        <w:t>министративни разходи</w:t>
      </w:r>
    </w:p>
    <w:p w:rsidR="00242E09" w:rsidRDefault="00CE46B8">
      <w:pPr>
        <w:pStyle w:val="ManualHeading3"/>
        <w:rPr>
          <w:noProof/>
        </w:rPr>
      </w:pPr>
      <w:r>
        <w:rPr>
          <w:noProof/>
        </w:rPr>
        <w:tab/>
        <w:t>3.2.4.</w:t>
      </w:r>
      <w:r>
        <w:rPr>
          <w:noProof/>
        </w:rPr>
        <w:tab/>
        <w:t>Съвместимост с настоящата многогодишна финансова рамка</w:t>
      </w:r>
    </w:p>
    <w:p w:rsidR="00242E09" w:rsidRDefault="00CE46B8">
      <w:pPr>
        <w:pStyle w:val="ManualHeading3"/>
        <w:rPr>
          <w:noProof/>
        </w:rPr>
      </w:pPr>
      <w:r>
        <w:rPr>
          <w:noProof/>
        </w:rPr>
        <w:tab/>
        <w:t>3.2.5.</w:t>
      </w:r>
      <w:r>
        <w:rPr>
          <w:noProof/>
        </w:rPr>
        <w:tab/>
        <w:t xml:space="preserve">Участие на трети страни във финансирането </w:t>
      </w:r>
    </w:p>
    <w:p w:rsidR="00242E09" w:rsidRDefault="00CE46B8">
      <w:pPr>
        <w:pStyle w:val="ManualHeading2"/>
        <w:jc w:val="left"/>
        <w:rPr>
          <w:b w:val="0"/>
          <w:noProof/>
        </w:rPr>
        <w:sectPr w:rsidR="00242E09">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242E09" w:rsidRDefault="00CE46B8">
      <w:pPr>
        <w:jc w:val="center"/>
        <w:rPr>
          <w:noProof/>
        </w:rPr>
      </w:pPr>
      <w:r>
        <w:rPr>
          <w:b/>
          <w:noProof/>
          <w:u w:val="single"/>
        </w:rPr>
        <w:lastRenderedPageBreak/>
        <w:t>ЗАКОНОДАТЕЛНА ФИНАНСОВА ОБОСНОВКА</w:t>
      </w:r>
    </w:p>
    <w:p w:rsidR="00242E09" w:rsidRDefault="00CE46B8">
      <w:pPr>
        <w:pStyle w:val="ManualHeading1"/>
        <w:rPr>
          <w:noProof/>
        </w:rPr>
      </w:pPr>
      <w:r>
        <w:t>1.</w:t>
      </w:r>
      <w:r>
        <w:tab/>
      </w:r>
      <w:r>
        <w:rPr>
          <w:noProof/>
        </w:rPr>
        <w:t xml:space="preserve">РАМКА НА ПРЕДЛОЖЕНИЕТО/ИНИЦИАТИВАТА </w:t>
      </w:r>
    </w:p>
    <w:p w:rsidR="00242E09" w:rsidRDefault="00CE46B8">
      <w:pPr>
        <w:pStyle w:val="ManualHeading2"/>
        <w:rPr>
          <w:noProof/>
        </w:rPr>
      </w:pPr>
      <w:r>
        <w:t>1.1.</w:t>
      </w:r>
      <w:r>
        <w:tab/>
      </w:r>
      <w:r>
        <w:rPr>
          <w:noProof/>
        </w:rPr>
        <w:t xml:space="preserve">Наименование на предложението/инициативата </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 относно европейската бизнес статистика</w:t>
      </w:r>
    </w:p>
    <w:p w:rsidR="00242E09" w:rsidRDefault="00CE46B8">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29"/>
      </w:r>
      <w:r>
        <w:rPr>
          <w:i/>
          <w:noProof/>
        </w:rPr>
        <w:t xml:space="preserve"> </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 xml:space="preserve">2902 — Европейска </w:t>
      </w:r>
      <w:r>
        <w:rPr>
          <w:noProof/>
        </w:rPr>
        <w:t>статистическа програма</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 xml:space="preserve">0904 — Хоризонт 2020 </w:t>
      </w:r>
    </w:p>
    <w:p w:rsidR="00242E09" w:rsidRDefault="00CE46B8">
      <w:pPr>
        <w:pStyle w:val="ManualHeading2"/>
        <w:rPr>
          <w:bCs/>
          <w:noProof/>
          <w:szCs w:val="24"/>
        </w:rPr>
      </w:pPr>
      <w:r>
        <w:t>1.3.</w:t>
      </w:r>
      <w:r>
        <w:tab/>
      </w:r>
      <w:r>
        <w:rPr>
          <w:noProof/>
        </w:rPr>
        <w:t xml:space="preserve">Естество на предложението/инициативата </w:t>
      </w:r>
    </w:p>
    <w:p w:rsidR="00242E09" w:rsidRDefault="00CE46B8">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rsidR="00242E09" w:rsidRDefault="00CE46B8">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30"/>
      </w:r>
      <w:r>
        <w:rPr>
          <w:noProof/>
          <w:sz w:val="22"/>
        </w:rPr>
        <w:t xml:space="preserve"> </w:t>
      </w:r>
    </w:p>
    <w:p w:rsidR="00242E09" w:rsidRDefault="00CE46B8">
      <w:pPr>
        <w:pStyle w:val="Text1"/>
        <w:rPr>
          <w:noProof/>
          <w:sz w:val="22"/>
        </w:rPr>
      </w:pPr>
      <w:r>
        <w:rPr>
          <w:noProof/>
          <w:sz w:val="22"/>
        </w:rPr>
        <w:sym w:font="Wingdings" w:char="F0A8"/>
      </w:r>
      <w:r>
        <w:rPr>
          <w:i/>
          <w:noProof/>
          <w:sz w:val="22"/>
        </w:rPr>
        <w:t xml:space="preserve"> </w:t>
      </w:r>
      <w:r>
        <w:rPr>
          <w:noProof/>
        </w:rPr>
        <w:t>Предл</w:t>
      </w:r>
      <w:r>
        <w:rPr>
          <w:noProof/>
        </w:rPr>
        <w:t xml:space="preserve">ожението/инициативата е във връзка с </w:t>
      </w:r>
      <w:r>
        <w:rPr>
          <w:b/>
          <w:noProof/>
        </w:rPr>
        <w:t>продължаване на съществуваща дейност</w:t>
      </w:r>
      <w:r>
        <w:rPr>
          <w:noProof/>
          <w:sz w:val="22"/>
        </w:rPr>
        <w:t xml:space="preserve"> </w:t>
      </w:r>
    </w:p>
    <w:p w:rsidR="00242E09" w:rsidRDefault="00CE46B8">
      <w:pPr>
        <w:pStyle w:val="Text1"/>
        <w:rPr>
          <w:noProof/>
        </w:rPr>
      </w:pPr>
      <w:r>
        <w:rPr>
          <w:noProof/>
          <w:sz w:val="22"/>
        </w:rPr>
        <w:sym w:font="Wingdings" w:char="F0FD"/>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rsidR="00242E09" w:rsidRDefault="00CE46B8">
      <w:pPr>
        <w:pStyle w:val="ManualHeading2"/>
        <w:rPr>
          <w:bCs/>
          <w:noProof/>
          <w:szCs w:val="24"/>
        </w:rPr>
      </w:pPr>
      <w:r>
        <w:t>1.4.</w:t>
      </w:r>
      <w:r>
        <w:tab/>
      </w:r>
      <w:r>
        <w:rPr>
          <w:noProof/>
        </w:rPr>
        <w:t>Цели</w:t>
      </w:r>
    </w:p>
    <w:p w:rsidR="00242E09" w:rsidRDefault="00CE46B8">
      <w:pPr>
        <w:pStyle w:val="ManualHeading3"/>
        <w:rPr>
          <w:noProof/>
        </w:rPr>
      </w:pPr>
      <w:r>
        <w:t>1.4.1.</w:t>
      </w:r>
      <w:r>
        <w:tab/>
      </w:r>
      <w:r>
        <w:rPr>
          <w:noProof/>
        </w:rPr>
        <w:t>Многогодишни стратегически цели на Комисията, за чието изпълнение е предназначено</w:t>
      </w:r>
      <w:r>
        <w:rPr>
          <w:noProof/>
        </w:rPr>
        <w:t xml:space="preserve"> предложението/инициативата </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 xml:space="preserve">Мониторингът на целите, поставени с 10-те приоритета на Комисията „Юнкер“ на равнището на държавите членки и на Съюза, изисква наличието на хармонизирана и съпоставима европейска статистика. С интегрирания подход на регламента </w:t>
      </w:r>
      <w:r>
        <w:rPr>
          <w:noProof/>
        </w:rPr>
        <w:t>FRIBS се цели предоставянето на висококачествена бизнес статистика за мониторинг на поставените с тези приоритети цели на политиката, по-специално относно темите „Заетост, растеж и инвестиции“, „Цифров единен пазар“, „Вътрешен пазар“ и „Споразумението за с</w:t>
      </w:r>
      <w:r>
        <w:rPr>
          <w:noProof/>
        </w:rPr>
        <w:t>вободна търговия между ЕС и САЩ“. Този статистически ресурс следва да се изготвя възможно най-ефикасно в контекста на съвременните методи за събиране и изготвяне на статистически данни.</w:t>
      </w:r>
    </w:p>
    <w:p w:rsidR="00242E09" w:rsidRDefault="00CE46B8">
      <w:pPr>
        <w:pStyle w:val="ManualHeading3"/>
        <w:rPr>
          <w:bCs/>
          <w:noProof/>
          <w:szCs w:val="24"/>
        </w:rPr>
      </w:pPr>
      <w:r>
        <w:t>1.4.2.</w:t>
      </w:r>
      <w:r>
        <w:tab/>
      </w:r>
      <w:r>
        <w:rPr>
          <w:noProof/>
        </w:rPr>
        <w:t xml:space="preserve">Конкретни цели и съответни дейности във връзка с УД/БД </w:t>
      </w:r>
    </w:p>
    <w:p w:rsidR="00242E09" w:rsidRDefault="00CE46B8">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w:t>
      </w:r>
      <w:r>
        <w:rPr>
          <w:noProof/>
          <w:u w:val="single"/>
        </w:rPr>
        <w:t>на цел № 1</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Работна програма на Комисията за 2016 г. Инициатива по REFIT № 26 — Пакет относно статистиката</w:t>
      </w:r>
    </w:p>
    <w:p w:rsidR="00242E09" w:rsidRDefault="00CE46B8">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2902 — Европейска статистическа програма</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 xml:space="preserve">0904 — Хоризонт 2020 </w:t>
      </w:r>
    </w:p>
    <w:p w:rsidR="00242E09" w:rsidRDefault="00CE46B8">
      <w:pPr>
        <w:pStyle w:val="Text1"/>
        <w:pBdr>
          <w:top w:val="single" w:sz="4" w:space="1" w:color="auto"/>
          <w:left w:val="single" w:sz="4" w:space="4" w:color="auto"/>
          <w:bottom w:val="single" w:sz="4" w:space="1" w:color="auto"/>
          <w:right w:val="single" w:sz="4" w:space="4" w:color="auto"/>
        </w:pBdr>
        <w:rPr>
          <w:noProof/>
          <w:szCs w:val="24"/>
        </w:rPr>
      </w:pPr>
      <w:r>
        <w:rPr>
          <w:noProof/>
        </w:rPr>
        <w:br w:type="page"/>
      </w:r>
      <w:r>
        <w:rPr>
          <w:noProof/>
        </w:rPr>
        <w:lastRenderedPageBreak/>
        <w:t>Очаквани резултати и отражение</w:t>
      </w:r>
    </w:p>
    <w:p w:rsidR="00242E09" w:rsidRDefault="00CE46B8">
      <w:pPr>
        <w:pStyle w:val="Text1"/>
        <w:rPr>
          <w:i/>
          <w:noProof/>
          <w:sz w:val="20"/>
        </w:rPr>
      </w:pPr>
      <w:r>
        <w:rPr>
          <w:i/>
          <w:noProof/>
          <w:sz w:val="20"/>
        </w:rPr>
        <w:t xml:space="preserve">Да се посочи </w:t>
      </w:r>
      <w:r>
        <w:rPr>
          <w:i/>
          <w:noProof/>
          <w:sz w:val="20"/>
        </w:rPr>
        <w:t>въздействието, което предложението/инициативата следва да окаже по отношение на бенефициерите/целевите групи.</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С инициативата би трябвало да се повишат гъвкавостта и способността за реагиране на европейската бизнес статистика спрямо променящите се потребнос</w:t>
      </w:r>
      <w:r>
        <w:rPr>
          <w:noProof/>
        </w:rPr>
        <w:t>ти на ползвателите и да се увеличи нейната съгласуваност и нейното качество. С инициативата се подкрепят основните приоритети на Комисията, като се предоставят по-съгласувани и значими данни за целите на мониторинга, например на растежа, създаването на раб</w:t>
      </w:r>
      <w:r>
        <w:rPr>
          <w:noProof/>
        </w:rPr>
        <w:t>отни места, конкурентоспособността, научните изследвания и иновациите, цифровия единен пазар, въздействието на глобализацията и на функционирането на вътрешния пазар. Тя би трябвало също така да улесни прилагането на по-ефикасни по отношение на разходите и</w:t>
      </w:r>
      <w:r>
        <w:rPr>
          <w:noProof/>
        </w:rPr>
        <w:t xml:space="preserve"> по-съвременни методи за изготвяне на данни и да осигури средства за значително намаляване на административната тежест за доставчиците на данни (предприятията).</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Що се отнася до ефикасността, предложението поражда за съставителите на данни първоначално увел</w:t>
      </w:r>
      <w:r>
        <w:rPr>
          <w:noProof/>
        </w:rPr>
        <w:t>ичени разходи за изпълнение поради промените в процесите на изготвяне на данните и поради новите изисквания по отношение на данните. Тези допълнителни краткосрочни разходи обаче би трябвало да са по-малки от повишаването на ефикасността на системно равнище</w:t>
      </w:r>
      <w:r>
        <w:rPr>
          <w:noProof/>
        </w:rPr>
        <w:t xml:space="preserve"> в по-дългосрочен план.</w:t>
      </w:r>
    </w:p>
    <w:p w:rsidR="00242E09" w:rsidRDefault="00CE46B8">
      <w:pPr>
        <w:pStyle w:val="ManualHeading3"/>
        <w:rPr>
          <w:bCs/>
          <w:noProof/>
          <w:szCs w:val="24"/>
        </w:rPr>
      </w:pPr>
      <w:r>
        <w:t>1.4.3.</w:t>
      </w:r>
      <w:r>
        <w:tab/>
      </w:r>
      <w:r>
        <w:rPr>
          <w:noProof/>
        </w:rPr>
        <w:t xml:space="preserve">Показатели за резултатите и за отражението </w:t>
      </w:r>
    </w:p>
    <w:p w:rsidR="00242E09" w:rsidRDefault="00CE46B8">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За всяка от оперативните цели, установени в доклада за оценка на въздействиет</w:t>
      </w:r>
      <w:r>
        <w:rPr>
          <w:noProof/>
        </w:rPr>
        <w:t xml:space="preserve">о, ключов показател за изпълнение дава възможност за редовен мониторинг на изпълнението на настоящото предложение. </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Основният източник на информация за изчисляване на ключовите показатели за изпълнение са националните доклади за метаданните и за качеството</w:t>
      </w:r>
      <w:r>
        <w:rPr>
          <w:noProof/>
        </w:rPr>
        <w:t>, както и провежданото от Евростат годишно изследване за удовлетвореността на ползвателите и мониторинговите доклади относно електронното разпространение на Евростат.</w:t>
      </w:r>
    </w:p>
    <w:p w:rsidR="00242E09" w:rsidRDefault="00CE46B8">
      <w:pPr>
        <w:pStyle w:val="ManualHeading2"/>
        <w:rPr>
          <w:bCs/>
          <w:noProof/>
          <w:szCs w:val="24"/>
        </w:rPr>
      </w:pPr>
      <w:r>
        <w:t>1.5.</w:t>
      </w:r>
      <w:r>
        <w:tab/>
      </w:r>
      <w:r>
        <w:rPr>
          <w:noProof/>
        </w:rPr>
        <w:t xml:space="preserve">Мотиви за предложението/инициативата </w:t>
      </w:r>
    </w:p>
    <w:p w:rsidR="00242E09" w:rsidRDefault="00CE46B8">
      <w:pPr>
        <w:pStyle w:val="ManualHeading3"/>
        <w:rPr>
          <w:noProof/>
        </w:rPr>
      </w:pPr>
      <w:r>
        <w:t>1.5.1.</w:t>
      </w:r>
      <w:r>
        <w:tab/>
      </w:r>
      <w:r>
        <w:rPr>
          <w:noProof/>
        </w:rPr>
        <w:t>Нужди, които трябва да бъдат задоволени</w:t>
      </w:r>
      <w:r>
        <w:rPr>
          <w:noProof/>
        </w:rPr>
        <w:t xml:space="preserve"> в краткосрочен или дългосрочен план </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В краткосрочен и дългосрочен план ще бъдат интегрирани действащите регламенти в областта на бизнес статистиката и ще бъдат удовлетворени отдавна съществуващи потребности на ползвателите от допълнителна информация за пр</w:t>
      </w:r>
      <w:r>
        <w:rPr>
          <w:noProof/>
        </w:rPr>
        <w:t>едприятията. Ще бъде намалена тежестта за доставчиците на данни.</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 xml:space="preserve">В дългосрочен план инициативата би трябвало да доведе до подобряване на ефикасността при събирането и съставянето на бизнес статистика, а от там и до намаляване на разходите за съставителите </w:t>
      </w:r>
      <w:r>
        <w:rPr>
          <w:noProof/>
        </w:rPr>
        <w:t>на данни. Освен това ще се увеличи относимостта на данните вследствие на по-навременната реакция по отношение на нововъзникващите важни потребности на ползвателите.</w:t>
      </w:r>
    </w:p>
    <w:p w:rsidR="00242E09" w:rsidRDefault="00CE46B8">
      <w:pPr>
        <w:pStyle w:val="ManualHeading3"/>
        <w:rPr>
          <w:bCs/>
          <w:noProof/>
          <w:szCs w:val="24"/>
        </w:rPr>
      </w:pPr>
      <w:r>
        <w:lastRenderedPageBreak/>
        <w:t>1.5.2.</w:t>
      </w:r>
      <w:r>
        <w:tab/>
      </w:r>
      <w:r>
        <w:rPr>
          <w:noProof/>
        </w:rPr>
        <w:t>Добавена стойност от участието на ЕС</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Изготвянето на статистика, която да е хармонизи</w:t>
      </w:r>
      <w:r>
        <w:rPr>
          <w:noProof/>
        </w:rPr>
        <w:t>рана и съпоставима между отделните държави членки и да се предоставя, за да се отговори на потребностите на ЕС, не може да се постигне единствено на национално равнище. За изготвянето на статистика на ЕС е необходимо да се прилага хармонизирана методология</w:t>
      </w:r>
      <w:r>
        <w:rPr>
          <w:noProof/>
        </w:rPr>
        <w:t xml:space="preserve"> и да се определят общи резултати и техните характеристики, които да бъдат представяни от държавите членки, което може да се постигне единствено чрез действия на равнището на ЕС.</w:t>
      </w:r>
    </w:p>
    <w:p w:rsidR="00242E09" w:rsidRDefault="00CE46B8">
      <w:pPr>
        <w:pStyle w:val="ManualHeading3"/>
        <w:rPr>
          <w:bCs/>
          <w:noProof/>
          <w:szCs w:val="24"/>
        </w:rPr>
      </w:pPr>
      <w:r>
        <w:t>1.5.3.</w:t>
      </w:r>
      <w:r>
        <w:tab/>
      </w:r>
      <w:r>
        <w:rPr>
          <w:noProof/>
        </w:rPr>
        <w:t>Изводи от подобен опит в миналото</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С цел да се осигури съответстващо на</w:t>
      </w:r>
      <w:r>
        <w:rPr>
          <w:noProof/>
        </w:rPr>
        <w:t xml:space="preserve"> изискванията предоставяне на национални данни, приемането на регламент е най-подходящият вид действие на равнището на ЕС. Едновременното прилагане на 10 отделни акта в областта на бизнес статистиката доведе до несъгласуваност по отношение на използваните </w:t>
      </w:r>
      <w:r>
        <w:rPr>
          <w:noProof/>
        </w:rPr>
        <w:t>понятия и определяния.</w:t>
      </w:r>
    </w:p>
    <w:p w:rsidR="00242E09" w:rsidRDefault="00CE46B8">
      <w:pPr>
        <w:pStyle w:val="ManualHeading3"/>
        <w:rPr>
          <w:bCs/>
          <w:noProof/>
          <w:szCs w:val="24"/>
        </w:rPr>
      </w:pPr>
      <w:r>
        <w:t>1.5.4.</w:t>
      </w:r>
      <w:r>
        <w:tab/>
      </w:r>
      <w:r>
        <w:rPr>
          <w:noProof/>
        </w:rPr>
        <w:t>Съвместимост и евентуални полезни взаимодействия с други подходящи инструменти</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В качеството си на рамков регламент, когато влезе в сила, той ще интегрира сегашните десет правни основания за европейската бизнес статистика. С на</w:t>
      </w:r>
      <w:r>
        <w:rPr>
          <w:noProof/>
        </w:rPr>
        <w:t>ръчник за европейската бизнес статистика ще бъдат предоставени методологически насоки.</w:t>
      </w:r>
    </w:p>
    <w:p w:rsidR="00242E09" w:rsidRDefault="00CE46B8">
      <w:pPr>
        <w:pStyle w:val="ManualHeading2"/>
        <w:rPr>
          <w:bCs/>
          <w:noProof/>
          <w:szCs w:val="24"/>
        </w:rPr>
      </w:pPr>
      <w:r>
        <w:rPr>
          <w:noProof/>
        </w:rPr>
        <w:br w:type="page"/>
      </w:r>
      <w:r>
        <w:lastRenderedPageBreak/>
        <w:t>1.6.</w:t>
      </w:r>
      <w:r>
        <w:tab/>
      </w:r>
      <w:r>
        <w:rPr>
          <w:noProof/>
        </w:rPr>
        <w:t xml:space="preserve">Срок на действие и финансово отражение </w:t>
      </w:r>
    </w:p>
    <w:p w:rsidR="00242E09" w:rsidRDefault="00CE46B8">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rsidR="00242E09" w:rsidRDefault="00CE46B8">
      <w:pPr>
        <w:pStyle w:val="ListDash2"/>
        <w:rPr>
          <w:noProof/>
        </w:rPr>
      </w:pPr>
      <w:r>
        <w:rPr>
          <w:noProof/>
        </w:rPr>
        <w:sym w:font="Wingdings" w:char="F0A8"/>
      </w:r>
      <w:r>
        <w:rPr>
          <w:noProof/>
        </w:rPr>
        <w:tab/>
        <w:t xml:space="preserve">Предложение/инициатива в сила от [ДД/ММ]ГГГГ до [ДД/ММ]ГГГГ </w:t>
      </w:r>
    </w:p>
    <w:p w:rsidR="00242E09" w:rsidRDefault="00CE46B8">
      <w:pPr>
        <w:pStyle w:val="ListDash2"/>
        <w:rPr>
          <w:noProof/>
        </w:rPr>
      </w:pPr>
      <w:r>
        <w:rPr>
          <w:noProof/>
        </w:rPr>
        <w:sym w:font="Wingdings" w:char="F0A8"/>
      </w:r>
      <w:r>
        <w:rPr>
          <w:noProof/>
        </w:rPr>
        <w:tab/>
        <w:t>Фин</w:t>
      </w:r>
      <w:r>
        <w:rPr>
          <w:noProof/>
        </w:rPr>
        <w:t xml:space="preserve">ансово отражение от ГГГГ до ГГГГ </w:t>
      </w:r>
    </w:p>
    <w:p w:rsidR="00242E09" w:rsidRDefault="00CE46B8">
      <w:pPr>
        <w:pStyle w:val="Text1"/>
        <w:rPr>
          <w:noProof/>
        </w:rPr>
      </w:pPr>
      <w:r>
        <w:rPr>
          <w:noProof/>
        </w:rPr>
        <w:sym w:font="Wingdings" w:char="F0FD"/>
      </w:r>
      <w:r>
        <w:rPr>
          <w:b/>
          <w:i/>
          <w:noProof/>
        </w:rPr>
        <w:t xml:space="preserve"> </w:t>
      </w:r>
      <w:r>
        <w:rPr>
          <w:noProof/>
        </w:rPr>
        <w:t xml:space="preserve">Предложение/инициатива с </w:t>
      </w:r>
      <w:r>
        <w:rPr>
          <w:b/>
          <w:noProof/>
        </w:rPr>
        <w:t>неограничен срок на действие</w:t>
      </w:r>
    </w:p>
    <w:p w:rsidR="00242E09" w:rsidRDefault="00CE46B8">
      <w:pPr>
        <w:pStyle w:val="ListDash1"/>
        <w:rPr>
          <w:noProof/>
        </w:rPr>
      </w:pPr>
      <w:r>
        <w:rPr>
          <w:noProof/>
        </w:rPr>
        <w:t>Осъществяване с период на започване на дейност от 2019 г. до 2021 г.,</w:t>
      </w:r>
    </w:p>
    <w:p w:rsidR="00242E09" w:rsidRDefault="00CE46B8">
      <w:pPr>
        <w:pStyle w:val="ListDash1"/>
        <w:rPr>
          <w:noProof/>
        </w:rPr>
      </w:pPr>
      <w:r>
        <w:rPr>
          <w:noProof/>
        </w:rPr>
        <w:t>последван от функциониране с пълен капацитет.</w:t>
      </w:r>
    </w:p>
    <w:p w:rsidR="00242E09" w:rsidRDefault="00CE46B8">
      <w:pPr>
        <w:pStyle w:val="ManualHeading2"/>
        <w:rPr>
          <w:bCs/>
          <w:noProof/>
          <w:szCs w:val="24"/>
        </w:rPr>
      </w:pPr>
      <w:r>
        <w:t>1.7.</w:t>
      </w:r>
      <w:r>
        <w:tab/>
      </w:r>
      <w:r>
        <w:rPr>
          <w:noProof/>
        </w:rPr>
        <w:t>Планирани методи на управление</w:t>
      </w:r>
      <w:r>
        <w:rPr>
          <w:rStyle w:val="FootnoteReference"/>
          <w:noProof/>
        </w:rPr>
        <w:footnoteReference w:id="31"/>
      </w:r>
      <w:r>
        <w:rPr>
          <w:rStyle w:val="FootnoteReference"/>
          <w:noProof/>
        </w:rPr>
        <w:t xml:space="preserve"> </w:t>
      </w:r>
    </w:p>
    <w:p w:rsidR="00242E09" w:rsidRDefault="00CE46B8">
      <w:pPr>
        <w:pStyle w:val="Text1"/>
        <w:rPr>
          <w:noProof/>
        </w:rPr>
      </w:pPr>
      <w:r>
        <w:rPr>
          <w:noProof/>
        </w:rPr>
        <w:sym w:font="Wingdings" w:char="F0FD"/>
      </w:r>
      <w:r>
        <w:rPr>
          <w:i/>
          <w:noProof/>
        </w:rPr>
        <w:t xml:space="preserve"> </w:t>
      </w:r>
      <w:r>
        <w:rPr>
          <w:b/>
          <w:noProof/>
        </w:rPr>
        <w:t xml:space="preserve">Пряко </w:t>
      </w:r>
      <w:r>
        <w:rPr>
          <w:b/>
          <w:noProof/>
        </w:rPr>
        <w:t>управление</w:t>
      </w:r>
      <w:r>
        <w:rPr>
          <w:noProof/>
        </w:rPr>
        <w:t xml:space="preserve"> от Комисията</w:t>
      </w:r>
    </w:p>
    <w:p w:rsidR="00242E09" w:rsidRDefault="00CE46B8">
      <w:pPr>
        <w:pStyle w:val="ListDash2"/>
        <w:rPr>
          <w:rFonts w:cs="EUAlbertina"/>
          <w:noProof/>
        </w:rPr>
      </w:pPr>
      <w:r>
        <w:rPr>
          <w:noProof/>
        </w:rPr>
        <w:sym w:font="Wingdings" w:char="F0FD"/>
      </w:r>
      <w:r>
        <w:rPr>
          <w:noProof/>
        </w:rPr>
        <w:t xml:space="preserve"> от нейните служби, включително от нейния персонал в делегациите на Съюза; </w:t>
      </w:r>
    </w:p>
    <w:p w:rsidR="00242E09" w:rsidRDefault="00CE46B8">
      <w:pPr>
        <w:pStyle w:val="ListDash2"/>
        <w:rPr>
          <w:noProof/>
        </w:rPr>
      </w:pPr>
      <w:r>
        <w:rPr>
          <w:noProof/>
        </w:rPr>
        <w:sym w:font="Wingdings" w:char="F0A8"/>
      </w:r>
      <w:r>
        <w:rPr>
          <w:noProof/>
        </w:rPr>
        <w:tab/>
        <w:t xml:space="preserve">от изпълнителните агенции </w:t>
      </w:r>
    </w:p>
    <w:p w:rsidR="00242E09" w:rsidRDefault="00CE46B8">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rsidR="00242E09" w:rsidRDefault="00CE46B8">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242E09" w:rsidRDefault="00CE46B8">
      <w:pPr>
        <w:pStyle w:val="ListDash2"/>
        <w:rPr>
          <w:noProof/>
        </w:rPr>
      </w:pPr>
      <w:r>
        <w:rPr>
          <w:noProof/>
        </w:rPr>
        <w:sym w:font="Wingdings" w:char="F0A8"/>
      </w:r>
      <w:r>
        <w:rPr>
          <w:noProof/>
        </w:rPr>
        <w:t xml:space="preserve"> трет</w:t>
      </w:r>
      <w:r>
        <w:rPr>
          <w:noProof/>
        </w:rPr>
        <w:t>и държави или органите, определени от тях;</w:t>
      </w:r>
    </w:p>
    <w:p w:rsidR="00242E09" w:rsidRDefault="00CE46B8">
      <w:pPr>
        <w:pStyle w:val="ListDash2"/>
        <w:rPr>
          <w:noProof/>
        </w:rPr>
      </w:pPr>
      <w:r>
        <w:rPr>
          <w:noProof/>
        </w:rPr>
        <w:sym w:font="Wingdings" w:char="F0A8"/>
      </w:r>
      <w:r>
        <w:rPr>
          <w:noProof/>
        </w:rPr>
        <w:t xml:space="preserve"> международни организации и техните агенции (да се уточни);</w:t>
      </w:r>
    </w:p>
    <w:p w:rsidR="00242E09" w:rsidRDefault="00CE46B8">
      <w:pPr>
        <w:pStyle w:val="ListDash2"/>
        <w:rPr>
          <w:noProof/>
        </w:rPr>
      </w:pPr>
      <w:r>
        <w:rPr>
          <w:noProof/>
        </w:rPr>
        <w:sym w:font="Wingdings" w:char="F0A8"/>
      </w:r>
      <w:r>
        <w:rPr>
          <w:noProof/>
        </w:rPr>
        <w:t xml:space="preserve"> ЕИБ и Европейския инвестиционен фонд;</w:t>
      </w:r>
    </w:p>
    <w:p w:rsidR="00242E09" w:rsidRDefault="00CE46B8">
      <w:pPr>
        <w:pStyle w:val="ListDash2"/>
        <w:rPr>
          <w:noProof/>
        </w:rPr>
      </w:pPr>
      <w:r>
        <w:rPr>
          <w:noProof/>
        </w:rPr>
        <w:sym w:font="Wingdings" w:char="F0A8"/>
      </w:r>
      <w:r>
        <w:rPr>
          <w:noProof/>
        </w:rPr>
        <w:t xml:space="preserve"> органите, посочени в членове 208 и 209 от Финансовия регламент;</w:t>
      </w:r>
    </w:p>
    <w:p w:rsidR="00242E09" w:rsidRDefault="00CE46B8">
      <w:pPr>
        <w:pStyle w:val="ListDash2"/>
        <w:rPr>
          <w:noProof/>
        </w:rPr>
      </w:pPr>
      <w:r>
        <w:rPr>
          <w:noProof/>
        </w:rPr>
        <w:sym w:font="Wingdings" w:char="F0A8"/>
      </w:r>
      <w:r>
        <w:rPr>
          <w:noProof/>
        </w:rPr>
        <w:t xml:space="preserve"> публичноправни органи;</w:t>
      </w:r>
    </w:p>
    <w:p w:rsidR="00242E09" w:rsidRDefault="00CE46B8">
      <w:pPr>
        <w:pStyle w:val="ListDash2"/>
        <w:rPr>
          <w:noProof/>
        </w:rPr>
      </w:pPr>
      <w:r>
        <w:rPr>
          <w:noProof/>
        </w:rPr>
        <w:sym w:font="Wingdings" w:char="F0A8"/>
      </w:r>
      <w:r>
        <w:rPr>
          <w:noProof/>
        </w:rPr>
        <w:t xml:space="preserve"> частноправни органи</w:t>
      </w:r>
      <w:r>
        <w:rPr>
          <w:noProof/>
        </w:rPr>
        <w:t xml:space="preserve"> със задължение за обществена услуга, доколкото предоставят подходящи финансови гаранции;</w:t>
      </w:r>
    </w:p>
    <w:p w:rsidR="00242E09" w:rsidRDefault="00CE46B8">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w:t>
      </w:r>
      <w:r>
        <w:rPr>
          <w:noProof/>
        </w:rPr>
        <w:t>анции;</w:t>
      </w:r>
    </w:p>
    <w:p w:rsidR="00242E09" w:rsidRDefault="00CE46B8">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242E09" w:rsidRDefault="00CE46B8">
      <w:pPr>
        <w:pStyle w:val="ListDash2"/>
        <w:rPr>
          <w:i/>
          <w:noProof/>
          <w:sz w:val="18"/>
          <w:u w:val="single"/>
        </w:rPr>
      </w:pPr>
      <w:r>
        <w:rPr>
          <w:i/>
          <w:noProof/>
          <w:sz w:val="18"/>
        </w:rPr>
        <w:t>Ако е посочен повече от един метод на управление, пояснете в частта „Забележки“.</w:t>
      </w:r>
    </w:p>
    <w:p w:rsidR="00242E09" w:rsidRDefault="00CE46B8">
      <w:pPr>
        <w:rPr>
          <w:noProof/>
        </w:rPr>
      </w:pPr>
      <w:r>
        <w:rPr>
          <w:noProof/>
        </w:rPr>
        <w:t xml:space="preserve">Забележки </w:t>
      </w:r>
    </w:p>
    <w:p w:rsidR="00242E09" w:rsidRDefault="00CE46B8">
      <w:pPr>
        <w:pBdr>
          <w:top w:val="single" w:sz="4" w:space="1" w:color="auto"/>
          <w:left w:val="single" w:sz="4" w:space="4" w:color="auto"/>
          <w:bottom w:val="single" w:sz="4" w:space="1" w:color="auto"/>
          <w:right w:val="single" w:sz="4" w:space="4" w:color="auto"/>
        </w:pBdr>
        <w:rPr>
          <w:noProof/>
        </w:rPr>
      </w:pPr>
      <w:r>
        <w:rPr>
          <w:noProof/>
        </w:rPr>
        <w:t>[…]</w:t>
      </w:r>
    </w:p>
    <w:p w:rsidR="00242E09" w:rsidRDefault="00CE46B8">
      <w:pPr>
        <w:pBdr>
          <w:top w:val="single" w:sz="4" w:space="1" w:color="auto"/>
          <w:left w:val="single" w:sz="4" w:space="4" w:color="auto"/>
          <w:bottom w:val="single" w:sz="4" w:space="1" w:color="auto"/>
          <w:right w:val="single" w:sz="4" w:space="4" w:color="auto"/>
        </w:pBdr>
        <w:rPr>
          <w:noProof/>
        </w:rPr>
      </w:pPr>
      <w:r>
        <w:rPr>
          <w:noProof/>
        </w:rPr>
        <w:t>[…]</w:t>
      </w:r>
    </w:p>
    <w:p w:rsidR="00242E09" w:rsidRDefault="00242E09">
      <w:pPr>
        <w:rPr>
          <w:noProof/>
        </w:rPr>
        <w:sectPr w:rsidR="00242E09">
          <w:pgSz w:w="11907" w:h="16840" w:code="9"/>
          <w:pgMar w:top="1134" w:right="1418" w:bottom="1134" w:left="1418" w:header="709" w:footer="709" w:gutter="0"/>
          <w:cols w:space="708"/>
          <w:docGrid w:linePitch="360"/>
        </w:sectPr>
      </w:pPr>
    </w:p>
    <w:p w:rsidR="00242E09" w:rsidRDefault="00CE46B8">
      <w:pPr>
        <w:pStyle w:val="ManualHeading1"/>
        <w:rPr>
          <w:bCs/>
          <w:noProof/>
          <w:szCs w:val="24"/>
        </w:rPr>
      </w:pPr>
      <w:r>
        <w:lastRenderedPageBreak/>
        <w:t>2.</w:t>
      </w:r>
      <w:r>
        <w:tab/>
      </w:r>
      <w:r>
        <w:rPr>
          <w:noProof/>
        </w:rPr>
        <w:t xml:space="preserve">МЕРКИ ЗА УПРАВЛЕНИЕ </w:t>
      </w:r>
    </w:p>
    <w:p w:rsidR="00242E09" w:rsidRDefault="00CE46B8">
      <w:pPr>
        <w:pStyle w:val="ManualHeading2"/>
        <w:rPr>
          <w:noProof/>
        </w:rPr>
      </w:pPr>
      <w:r>
        <w:t>2.1.</w:t>
      </w:r>
      <w:r>
        <w:tab/>
      </w:r>
      <w:r>
        <w:rPr>
          <w:noProof/>
        </w:rPr>
        <w:t xml:space="preserve">Правила за мониторинг и докладване </w:t>
      </w:r>
    </w:p>
    <w:p w:rsidR="00242E09" w:rsidRDefault="00CE46B8">
      <w:pPr>
        <w:pStyle w:val="Text1"/>
        <w:rPr>
          <w:i/>
          <w:noProof/>
          <w:sz w:val="20"/>
          <w:u w:val="single"/>
        </w:rPr>
      </w:pPr>
      <w:r>
        <w:rPr>
          <w:i/>
          <w:noProof/>
          <w:sz w:val="20"/>
        </w:rPr>
        <w:t>Да се посочат честотата и условията.</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 xml:space="preserve">Налице е система за редовно и задълбочено докладване за качеството за всяко събиране на статистически данни в съответствие с </w:t>
      </w:r>
      <w:r>
        <w:rPr>
          <w:noProof/>
        </w:rPr>
        <w:t>конкретните правила на Евростат. Това докладване ще бъде продължено и допълнително подобрено с новото предложение.</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 xml:space="preserve">Получателите на безвъзмездни средства трябва да представят събраните данни, както и съответния доклад за качеството. </w:t>
      </w:r>
    </w:p>
    <w:p w:rsidR="00242E09" w:rsidRDefault="00CE46B8">
      <w:pPr>
        <w:pStyle w:val="ManualHeading2"/>
        <w:rPr>
          <w:bCs/>
          <w:noProof/>
          <w:szCs w:val="24"/>
        </w:rPr>
      </w:pPr>
      <w:r>
        <w:t>2.2.</w:t>
      </w:r>
      <w:r>
        <w:tab/>
      </w:r>
      <w:r>
        <w:rPr>
          <w:noProof/>
        </w:rPr>
        <w:t>Система за управле</w:t>
      </w:r>
      <w:r>
        <w:rPr>
          <w:noProof/>
        </w:rPr>
        <w:t xml:space="preserve">ние и контрол </w:t>
      </w:r>
    </w:p>
    <w:p w:rsidR="00242E09" w:rsidRDefault="00CE46B8">
      <w:pPr>
        <w:pStyle w:val="ManualHeading3"/>
        <w:rPr>
          <w:noProof/>
        </w:rPr>
      </w:pPr>
      <w:r>
        <w:t>2.2.1.</w:t>
      </w:r>
      <w:r>
        <w:tab/>
      </w:r>
      <w:r>
        <w:rPr>
          <w:noProof/>
        </w:rPr>
        <w:t xml:space="preserve">Установени рискове </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 xml:space="preserve">Тъй като се предвижда методът на управление да е пряко управление, присъщите рискове са тези, свързани с управлението на обществените поръчки и безвъзмездните средства. </w:t>
      </w:r>
    </w:p>
    <w:p w:rsidR="00242E09" w:rsidRDefault="00CE46B8">
      <w:pPr>
        <w:pStyle w:val="ManualHeading3"/>
        <w:rPr>
          <w:bCs/>
          <w:noProof/>
          <w:szCs w:val="24"/>
        </w:rPr>
      </w:pPr>
      <w:r>
        <w:t>2.2.2.</w:t>
      </w:r>
      <w:r>
        <w:tab/>
      </w:r>
      <w:r>
        <w:rPr>
          <w:noProof/>
        </w:rPr>
        <w:t xml:space="preserve">Информация за изградената система за </w:t>
      </w:r>
      <w:r>
        <w:rPr>
          <w:noProof/>
        </w:rPr>
        <w:t>вътрешен контрол</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изпълнението на бюджета Евростат разработи стратегия за контрол за периода 2013 — 2017 г. Включените в тази стратегия мерки и инструменти са изцяло приложими към предложения регламент. Целта е чрез намаляването на сложностт</w:t>
      </w:r>
      <w:r>
        <w:rPr>
          <w:noProof/>
        </w:rPr>
        <w:t>а, прилагането на разходоефективни процедури за мониторинг и осъществяването на предварителни и последващи проверки въз основа на риска да се намали вероятността от измами и да се помогне за тяхното предотвратяване. В стратегията за контрол са предвидени к</w:t>
      </w:r>
      <w:r>
        <w:rPr>
          <w:noProof/>
        </w:rPr>
        <w:t>онкретни мерки за повишаване на информираността и съответно обучение във връзка с предотвратяването на измами.</w:t>
      </w:r>
    </w:p>
    <w:p w:rsidR="00242E09" w:rsidRDefault="00CE46B8">
      <w:pPr>
        <w:pStyle w:val="ManualHeading3"/>
        <w:rPr>
          <w:noProof/>
        </w:rPr>
      </w:pPr>
      <w:r>
        <w:t>2.2.3.</w:t>
      </w:r>
      <w:r>
        <w:tab/>
      </w:r>
      <w:r>
        <w:rPr>
          <w:noProof/>
        </w:rPr>
        <w:t xml:space="preserve">Оценка на разходите и ползите от проверките и на очаквания риск от грешка </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Евростат въведе стратегия за контрол, която най-общо има за цел</w:t>
      </w:r>
      <w:r>
        <w:rPr>
          <w:noProof/>
        </w:rPr>
        <w:t xml:space="preserve"> да ограничи риска от несъответствие по критерия за същественост от 2 %, в съответствие с целите за вътрешен контрол и управление на риска, изложени в нейния стратегически план за периода 2016 — 2020 г. 100 % от финансовите операции (и следователно 100 % о</w:t>
      </w:r>
      <w:r>
        <w:rPr>
          <w:noProof/>
        </w:rPr>
        <w:t>т бюджета) ще бъдат предмет на задължителни предварителни проверки в съответствие с Финансовия регламент. Освен това след годишен анализ на риска ще се извършват проверки въз основа на задълбочен анализ на основната документация. Те могат да обхванат 4 — 6</w:t>
      </w:r>
      <w:r>
        <w:rPr>
          <w:noProof/>
        </w:rPr>
        <w:t xml:space="preserve"> % от общия годишен бюджет, управляван от Евростат. </w:t>
      </w:r>
    </w:p>
    <w:p w:rsidR="00242E09" w:rsidRDefault="00CE46B8">
      <w:pPr>
        <w:pStyle w:val="ManualHeading2"/>
        <w:rPr>
          <w:bCs/>
          <w:noProof/>
          <w:szCs w:val="24"/>
        </w:rPr>
      </w:pPr>
      <w:r>
        <w:t>2.3.</w:t>
      </w:r>
      <w:r>
        <w:tab/>
      </w:r>
      <w:r>
        <w:rPr>
          <w:noProof/>
        </w:rPr>
        <w:t xml:space="preserve">Мерки за предотвратяване на измами и нередности </w:t>
      </w:r>
    </w:p>
    <w:p w:rsidR="00242E09" w:rsidRDefault="00CE46B8">
      <w:pPr>
        <w:pStyle w:val="Text1"/>
        <w:rPr>
          <w:i/>
          <w:noProof/>
          <w:sz w:val="20"/>
        </w:rPr>
      </w:pPr>
      <w:r>
        <w:rPr>
          <w:i/>
          <w:noProof/>
          <w:sz w:val="20"/>
        </w:rPr>
        <w:t>Да се посочат съществуващите или планираните мерки за превенция и защита.</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На 30 октомври 2013 г. Евростат прие своята стратегия за борба с измамите з</w:t>
      </w:r>
      <w:r>
        <w:rPr>
          <w:noProof/>
        </w:rPr>
        <w:t>а периода 2014 — 2017 г. в съответствие със стратегията на Комисията за борба с измамите от 24 юни 2011 г. (CAFS). В стратегията на Евростат за борба с измамите са определени три оперативни цели: i.) да се утвърдят съществуващите мерки за борба с измамите;</w:t>
      </w:r>
      <w:r>
        <w:rPr>
          <w:noProof/>
        </w:rPr>
        <w:t xml:space="preserve"> ii.) да се интегрират в по-голяма степен елементите за борба с измамите в оценката/управлението на риска в Евростат, както и в одитите, планирането, докладването и мониторинга; iii.) да </w:t>
      </w:r>
      <w:r>
        <w:rPr>
          <w:noProof/>
        </w:rPr>
        <w:lastRenderedPageBreak/>
        <w:t>се укрепи капацитетът на Евростат за борба с измамите и осведоменостт</w:t>
      </w:r>
      <w:r>
        <w:rPr>
          <w:noProof/>
        </w:rPr>
        <w:t>а в това отношение като част от културата на борба с измамите на Комисията. Към стратегията за борба с измамите е изготвен план за действие за борба с измамите. През периода на нейното прилагане два пъти годишно се осъществява мониторинг на изпълнението на</w:t>
      </w:r>
      <w:r>
        <w:rPr>
          <w:noProof/>
        </w:rPr>
        <w:t xml:space="preserve"> стратегията за борба с измамите, резултатите от който се докладват на ръководството.</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През 2017 г. Евростат ще направи оценка на въздействието на стратегията и съответно ще я актуализира. През 2016 г., като важен етап от оценяването на стратегията, Евроста</w:t>
      </w:r>
      <w:r>
        <w:rPr>
          <w:noProof/>
        </w:rPr>
        <w:t xml:space="preserve">т подложи на преглед своя план за действие за борба с измамите. </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Както прегледът на стратегията на Евростат, така и този на плана за действие се извършат въз основа на актуализираната методология и насоки на OLAF, публикувани през февруари 2016 г.</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Освен то</w:t>
      </w:r>
      <w:r>
        <w:rPr>
          <w:noProof/>
        </w:rPr>
        <w:t xml:space="preserve">ва, що се отнася до безвъзмездните средства, всички потенциални бенефициери — получатели на безвъзмездни средства, са публични органи (национални статистически институти и други национални органи в съответствие с определенията въз основа на Регламент (ЕО) </w:t>
      </w:r>
      <w:r>
        <w:rPr>
          <w:noProof/>
        </w:rPr>
        <w:t>№ 223/2009). Нещо повече — безвъзмездните средства се предоставят без покани за представяне на предложения. Извършват се проверки, при които се отчита спецификата на процедурите по предоставяне на безвъзмездни средства и които включват предварителен и посл</w:t>
      </w:r>
      <w:r>
        <w:rPr>
          <w:noProof/>
        </w:rPr>
        <w:t>едващ анализ на управлението на безвъзмездни средства.</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Използването на единични разходи и еднократни суми в съответствие с член 124, параграф 1 от Финансовия регламент значително намалява риска от грешки, свързани с управлението на безвъзмездните средства,</w:t>
      </w:r>
      <w:r>
        <w:rPr>
          <w:noProof/>
        </w:rPr>
        <w:t xml:space="preserve"> така че да бъдат създадени условия за значително опростяване на административните процедури. </w:t>
      </w:r>
    </w:p>
    <w:p w:rsidR="00242E09" w:rsidRDefault="00242E09">
      <w:pPr>
        <w:rPr>
          <w:noProof/>
        </w:rPr>
        <w:sectPr w:rsidR="00242E09">
          <w:pgSz w:w="11907" w:h="16840" w:code="9"/>
          <w:pgMar w:top="1134" w:right="1418" w:bottom="1134" w:left="1418" w:header="709" w:footer="709" w:gutter="0"/>
          <w:cols w:space="708"/>
          <w:docGrid w:linePitch="360"/>
        </w:sectPr>
      </w:pPr>
    </w:p>
    <w:p w:rsidR="00242E09" w:rsidRDefault="00CE46B8">
      <w:pPr>
        <w:pStyle w:val="ManualHeading1"/>
        <w:rPr>
          <w:bCs/>
          <w:noProof/>
          <w:szCs w:val="24"/>
        </w:rPr>
      </w:pPr>
      <w:r>
        <w:lastRenderedPageBreak/>
        <w:t>3.</w:t>
      </w:r>
      <w:r>
        <w:tab/>
      </w:r>
      <w:r>
        <w:rPr>
          <w:noProof/>
        </w:rPr>
        <w:t xml:space="preserve">ОЧАКВАНО ФИНАНСОВО ОТРАЖЕНИЕ НА ПРЕДЛОЖЕНИЕТО/ИНИЦИАТИВАТА </w:t>
      </w:r>
    </w:p>
    <w:p w:rsidR="00242E09" w:rsidRDefault="00CE46B8">
      <w:pPr>
        <w:pStyle w:val="ManualHeading2"/>
        <w:rPr>
          <w:noProof/>
        </w:rPr>
      </w:pPr>
      <w:r>
        <w:t>3.1.</w:t>
      </w:r>
      <w:r>
        <w:tab/>
      </w:r>
      <w:r>
        <w:rPr>
          <w:noProof/>
        </w:rPr>
        <w:t>Съответни функции от многогодишната финансова рамка и разходни бюджет</w:t>
      </w:r>
      <w:r>
        <w:rPr>
          <w:noProof/>
        </w:rPr>
        <w:t xml:space="preserve">ни редове </w:t>
      </w:r>
    </w:p>
    <w:p w:rsidR="00242E09" w:rsidRDefault="00CE46B8">
      <w:pPr>
        <w:pStyle w:val="ListBullet1"/>
        <w:rPr>
          <w:noProof/>
        </w:rPr>
      </w:pPr>
      <w:r>
        <w:rPr>
          <w:noProof/>
        </w:rPr>
        <w:t xml:space="preserve">Съществуващи бюджетни редове </w:t>
      </w:r>
    </w:p>
    <w:p w:rsidR="00242E09" w:rsidRDefault="00CE46B8">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42E09">
        <w:tc>
          <w:tcPr>
            <w:tcW w:w="1080" w:type="dxa"/>
            <w:vMerge w:val="restart"/>
            <w:vAlign w:val="center"/>
          </w:tcPr>
          <w:p w:rsidR="00242E09" w:rsidRDefault="00CE46B8">
            <w:pPr>
              <w:spacing w:before="60" w:after="60"/>
              <w:jc w:val="center"/>
              <w:rPr>
                <w:noProof/>
              </w:rPr>
            </w:pPr>
            <w:r>
              <w:rPr>
                <w:noProof/>
                <w:sz w:val="18"/>
              </w:rPr>
              <w:t>Функция от многогодишната финансова рамка</w:t>
            </w:r>
          </w:p>
        </w:tc>
        <w:tc>
          <w:tcPr>
            <w:tcW w:w="3960" w:type="dxa"/>
            <w:vAlign w:val="center"/>
          </w:tcPr>
          <w:p w:rsidR="00242E09" w:rsidRDefault="00CE46B8">
            <w:pPr>
              <w:spacing w:before="60" w:after="60"/>
              <w:jc w:val="center"/>
              <w:rPr>
                <w:noProof/>
              </w:rPr>
            </w:pPr>
            <w:r>
              <w:rPr>
                <w:noProof/>
                <w:sz w:val="20"/>
              </w:rPr>
              <w:t>Бюджетен ред</w:t>
            </w:r>
          </w:p>
        </w:tc>
        <w:tc>
          <w:tcPr>
            <w:tcW w:w="1080" w:type="dxa"/>
            <w:vAlign w:val="center"/>
          </w:tcPr>
          <w:p w:rsidR="00242E09" w:rsidRDefault="00CE46B8">
            <w:pPr>
              <w:spacing w:before="60" w:after="60"/>
              <w:jc w:val="center"/>
              <w:rPr>
                <w:noProof/>
              </w:rPr>
            </w:pPr>
            <w:r>
              <w:rPr>
                <w:noProof/>
                <w:sz w:val="18"/>
              </w:rPr>
              <w:t xml:space="preserve">Вид </w:t>
            </w:r>
            <w:r>
              <w:rPr>
                <w:noProof/>
                <w:sz w:val="22"/>
              </w:rPr>
              <w:br/>
            </w:r>
            <w:r>
              <w:rPr>
                <w:noProof/>
                <w:sz w:val="18"/>
              </w:rPr>
              <w:t>разходи</w:t>
            </w:r>
          </w:p>
        </w:tc>
        <w:tc>
          <w:tcPr>
            <w:tcW w:w="4440" w:type="dxa"/>
            <w:gridSpan w:val="4"/>
            <w:vAlign w:val="center"/>
          </w:tcPr>
          <w:p w:rsidR="00242E09" w:rsidRDefault="00CE46B8">
            <w:pPr>
              <w:spacing w:before="60" w:after="60"/>
              <w:jc w:val="center"/>
              <w:rPr>
                <w:noProof/>
              </w:rPr>
            </w:pPr>
            <w:r>
              <w:rPr>
                <w:noProof/>
                <w:sz w:val="20"/>
              </w:rPr>
              <w:t xml:space="preserve">Вноска </w:t>
            </w:r>
          </w:p>
        </w:tc>
      </w:tr>
      <w:tr w:rsidR="00242E09">
        <w:tc>
          <w:tcPr>
            <w:tcW w:w="1080" w:type="dxa"/>
            <w:vMerge/>
            <w:vAlign w:val="center"/>
          </w:tcPr>
          <w:p w:rsidR="00242E09" w:rsidRDefault="00242E09">
            <w:pPr>
              <w:jc w:val="center"/>
              <w:rPr>
                <w:noProof/>
              </w:rPr>
            </w:pPr>
          </w:p>
        </w:tc>
        <w:tc>
          <w:tcPr>
            <w:tcW w:w="3960" w:type="dxa"/>
            <w:vAlign w:val="center"/>
          </w:tcPr>
          <w:p w:rsidR="00242E09" w:rsidRDefault="00CE46B8">
            <w:pPr>
              <w:rPr>
                <w:noProof/>
              </w:rPr>
            </w:pPr>
            <w:r>
              <w:rPr>
                <w:noProof/>
                <w:sz w:val="20"/>
              </w:rPr>
              <w:t xml:space="preserve">Номер </w:t>
            </w:r>
            <w:r>
              <w:rPr>
                <w:noProof/>
                <w:sz w:val="22"/>
              </w:rPr>
              <w:br/>
            </w:r>
            <w:r>
              <w:rPr>
                <w:noProof/>
              </w:rPr>
              <w:t>[…]</w:t>
            </w:r>
            <w:r>
              <w:rPr>
                <w:noProof/>
                <w:sz w:val="20"/>
              </w:rPr>
              <w:t>[Наименование...]</w:t>
            </w:r>
          </w:p>
        </w:tc>
        <w:tc>
          <w:tcPr>
            <w:tcW w:w="1080" w:type="dxa"/>
            <w:vAlign w:val="center"/>
          </w:tcPr>
          <w:p w:rsidR="00242E09" w:rsidRDefault="00CE46B8">
            <w:pPr>
              <w:jc w:val="center"/>
              <w:rPr>
                <w:noProof/>
              </w:rPr>
            </w:pPr>
            <w:r>
              <w:rPr>
                <w:noProof/>
                <w:sz w:val="18"/>
              </w:rPr>
              <w:t>Многогод./едногод.</w:t>
            </w:r>
            <w:r>
              <w:rPr>
                <w:rStyle w:val="FootnoteReference"/>
                <w:noProof/>
                <w:sz w:val="18"/>
              </w:rPr>
              <w:footnoteReference w:id="32"/>
            </w:r>
            <w:r>
              <w:rPr>
                <w:noProof/>
              </w:rPr>
              <w:t>.</w:t>
            </w:r>
          </w:p>
        </w:tc>
        <w:tc>
          <w:tcPr>
            <w:tcW w:w="956" w:type="dxa"/>
            <w:vAlign w:val="center"/>
          </w:tcPr>
          <w:p w:rsidR="00242E09" w:rsidRDefault="00CE46B8">
            <w:pPr>
              <w:jc w:val="center"/>
              <w:rPr>
                <w:noProof/>
              </w:rPr>
            </w:pPr>
            <w:r>
              <w:rPr>
                <w:noProof/>
                <w:sz w:val="18"/>
              </w:rPr>
              <w:t xml:space="preserve">от </w:t>
            </w:r>
            <w:r>
              <w:rPr>
                <w:noProof/>
                <w:sz w:val="18"/>
              </w:rPr>
              <w:t>държави от ЕАСТ</w:t>
            </w:r>
            <w:r>
              <w:rPr>
                <w:rStyle w:val="FootnoteReference"/>
                <w:noProof/>
                <w:sz w:val="18"/>
              </w:rPr>
              <w:footnoteReference w:id="33"/>
            </w:r>
          </w:p>
          <w:p w:rsidR="00242E09" w:rsidRDefault="00242E09">
            <w:pPr>
              <w:spacing w:after="0"/>
              <w:jc w:val="center"/>
              <w:rPr>
                <w:b/>
                <w:noProof/>
                <w:sz w:val="18"/>
              </w:rPr>
            </w:pPr>
          </w:p>
        </w:tc>
        <w:tc>
          <w:tcPr>
            <w:tcW w:w="1080" w:type="dxa"/>
            <w:vAlign w:val="center"/>
          </w:tcPr>
          <w:p w:rsidR="00242E09" w:rsidRDefault="00CE46B8">
            <w:pPr>
              <w:jc w:val="center"/>
              <w:rPr>
                <w:noProof/>
              </w:rPr>
            </w:pPr>
            <w:r>
              <w:rPr>
                <w:noProof/>
                <w:sz w:val="18"/>
              </w:rPr>
              <w:t>от държави кандидатки</w:t>
            </w:r>
            <w:r>
              <w:rPr>
                <w:rStyle w:val="FootnoteReference"/>
                <w:noProof/>
                <w:sz w:val="18"/>
              </w:rPr>
              <w:footnoteReference w:id="34"/>
            </w:r>
          </w:p>
          <w:p w:rsidR="00242E09" w:rsidRDefault="00242E09">
            <w:pPr>
              <w:spacing w:after="0"/>
              <w:jc w:val="center"/>
              <w:rPr>
                <w:noProof/>
                <w:sz w:val="18"/>
              </w:rPr>
            </w:pPr>
          </w:p>
        </w:tc>
        <w:tc>
          <w:tcPr>
            <w:tcW w:w="956" w:type="dxa"/>
            <w:vAlign w:val="center"/>
          </w:tcPr>
          <w:p w:rsidR="00242E09" w:rsidRDefault="00CE46B8">
            <w:pPr>
              <w:jc w:val="center"/>
              <w:rPr>
                <w:noProof/>
                <w:sz w:val="18"/>
              </w:rPr>
            </w:pPr>
            <w:r>
              <w:rPr>
                <w:noProof/>
                <w:sz w:val="18"/>
              </w:rPr>
              <w:t>от трети държави</w:t>
            </w:r>
          </w:p>
        </w:tc>
        <w:tc>
          <w:tcPr>
            <w:tcW w:w="1448" w:type="dxa"/>
            <w:vAlign w:val="center"/>
          </w:tcPr>
          <w:p w:rsidR="00242E09" w:rsidRDefault="00CE46B8">
            <w:pPr>
              <w:jc w:val="center"/>
              <w:rPr>
                <w:noProof/>
              </w:rPr>
            </w:pPr>
            <w:r>
              <w:rPr>
                <w:noProof/>
                <w:sz w:val="16"/>
              </w:rPr>
              <w:t xml:space="preserve">по смисъла на член 21, параграф 2, буква б) от Финансовия регламент </w:t>
            </w:r>
          </w:p>
        </w:tc>
      </w:tr>
      <w:tr w:rsidR="00242E09">
        <w:tc>
          <w:tcPr>
            <w:tcW w:w="1080" w:type="dxa"/>
            <w:vAlign w:val="center"/>
          </w:tcPr>
          <w:p w:rsidR="00242E09" w:rsidRDefault="00CE46B8">
            <w:pPr>
              <w:jc w:val="center"/>
              <w:rPr>
                <w:noProof/>
              </w:rPr>
            </w:pPr>
            <w:r>
              <w:rPr>
                <w:noProof/>
              </w:rPr>
              <w:t>1а</w:t>
            </w:r>
          </w:p>
        </w:tc>
        <w:tc>
          <w:tcPr>
            <w:tcW w:w="3960" w:type="dxa"/>
            <w:vAlign w:val="center"/>
          </w:tcPr>
          <w:p w:rsidR="00242E09" w:rsidRDefault="00CE46B8">
            <w:pPr>
              <w:spacing w:after="60"/>
              <w:rPr>
                <w:noProof/>
              </w:rPr>
            </w:pPr>
            <w:r>
              <w:rPr>
                <w:noProof/>
              </w:rPr>
              <w:t>29.020100 — ЕСП18_20 — Европейска статистическа програма (ЕСП) 2018 — 2020 г.</w:t>
            </w:r>
          </w:p>
        </w:tc>
        <w:tc>
          <w:tcPr>
            <w:tcW w:w="1080" w:type="dxa"/>
            <w:vAlign w:val="center"/>
          </w:tcPr>
          <w:p w:rsidR="00242E09" w:rsidRDefault="00CE46B8">
            <w:pPr>
              <w:jc w:val="center"/>
              <w:rPr>
                <w:noProof/>
              </w:rPr>
            </w:pPr>
            <w:r>
              <w:rPr>
                <w:noProof/>
                <w:sz w:val="22"/>
              </w:rPr>
              <w:t>Многогод.</w:t>
            </w:r>
          </w:p>
        </w:tc>
        <w:tc>
          <w:tcPr>
            <w:tcW w:w="956" w:type="dxa"/>
            <w:vAlign w:val="center"/>
          </w:tcPr>
          <w:p w:rsidR="00242E09" w:rsidRDefault="00CE46B8">
            <w:pPr>
              <w:jc w:val="center"/>
              <w:rPr>
                <w:noProof/>
              </w:rPr>
            </w:pPr>
            <w:r>
              <w:rPr>
                <w:noProof/>
                <w:sz w:val="22"/>
              </w:rPr>
              <w:t>ДА</w:t>
            </w:r>
          </w:p>
        </w:tc>
        <w:tc>
          <w:tcPr>
            <w:tcW w:w="1080" w:type="dxa"/>
            <w:vAlign w:val="center"/>
          </w:tcPr>
          <w:p w:rsidR="00242E09" w:rsidRDefault="00CE46B8">
            <w:pPr>
              <w:jc w:val="center"/>
              <w:rPr>
                <w:noProof/>
              </w:rPr>
            </w:pPr>
            <w:r>
              <w:rPr>
                <w:noProof/>
                <w:sz w:val="22"/>
              </w:rPr>
              <w:t>НЕ</w:t>
            </w:r>
          </w:p>
        </w:tc>
        <w:tc>
          <w:tcPr>
            <w:tcW w:w="956" w:type="dxa"/>
            <w:vAlign w:val="center"/>
          </w:tcPr>
          <w:p w:rsidR="00242E09" w:rsidRDefault="00CE46B8">
            <w:pPr>
              <w:jc w:val="center"/>
              <w:rPr>
                <w:noProof/>
              </w:rPr>
            </w:pPr>
            <w:r>
              <w:rPr>
                <w:noProof/>
                <w:sz w:val="22"/>
              </w:rPr>
              <w:t>НЕ</w:t>
            </w:r>
          </w:p>
        </w:tc>
        <w:tc>
          <w:tcPr>
            <w:tcW w:w="1448" w:type="dxa"/>
            <w:vAlign w:val="center"/>
          </w:tcPr>
          <w:p w:rsidR="00242E09" w:rsidRDefault="00CE46B8">
            <w:pPr>
              <w:jc w:val="center"/>
              <w:rPr>
                <w:noProof/>
              </w:rPr>
            </w:pPr>
            <w:r>
              <w:rPr>
                <w:noProof/>
                <w:sz w:val="22"/>
              </w:rPr>
              <w:t>НЕ</w:t>
            </w:r>
          </w:p>
        </w:tc>
      </w:tr>
      <w:tr w:rsidR="00242E09">
        <w:tc>
          <w:tcPr>
            <w:tcW w:w="1080" w:type="dxa"/>
            <w:vAlign w:val="center"/>
          </w:tcPr>
          <w:p w:rsidR="00242E09" w:rsidRDefault="00CE46B8">
            <w:pPr>
              <w:jc w:val="center"/>
              <w:rPr>
                <w:noProof/>
              </w:rPr>
            </w:pPr>
            <w:r>
              <w:rPr>
                <w:noProof/>
                <w:sz w:val="22"/>
              </w:rPr>
              <w:t>1а</w:t>
            </w:r>
          </w:p>
        </w:tc>
        <w:tc>
          <w:tcPr>
            <w:tcW w:w="3960" w:type="dxa"/>
            <w:vAlign w:val="center"/>
          </w:tcPr>
          <w:p w:rsidR="00242E09" w:rsidRDefault="00CE46B8">
            <w:pPr>
              <w:spacing w:after="60"/>
            </w:pPr>
            <w:r>
              <w:rPr>
                <w:noProof/>
              </w:rPr>
              <w:t xml:space="preserve">09.040201 — Водещи </w:t>
            </w:r>
            <w:r>
              <w:rPr>
                <w:noProof/>
              </w:rPr>
              <w:t>позиции в информационните и комуникационните технологии (Свързана програма: ХОРИЗОНТ 2020 — Рамкова програма за научни изследвания и иновации (Хоризонт 2020))</w:t>
            </w:r>
          </w:p>
        </w:tc>
        <w:tc>
          <w:tcPr>
            <w:tcW w:w="1080" w:type="dxa"/>
            <w:vAlign w:val="center"/>
          </w:tcPr>
          <w:p w:rsidR="00242E09" w:rsidRDefault="00CE46B8">
            <w:pPr>
              <w:jc w:val="center"/>
              <w:rPr>
                <w:noProof/>
                <w:sz w:val="22"/>
              </w:rPr>
            </w:pPr>
            <w:r>
              <w:rPr>
                <w:noProof/>
                <w:sz w:val="22"/>
              </w:rPr>
              <w:t>Многогод.</w:t>
            </w:r>
          </w:p>
        </w:tc>
        <w:tc>
          <w:tcPr>
            <w:tcW w:w="956" w:type="dxa"/>
            <w:vAlign w:val="center"/>
          </w:tcPr>
          <w:p w:rsidR="00242E09" w:rsidRDefault="00CE46B8">
            <w:pPr>
              <w:jc w:val="center"/>
              <w:rPr>
                <w:noProof/>
                <w:sz w:val="22"/>
              </w:rPr>
            </w:pPr>
            <w:r>
              <w:rPr>
                <w:noProof/>
                <w:sz w:val="22"/>
              </w:rPr>
              <w:t>ДА</w:t>
            </w:r>
          </w:p>
        </w:tc>
        <w:tc>
          <w:tcPr>
            <w:tcW w:w="1080" w:type="dxa"/>
            <w:vAlign w:val="center"/>
          </w:tcPr>
          <w:p w:rsidR="00242E09" w:rsidRDefault="00CE46B8">
            <w:pPr>
              <w:jc w:val="center"/>
              <w:rPr>
                <w:noProof/>
                <w:sz w:val="22"/>
              </w:rPr>
            </w:pPr>
            <w:r>
              <w:rPr>
                <w:noProof/>
                <w:sz w:val="22"/>
              </w:rPr>
              <w:t>НЕ</w:t>
            </w:r>
          </w:p>
        </w:tc>
        <w:tc>
          <w:tcPr>
            <w:tcW w:w="956" w:type="dxa"/>
            <w:vAlign w:val="center"/>
          </w:tcPr>
          <w:p w:rsidR="00242E09" w:rsidRDefault="00CE46B8">
            <w:pPr>
              <w:jc w:val="center"/>
              <w:rPr>
                <w:noProof/>
                <w:sz w:val="22"/>
              </w:rPr>
            </w:pPr>
            <w:r>
              <w:rPr>
                <w:noProof/>
                <w:sz w:val="22"/>
              </w:rPr>
              <w:t>НЕ</w:t>
            </w:r>
          </w:p>
        </w:tc>
        <w:tc>
          <w:tcPr>
            <w:tcW w:w="1448" w:type="dxa"/>
            <w:vAlign w:val="center"/>
          </w:tcPr>
          <w:p w:rsidR="00242E09" w:rsidRDefault="00CE46B8">
            <w:pPr>
              <w:jc w:val="center"/>
              <w:rPr>
                <w:noProof/>
                <w:sz w:val="22"/>
              </w:rPr>
            </w:pPr>
            <w:r>
              <w:rPr>
                <w:noProof/>
                <w:sz w:val="22"/>
              </w:rPr>
              <w:t>НЕ</w:t>
            </w:r>
          </w:p>
        </w:tc>
      </w:tr>
    </w:tbl>
    <w:p w:rsidR="00242E09" w:rsidRDefault="00242E09">
      <w:pPr>
        <w:rPr>
          <w:noProof/>
        </w:rPr>
        <w:sectPr w:rsidR="00242E09">
          <w:pgSz w:w="11907" w:h="16840" w:code="1"/>
          <w:pgMar w:top="1134" w:right="1418" w:bottom="1134" w:left="1418" w:header="709" w:footer="709" w:gutter="0"/>
          <w:cols w:space="708"/>
          <w:docGrid w:linePitch="360"/>
        </w:sectPr>
      </w:pPr>
    </w:p>
    <w:p w:rsidR="00242E09" w:rsidRDefault="00CE46B8">
      <w:pPr>
        <w:pStyle w:val="ManualHeading2"/>
        <w:rPr>
          <w:bCs/>
          <w:noProof/>
          <w:szCs w:val="24"/>
        </w:rPr>
      </w:pPr>
      <w:r>
        <w:lastRenderedPageBreak/>
        <w:t>3.2.</w:t>
      </w:r>
      <w:r>
        <w:tab/>
      </w:r>
      <w:r>
        <w:rPr>
          <w:noProof/>
        </w:rPr>
        <w:t xml:space="preserve">Очаквано отражение върху разходите </w:t>
      </w:r>
    </w:p>
    <w:p w:rsidR="00242E09" w:rsidRDefault="00CE46B8">
      <w:pPr>
        <w:pStyle w:val="ManualHeading3"/>
        <w:rPr>
          <w:noProof/>
          <w:u w:val="single"/>
        </w:rPr>
      </w:pPr>
      <w:r>
        <w:t>3.2.1.</w:t>
      </w:r>
      <w:r>
        <w:tab/>
      </w:r>
      <w:r>
        <w:rPr>
          <w:noProof/>
        </w:rPr>
        <w:t>Об</w:t>
      </w:r>
      <w:r>
        <w:rPr>
          <w:noProof/>
        </w:rPr>
        <w:t xml:space="preserve">общение на очакваното отражение върху разходите </w:t>
      </w:r>
    </w:p>
    <w:p w:rsidR="00242E09" w:rsidRDefault="00CE46B8">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42E09">
        <w:trPr>
          <w:jc w:val="center"/>
        </w:trPr>
        <w:tc>
          <w:tcPr>
            <w:tcW w:w="4744" w:type="dxa"/>
            <w:shd w:val="thinDiagStripe" w:color="C0C0C0" w:fill="auto"/>
            <w:vAlign w:val="center"/>
          </w:tcPr>
          <w:p w:rsidR="00242E09" w:rsidRDefault="00CE46B8">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242E09" w:rsidRDefault="00CE46B8">
            <w:pPr>
              <w:spacing w:before="60" w:after="60"/>
              <w:jc w:val="center"/>
              <w:rPr>
                <w:noProof/>
              </w:rPr>
            </w:pPr>
            <w:r>
              <w:rPr>
                <w:noProof/>
                <w:sz w:val="22"/>
              </w:rPr>
              <w:t>Номер</w:t>
            </w:r>
          </w:p>
        </w:tc>
        <w:tc>
          <w:tcPr>
            <w:tcW w:w="7817" w:type="dxa"/>
            <w:vAlign w:val="center"/>
          </w:tcPr>
          <w:p w:rsidR="00242E09" w:rsidRDefault="00CE46B8">
            <w:pPr>
              <w:spacing w:before="60" w:after="60"/>
              <w:rPr>
                <w:noProof/>
              </w:rPr>
            </w:pPr>
            <w:r>
              <w:rPr>
                <w:noProof/>
              </w:rPr>
              <w:t>1а. Конкурентоспособност за растеж и работни места</w:t>
            </w:r>
          </w:p>
        </w:tc>
      </w:tr>
    </w:tbl>
    <w:p w:rsidR="00242E09" w:rsidRDefault="00242E09">
      <w:pPr>
        <w:rPr>
          <w:noProof/>
          <w:sz w:val="16"/>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2874"/>
        <w:gridCol w:w="2874"/>
        <w:gridCol w:w="2875"/>
      </w:tblGrid>
      <w:tr w:rsidR="00242E09">
        <w:tc>
          <w:tcPr>
            <w:tcW w:w="3960" w:type="dxa"/>
            <w:vAlign w:val="center"/>
          </w:tcPr>
          <w:p w:rsidR="00242E09" w:rsidRDefault="00CE46B8">
            <w:pPr>
              <w:jc w:val="center"/>
              <w:rPr>
                <w:noProof/>
              </w:rPr>
            </w:pPr>
            <w:r>
              <w:rPr>
                <w:noProof/>
                <w:sz w:val="22"/>
              </w:rPr>
              <w:t>ГД: Евростат</w:t>
            </w:r>
          </w:p>
        </w:tc>
        <w:tc>
          <w:tcPr>
            <w:tcW w:w="1560" w:type="dxa"/>
            <w:gridSpan w:val="2"/>
          </w:tcPr>
          <w:p w:rsidR="00242E09" w:rsidRDefault="00242E09">
            <w:pPr>
              <w:rPr>
                <w:noProof/>
                <w:sz w:val="20"/>
              </w:rPr>
            </w:pPr>
          </w:p>
        </w:tc>
        <w:tc>
          <w:tcPr>
            <w:tcW w:w="534" w:type="dxa"/>
          </w:tcPr>
          <w:p w:rsidR="00242E09" w:rsidRDefault="00242E09">
            <w:pPr>
              <w:jc w:val="center"/>
              <w:rPr>
                <w:noProof/>
                <w:sz w:val="20"/>
              </w:rPr>
            </w:pPr>
          </w:p>
        </w:tc>
        <w:tc>
          <w:tcPr>
            <w:tcW w:w="2874" w:type="dxa"/>
            <w:vAlign w:val="center"/>
          </w:tcPr>
          <w:p w:rsidR="00242E09" w:rsidRDefault="00CE46B8">
            <w:pPr>
              <w:jc w:val="center"/>
              <w:rPr>
                <w:noProof/>
                <w:sz w:val="20"/>
              </w:rPr>
            </w:pPr>
            <w:r>
              <w:rPr>
                <w:b/>
                <w:noProof/>
              </w:rPr>
              <w:t>2019 г.</w:t>
            </w:r>
          </w:p>
        </w:tc>
        <w:tc>
          <w:tcPr>
            <w:tcW w:w="2874" w:type="dxa"/>
            <w:vAlign w:val="center"/>
          </w:tcPr>
          <w:p w:rsidR="00242E09" w:rsidRDefault="00CE46B8">
            <w:pPr>
              <w:jc w:val="center"/>
              <w:rPr>
                <w:noProof/>
                <w:sz w:val="20"/>
              </w:rPr>
            </w:pPr>
            <w:r>
              <w:rPr>
                <w:b/>
                <w:noProof/>
              </w:rPr>
              <w:t>2020 г.</w:t>
            </w:r>
          </w:p>
        </w:tc>
        <w:tc>
          <w:tcPr>
            <w:tcW w:w="2875" w:type="dxa"/>
            <w:vAlign w:val="center"/>
          </w:tcPr>
          <w:p w:rsidR="00242E09" w:rsidRDefault="00CE46B8">
            <w:pPr>
              <w:jc w:val="center"/>
              <w:rPr>
                <w:b/>
                <w:noProof/>
                <w:sz w:val="20"/>
              </w:rPr>
            </w:pPr>
            <w:r>
              <w:rPr>
                <w:b/>
                <w:noProof/>
                <w:sz w:val="20"/>
              </w:rPr>
              <w:t>ОБЩО</w:t>
            </w:r>
          </w:p>
        </w:tc>
      </w:tr>
      <w:tr w:rsidR="00242E09">
        <w:trPr>
          <w:trHeight w:val="213"/>
        </w:trPr>
        <w:tc>
          <w:tcPr>
            <w:tcW w:w="6054" w:type="dxa"/>
            <w:gridSpan w:val="4"/>
            <w:vAlign w:val="center"/>
          </w:tcPr>
          <w:p w:rsidR="00242E09" w:rsidRDefault="00CE46B8">
            <w:pPr>
              <w:spacing w:before="20" w:after="20"/>
              <w:rPr>
                <w:noProof/>
                <w:sz w:val="21"/>
              </w:rPr>
            </w:pPr>
            <w:r>
              <w:rPr>
                <w:noProof/>
                <w:sz w:val="21"/>
              </w:rPr>
              <w:sym w:font="Wingdings" w:char="F09F"/>
            </w:r>
            <w:r>
              <w:rPr>
                <w:noProof/>
                <w:sz w:val="21"/>
              </w:rPr>
              <w:t xml:space="preserve"> Бюджетни кредити за оперативни разходи</w:t>
            </w:r>
          </w:p>
        </w:tc>
        <w:tc>
          <w:tcPr>
            <w:tcW w:w="2874" w:type="dxa"/>
            <w:vAlign w:val="center"/>
          </w:tcPr>
          <w:p w:rsidR="00242E09" w:rsidRDefault="00242E09">
            <w:pPr>
              <w:rPr>
                <w:noProof/>
                <w:sz w:val="20"/>
              </w:rPr>
            </w:pPr>
          </w:p>
        </w:tc>
        <w:tc>
          <w:tcPr>
            <w:tcW w:w="2874" w:type="dxa"/>
            <w:vAlign w:val="center"/>
          </w:tcPr>
          <w:p w:rsidR="00242E09" w:rsidRDefault="00242E09">
            <w:pPr>
              <w:rPr>
                <w:noProof/>
                <w:sz w:val="20"/>
              </w:rPr>
            </w:pPr>
          </w:p>
        </w:tc>
        <w:tc>
          <w:tcPr>
            <w:tcW w:w="2875" w:type="dxa"/>
            <w:vAlign w:val="center"/>
          </w:tcPr>
          <w:p w:rsidR="00242E09" w:rsidRDefault="00242E09">
            <w:pPr>
              <w:rPr>
                <w:b/>
                <w:noProof/>
                <w:sz w:val="20"/>
              </w:rPr>
            </w:pPr>
          </w:p>
        </w:tc>
      </w:tr>
      <w:tr w:rsidR="00242E09">
        <w:trPr>
          <w:trHeight w:val="277"/>
        </w:trPr>
        <w:tc>
          <w:tcPr>
            <w:tcW w:w="3960" w:type="dxa"/>
            <w:vMerge w:val="restart"/>
            <w:vAlign w:val="center"/>
          </w:tcPr>
          <w:p w:rsidR="00242E09" w:rsidRDefault="00CE46B8">
            <w:pPr>
              <w:rPr>
                <w:noProof/>
              </w:rPr>
            </w:pPr>
            <w:r>
              <w:rPr>
                <w:noProof/>
                <w:sz w:val="20"/>
              </w:rPr>
              <w:t>Номер на бюджетния ред 29.020100</w:t>
            </w:r>
          </w:p>
        </w:tc>
        <w:tc>
          <w:tcPr>
            <w:tcW w:w="1440" w:type="dxa"/>
            <w:vAlign w:val="center"/>
          </w:tcPr>
          <w:p w:rsidR="00242E09" w:rsidRDefault="00CE46B8">
            <w:pPr>
              <w:spacing w:before="20" w:after="20"/>
              <w:rPr>
                <w:noProof/>
                <w:sz w:val="18"/>
              </w:rPr>
            </w:pPr>
            <w:r>
              <w:rPr>
                <w:noProof/>
                <w:sz w:val="18"/>
              </w:rPr>
              <w:t>Поети задължения</w:t>
            </w:r>
          </w:p>
        </w:tc>
        <w:tc>
          <w:tcPr>
            <w:tcW w:w="654" w:type="dxa"/>
            <w:gridSpan w:val="2"/>
            <w:vAlign w:val="center"/>
          </w:tcPr>
          <w:p w:rsidR="00242E09" w:rsidRDefault="00CE46B8">
            <w:pPr>
              <w:spacing w:before="20" w:after="20"/>
              <w:jc w:val="center"/>
              <w:rPr>
                <w:noProof/>
                <w:sz w:val="14"/>
              </w:rPr>
            </w:pPr>
            <w:r>
              <w:rPr>
                <w:noProof/>
                <w:sz w:val="14"/>
              </w:rPr>
              <w:t>(1)</w:t>
            </w:r>
          </w:p>
        </w:tc>
        <w:tc>
          <w:tcPr>
            <w:tcW w:w="2874" w:type="dxa"/>
            <w:vAlign w:val="center"/>
          </w:tcPr>
          <w:p w:rsidR="00242E09" w:rsidRDefault="00CE46B8">
            <w:pPr>
              <w:spacing w:before="20" w:after="20"/>
              <w:jc w:val="right"/>
              <w:rPr>
                <w:noProof/>
                <w:sz w:val="20"/>
              </w:rPr>
            </w:pPr>
            <w:r>
              <w:rPr>
                <w:noProof/>
                <w:sz w:val="20"/>
              </w:rPr>
              <w:t>10,285</w:t>
            </w:r>
          </w:p>
        </w:tc>
        <w:tc>
          <w:tcPr>
            <w:tcW w:w="2874" w:type="dxa"/>
            <w:vAlign w:val="center"/>
          </w:tcPr>
          <w:p w:rsidR="00242E09" w:rsidRDefault="00CE46B8">
            <w:pPr>
              <w:spacing w:before="20" w:after="20"/>
              <w:jc w:val="right"/>
              <w:rPr>
                <w:noProof/>
                <w:sz w:val="20"/>
              </w:rPr>
            </w:pPr>
            <w:r>
              <w:rPr>
                <w:noProof/>
                <w:sz w:val="20"/>
              </w:rPr>
              <w:t>9,185</w:t>
            </w:r>
          </w:p>
        </w:tc>
        <w:tc>
          <w:tcPr>
            <w:tcW w:w="2875" w:type="dxa"/>
            <w:vAlign w:val="center"/>
          </w:tcPr>
          <w:p w:rsidR="00242E09" w:rsidRDefault="00CE46B8">
            <w:pPr>
              <w:spacing w:before="20" w:after="20"/>
              <w:jc w:val="right"/>
              <w:rPr>
                <w:b/>
                <w:noProof/>
                <w:sz w:val="20"/>
              </w:rPr>
            </w:pPr>
            <w:r>
              <w:rPr>
                <w:b/>
                <w:noProof/>
                <w:sz w:val="20"/>
              </w:rPr>
              <w:t>19,470</w:t>
            </w:r>
          </w:p>
        </w:tc>
      </w:tr>
      <w:tr w:rsidR="00242E09">
        <w:tc>
          <w:tcPr>
            <w:tcW w:w="3960" w:type="dxa"/>
            <w:vMerge/>
          </w:tcPr>
          <w:p w:rsidR="00242E09" w:rsidRDefault="00242E09">
            <w:pPr>
              <w:jc w:val="center"/>
              <w:rPr>
                <w:noProof/>
                <w:sz w:val="20"/>
              </w:rPr>
            </w:pPr>
          </w:p>
        </w:tc>
        <w:tc>
          <w:tcPr>
            <w:tcW w:w="1440" w:type="dxa"/>
            <w:vAlign w:val="center"/>
          </w:tcPr>
          <w:p w:rsidR="00242E09" w:rsidRDefault="00CE46B8">
            <w:pPr>
              <w:spacing w:before="20" w:after="20"/>
              <w:rPr>
                <w:noProof/>
                <w:sz w:val="18"/>
              </w:rPr>
            </w:pPr>
            <w:r>
              <w:rPr>
                <w:noProof/>
                <w:sz w:val="18"/>
              </w:rPr>
              <w:t>Плащания</w:t>
            </w:r>
          </w:p>
        </w:tc>
        <w:tc>
          <w:tcPr>
            <w:tcW w:w="654" w:type="dxa"/>
            <w:gridSpan w:val="2"/>
            <w:vAlign w:val="center"/>
          </w:tcPr>
          <w:p w:rsidR="00242E09" w:rsidRDefault="00CE46B8">
            <w:pPr>
              <w:spacing w:before="20" w:after="20"/>
              <w:jc w:val="center"/>
              <w:rPr>
                <w:noProof/>
                <w:sz w:val="14"/>
              </w:rPr>
            </w:pPr>
            <w:r>
              <w:rPr>
                <w:noProof/>
                <w:sz w:val="14"/>
              </w:rPr>
              <w:t>(2)</w:t>
            </w:r>
          </w:p>
        </w:tc>
        <w:tc>
          <w:tcPr>
            <w:tcW w:w="2874" w:type="dxa"/>
            <w:vAlign w:val="center"/>
          </w:tcPr>
          <w:p w:rsidR="00242E09" w:rsidRDefault="00CE46B8">
            <w:pPr>
              <w:spacing w:before="20" w:after="20"/>
              <w:jc w:val="right"/>
              <w:rPr>
                <w:noProof/>
                <w:sz w:val="20"/>
              </w:rPr>
            </w:pPr>
            <w:r>
              <w:rPr>
                <w:noProof/>
                <w:sz w:val="20"/>
              </w:rPr>
              <w:t>1,029</w:t>
            </w:r>
          </w:p>
        </w:tc>
        <w:tc>
          <w:tcPr>
            <w:tcW w:w="2874" w:type="dxa"/>
            <w:vAlign w:val="center"/>
          </w:tcPr>
          <w:p w:rsidR="00242E09" w:rsidRDefault="00CE46B8">
            <w:pPr>
              <w:spacing w:before="20" w:after="20"/>
              <w:jc w:val="right"/>
              <w:rPr>
                <w:noProof/>
                <w:sz w:val="20"/>
              </w:rPr>
            </w:pPr>
            <w:r>
              <w:rPr>
                <w:noProof/>
                <w:sz w:val="20"/>
              </w:rPr>
              <w:t>4,518</w:t>
            </w:r>
          </w:p>
        </w:tc>
        <w:tc>
          <w:tcPr>
            <w:tcW w:w="2875" w:type="dxa"/>
            <w:vAlign w:val="center"/>
          </w:tcPr>
          <w:p w:rsidR="00242E09" w:rsidRDefault="00CE46B8">
            <w:pPr>
              <w:spacing w:before="20" w:after="20"/>
              <w:jc w:val="right"/>
              <w:rPr>
                <w:b/>
                <w:noProof/>
                <w:sz w:val="20"/>
              </w:rPr>
            </w:pPr>
            <w:r>
              <w:rPr>
                <w:b/>
                <w:noProof/>
                <w:sz w:val="20"/>
              </w:rPr>
              <w:t>5,547</w:t>
            </w:r>
          </w:p>
        </w:tc>
      </w:tr>
      <w:tr w:rsidR="00242E09">
        <w:tc>
          <w:tcPr>
            <w:tcW w:w="3960" w:type="dxa"/>
            <w:vMerge w:val="restart"/>
            <w:vAlign w:val="center"/>
          </w:tcPr>
          <w:p w:rsidR="00242E09" w:rsidRDefault="00CE46B8">
            <w:pPr>
              <w:rPr>
                <w:noProof/>
              </w:rPr>
            </w:pPr>
            <w:r>
              <w:rPr>
                <w:noProof/>
                <w:sz w:val="20"/>
              </w:rPr>
              <w:t>Номер на бюджетния ред</w:t>
            </w:r>
          </w:p>
        </w:tc>
        <w:tc>
          <w:tcPr>
            <w:tcW w:w="1440" w:type="dxa"/>
            <w:vAlign w:val="center"/>
          </w:tcPr>
          <w:p w:rsidR="00242E09" w:rsidRDefault="00CE46B8">
            <w:pPr>
              <w:spacing w:before="20" w:after="20"/>
              <w:rPr>
                <w:noProof/>
                <w:sz w:val="18"/>
              </w:rPr>
            </w:pPr>
            <w:r>
              <w:rPr>
                <w:noProof/>
                <w:sz w:val="18"/>
              </w:rPr>
              <w:t>Поети задължения</w:t>
            </w:r>
          </w:p>
        </w:tc>
        <w:tc>
          <w:tcPr>
            <w:tcW w:w="654" w:type="dxa"/>
            <w:gridSpan w:val="2"/>
            <w:vAlign w:val="center"/>
          </w:tcPr>
          <w:p w:rsidR="00242E09" w:rsidRDefault="00CE46B8">
            <w:pPr>
              <w:spacing w:before="20" w:after="20"/>
              <w:jc w:val="center"/>
              <w:rPr>
                <w:noProof/>
                <w:sz w:val="14"/>
              </w:rPr>
            </w:pPr>
            <w:r>
              <w:rPr>
                <w:noProof/>
                <w:sz w:val="14"/>
              </w:rPr>
              <w:t>(1a)</w:t>
            </w:r>
          </w:p>
        </w:tc>
        <w:tc>
          <w:tcPr>
            <w:tcW w:w="2874" w:type="dxa"/>
            <w:vAlign w:val="center"/>
          </w:tcPr>
          <w:p w:rsidR="00242E09" w:rsidRDefault="00242E09">
            <w:pPr>
              <w:spacing w:before="20" w:after="20"/>
              <w:jc w:val="right"/>
              <w:rPr>
                <w:noProof/>
                <w:sz w:val="20"/>
              </w:rPr>
            </w:pPr>
          </w:p>
        </w:tc>
        <w:tc>
          <w:tcPr>
            <w:tcW w:w="2874" w:type="dxa"/>
            <w:vAlign w:val="center"/>
          </w:tcPr>
          <w:p w:rsidR="00242E09" w:rsidRDefault="00242E09">
            <w:pPr>
              <w:spacing w:before="20" w:after="20"/>
              <w:jc w:val="right"/>
              <w:rPr>
                <w:noProof/>
                <w:sz w:val="20"/>
              </w:rPr>
            </w:pPr>
          </w:p>
        </w:tc>
        <w:tc>
          <w:tcPr>
            <w:tcW w:w="2875" w:type="dxa"/>
            <w:vAlign w:val="center"/>
          </w:tcPr>
          <w:p w:rsidR="00242E09" w:rsidRDefault="00242E09">
            <w:pPr>
              <w:spacing w:before="20" w:after="20"/>
              <w:jc w:val="right"/>
              <w:rPr>
                <w:b/>
                <w:noProof/>
                <w:sz w:val="20"/>
              </w:rPr>
            </w:pPr>
          </w:p>
        </w:tc>
      </w:tr>
      <w:tr w:rsidR="00242E09">
        <w:tc>
          <w:tcPr>
            <w:tcW w:w="3960" w:type="dxa"/>
            <w:vMerge/>
          </w:tcPr>
          <w:p w:rsidR="00242E09" w:rsidRDefault="00242E09">
            <w:pPr>
              <w:jc w:val="center"/>
              <w:rPr>
                <w:noProof/>
                <w:sz w:val="20"/>
              </w:rPr>
            </w:pPr>
          </w:p>
        </w:tc>
        <w:tc>
          <w:tcPr>
            <w:tcW w:w="1440" w:type="dxa"/>
            <w:vAlign w:val="center"/>
          </w:tcPr>
          <w:p w:rsidR="00242E09" w:rsidRDefault="00CE46B8">
            <w:pPr>
              <w:spacing w:before="20" w:after="20"/>
              <w:rPr>
                <w:noProof/>
                <w:sz w:val="18"/>
              </w:rPr>
            </w:pPr>
            <w:r>
              <w:rPr>
                <w:noProof/>
                <w:sz w:val="18"/>
              </w:rPr>
              <w:t>Плащания</w:t>
            </w:r>
          </w:p>
        </w:tc>
        <w:tc>
          <w:tcPr>
            <w:tcW w:w="654" w:type="dxa"/>
            <w:gridSpan w:val="2"/>
            <w:vAlign w:val="center"/>
          </w:tcPr>
          <w:p w:rsidR="00242E09" w:rsidRDefault="00CE46B8">
            <w:pPr>
              <w:spacing w:before="20" w:after="20"/>
              <w:jc w:val="center"/>
              <w:rPr>
                <w:noProof/>
                <w:sz w:val="14"/>
              </w:rPr>
            </w:pPr>
            <w:r>
              <w:rPr>
                <w:noProof/>
                <w:sz w:val="14"/>
              </w:rPr>
              <w:t>(2а)</w:t>
            </w:r>
          </w:p>
        </w:tc>
        <w:tc>
          <w:tcPr>
            <w:tcW w:w="2874" w:type="dxa"/>
            <w:vAlign w:val="center"/>
          </w:tcPr>
          <w:p w:rsidR="00242E09" w:rsidRDefault="00242E09">
            <w:pPr>
              <w:spacing w:before="20" w:after="20"/>
              <w:jc w:val="right"/>
              <w:rPr>
                <w:noProof/>
                <w:sz w:val="20"/>
              </w:rPr>
            </w:pPr>
          </w:p>
        </w:tc>
        <w:tc>
          <w:tcPr>
            <w:tcW w:w="2874" w:type="dxa"/>
            <w:vAlign w:val="center"/>
          </w:tcPr>
          <w:p w:rsidR="00242E09" w:rsidRDefault="00242E09">
            <w:pPr>
              <w:spacing w:before="20" w:after="20"/>
              <w:jc w:val="right"/>
              <w:rPr>
                <w:noProof/>
                <w:sz w:val="20"/>
              </w:rPr>
            </w:pPr>
          </w:p>
        </w:tc>
        <w:tc>
          <w:tcPr>
            <w:tcW w:w="2875" w:type="dxa"/>
            <w:vAlign w:val="center"/>
          </w:tcPr>
          <w:p w:rsidR="00242E09" w:rsidRDefault="00242E09">
            <w:pPr>
              <w:spacing w:before="20" w:after="20"/>
              <w:jc w:val="right"/>
              <w:rPr>
                <w:b/>
                <w:noProof/>
                <w:sz w:val="20"/>
              </w:rPr>
            </w:pPr>
          </w:p>
        </w:tc>
      </w:tr>
      <w:tr w:rsidR="00242E09">
        <w:trPr>
          <w:trHeight w:val="231"/>
        </w:trPr>
        <w:tc>
          <w:tcPr>
            <w:tcW w:w="6054" w:type="dxa"/>
            <w:gridSpan w:val="4"/>
            <w:vAlign w:val="center"/>
          </w:tcPr>
          <w:p w:rsidR="00242E09" w:rsidRDefault="00CE46B8">
            <w:pPr>
              <w:spacing w:before="20" w:after="20"/>
              <w:rPr>
                <w:noProof/>
              </w:rPr>
            </w:pPr>
            <w:r>
              <w:rPr>
                <w:noProof/>
                <w:sz w:val="21"/>
              </w:rPr>
              <w:t xml:space="preserve">Бюджетни кредити за административни </w:t>
            </w:r>
            <w:r>
              <w:rPr>
                <w:noProof/>
                <w:sz w:val="21"/>
              </w:rPr>
              <w:t>разходи, финансирани от пакета за определени програми</w:t>
            </w:r>
            <w:r>
              <w:rPr>
                <w:rStyle w:val="FootnoteReference"/>
                <w:noProof/>
                <w:sz w:val="21"/>
              </w:rPr>
              <w:footnoteReference w:id="35"/>
            </w:r>
            <w:r>
              <w:rPr>
                <w:noProof/>
                <w:sz w:val="21"/>
              </w:rPr>
              <w:t xml:space="preserve"> </w:t>
            </w:r>
          </w:p>
          <w:p w:rsidR="00242E09" w:rsidRDefault="00242E09">
            <w:pPr>
              <w:spacing w:after="0"/>
              <w:rPr>
                <w:noProof/>
              </w:rPr>
            </w:pPr>
          </w:p>
        </w:tc>
        <w:tc>
          <w:tcPr>
            <w:tcW w:w="2874" w:type="dxa"/>
            <w:vAlign w:val="center"/>
          </w:tcPr>
          <w:p w:rsidR="00242E09" w:rsidRDefault="00242E09">
            <w:pPr>
              <w:rPr>
                <w:b/>
                <w:noProof/>
                <w:sz w:val="20"/>
              </w:rPr>
            </w:pPr>
          </w:p>
        </w:tc>
        <w:tc>
          <w:tcPr>
            <w:tcW w:w="2874" w:type="dxa"/>
            <w:vAlign w:val="center"/>
          </w:tcPr>
          <w:p w:rsidR="00242E09" w:rsidRDefault="00242E09">
            <w:pPr>
              <w:rPr>
                <w:b/>
                <w:noProof/>
                <w:sz w:val="20"/>
              </w:rPr>
            </w:pPr>
          </w:p>
        </w:tc>
        <w:tc>
          <w:tcPr>
            <w:tcW w:w="2875" w:type="dxa"/>
            <w:vAlign w:val="center"/>
          </w:tcPr>
          <w:p w:rsidR="00242E09" w:rsidRDefault="00242E09">
            <w:pPr>
              <w:rPr>
                <w:b/>
                <w:noProof/>
                <w:sz w:val="20"/>
              </w:rPr>
            </w:pPr>
          </w:p>
        </w:tc>
      </w:tr>
      <w:tr w:rsidR="00242E09">
        <w:trPr>
          <w:trHeight w:val="319"/>
        </w:trPr>
        <w:tc>
          <w:tcPr>
            <w:tcW w:w="3960" w:type="dxa"/>
            <w:vAlign w:val="center"/>
          </w:tcPr>
          <w:p w:rsidR="00242E09" w:rsidRDefault="00CE46B8">
            <w:pPr>
              <w:spacing w:before="60" w:after="60"/>
              <w:rPr>
                <w:noProof/>
              </w:rPr>
            </w:pPr>
            <w:r>
              <w:rPr>
                <w:noProof/>
                <w:sz w:val="20"/>
              </w:rPr>
              <w:t>Номер на бюджетния ред</w:t>
            </w:r>
          </w:p>
        </w:tc>
        <w:tc>
          <w:tcPr>
            <w:tcW w:w="1440" w:type="dxa"/>
            <w:vAlign w:val="center"/>
          </w:tcPr>
          <w:p w:rsidR="00242E09" w:rsidRDefault="00242E09">
            <w:pPr>
              <w:spacing w:before="40" w:after="40"/>
              <w:jc w:val="right"/>
              <w:rPr>
                <w:noProof/>
                <w:sz w:val="18"/>
              </w:rPr>
            </w:pPr>
          </w:p>
        </w:tc>
        <w:tc>
          <w:tcPr>
            <w:tcW w:w="654" w:type="dxa"/>
            <w:gridSpan w:val="2"/>
            <w:vAlign w:val="center"/>
          </w:tcPr>
          <w:p w:rsidR="00242E09" w:rsidRDefault="00CE46B8">
            <w:pPr>
              <w:spacing w:before="40" w:after="40"/>
              <w:jc w:val="center"/>
              <w:rPr>
                <w:noProof/>
                <w:sz w:val="14"/>
              </w:rPr>
            </w:pPr>
            <w:r>
              <w:rPr>
                <w:noProof/>
                <w:sz w:val="14"/>
              </w:rPr>
              <w:t>(3)</w:t>
            </w:r>
          </w:p>
        </w:tc>
        <w:tc>
          <w:tcPr>
            <w:tcW w:w="2874" w:type="dxa"/>
            <w:vAlign w:val="center"/>
          </w:tcPr>
          <w:p w:rsidR="00242E09" w:rsidRDefault="00242E09">
            <w:pPr>
              <w:spacing w:before="40" w:after="40"/>
              <w:jc w:val="right"/>
              <w:rPr>
                <w:b/>
                <w:noProof/>
                <w:sz w:val="20"/>
              </w:rPr>
            </w:pPr>
          </w:p>
        </w:tc>
        <w:tc>
          <w:tcPr>
            <w:tcW w:w="2874" w:type="dxa"/>
            <w:vAlign w:val="center"/>
          </w:tcPr>
          <w:p w:rsidR="00242E09" w:rsidRDefault="00242E09">
            <w:pPr>
              <w:spacing w:before="40" w:after="40"/>
              <w:jc w:val="right"/>
              <w:rPr>
                <w:b/>
                <w:noProof/>
                <w:sz w:val="20"/>
              </w:rPr>
            </w:pPr>
          </w:p>
        </w:tc>
        <w:tc>
          <w:tcPr>
            <w:tcW w:w="2875" w:type="dxa"/>
            <w:vAlign w:val="center"/>
          </w:tcPr>
          <w:p w:rsidR="00242E09" w:rsidRDefault="00242E09">
            <w:pPr>
              <w:spacing w:before="40" w:after="40"/>
              <w:jc w:val="right"/>
              <w:rPr>
                <w:b/>
                <w:noProof/>
                <w:sz w:val="20"/>
              </w:rPr>
            </w:pPr>
          </w:p>
        </w:tc>
      </w:tr>
      <w:tr w:rsidR="00242E09">
        <w:tc>
          <w:tcPr>
            <w:tcW w:w="3960" w:type="dxa"/>
            <w:vMerge w:val="restart"/>
            <w:vAlign w:val="center"/>
          </w:tcPr>
          <w:p w:rsidR="00242E09" w:rsidRDefault="00CE46B8">
            <w:pPr>
              <w:jc w:val="center"/>
              <w:rPr>
                <w:b/>
                <w:noProof/>
              </w:rPr>
            </w:pPr>
            <w:r>
              <w:rPr>
                <w:b/>
                <w:noProof/>
                <w:sz w:val="22"/>
              </w:rPr>
              <w:t>ОБЩО бюджетни кредити</w:t>
            </w:r>
            <w:r>
              <w:rPr>
                <w:noProof/>
                <w:sz w:val="22"/>
              </w:rPr>
              <w:br/>
            </w:r>
            <w:r>
              <w:rPr>
                <w:b/>
                <w:noProof/>
                <w:sz w:val="22"/>
              </w:rPr>
              <w:t>за ГД „Евростат“</w:t>
            </w:r>
          </w:p>
        </w:tc>
        <w:tc>
          <w:tcPr>
            <w:tcW w:w="1440" w:type="dxa"/>
            <w:vAlign w:val="center"/>
          </w:tcPr>
          <w:p w:rsidR="00242E09" w:rsidRDefault="00CE46B8">
            <w:pPr>
              <w:rPr>
                <w:noProof/>
                <w:sz w:val="18"/>
              </w:rPr>
            </w:pPr>
            <w:r>
              <w:rPr>
                <w:noProof/>
                <w:sz w:val="18"/>
              </w:rPr>
              <w:t>Поети задължения</w:t>
            </w:r>
          </w:p>
        </w:tc>
        <w:tc>
          <w:tcPr>
            <w:tcW w:w="654" w:type="dxa"/>
            <w:gridSpan w:val="2"/>
            <w:vAlign w:val="center"/>
          </w:tcPr>
          <w:p w:rsidR="00242E09" w:rsidRDefault="00CE46B8">
            <w:pPr>
              <w:jc w:val="center"/>
              <w:rPr>
                <w:noProof/>
                <w:sz w:val="14"/>
              </w:rPr>
            </w:pPr>
            <w:r>
              <w:rPr>
                <w:noProof/>
                <w:sz w:val="14"/>
              </w:rPr>
              <w:t>= 1 + 1a +3</w:t>
            </w:r>
          </w:p>
        </w:tc>
        <w:tc>
          <w:tcPr>
            <w:tcW w:w="2874" w:type="dxa"/>
            <w:vAlign w:val="center"/>
          </w:tcPr>
          <w:p w:rsidR="00242E09" w:rsidRDefault="00CE46B8">
            <w:pPr>
              <w:spacing w:before="20" w:after="20"/>
              <w:jc w:val="right"/>
              <w:rPr>
                <w:noProof/>
                <w:sz w:val="20"/>
              </w:rPr>
            </w:pPr>
            <w:r>
              <w:rPr>
                <w:noProof/>
                <w:sz w:val="20"/>
              </w:rPr>
              <w:t>10,285</w:t>
            </w:r>
          </w:p>
        </w:tc>
        <w:tc>
          <w:tcPr>
            <w:tcW w:w="2874" w:type="dxa"/>
            <w:vAlign w:val="center"/>
          </w:tcPr>
          <w:p w:rsidR="00242E09" w:rsidRDefault="00CE46B8">
            <w:pPr>
              <w:spacing w:before="20" w:after="20"/>
              <w:jc w:val="right"/>
              <w:rPr>
                <w:noProof/>
                <w:sz w:val="20"/>
              </w:rPr>
            </w:pPr>
            <w:r>
              <w:rPr>
                <w:noProof/>
                <w:sz w:val="20"/>
              </w:rPr>
              <w:t>9,185</w:t>
            </w:r>
          </w:p>
        </w:tc>
        <w:tc>
          <w:tcPr>
            <w:tcW w:w="2875" w:type="dxa"/>
            <w:vAlign w:val="center"/>
          </w:tcPr>
          <w:p w:rsidR="00242E09" w:rsidRDefault="00CE46B8">
            <w:pPr>
              <w:spacing w:before="20" w:after="20"/>
              <w:jc w:val="right"/>
              <w:rPr>
                <w:b/>
                <w:noProof/>
                <w:sz w:val="20"/>
              </w:rPr>
            </w:pPr>
            <w:r>
              <w:rPr>
                <w:b/>
                <w:noProof/>
                <w:sz w:val="20"/>
              </w:rPr>
              <w:t>19,470</w:t>
            </w:r>
          </w:p>
        </w:tc>
      </w:tr>
      <w:tr w:rsidR="00242E09">
        <w:tc>
          <w:tcPr>
            <w:tcW w:w="3960" w:type="dxa"/>
            <w:vMerge/>
          </w:tcPr>
          <w:p w:rsidR="00242E09" w:rsidRDefault="00242E09">
            <w:pPr>
              <w:rPr>
                <w:noProof/>
                <w:sz w:val="20"/>
              </w:rPr>
            </w:pPr>
          </w:p>
        </w:tc>
        <w:tc>
          <w:tcPr>
            <w:tcW w:w="1440" w:type="dxa"/>
            <w:vAlign w:val="center"/>
          </w:tcPr>
          <w:p w:rsidR="00242E09" w:rsidRDefault="00CE46B8">
            <w:pPr>
              <w:rPr>
                <w:noProof/>
                <w:sz w:val="18"/>
              </w:rPr>
            </w:pPr>
            <w:r>
              <w:rPr>
                <w:noProof/>
                <w:sz w:val="18"/>
              </w:rPr>
              <w:t>Плащания</w:t>
            </w:r>
          </w:p>
        </w:tc>
        <w:tc>
          <w:tcPr>
            <w:tcW w:w="654" w:type="dxa"/>
            <w:gridSpan w:val="2"/>
            <w:vAlign w:val="center"/>
          </w:tcPr>
          <w:p w:rsidR="00242E09" w:rsidRDefault="00CE46B8">
            <w:pPr>
              <w:jc w:val="center"/>
              <w:rPr>
                <w:noProof/>
                <w:sz w:val="14"/>
              </w:rPr>
            </w:pPr>
            <w:r>
              <w:rPr>
                <w:noProof/>
                <w:sz w:val="14"/>
              </w:rPr>
              <w:t>=2+2а</w:t>
            </w:r>
          </w:p>
          <w:p w:rsidR="00242E09" w:rsidRDefault="00CE46B8">
            <w:pPr>
              <w:jc w:val="center"/>
              <w:rPr>
                <w:noProof/>
                <w:sz w:val="14"/>
              </w:rPr>
            </w:pPr>
            <w:r>
              <w:rPr>
                <w:noProof/>
                <w:sz w:val="14"/>
              </w:rPr>
              <w:t>+3</w:t>
            </w:r>
          </w:p>
        </w:tc>
        <w:tc>
          <w:tcPr>
            <w:tcW w:w="2874" w:type="dxa"/>
            <w:vAlign w:val="center"/>
          </w:tcPr>
          <w:p w:rsidR="00242E09" w:rsidRDefault="00CE46B8">
            <w:pPr>
              <w:spacing w:before="20" w:after="20"/>
              <w:jc w:val="right"/>
              <w:rPr>
                <w:noProof/>
                <w:sz w:val="20"/>
              </w:rPr>
            </w:pPr>
            <w:r>
              <w:rPr>
                <w:noProof/>
                <w:sz w:val="20"/>
              </w:rPr>
              <w:t>1,029</w:t>
            </w:r>
          </w:p>
        </w:tc>
        <w:tc>
          <w:tcPr>
            <w:tcW w:w="2874" w:type="dxa"/>
            <w:vAlign w:val="center"/>
          </w:tcPr>
          <w:p w:rsidR="00242E09" w:rsidRDefault="00CE46B8">
            <w:pPr>
              <w:spacing w:before="20" w:after="20"/>
              <w:jc w:val="right"/>
              <w:rPr>
                <w:noProof/>
                <w:sz w:val="20"/>
              </w:rPr>
            </w:pPr>
            <w:r>
              <w:rPr>
                <w:noProof/>
                <w:sz w:val="20"/>
              </w:rPr>
              <w:t>4,518</w:t>
            </w:r>
          </w:p>
        </w:tc>
        <w:tc>
          <w:tcPr>
            <w:tcW w:w="2875" w:type="dxa"/>
            <w:vAlign w:val="center"/>
          </w:tcPr>
          <w:p w:rsidR="00242E09" w:rsidRDefault="00CE46B8">
            <w:pPr>
              <w:spacing w:before="20" w:after="20"/>
              <w:jc w:val="right"/>
              <w:rPr>
                <w:b/>
                <w:noProof/>
                <w:sz w:val="20"/>
              </w:rPr>
            </w:pPr>
            <w:r>
              <w:rPr>
                <w:b/>
                <w:noProof/>
                <w:sz w:val="20"/>
              </w:rPr>
              <w:t>5,547</w:t>
            </w:r>
          </w:p>
        </w:tc>
      </w:tr>
    </w:tbl>
    <w:p w:rsidR="00242E09" w:rsidRDefault="00CE46B8">
      <w:pPr>
        <w:rPr>
          <w:noProof/>
        </w:rPr>
      </w:pPr>
      <w:r>
        <w:rPr>
          <w:noProof/>
        </w:rPr>
        <w:lastRenderedPageBreak/>
        <w:br/>
      </w:r>
      <w:r>
        <w:rPr>
          <w:noProof/>
        </w:rPr>
        <w:br/>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2874"/>
        <w:gridCol w:w="2874"/>
        <w:gridCol w:w="2875"/>
      </w:tblGrid>
      <w:tr w:rsidR="00242E09">
        <w:tc>
          <w:tcPr>
            <w:tcW w:w="3960" w:type="dxa"/>
            <w:vAlign w:val="center"/>
          </w:tcPr>
          <w:p w:rsidR="00242E09" w:rsidRDefault="00CE46B8">
            <w:pPr>
              <w:jc w:val="center"/>
              <w:rPr>
                <w:noProof/>
              </w:rPr>
            </w:pPr>
            <w:r>
              <w:rPr>
                <w:noProof/>
                <w:sz w:val="22"/>
              </w:rPr>
              <w:t>ГД: Съобщителни мрежи, съдържание</w:t>
            </w:r>
            <w:r>
              <w:rPr>
                <w:noProof/>
                <w:sz w:val="22"/>
              </w:rPr>
              <w:t xml:space="preserve"> и технологии</w:t>
            </w:r>
          </w:p>
        </w:tc>
        <w:tc>
          <w:tcPr>
            <w:tcW w:w="1560" w:type="dxa"/>
            <w:gridSpan w:val="2"/>
          </w:tcPr>
          <w:p w:rsidR="00242E09" w:rsidRDefault="00242E09">
            <w:pPr>
              <w:rPr>
                <w:noProof/>
                <w:sz w:val="20"/>
              </w:rPr>
            </w:pPr>
          </w:p>
        </w:tc>
        <w:tc>
          <w:tcPr>
            <w:tcW w:w="534" w:type="dxa"/>
          </w:tcPr>
          <w:p w:rsidR="00242E09" w:rsidRDefault="00242E09">
            <w:pPr>
              <w:jc w:val="center"/>
              <w:rPr>
                <w:noProof/>
                <w:sz w:val="20"/>
              </w:rPr>
            </w:pPr>
          </w:p>
        </w:tc>
        <w:tc>
          <w:tcPr>
            <w:tcW w:w="2874" w:type="dxa"/>
            <w:vAlign w:val="center"/>
          </w:tcPr>
          <w:p w:rsidR="00242E09" w:rsidRDefault="00CE46B8">
            <w:pPr>
              <w:jc w:val="center"/>
              <w:rPr>
                <w:noProof/>
                <w:sz w:val="20"/>
              </w:rPr>
            </w:pPr>
            <w:r>
              <w:rPr>
                <w:b/>
                <w:noProof/>
              </w:rPr>
              <w:t>2019 г.</w:t>
            </w:r>
          </w:p>
        </w:tc>
        <w:tc>
          <w:tcPr>
            <w:tcW w:w="2874" w:type="dxa"/>
            <w:vAlign w:val="center"/>
          </w:tcPr>
          <w:p w:rsidR="00242E09" w:rsidRDefault="00CE46B8">
            <w:pPr>
              <w:jc w:val="center"/>
              <w:rPr>
                <w:noProof/>
                <w:sz w:val="20"/>
              </w:rPr>
            </w:pPr>
            <w:r>
              <w:rPr>
                <w:b/>
                <w:noProof/>
              </w:rPr>
              <w:t>2020 г.</w:t>
            </w:r>
          </w:p>
        </w:tc>
        <w:tc>
          <w:tcPr>
            <w:tcW w:w="2875" w:type="dxa"/>
            <w:vAlign w:val="center"/>
          </w:tcPr>
          <w:p w:rsidR="00242E09" w:rsidRDefault="00CE46B8">
            <w:pPr>
              <w:jc w:val="center"/>
              <w:rPr>
                <w:b/>
                <w:noProof/>
                <w:sz w:val="20"/>
              </w:rPr>
            </w:pPr>
            <w:r>
              <w:rPr>
                <w:b/>
                <w:noProof/>
                <w:sz w:val="20"/>
              </w:rPr>
              <w:t>ОБЩО</w:t>
            </w:r>
          </w:p>
        </w:tc>
      </w:tr>
      <w:tr w:rsidR="00242E09">
        <w:trPr>
          <w:trHeight w:val="213"/>
        </w:trPr>
        <w:tc>
          <w:tcPr>
            <w:tcW w:w="6054" w:type="dxa"/>
            <w:gridSpan w:val="4"/>
            <w:vAlign w:val="center"/>
          </w:tcPr>
          <w:p w:rsidR="00242E09" w:rsidRDefault="00CE46B8">
            <w:pPr>
              <w:spacing w:before="20" w:after="20"/>
              <w:rPr>
                <w:noProof/>
                <w:sz w:val="21"/>
              </w:rPr>
            </w:pPr>
            <w:r>
              <w:rPr>
                <w:noProof/>
                <w:sz w:val="21"/>
              </w:rPr>
              <w:sym w:font="Wingdings" w:char="F09F"/>
            </w:r>
            <w:r>
              <w:rPr>
                <w:noProof/>
                <w:sz w:val="21"/>
              </w:rPr>
              <w:t xml:space="preserve"> Бюджетни кредити за оперативни разходи</w:t>
            </w:r>
          </w:p>
        </w:tc>
        <w:tc>
          <w:tcPr>
            <w:tcW w:w="2874" w:type="dxa"/>
            <w:vAlign w:val="center"/>
          </w:tcPr>
          <w:p w:rsidR="00242E09" w:rsidRDefault="00242E09">
            <w:pPr>
              <w:rPr>
                <w:noProof/>
                <w:sz w:val="20"/>
              </w:rPr>
            </w:pPr>
          </w:p>
        </w:tc>
        <w:tc>
          <w:tcPr>
            <w:tcW w:w="2874" w:type="dxa"/>
            <w:vAlign w:val="center"/>
          </w:tcPr>
          <w:p w:rsidR="00242E09" w:rsidRDefault="00242E09">
            <w:pPr>
              <w:rPr>
                <w:noProof/>
                <w:sz w:val="20"/>
              </w:rPr>
            </w:pPr>
          </w:p>
        </w:tc>
        <w:tc>
          <w:tcPr>
            <w:tcW w:w="2875" w:type="dxa"/>
            <w:vAlign w:val="center"/>
          </w:tcPr>
          <w:p w:rsidR="00242E09" w:rsidRDefault="00242E09">
            <w:pPr>
              <w:rPr>
                <w:b/>
                <w:noProof/>
                <w:sz w:val="20"/>
              </w:rPr>
            </w:pPr>
          </w:p>
        </w:tc>
      </w:tr>
      <w:tr w:rsidR="00242E09">
        <w:trPr>
          <w:trHeight w:val="277"/>
        </w:trPr>
        <w:tc>
          <w:tcPr>
            <w:tcW w:w="3960" w:type="dxa"/>
            <w:vMerge w:val="restart"/>
            <w:vAlign w:val="center"/>
          </w:tcPr>
          <w:p w:rsidR="00242E09" w:rsidRDefault="00CE46B8">
            <w:pPr>
              <w:rPr>
                <w:noProof/>
              </w:rPr>
            </w:pPr>
            <w:r>
              <w:rPr>
                <w:noProof/>
                <w:sz w:val="20"/>
              </w:rPr>
              <w:t>Номер на бюджетния ред 09.040201</w:t>
            </w:r>
          </w:p>
        </w:tc>
        <w:tc>
          <w:tcPr>
            <w:tcW w:w="1440" w:type="dxa"/>
            <w:vAlign w:val="center"/>
          </w:tcPr>
          <w:p w:rsidR="00242E09" w:rsidRDefault="00CE46B8">
            <w:pPr>
              <w:spacing w:before="20" w:after="20"/>
              <w:rPr>
                <w:noProof/>
                <w:sz w:val="18"/>
              </w:rPr>
            </w:pPr>
            <w:r>
              <w:rPr>
                <w:noProof/>
                <w:sz w:val="18"/>
              </w:rPr>
              <w:t>Поети задължения</w:t>
            </w:r>
          </w:p>
        </w:tc>
        <w:tc>
          <w:tcPr>
            <w:tcW w:w="654" w:type="dxa"/>
            <w:gridSpan w:val="2"/>
            <w:vAlign w:val="center"/>
          </w:tcPr>
          <w:p w:rsidR="00242E09" w:rsidRDefault="00CE46B8">
            <w:pPr>
              <w:spacing w:before="20" w:after="20"/>
              <w:jc w:val="center"/>
              <w:rPr>
                <w:noProof/>
                <w:sz w:val="14"/>
              </w:rPr>
            </w:pPr>
            <w:r>
              <w:rPr>
                <w:noProof/>
                <w:sz w:val="14"/>
              </w:rPr>
              <w:t>(1)</w:t>
            </w:r>
          </w:p>
        </w:tc>
        <w:tc>
          <w:tcPr>
            <w:tcW w:w="2874" w:type="dxa"/>
            <w:vAlign w:val="center"/>
          </w:tcPr>
          <w:p w:rsidR="00242E09" w:rsidRDefault="00CE46B8">
            <w:pPr>
              <w:spacing w:before="20" w:after="20"/>
              <w:jc w:val="right"/>
              <w:rPr>
                <w:noProof/>
                <w:sz w:val="20"/>
              </w:rPr>
            </w:pPr>
            <w:r>
              <w:rPr>
                <w:noProof/>
                <w:sz w:val="20"/>
              </w:rPr>
              <w:t>1,000</w:t>
            </w:r>
          </w:p>
        </w:tc>
        <w:tc>
          <w:tcPr>
            <w:tcW w:w="2874" w:type="dxa"/>
            <w:vAlign w:val="center"/>
          </w:tcPr>
          <w:p w:rsidR="00242E09" w:rsidRDefault="00CE46B8">
            <w:pPr>
              <w:spacing w:before="20" w:after="20"/>
              <w:jc w:val="right"/>
              <w:rPr>
                <w:noProof/>
                <w:sz w:val="20"/>
              </w:rPr>
            </w:pPr>
            <w:r>
              <w:rPr>
                <w:noProof/>
                <w:sz w:val="20"/>
              </w:rPr>
              <w:t>1,000</w:t>
            </w:r>
          </w:p>
        </w:tc>
        <w:tc>
          <w:tcPr>
            <w:tcW w:w="2875" w:type="dxa"/>
            <w:vAlign w:val="center"/>
          </w:tcPr>
          <w:p w:rsidR="00242E09" w:rsidRDefault="00CE46B8">
            <w:pPr>
              <w:spacing w:before="20" w:after="20"/>
              <w:jc w:val="right"/>
              <w:rPr>
                <w:b/>
                <w:noProof/>
                <w:sz w:val="20"/>
              </w:rPr>
            </w:pPr>
            <w:r>
              <w:rPr>
                <w:b/>
                <w:noProof/>
                <w:sz w:val="20"/>
              </w:rPr>
              <w:t>2,000</w:t>
            </w:r>
          </w:p>
        </w:tc>
      </w:tr>
      <w:tr w:rsidR="00242E09">
        <w:tc>
          <w:tcPr>
            <w:tcW w:w="3960" w:type="dxa"/>
            <w:vMerge/>
          </w:tcPr>
          <w:p w:rsidR="00242E09" w:rsidRDefault="00242E09">
            <w:pPr>
              <w:jc w:val="center"/>
              <w:rPr>
                <w:noProof/>
                <w:sz w:val="20"/>
              </w:rPr>
            </w:pPr>
          </w:p>
        </w:tc>
        <w:tc>
          <w:tcPr>
            <w:tcW w:w="1440" w:type="dxa"/>
            <w:vAlign w:val="center"/>
          </w:tcPr>
          <w:p w:rsidR="00242E09" w:rsidRDefault="00CE46B8">
            <w:pPr>
              <w:spacing w:before="20" w:after="20"/>
              <w:rPr>
                <w:noProof/>
                <w:sz w:val="18"/>
              </w:rPr>
            </w:pPr>
            <w:r>
              <w:rPr>
                <w:noProof/>
                <w:sz w:val="18"/>
              </w:rPr>
              <w:t>Плащания</w:t>
            </w:r>
          </w:p>
        </w:tc>
        <w:tc>
          <w:tcPr>
            <w:tcW w:w="654" w:type="dxa"/>
            <w:gridSpan w:val="2"/>
            <w:vAlign w:val="center"/>
          </w:tcPr>
          <w:p w:rsidR="00242E09" w:rsidRDefault="00CE46B8">
            <w:pPr>
              <w:spacing w:before="20" w:after="20"/>
              <w:jc w:val="center"/>
              <w:rPr>
                <w:noProof/>
                <w:sz w:val="14"/>
              </w:rPr>
            </w:pPr>
            <w:r>
              <w:rPr>
                <w:noProof/>
                <w:sz w:val="14"/>
              </w:rPr>
              <w:t>(2)</w:t>
            </w:r>
          </w:p>
        </w:tc>
        <w:tc>
          <w:tcPr>
            <w:tcW w:w="2874" w:type="dxa"/>
            <w:vAlign w:val="center"/>
          </w:tcPr>
          <w:p w:rsidR="00242E09" w:rsidRDefault="00CE46B8">
            <w:pPr>
              <w:spacing w:before="20" w:after="20"/>
              <w:jc w:val="right"/>
              <w:rPr>
                <w:noProof/>
                <w:sz w:val="20"/>
              </w:rPr>
            </w:pPr>
            <w:r>
              <w:rPr>
                <w:noProof/>
                <w:sz w:val="20"/>
              </w:rPr>
              <w:t>0,100</w:t>
            </w:r>
          </w:p>
        </w:tc>
        <w:tc>
          <w:tcPr>
            <w:tcW w:w="2874" w:type="dxa"/>
            <w:vAlign w:val="center"/>
          </w:tcPr>
          <w:p w:rsidR="00242E09" w:rsidRDefault="00CE46B8">
            <w:pPr>
              <w:spacing w:before="20" w:after="20"/>
              <w:jc w:val="right"/>
              <w:rPr>
                <w:noProof/>
                <w:sz w:val="20"/>
              </w:rPr>
            </w:pPr>
            <w:r>
              <w:rPr>
                <w:noProof/>
                <w:sz w:val="20"/>
              </w:rPr>
              <w:t>0,450</w:t>
            </w:r>
          </w:p>
        </w:tc>
        <w:tc>
          <w:tcPr>
            <w:tcW w:w="2875" w:type="dxa"/>
            <w:vAlign w:val="center"/>
          </w:tcPr>
          <w:p w:rsidR="00242E09" w:rsidRDefault="00CE46B8">
            <w:pPr>
              <w:spacing w:before="20" w:after="20"/>
              <w:jc w:val="right"/>
              <w:rPr>
                <w:b/>
                <w:noProof/>
                <w:sz w:val="20"/>
              </w:rPr>
            </w:pPr>
            <w:r>
              <w:rPr>
                <w:b/>
                <w:noProof/>
                <w:sz w:val="20"/>
              </w:rPr>
              <w:t>0,550</w:t>
            </w:r>
          </w:p>
        </w:tc>
      </w:tr>
      <w:tr w:rsidR="00242E09">
        <w:tc>
          <w:tcPr>
            <w:tcW w:w="3960" w:type="dxa"/>
            <w:vMerge w:val="restart"/>
            <w:vAlign w:val="center"/>
          </w:tcPr>
          <w:p w:rsidR="00242E09" w:rsidRDefault="00CE46B8">
            <w:pPr>
              <w:rPr>
                <w:noProof/>
              </w:rPr>
            </w:pPr>
            <w:r>
              <w:rPr>
                <w:noProof/>
                <w:sz w:val="20"/>
              </w:rPr>
              <w:t>Номер на бюджетния ред</w:t>
            </w:r>
          </w:p>
        </w:tc>
        <w:tc>
          <w:tcPr>
            <w:tcW w:w="1440" w:type="dxa"/>
            <w:vAlign w:val="center"/>
          </w:tcPr>
          <w:p w:rsidR="00242E09" w:rsidRDefault="00CE46B8">
            <w:pPr>
              <w:spacing w:before="20" w:after="20"/>
              <w:rPr>
                <w:noProof/>
                <w:sz w:val="18"/>
              </w:rPr>
            </w:pPr>
            <w:r>
              <w:rPr>
                <w:noProof/>
                <w:sz w:val="18"/>
              </w:rPr>
              <w:t>Поети задължения</w:t>
            </w:r>
          </w:p>
        </w:tc>
        <w:tc>
          <w:tcPr>
            <w:tcW w:w="654" w:type="dxa"/>
            <w:gridSpan w:val="2"/>
            <w:vAlign w:val="center"/>
          </w:tcPr>
          <w:p w:rsidR="00242E09" w:rsidRDefault="00CE46B8">
            <w:pPr>
              <w:spacing w:before="20" w:after="20"/>
              <w:jc w:val="center"/>
              <w:rPr>
                <w:noProof/>
                <w:sz w:val="14"/>
              </w:rPr>
            </w:pPr>
            <w:r>
              <w:rPr>
                <w:noProof/>
                <w:sz w:val="14"/>
              </w:rPr>
              <w:t>(1a)</w:t>
            </w:r>
          </w:p>
        </w:tc>
        <w:tc>
          <w:tcPr>
            <w:tcW w:w="2874" w:type="dxa"/>
            <w:vAlign w:val="center"/>
          </w:tcPr>
          <w:p w:rsidR="00242E09" w:rsidRDefault="00242E09">
            <w:pPr>
              <w:spacing w:before="20" w:after="20"/>
              <w:jc w:val="right"/>
              <w:rPr>
                <w:noProof/>
                <w:sz w:val="20"/>
              </w:rPr>
            </w:pPr>
          </w:p>
        </w:tc>
        <w:tc>
          <w:tcPr>
            <w:tcW w:w="2874" w:type="dxa"/>
            <w:vAlign w:val="center"/>
          </w:tcPr>
          <w:p w:rsidR="00242E09" w:rsidRDefault="00242E09">
            <w:pPr>
              <w:spacing w:before="20" w:after="20"/>
              <w:jc w:val="right"/>
              <w:rPr>
                <w:noProof/>
                <w:sz w:val="20"/>
              </w:rPr>
            </w:pPr>
          </w:p>
        </w:tc>
        <w:tc>
          <w:tcPr>
            <w:tcW w:w="2875" w:type="dxa"/>
            <w:vAlign w:val="center"/>
          </w:tcPr>
          <w:p w:rsidR="00242E09" w:rsidRDefault="00242E09">
            <w:pPr>
              <w:spacing w:before="20" w:after="20"/>
              <w:jc w:val="right"/>
              <w:rPr>
                <w:b/>
                <w:noProof/>
                <w:sz w:val="20"/>
              </w:rPr>
            </w:pPr>
          </w:p>
        </w:tc>
      </w:tr>
      <w:tr w:rsidR="00242E09">
        <w:tc>
          <w:tcPr>
            <w:tcW w:w="3960" w:type="dxa"/>
            <w:vMerge/>
          </w:tcPr>
          <w:p w:rsidR="00242E09" w:rsidRDefault="00242E09">
            <w:pPr>
              <w:jc w:val="center"/>
              <w:rPr>
                <w:noProof/>
                <w:sz w:val="20"/>
              </w:rPr>
            </w:pPr>
          </w:p>
        </w:tc>
        <w:tc>
          <w:tcPr>
            <w:tcW w:w="1440" w:type="dxa"/>
            <w:vAlign w:val="center"/>
          </w:tcPr>
          <w:p w:rsidR="00242E09" w:rsidRDefault="00CE46B8">
            <w:pPr>
              <w:spacing w:before="20" w:after="20"/>
              <w:rPr>
                <w:noProof/>
                <w:sz w:val="18"/>
              </w:rPr>
            </w:pPr>
            <w:r>
              <w:rPr>
                <w:noProof/>
                <w:sz w:val="18"/>
              </w:rPr>
              <w:t>Плащания</w:t>
            </w:r>
          </w:p>
        </w:tc>
        <w:tc>
          <w:tcPr>
            <w:tcW w:w="654" w:type="dxa"/>
            <w:gridSpan w:val="2"/>
            <w:vAlign w:val="center"/>
          </w:tcPr>
          <w:p w:rsidR="00242E09" w:rsidRDefault="00CE46B8">
            <w:pPr>
              <w:spacing w:before="20" w:after="20"/>
              <w:jc w:val="center"/>
              <w:rPr>
                <w:noProof/>
                <w:sz w:val="14"/>
              </w:rPr>
            </w:pPr>
            <w:r>
              <w:rPr>
                <w:noProof/>
                <w:sz w:val="14"/>
              </w:rPr>
              <w:t>(2а)</w:t>
            </w:r>
          </w:p>
        </w:tc>
        <w:tc>
          <w:tcPr>
            <w:tcW w:w="2874" w:type="dxa"/>
            <w:vAlign w:val="center"/>
          </w:tcPr>
          <w:p w:rsidR="00242E09" w:rsidRDefault="00242E09">
            <w:pPr>
              <w:spacing w:before="20" w:after="20"/>
              <w:jc w:val="right"/>
              <w:rPr>
                <w:noProof/>
                <w:sz w:val="20"/>
              </w:rPr>
            </w:pPr>
          </w:p>
        </w:tc>
        <w:tc>
          <w:tcPr>
            <w:tcW w:w="2874" w:type="dxa"/>
            <w:vAlign w:val="center"/>
          </w:tcPr>
          <w:p w:rsidR="00242E09" w:rsidRDefault="00242E09">
            <w:pPr>
              <w:spacing w:before="20" w:after="20"/>
              <w:jc w:val="right"/>
              <w:rPr>
                <w:noProof/>
                <w:sz w:val="20"/>
              </w:rPr>
            </w:pPr>
          </w:p>
        </w:tc>
        <w:tc>
          <w:tcPr>
            <w:tcW w:w="2875" w:type="dxa"/>
            <w:vAlign w:val="center"/>
          </w:tcPr>
          <w:p w:rsidR="00242E09" w:rsidRDefault="00242E09">
            <w:pPr>
              <w:spacing w:before="20" w:after="20"/>
              <w:jc w:val="right"/>
              <w:rPr>
                <w:b/>
                <w:noProof/>
                <w:sz w:val="20"/>
              </w:rPr>
            </w:pPr>
          </w:p>
        </w:tc>
      </w:tr>
      <w:tr w:rsidR="00242E09">
        <w:trPr>
          <w:trHeight w:val="231"/>
        </w:trPr>
        <w:tc>
          <w:tcPr>
            <w:tcW w:w="6054" w:type="dxa"/>
            <w:gridSpan w:val="4"/>
            <w:vAlign w:val="center"/>
          </w:tcPr>
          <w:p w:rsidR="00242E09" w:rsidRDefault="00CE46B8">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36"/>
            </w:r>
            <w:r>
              <w:rPr>
                <w:noProof/>
                <w:sz w:val="21"/>
              </w:rPr>
              <w:t xml:space="preserve"> </w:t>
            </w:r>
          </w:p>
          <w:p w:rsidR="00242E09" w:rsidRDefault="00242E09">
            <w:pPr>
              <w:spacing w:after="0"/>
              <w:rPr>
                <w:noProof/>
              </w:rPr>
            </w:pPr>
          </w:p>
        </w:tc>
        <w:tc>
          <w:tcPr>
            <w:tcW w:w="2874" w:type="dxa"/>
            <w:vAlign w:val="center"/>
          </w:tcPr>
          <w:p w:rsidR="00242E09" w:rsidRDefault="00242E09">
            <w:pPr>
              <w:rPr>
                <w:b/>
                <w:noProof/>
                <w:sz w:val="20"/>
              </w:rPr>
            </w:pPr>
          </w:p>
        </w:tc>
        <w:tc>
          <w:tcPr>
            <w:tcW w:w="2874" w:type="dxa"/>
            <w:vAlign w:val="center"/>
          </w:tcPr>
          <w:p w:rsidR="00242E09" w:rsidRDefault="00242E09">
            <w:pPr>
              <w:rPr>
                <w:b/>
                <w:noProof/>
                <w:sz w:val="20"/>
              </w:rPr>
            </w:pPr>
          </w:p>
        </w:tc>
        <w:tc>
          <w:tcPr>
            <w:tcW w:w="2875" w:type="dxa"/>
            <w:vAlign w:val="center"/>
          </w:tcPr>
          <w:p w:rsidR="00242E09" w:rsidRDefault="00242E09">
            <w:pPr>
              <w:rPr>
                <w:b/>
                <w:noProof/>
                <w:sz w:val="20"/>
              </w:rPr>
            </w:pPr>
          </w:p>
        </w:tc>
      </w:tr>
      <w:tr w:rsidR="00242E09">
        <w:trPr>
          <w:trHeight w:val="319"/>
        </w:trPr>
        <w:tc>
          <w:tcPr>
            <w:tcW w:w="3960" w:type="dxa"/>
            <w:vAlign w:val="center"/>
          </w:tcPr>
          <w:p w:rsidR="00242E09" w:rsidRDefault="00CE46B8">
            <w:pPr>
              <w:spacing w:before="60" w:after="60"/>
              <w:rPr>
                <w:noProof/>
              </w:rPr>
            </w:pPr>
            <w:r>
              <w:rPr>
                <w:noProof/>
                <w:sz w:val="20"/>
              </w:rPr>
              <w:t>Номер на бюджетния ред</w:t>
            </w:r>
          </w:p>
        </w:tc>
        <w:tc>
          <w:tcPr>
            <w:tcW w:w="1440" w:type="dxa"/>
            <w:vAlign w:val="center"/>
          </w:tcPr>
          <w:p w:rsidR="00242E09" w:rsidRDefault="00242E09">
            <w:pPr>
              <w:spacing w:before="40" w:after="40"/>
              <w:jc w:val="right"/>
              <w:rPr>
                <w:noProof/>
                <w:sz w:val="18"/>
              </w:rPr>
            </w:pPr>
          </w:p>
        </w:tc>
        <w:tc>
          <w:tcPr>
            <w:tcW w:w="654" w:type="dxa"/>
            <w:gridSpan w:val="2"/>
            <w:vAlign w:val="center"/>
          </w:tcPr>
          <w:p w:rsidR="00242E09" w:rsidRDefault="00CE46B8">
            <w:pPr>
              <w:spacing w:before="40" w:after="40"/>
              <w:jc w:val="center"/>
              <w:rPr>
                <w:noProof/>
                <w:sz w:val="14"/>
              </w:rPr>
            </w:pPr>
            <w:r>
              <w:rPr>
                <w:noProof/>
                <w:sz w:val="14"/>
              </w:rPr>
              <w:t>(3)</w:t>
            </w:r>
          </w:p>
        </w:tc>
        <w:tc>
          <w:tcPr>
            <w:tcW w:w="2874" w:type="dxa"/>
            <w:vAlign w:val="center"/>
          </w:tcPr>
          <w:p w:rsidR="00242E09" w:rsidRDefault="00242E09">
            <w:pPr>
              <w:spacing w:before="40" w:after="40"/>
              <w:jc w:val="right"/>
              <w:rPr>
                <w:b/>
                <w:noProof/>
                <w:sz w:val="20"/>
              </w:rPr>
            </w:pPr>
          </w:p>
        </w:tc>
        <w:tc>
          <w:tcPr>
            <w:tcW w:w="2874" w:type="dxa"/>
            <w:vAlign w:val="center"/>
          </w:tcPr>
          <w:p w:rsidR="00242E09" w:rsidRDefault="00242E09">
            <w:pPr>
              <w:spacing w:before="40" w:after="40"/>
              <w:jc w:val="right"/>
              <w:rPr>
                <w:b/>
                <w:noProof/>
                <w:sz w:val="20"/>
              </w:rPr>
            </w:pPr>
          </w:p>
        </w:tc>
        <w:tc>
          <w:tcPr>
            <w:tcW w:w="2875" w:type="dxa"/>
            <w:vAlign w:val="center"/>
          </w:tcPr>
          <w:p w:rsidR="00242E09" w:rsidRDefault="00242E09">
            <w:pPr>
              <w:spacing w:before="40" w:after="40"/>
              <w:jc w:val="right"/>
              <w:rPr>
                <w:b/>
                <w:noProof/>
                <w:sz w:val="20"/>
              </w:rPr>
            </w:pPr>
          </w:p>
        </w:tc>
      </w:tr>
      <w:tr w:rsidR="00242E09">
        <w:tc>
          <w:tcPr>
            <w:tcW w:w="3960" w:type="dxa"/>
            <w:vMerge w:val="restart"/>
            <w:vAlign w:val="center"/>
          </w:tcPr>
          <w:p w:rsidR="00242E09" w:rsidRDefault="00CE46B8">
            <w:pPr>
              <w:jc w:val="center"/>
              <w:rPr>
                <w:b/>
                <w:noProof/>
              </w:rPr>
            </w:pPr>
            <w:r>
              <w:rPr>
                <w:b/>
                <w:noProof/>
                <w:sz w:val="22"/>
              </w:rPr>
              <w:t>ОБЩО бюджетни кредити</w:t>
            </w:r>
            <w:r>
              <w:rPr>
                <w:noProof/>
                <w:sz w:val="22"/>
              </w:rPr>
              <w:br/>
            </w:r>
            <w:r>
              <w:rPr>
                <w:b/>
                <w:noProof/>
                <w:sz w:val="22"/>
              </w:rPr>
              <w:t>за ГД „Съобщителни мрежи, съдържание и технологии“</w:t>
            </w:r>
          </w:p>
        </w:tc>
        <w:tc>
          <w:tcPr>
            <w:tcW w:w="1440" w:type="dxa"/>
            <w:vAlign w:val="center"/>
          </w:tcPr>
          <w:p w:rsidR="00242E09" w:rsidRDefault="00CE46B8">
            <w:pPr>
              <w:rPr>
                <w:noProof/>
                <w:sz w:val="18"/>
              </w:rPr>
            </w:pPr>
            <w:r>
              <w:rPr>
                <w:noProof/>
                <w:sz w:val="18"/>
              </w:rPr>
              <w:t>Поети задължения</w:t>
            </w:r>
          </w:p>
        </w:tc>
        <w:tc>
          <w:tcPr>
            <w:tcW w:w="654" w:type="dxa"/>
            <w:gridSpan w:val="2"/>
            <w:vAlign w:val="center"/>
          </w:tcPr>
          <w:p w:rsidR="00242E09" w:rsidRDefault="00CE46B8">
            <w:pPr>
              <w:jc w:val="center"/>
              <w:rPr>
                <w:noProof/>
                <w:sz w:val="14"/>
              </w:rPr>
            </w:pPr>
            <w:r>
              <w:rPr>
                <w:noProof/>
                <w:sz w:val="14"/>
              </w:rPr>
              <w:t>= 1 + 1a +3</w:t>
            </w:r>
          </w:p>
        </w:tc>
        <w:tc>
          <w:tcPr>
            <w:tcW w:w="2874" w:type="dxa"/>
            <w:vAlign w:val="center"/>
          </w:tcPr>
          <w:p w:rsidR="00242E09" w:rsidRDefault="00CE46B8">
            <w:pPr>
              <w:spacing w:before="20" w:after="20"/>
              <w:jc w:val="right"/>
              <w:rPr>
                <w:noProof/>
                <w:sz w:val="20"/>
              </w:rPr>
            </w:pPr>
            <w:r>
              <w:rPr>
                <w:noProof/>
                <w:sz w:val="20"/>
              </w:rPr>
              <w:t>1,000</w:t>
            </w:r>
          </w:p>
        </w:tc>
        <w:tc>
          <w:tcPr>
            <w:tcW w:w="2874" w:type="dxa"/>
            <w:vAlign w:val="center"/>
          </w:tcPr>
          <w:p w:rsidR="00242E09" w:rsidRDefault="00CE46B8">
            <w:pPr>
              <w:spacing w:before="20" w:after="20"/>
              <w:jc w:val="right"/>
              <w:rPr>
                <w:noProof/>
                <w:sz w:val="20"/>
              </w:rPr>
            </w:pPr>
            <w:r>
              <w:rPr>
                <w:noProof/>
                <w:sz w:val="20"/>
              </w:rPr>
              <w:t>1,000</w:t>
            </w:r>
          </w:p>
        </w:tc>
        <w:tc>
          <w:tcPr>
            <w:tcW w:w="2875" w:type="dxa"/>
            <w:vAlign w:val="center"/>
          </w:tcPr>
          <w:p w:rsidR="00242E09" w:rsidRDefault="00CE46B8">
            <w:pPr>
              <w:spacing w:before="20" w:after="20"/>
              <w:jc w:val="right"/>
              <w:rPr>
                <w:b/>
                <w:noProof/>
                <w:sz w:val="20"/>
              </w:rPr>
            </w:pPr>
            <w:r>
              <w:rPr>
                <w:b/>
                <w:noProof/>
                <w:sz w:val="20"/>
              </w:rPr>
              <w:t>2,000</w:t>
            </w:r>
          </w:p>
        </w:tc>
      </w:tr>
      <w:tr w:rsidR="00242E09">
        <w:tc>
          <w:tcPr>
            <w:tcW w:w="3960" w:type="dxa"/>
            <w:vMerge/>
          </w:tcPr>
          <w:p w:rsidR="00242E09" w:rsidRDefault="00242E09">
            <w:pPr>
              <w:rPr>
                <w:noProof/>
                <w:sz w:val="20"/>
              </w:rPr>
            </w:pPr>
          </w:p>
        </w:tc>
        <w:tc>
          <w:tcPr>
            <w:tcW w:w="1440" w:type="dxa"/>
            <w:vAlign w:val="center"/>
          </w:tcPr>
          <w:p w:rsidR="00242E09" w:rsidRDefault="00CE46B8">
            <w:pPr>
              <w:rPr>
                <w:noProof/>
                <w:sz w:val="18"/>
              </w:rPr>
            </w:pPr>
            <w:r>
              <w:rPr>
                <w:noProof/>
                <w:sz w:val="18"/>
              </w:rPr>
              <w:t>Плащания</w:t>
            </w:r>
          </w:p>
        </w:tc>
        <w:tc>
          <w:tcPr>
            <w:tcW w:w="654" w:type="dxa"/>
            <w:gridSpan w:val="2"/>
            <w:vAlign w:val="center"/>
          </w:tcPr>
          <w:p w:rsidR="00242E09" w:rsidRDefault="00CE46B8">
            <w:pPr>
              <w:jc w:val="center"/>
              <w:rPr>
                <w:noProof/>
                <w:sz w:val="14"/>
              </w:rPr>
            </w:pPr>
            <w:r>
              <w:rPr>
                <w:noProof/>
                <w:sz w:val="14"/>
              </w:rPr>
              <w:t>=2+2а</w:t>
            </w:r>
          </w:p>
          <w:p w:rsidR="00242E09" w:rsidRDefault="00CE46B8">
            <w:pPr>
              <w:jc w:val="center"/>
              <w:rPr>
                <w:noProof/>
                <w:sz w:val="14"/>
              </w:rPr>
            </w:pPr>
            <w:r>
              <w:rPr>
                <w:noProof/>
                <w:sz w:val="14"/>
              </w:rPr>
              <w:t>+3</w:t>
            </w:r>
          </w:p>
        </w:tc>
        <w:tc>
          <w:tcPr>
            <w:tcW w:w="2874" w:type="dxa"/>
            <w:vAlign w:val="center"/>
          </w:tcPr>
          <w:p w:rsidR="00242E09" w:rsidRDefault="00CE46B8">
            <w:pPr>
              <w:spacing w:before="20" w:after="20"/>
              <w:jc w:val="right"/>
              <w:rPr>
                <w:noProof/>
                <w:sz w:val="20"/>
              </w:rPr>
            </w:pPr>
            <w:r>
              <w:rPr>
                <w:noProof/>
                <w:sz w:val="20"/>
              </w:rPr>
              <w:t>0,100</w:t>
            </w:r>
          </w:p>
        </w:tc>
        <w:tc>
          <w:tcPr>
            <w:tcW w:w="2874" w:type="dxa"/>
            <w:vAlign w:val="center"/>
          </w:tcPr>
          <w:p w:rsidR="00242E09" w:rsidRDefault="00CE46B8">
            <w:pPr>
              <w:spacing w:before="20" w:after="20"/>
              <w:jc w:val="right"/>
              <w:rPr>
                <w:noProof/>
                <w:sz w:val="20"/>
              </w:rPr>
            </w:pPr>
            <w:r>
              <w:rPr>
                <w:noProof/>
                <w:sz w:val="20"/>
              </w:rPr>
              <w:t>0,450</w:t>
            </w:r>
          </w:p>
        </w:tc>
        <w:tc>
          <w:tcPr>
            <w:tcW w:w="2875" w:type="dxa"/>
            <w:vAlign w:val="center"/>
          </w:tcPr>
          <w:p w:rsidR="00242E09" w:rsidRDefault="00CE46B8">
            <w:pPr>
              <w:spacing w:before="20" w:after="20"/>
              <w:jc w:val="right"/>
              <w:rPr>
                <w:b/>
                <w:noProof/>
                <w:sz w:val="20"/>
              </w:rPr>
            </w:pPr>
            <w:r>
              <w:rPr>
                <w:b/>
                <w:noProof/>
                <w:sz w:val="20"/>
              </w:rPr>
              <w:t>0,550</w:t>
            </w:r>
          </w:p>
        </w:tc>
      </w:tr>
    </w:tbl>
    <w:p w:rsidR="00242E09" w:rsidRDefault="00242E09">
      <w:pPr>
        <w:rPr>
          <w:noProof/>
        </w:rPr>
      </w:pPr>
    </w:p>
    <w:p w:rsidR="00242E09" w:rsidRDefault="00CE46B8">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14677"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2874"/>
        <w:gridCol w:w="79"/>
        <w:gridCol w:w="2795"/>
        <w:gridCol w:w="40"/>
        <w:gridCol w:w="2835"/>
      </w:tblGrid>
      <w:tr w:rsidR="00242E09">
        <w:trPr>
          <w:trHeight w:val="277"/>
        </w:trPr>
        <w:tc>
          <w:tcPr>
            <w:tcW w:w="3960" w:type="dxa"/>
            <w:vMerge w:val="restart"/>
            <w:tcBorders>
              <w:top w:val="single" w:sz="4" w:space="0" w:color="auto"/>
              <w:left w:val="single" w:sz="4" w:space="0" w:color="auto"/>
              <w:bottom w:val="single" w:sz="4" w:space="0" w:color="auto"/>
            </w:tcBorders>
            <w:vAlign w:val="center"/>
          </w:tcPr>
          <w:p w:rsidR="00242E09" w:rsidRDefault="00CE46B8">
            <w:pPr>
              <w:spacing w:before="20" w:after="20"/>
              <w:rPr>
                <w:noProof/>
              </w:rPr>
            </w:pPr>
            <w:r>
              <w:rPr>
                <w:noProof/>
                <w:sz w:val="21"/>
              </w:rPr>
              <w:sym w:font="Wingdings" w:char="F09F"/>
            </w:r>
            <w:r>
              <w:rPr>
                <w:noProof/>
                <w:sz w:val="21"/>
              </w:rPr>
              <w:t xml:space="preserve"> ОБЩО бюджетни кредити за оперативни разходи</w:t>
            </w:r>
          </w:p>
        </w:tc>
        <w:tc>
          <w:tcPr>
            <w:tcW w:w="1440" w:type="dxa"/>
            <w:tcBorders>
              <w:top w:val="single" w:sz="4" w:space="0" w:color="auto"/>
              <w:bottom w:val="single" w:sz="4" w:space="0" w:color="auto"/>
            </w:tcBorders>
            <w:vAlign w:val="center"/>
          </w:tcPr>
          <w:p w:rsidR="00242E09" w:rsidRDefault="00CE46B8">
            <w:pPr>
              <w:spacing w:beforeLines="20" w:before="48" w:afterLines="20" w:after="48"/>
              <w:rPr>
                <w:noProof/>
                <w:sz w:val="18"/>
              </w:rPr>
            </w:pPr>
            <w:r>
              <w:rPr>
                <w:noProof/>
                <w:sz w:val="18"/>
              </w:rPr>
              <w:t>Поети задължения</w:t>
            </w:r>
          </w:p>
        </w:tc>
        <w:tc>
          <w:tcPr>
            <w:tcW w:w="654" w:type="dxa"/>
            <w:tcBorders>
              <w:top w:val="single" w:sz="4" w:space="0" w:color="auto"/>
              <w:bottom w:val="single" w:sz="4" w:space="0" w:color="auto"/>
            </w:tcBorders>
            <w:vAlign w:val="center"/>
          </w:tcPr>
          <w:p w:rsidR="00242E09" w:rsidRDefault="00CE46B8">
            <w:pPr>
              <w:spacing w:beforeLines="20" w:before="48" w:afterLines="20" w:after="48"/>
              <w:jc w:val="center"/>
              <w:rPr>
                <w:noProof/>
                <w:sz w:val="14"/>
              </w:rPr>
            </w:pPr>
            <w:r>
              <w:rPr>
                <w:noProof/>
                <w:sz w:val="14"/>
              </w:rPr>
              <w:t>(4)</w:t>
            </w:r>
          </w:p>
        </w:tc>
        <w:tc>
          <w:tcPr>
            <w:tcW w:w="2874" w:type="dxa"/>
            <w:tcBorders>
              <w:top w:val="single" w:sz="4" w:space="0" w:color="auto"/>
              <w:bottom w:val="single" w:sz="4" w:space="0" w:color="auto"/>
            </w:tcBorders>
            <w:vAlign w:val="center"/>
          </w:tcPr>
          <w:p w:rsidR="00242E09" w:rsidRDefault="00CE46B8">
            <w:pPr>
              <w:spacing w:before="20" w:after="20"/>
              <w:jc w:val="right"/>
              <w:rPr>
                <w:noProof/>
                <w:sz w:val="20"/>
              </w:rPr>
            </w:pPr>
            <w:r>
              <w:rPr>
                <w:noProof/>
                <w:sz w:val="20"/>
              </w:rPr>
              <w:t>11,285</w:t>
            </w:r>
          </w:p>
        </w:tc>
        <w:tc>
          <w:tcPr>
            <w:tcW w:w="2874" w:type="dxa"/>
            <w:gridSpan w:val="2"/>
            <w:tcBorders>
              <w:top w:val="single" w:sz="4" w:space="0" w:color="auto"/>
              <w:bottom w:val="single" w:sz="4" w:space="0" w:color="auto"/>
            </w:tcBorders>
            <w:vAlign w:val="center"/>
          </w:tcPr>
          <w:p w:rsidR="00242E09" w:rsidRDefault="00CE46B8">
            <w:pPr>
              <w:spacing w:before="20" w:after="20"/>
              <w:jc w:val="right"/>
              <w:rPr>
                <w:noProof/>
                <w:sz w:val="20"/>
              </w:rPr>
            </w:pPr>
            <w:r>
              <w:rPr>
                <w:noProof/>
                <w:sz w:val="20"/>
              </w:rPr>
              <w:t>10,185</w:t>
            </w:r>
          </w:p>
        </w:tc>
        <w:tc>
          <w:tcPr>
            <w:tcW w:w="2875" w:type="dxa"/>
            <w:gridSpan w:val="2"/>
            <w:tcBorders>
              <w:top w:val="single" w:sz="4" w:space="0" w:color="auto"/>
              <w:bottom w:val="single" w:sz="4" w:space="0" w:color="auto"/>
              <w:right w:val="single" w:sz="4" w:space="0" w:color="auto"/>
            </w:tcBorders>
            <w:vAlign w:val="center"/>
          </w:tcPr>
          <w:p w:rsidR="00242E09" w:rsidRDefault="00CE46B8">
            <w:pPr>
              <w:spacing w:before="20" w:after="20"/>
              <w:jc w:val="right"/>
              <w:rPr>
                <w:b/>
                <w:noProof/>
                <w:sz w:val="20"/>
              </w:rPr>
            </w:pPr>
            <w:r>
              <w:rPr>
                <w:b/>
                <w:noProof/>
                <w:sz w:val="20"/>
              </w:rPr>
              <w:t>21,470</w:t>
            </w:r>
          </w:p>
        </w:tc>
      </w:tr>
      <w:tr w:rsidR="00242E09">
        <w:tc>
          <w:tcPr>
            <w:tcW w:w="3960" w:type="dxa"/>
            <w:vMerge/>
            <w:tcBorders>
              <w:top w:val="single" w:sz="4" w:space="0" w:color="auto"/>
              <w:left w:val="single" w:sz="4" w:space="0" w:color="auto"/>
              <w:bottom w:val="single" w:sz="4" w:space="0" w:color="auto"/>
            </w:tcBorders>
          </w:tcPr>
          <w:p w:rsidR="00242E09" w:rsidRDefault="00242E09">
            <w:pPr>
              <w:jc w:val="center"/>
              <w:rPr>
                <w:noProof/>
                <w:sz w:val="20"/>
              </w:rPr>
            </w:pPr>
          </w:p>
        </w:tc>
        <w:tc>
          <w:tcPr>
            <w:tcW w:w="1440" w:type="dxa"/>
            <w:tcBorders>
              <w:top w:val="single" w:sz="4" w:space="0" w:color="auto"/>
              <w:bottom w:val="single" w:sz="4" w:space="0" w:color="auto"/>
            </w:tcBorders>
            <w:vAlign w:val="center"/>
          </w:tcPr>
          <w:p w:rsidR="00242E09" w:rsidRDefault="00CE46B8">
            <w:pPr>
              <w:spacing w:beforeLines="20" w:before="48" w:afterLines="20" w:after="48"/>
              <w:rPr>
                <w:noProof/>
                <w:sz w:val="18"/>
              </w:rPr>
            </w:pPr>
            <w:r>
              <w:rPr>
                <w:noProof/>
                <w:sz w:val="18"/>
              </w:rPr>
              <w:t>Плащания</w:t>
            </w:r>
          </w:p>
        </w:tc>
        <w:tc>
          <w:tcPr>
            <w:tcW w:w="654" w:type="dxa"/>
            <w:tcBorders>
              <w:top w:val="single" w:sz="4" w:space="0" w:color="auto"/>
              <w:bottom w:val="single" w:sz="4" w:space="0" w:color="auto"/>
            </w:tcBorders>
            <w:vAlign w:val="center"/>
          </w:tcPr>
          <w:p w:rsidR="00242E09" w:rsidRDefault="00CE46B8">
            <w:pPr>
              <w:spacing w:beforeLines="20" w:before="48" w:afterLines="20" w:after="48"/>
              <w:jc w:val="center"/>
              <w:rPr>
                <w:noProof/>
                <w:sz w:val="14"/>
              </w:rPr>
            </w:pPr>
            <w:r>
              <w:rPr>
                <w:noProof/>
                <w:sz w:val="14"/>
              </w:rPr>
              <w:t>(5)</w:t>
            </w:r>
          </w:p>
        </w:tc>
        <w:tc>
          <w:tcPr>
            <w:tcW w:w="2874" w:type="dxa"/>
            <w:tcBorders>
              <w:top w:val="single" w:sz="4" w:space="0" w:color="auto"/>
              <w:bottom w:val="single" w:sz="4" w:space="0" w:color="auto"/>
            </w:tcBorders>
            <w:vAlign w:val="center"/>
          </w:tcPr>
          <w:p w:rsidR="00242E09" w:rsidRDefault="00CE46B8">
            <w:pPr>
              <w:spacing w:before="20" w:after="20"/>
              <w:jc w:val="right"/>
              <w:rPr>
                <w:noProof/>
                <w:sz w:val="20"/>
              </w:rPr>
            </w:pPr>
            <w:r>
              <w:rPr>
                <w:noProof/>
                <w:sz w:val="20"/>
              </w:rPr>
              <w:t>1,129</w:t>
            </w:r>
          </w:p>
        </w:tc>
        <w:tc>
          <w:tcPr>
            <w:tcW w:w="2874" w:type="dxa"/>
            <w:gridSpan w:val="2"/>
            <w:tcBorders>
              <w:top w:val="single" w:sz="4" w:space="0" w:color="auto"/>
              <w:bottom w:val="single" w:sz="4" w:space="0" w:color="auto"/>
            </w:tcBorders>
            <w:vAlign w:val="center"/>
          </w:tcPr>
          <w:p w:rsidR="00242E09" w:rsidRDefault="00CE46B8">
            <w:pPr>
              <w:spacing w:before="20" w:after="20"/>
              <w:jc w:val="right"/>
              <w:rPr>
                <w:noProof/>
                <w:sz w:val="20"/>
              </w:rPr>
            </w:pPr>
            <w:r>
              <w:rPr>
                <w:noProof/>
                <w:sz w:val="20"/>
              </w:rPr>
              <w:t>4,968</w:t>
            </w:r>
          </w:p>
        </w:tc>
        <w:tc>
          <w:tcPr>
            <w:tcW w:w="2875" w:type="dxa"/>
            <w:gridSpan w:val="2"/>
            <w:tcBorders>
              <w:top w:val="single" w:sz="4" w:space="0" w:color="auto"/>
              <w:bottom w:val="single" w:sz="4" w:space="0" w:color="auto"/>
              <w:right w:val="single" w:sz="4" w:space="0" w:color="auto"/>
            </w:tcBorders>
            <w:vAlign w:val="center"/>
          </w:tcPr>
          <w:p w:rsidR="00242E09" w:rsidRDefault="00CE46B8">
            <w:pPr>
              <w:spacing w:before="20" w:after="20"/>
              <w:jc w:val="right"/>
              <w:rPr>
                <w:b/>
                <w:noProof/>
                <w:sz w:val="20"/>
              </w:rPr>
            </w:pPr>
            <w:r>
              <w:rPr>
                <w:b/>
                <w:noProof/>
                <w:sz w:val="20"/>
              </w:rPr>
              <w:t>6,097</w:t>
            </w:r>
          </w:p>
        </w:tc>
      </w:tr>
      <w:tr w:rsidR="00242E09">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tcBorders>
              <w:bottom w:val="single" w:sz="4" w:space="0" w:color="auto"/>
            </w:tcBorders>
            <w:vAlign w:val="center"/>
          </w:tcPr>
          <w:p w:rsidR="00242E09" w:rsidRDefault="00CE46B8">
            <w:pPr>
              <w:spacing w:beforeLines="20" w:before="48" w:afterLines="20" w:after="48"/>
              <w:rPr>
                <w:noProof/>
              </w:rPr>
            </w:pPr>
            <w:r>
              <w:rPr>
                <w:noProof/>
                <w:sz w:val="21"/>
              </w:rPr>
              <w:lastRenderedPageBreak/>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654" w:type="dxa"/>
            <w:tcBorders>
              <w:bottom w:val="single" w:sz="4" w:space="0" w:color="auto"/>
            </w:tcBorders>
            <w:vAlign w:val="center"/>
          </w:tcPr>
          <w:p w:rsidR="00242E09" w:rsidRDefault="00CE46B8">
            <w:pPr>
              <w:spacing w:beforeLines="20" w:before="48" w:afterLines="20" w:after="48"/>
              <w:jc w:val="center"/>
              <w:rPr>
                <w:noProof/>
                <w:sz w:val="14"/>
              </w:rPr>
            </w:pPr>
            <w:r>
              <w:rPr>
                <w:noProof/>
                <w:sz w:val="14"/>
              </w:rPr>
              <w:t>(6)</w:t>
            </w:r>
          </w:p>
        </w:tc>
        <w:tc>
          <w:tcPr>
            <w:tcW w:w="2874" w:type="dxa"/>
            <w:tcBorders>
              <w:bottom w:val="single" w:sz="4" w:space="0" w:color="auto"/>
            </w:tcBorders>
            <w:vAlign w:val="center"/>
          </w:tcPr>
          <w:p w:rsidR="00242E09" w:rsidRDefault="00242E09">
            <w:pPr>
              <w:spacing w:before="20" w:after="20"/>
              <w:jc w:val="right"/>
              <w:rPr>
                <w:b/>
                <w:noProof/>
                <w:sz w:val="20"/>
              </w:rPr>
            </w:pPr>
          </w:p>
        </w:tc>
        <w:tc>
          <w:tcPr>
            <w:tcW w:w="2874" w:type="dxa"/>
            <w:gridSpan w:val="2"/>
            <w:tcBorders>
              <w:bottom w:val="single" w:sz="4" w:space="0" w:color="auto"/>
            </w:tcBorders>
            <w:vAlign w:val="center"/>
          </w:tcPr>
          <w:p w:rsidR="00242E09" w:rsidRDefault="00242E09">
            <w:pPr>
              <w:spacing w:before="20" w:after="20"/>
              <w:jc w:val="right"/>
              <w:rPr>
                <w:b/>
                <w:noProof/>
                <w:sz w:val="20"/>
              </w:rPr>
            </w:pPr>
          </w:p>
        </w:tc>
        <w:tc>
          <w:tcPr>
            <w:tcW w:w="2875" w:type="dxa"/>
            <w:gridSpan w:val="2"/>
            <w:tcBorders>
              <w:bottom w:val="single" w:sz="4" w:space="0" w:color="auto"/>
            </w:tcBorders>
            <w:vAlign w:val="center"/>
          </w:tcPr>
          <w:p w:rsidR="00242E09" w:rsidRDefault="00242E09">
            <w:pPr>
              <w:spacing w:before="20" w:after="20"/>
              <w:jc w:val="right"/>
              <w:rPr>
                <w:b/>
                <w:noProof/>
                <w:sz w:val="20"/>
              </w:rPr>
            </w:pPr>
          </w:p>
        </w:tc>
      </w:tr>
      <w:tr w:rsidR="00242E09">
        <w:tc>
          <w:tcPr>
            <w:tcW w:w="3960" w:type="dxa"/>
            <w:vMerge w:val="restart"/>
            <w:tcBorders>
              <w:top w:val="single" w:sz="4" w:space="0" w:color="auto"/>
              <w:left w:val="single" w:sz="4" w:space="0" w:color="auto"/>
              <w:bottom w:val="single" w:sz="4" w:space="0" w:color="auto"/>
            </w:tcBorders>
            <w:shd w:val="thinDiagStripe" w:color="C0C0C0" w:fill="auto"/>
            <w:vAlign w:val="center"/>
          </w:tcPr>
          <w:p w:rsidR="00242E09" w:rsidRDefault="00CE46B8">
            <w:pPr>
              <w:jc w:val="center"/>
              <w:rPr>
                <w:b/>
                <w:noProof/>
              </w:rPr>
            </w:pPr>
            <w:r>
              <w:rPr>
                <w:b/>
                <w:noProof/>
                <w:sz w:val="22"/>
              </w:rPr>
              <w:t xml:space="preserve">ОБЩО бюджетни кредити </w:t>
            </w:r>
            <w:r>
              <w:rPr>
                <w:noProof/>
                <w:sz w:val="22"/>
              </w:rPr>
              <w:br/>
            </w:r>
            <w:r>
              <w:rPr>
                <w:b/>
                <w:noProof/>
                <w:sz w:val="22"/>
              </w:rPr>
              <w:t>по ФУНКЦИИ 1 — 4</w:t>
            </w:r>
            <w:r>
              <w:rPr>
                <w:noProof/>
                <w:sz w:val="22"/>
              </w:rPr>
              <w:br/>
              <w:t>от многогодишната финансова рамка</w:t>
            </w:r>
            <w:r>
              <w:rPr>
                <w:noProof/>
                <w:sz w:val="22"/>
              </w:rPr>
              <w:br/>
            </w:r>
            <w:r>
              <w:rPr>
                <w:noProof/>
                <w:sz w:val="20"/>
              </w:rPr>
              <w:t>(Референтна стойност)</w:t>
            </w:r>
          </w:p>
        </w:tc>
        <w:tc>
          <w:tcPr>
            <w:tcW w:w="1440" w:type="dxa"/>
            <w:tcBorders>
              <w:top w:val="single" w:sz="4" w:space="0" w:color="auto"/>
              <w:bottom w:val="single" w:sz="4" w:space="0" w:color="auto"/>
            </w:tcBorders>
            <w:vAlign w:val="center"/>
          </w:tcPr>
          <w:p w:rsidR="00242E09" w:rsidRDefault="00CE46B8">
            <w:pPr>
              <w:rPr>
                <w:noProof/>
                <w:sz w:val="18"/>
              </w:rPr>
            </w:pPr>
            <w:r>
              <w:rPr>
                <w:noProof/>
                <w:sz w:val="18"/>
              </w:rPr>
              <w:t>Поети задължения</w:t>
            </w:r>
          </w:p>
        </w:tc>
        <w:tc>
          <w:tcPr>
            <w:tcW w:w="654" w:type="dxa"/>
            <w:tcBorders>
              <w:top w:val="single" w:sz="4" w:space="0" w:color="auto"/>
              <w:bottom w:val="single" w:sz="4" w:space="0" w:color="auto"/>
            </w:tcBorders>
            <w:vAlign w:val="center"/>
          </w:tcPr>
          <w:p w:rsidR="00242E09" w:rsidRDefault="00CE46B8">
            <w:pPr>
              <w:jc w:val="center"/>
              <w:rPr>
                <w:noProof/>
                <w:sz w:val="14"/>
              </w:rPr>
            </w:pPr>
            <w:r>
              <w:rPr>
                <w:noProof/>
                <w:sz w:val="14"/>
              </w:rPr>
              <w:t>=4+6</w:t>
            </w:r>
          </w:p>
        </w:tc>
        <w:tc>
          <w:tcPr>
            <w:tcW w:w="2874" w:type="dxa"/>
            <w:tcBorders>
              <w:top w:val="single" w:sz="4" w:space="0" w:color="auto"/>
              <w:bottom w:val="single" w:sz="4" w:space="0" w:color="auto"/>
            </w:tcBorders>
            <w:vAlign w:val="center"/>
          </w:tcPr>
          <w:p w:rsidR="00242E09" w:rsidRDefault="00CE46B8">
            <w:pPr>
              <w:spacing w:before="20" w:after="20"/>
              <w:jc w:val="right"/>
              <w:rPr>
                <w:noProof/>
                <w:sz w:val="20"/>
              </w:rPr>
            </w:pPr>
            <w:r>
              <w:rPr>
                <w:noProof/>
                <w:sz w:val="20"/>
              </w:rPr>
              <w:t>11,285</w:t>
            </w:r>
          </w:p>
        </w:tc>
        <w:tc>
          <w:tcPr>
            <w:tcW w:w="2874" w:type="dxa"/>
            <w:gridSpan w:val="2"/>
            <w:tcBorders>
              <w:top w:val="single" w:sz="4" w:space="0" w:color="auto"/>
              <w:bottom w:val="single" w:sz="4" w:space="0" w:color="auto"/>
            </w:tcBorders>
            <w:vAlign w:val="center"/>
          </w:tcPr>
          <w:p w:rsidR="00242E09" w:rsidRDefault="00CE46B8">
            <w:pPr>
              <w:spacing w:before="20" w:after="20"/>
              <w:jc w:val="right"/>
              <w:rPr>
                <w:noProof/>
                <w:sz w:val="20"/>
              </w:rPr>
            </w:pPr>
            <w:r>
              <w:rPr>
                <w:noProof/>
                <w:sz w:val="20"/>
              </w:rPr>
              <w:t>10,185</w:t>
            </w:r>
          </w:p>
        </w:tc>
        <w:tc>
          <w:tcPr>
            <w:tcW w:w="2875" w:type="dxa"/>
            <w:gridSpan w:val="2"/>
            <w:tcBorders>
              <w:top w:val="single" w:sz="4" w:space="0" w:color="auto"/>
              <w:bottom w:val="single" w:sz="4" w:space="0" w:color="auto"/>
              <w:right w:val="single" w:sz="4" w:space="0" w:color="auto"/>
            </w:tcBorders>
            <w:vAlign w:val="center"/>
          </w:tcPr>
          <w:p w:rsidR="00242E09" w:rsidRDefault="00CE46B8">
            <w:pPr>
              <w:spacing w:before="20" w:after="20"/>
              <w:jc w:val="right"/>
              <w:rPr>
                <w:noProof/>
                <w:sz w:val="20"/>
              </w:rPr>
            </w:pPr>
            <w:r>
              <w:rPr>
                <w:b/>
                <w:noProof/>
                <w:sz w:val="20"/>
              </w:rPr>
              <w:t>21,470</w:t>
            </w:r>
          </w:p>
        </w:tc>
      </w:tr>
      <w:tr w:rsidR="00242E09">
        <w:tc>
          <w:tcPr>
            <w:tcW w:w="3960" w:type="dxa"/>
            <w:vMerge/>
            <w:tcBorders>
              <w:top w:val="single" w:sz="4" w:space="0" w:color="auto"/>
              <w:left w:val="single" w:sz="4" w:space="0" w:color="auto"/>
              <w:bottom w:val="single" w:sz="4" w:space="0" w:color="auto"/>
            </w:tcBorders>
            <w:shd w:val="thinDiagStripe" w:color="C0C0C0" w:fill="auto"/>
          </w:tcPr>
          <w:p w:rsidR="00242E09" w:rsidRDefault="00242E09">
            <w:pPr>
              <w:rPr>
                <w:noProof/>
                <w:sz w:val="20"/>
              </w:rPr>
            </w:pPr>
          </w:p>
        </w:tc>
        <w:tc>
          <w:tcPr>
            <w:tcW w:w="1440" w:type="dxa"/>
            <w:tcBorders>
              <w:top w:val="single" w:sz="4" w:space="0" w:color="auto"/>
              <w:bottom w:val="single" w:sz="4" w:space="0" w:color="auto"/>
            </w:tcBorders>
            <w:vAlign w:val="center"/>
          </w:tcPr>
          <w:p w:rsidR="00242E09" w:rsidRDefault="00CE46B8">
            <w:pPr>
              <w:rPr>
                <w:noProof/>
                <w:sz w:val="18"/>
              </w:rPr>
            </w:pPr>
            <w:r>
              <w:rPr>
                <w:noProof/>
                <w:sz w:val="18"/>
              </w:rPr>
              <w:t>Плащания</w:t>
            </w:r>
          </w:p>
        </w:tc>
        <w:tc>
          <w:tcPr>
            <w:tcW w:w="654" w:type="dxa"/>
            <w:tcBorders>
              <w:top w:val="single" w:sz="4" w:space="0" w:color="auto"/>
              <w:bottom w:val="single" w:sz="4" w:space="0" w:color="auto"/>
            </w:tcBorders>
            <w:vAlign w:val="center"/>
          </w:tcPr>
          <w:p w:rsidR="00242E09" w:rsidRDefault="00CE46B8">
            <w:pPr>
              <w:jc w:val="center"/>
              <w:rPr>
                <w:noProof/>
                <w:sz w:val="14"/>
              </w:rPr>
            </w:pPr>
            <w:r>
              <w:rPr>
                <w:noProof/>
                <w:sz w:val="14"/>
              </w:rPr>
              <w:t>=5+6</w:t>
            </w:r>
          </w:p>
        </w:tc>
        <w:tc>
          <w:tcPr>
            <w:tcW w:w="2953" w:type="dxa"/>
            <w:gridSpan w:val="2"/>
            <w:tcBorders>
              <w:top w:val="single" w:sz="4" w:space="0" w:color="auto"/>
              <w:bottom w:val="single" w:sz="4" w:space="0" w:color="auto"/>
            </w:tcBorders>
            <w:vAlign w:val="center"/>
          </w:tcPr>
          <w:p w:rsidR="00242E09" w:rsidRDefault="00CE46B8">
            <w:pPr>
              <w:spacing w:before="20" w:after="20"/>
              <w:jc w:val="right"/>
              <w:rPr>
                <w:noProof/>
                <w:sz w:val="20"/>
              </w:rPr>
            </w:pPr>
            <w:r>
              <w:rPr>
                <w:noProof/>
                <w:sz w:val="20"/>
              </w:rPr>
              <w:t>1,129</w:t>
            </w:r>
          </w:p>
        </w:tc>
        <w:tc>
          <w:tcPr>
            <w:tcW w:w="2835" w:type="dxa"/>
            <w:gridSpan w:val="2"/>
            <w:tcBorders>
              <w:top w:val="single" w:sz="4" w:space="0" w:color="auto"/>
              <w:bottom w:val="single" w:sz="4" w:space="0" w:color="auto"/>
            </w:tcBorders>
            <w:vAlign w:val="center"/>
          </w:tcPr>
          <w:p w:rsidR="00242E09" w:rsidRDefault="00CE46B8">
            <w:pPr>
              <w:spacing w:before="20" w:after="20"/>
              <w:jc w:val="right"/>
              <w:rPr>
                <w:noProof/>
                <w:sz w:val="20"/>
              </w:rPr>
            </w:pPr>
            <w:r>
              <w:rPr>
                <w:noProof/>
                <w:sz w:val="20"/>
              </w:rPr>
              <w:t>4,968</w:t>
            </w:r>
          </w:p>
        </w:tc>
        <w:tc>
          <w:tcPr>
            <w:tcW w:w="2835" w:type="dxa"/>
            <w:tcBorders>
              <w:top w:val="single" w:sz="4" w:space="0" w:color="auto"/>
              <w:bottom w:val="single" w:sz="4" w:space="0" w:color="auto"/>
              <w:right w:val="single" w:sz="4" w:space="0" w:color="auto"/>
            </w:tcBorders>
            <w:vAlign w:val="center"/>
          </w:tcPr>
          <w:p w:rsidR="00242E09" w:rsidRDefault="00CE46B8">
            <w:pPr>
              <w:spacing w:before="20" w:after="20"/>
              <w:jc w:val="right"/>
              <w:rPr>
                <w:noProof/>
                <w:sz w:val="20"/>
              </w:rPr>
            </w:pPr>
            <w:r>
              <w:rPr>
                <w:b/>
                <w:noProof/>
                <w:sz w:val="20"/>
              </w:rPr>
              <w:t>6,097</w:t>
            </w:r>
          </w:p>
        </w:tc>
      </w:tr>
    </w:tbl>
    <w:p w:rsidR="00242E09" w:rsidRDefault="00242E09">
      <w:pPr>
        <w:rPr>
          <w:noProof/>
        </w:rPr>
      </w:pPr>
    </w:p>
    <w:p w:rsidR="00242E09" w:rsidRDefault="00CE46B8">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42E09">
        <w:trPr>
          <w:jc w:val="center"/>
        </w:trPr>
        <w:tc>
          <w:tcPr>
            <w:tcW w:w="4744" w:type="dxa"/>
            <w:shd w:val="thinDiagStripe" w:color="C0C0C0" w:fill="auto"/>
            <w:vAlign w:val="center"/>
          </w:tcPr>
          <w:p w:rsidR="00242E09" w:rsidRDefault="00CE46B8">
            <w:pPr>
              <w:spacing w:before="60" w:after="60"/>
              <w:jc w:val="center"/>
              <w:rPr>
                <w:b/>
                <w:noProof/>
              </w:rPr>
            </w:pPr>
            <w:r>
              <w:rPr>
                <w:noProof/>
              </w:rPr>
              <w:lastRenderedPageBreak/>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242E09" w:rsidRDefault="00CE46B8">
            <w:pPr>
              <w:spacing w:before="60" w:after="60"/>
              <w:jc w:val="center"/>
              <w:rPr>
                <w:noProof/>
              </w:rPr>
            </w:pPr>
            <w:r>
              <w:rPr>
                <w:b/>
                <w:noProof/>
                <w:sz w:val="22"/>
              </w:rPr>
              <w:t>5</w:t>
            </w:r>
          </w:p>
        </w:tc>
        <w:tc>
          <w:tcPr>
            <w:tcW w:w="7817" w:type="dxa"/>
            <w:vAlign w:val="center"/>
          </w:tcPr>
          <w:p w:rsidR="00242E09" w:rsidRDefault="00CE46B8">
            <w:pPr>
              <w:spacing w:before="60" w:after="60"/>
              <w:rPr>
                <w:noProof/>
              </w:rPr>
            </w:pPr>
            <w:r>
              <w:rPr>
                <w:noProof/>
                <w:sz w:val="22"/>
              </w:rPr>
              <w:t>„Административни разходи“</w:t>
            </w:r>
          </w:p>
        </w:tc>
      </w:tr>
    </w:tbl>
    <w:p w:rsidR="00242E09" w:rsidRDefault="00CE46B8">
      <w:pPr>
        <w:jc w:val="right"/>
        <w:rPr>
          <w:noProof/>
          <w:sz w:val="20"/>
        </w:rPr>
      </w:pPr>
      <w:r>
        <w:rPr>
          <w:noProof/>
          <w:sz w:val="20"/>
        </w:rPr>
        <w:t>млн. EUR (до третия знак след десетичната запетая)</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2874"/>
        <w:gridCol w:w="2874"/>
        <w:gridCol w:w="2875"/>
      </w:tblGrid>
      <w:tr w:rsidR="00242E09">
        <w:tc>
          <w:tcPr>
            <w:tcW w:w="3960" w:type="dxa"/>
            <w:tcBorders>
              <w:top w:val="nil"/>
              <w:left w:val="nil"/>
              <w:right w:val="nil"/>
            </w:tcBorders>
            <w:vAlign w:val="center"/>
          </w:tcPr>
          <w:p w:rsidR="00242E09" w:rsidRDefault="00242E09">
            <w:pPr>
              <w:jc w:val="center"/>
              <w:rPr>
                <w:noProof/>
              </w:rPr>
            </w:pPr>
          </w:p>
        </w:tc>
        <w:tc>
          <w:tcPr>
            <w:tcW w:w="1560" w:type="dxa"/>
            <w:tcBorders>
              <w:top w:val="nil"/>
              <w:left w:val="nil"/>
              <w:right w:val="nil"/>
            </w:tcBorders>
          </w:tcPr>
          <w:p w:rsidR="00242E09" w:rsidRDefault="00242E09">
            <w:pPr>
              <w:rPr>
                <w:noProof/>
                <w:sz w:val="20"/>
              </w:rPr>
            </w:pPr>
          </w:p>
        </w:tc>
        <w:tc>
          <w:tcPr>
            <w:tcW w:w="534" w:type="dxa"/>
            <w:tcBorders>
              <w:top w:val="nil"/>
              <w:left w:val="nil"/>
            </w:tcBorders>
          </w:tcPr>
          <w:p w:rsidR="00242E09" w:rsidRDefault="00242E09">
            <w:pPr>
              <w:jc w:val="center"/>
              <w:rPr>
                <w:noProof/>
                <w:sz w:val="20"/>
              </w:rPr>
            </w:pPr>
          </w:p>
        </w:tc>
        <w:tc>
          <w:tcPr>
            <w:tcW w:w="2874" w:type="dxa"/>
            <w:vAlign w:val="center"/>
          </w:tcPr>
          <w:p w:rsidR="00242E09" w:rsidRDefault="00CE46B8">
            <w:pPr>
              <w:jc w:val="center"/>
              <w:rPr>
                <w:noProof/>
                <w:sz w:val="20"/>
              </w:rPr>
            </w:pPr>
            <w:r>
              <w:rPr>
                <w:b/>
                <w:noProof/>
              </w:rPr>
              <w:t>2019 г.</w:t>
            </w:r>
          </w:p>
        </w:tc>
        <w:tc>
          <w:tcPr>
            <w:tcW w:w="2874" w:type="dxa"/>
            <w:vAlign w:val="center"/>
          </w:tcPr>
          <w:p w:rsidR="00242E09" w:rsidRDefault="00CE46B8">
            <w:pPr>
              <w:jc w:val="center"/>
              <w:rPr>
                <w:noProof/>
                <w:sz w:val="20"/>
              </w:rPr>
            </w:pPr>
            <w:r>
              <w:rPr>
                <w:b/>
                <w:noProof/>
              </w:rPr>
              <w:t>2020 г.</w:t>
            </w:r>
          </w:p>
        </w:tc>
        <w:tc>
          <w:tcPr>
            <w:tcW w:w="2875" w:type="dxa"/>
            <w:vAlign w:val="center"/>
          </w:tcPr>
          <w:p w:rsidR="00242E09" w:rsidRDefault="00CE46B8">
            <w:pPr>
              <w:jc w:val="center"/>
              <w:rPr>
                <w:b/>
                <w:noProof/>
                <w:sz w:val="20"/>
              </w:rPr>
            </w:pPr>
            <w:r>
              <w:rPr>
                <w:b/>
                <w:noProof/>
                <w:sz w:val="20"/>
              </w:rPr>
              <w:t>ОБЩО</w:t>
            </w:r>
          </w:p>
        </w:tc>
      </w:tr>
      <w:tr w:rsidR="00242E09">
        <w:trPr>
          <w:gridAfter w:val="5"/>
          <w:wAfter w:w="10717" w:type="dxa"/>
        </w:trPr>
        <w:tc>
          <w:tcPr>
            <w:tcW w:w="3960" w:type="dxa"/>
            <w:vAlign w:val="center"/>
          </w:tcPr>
          <w:p w:rsidR="00242E09" w:rsidRDefault="00CE46B8">
            <w:pPr>
              <w:spacing w:before="60" w:after="60"/>
              <w:jc w:val="center"/>
              <w:rPr>
                <w:noProof/>
              </w:rPr>
            </w:pPr>
            <w:r>
              <w:rPr>
                <w:noProof/>
                <w:sz w:val="22"/>
              </w:rPr>
              <w:t>ГД: Евростат</w:t>
            </w:r>
          </w:p>
        </w:tc>
      </w:tr>
      <w:tr w:rsidR="00242E09">
        <w:trPr>
          <w:trHeight w:val="313"/>
        </w:trPr>
        <w:tc>
          <w:tcPr>
            <w:tcW w:w="6054" w:type="dxa"/>
            <w:gridSpan w:val="3"/>
            <w:vAlign w:val="center"/>
          </w:tcPr>
          <w:p w:rsidR="00242E09" w:rsidRDefault="00CE46B8">
            <w:pPr>
              <w:spacing w:before="20" w:after="20"/>
              <w:rPr>
                <w:noProof/>
              </w:rPr>
            </w:pPr>
            <w:r>
              <w:rPr>
                <w:noProof/>
                <w:sz w:val="22"/>
              </w:rPr>
              <w:sym w:font="Wingdings" w:char="F09F"/>
            </w:r>
            <w:r>
              <w:rPr>
                <w:noProof/>
                <w:sz w:val="22"/>
              </w:rPr>
              <w:t xml:space="preserve"> Човешки ресурси</w:t>
            </w:r>
          </w:p>
        </w:tc>
        <w:tc>
          <w:tcPr>
            <w:tcW w:w="2874" w:type="dxa"/>
            <w:vAlign w:val="center"/>
          </w:tcPr>
          <w:p w:rsidR="00242E09" w:rsidRDefault="00CE46B8">
            <w:pPr>
              <w:spacing w:before="20" w:after="20"/>
              <w:jc w:val="right"/>
              <w:rPr>
                <w:noProof/>
                <w:sz w:val="20"/>
              </w:rPr>
            </w:pPr>
            <w:r>
              <w:rPr>
                <w:noProof/>
                <w:sz w:val="16"/>
              </w:rPr>
              <w:t>11,850</w:t>
            </w:r>
          </w:p>
        </w:tc>
        <w:tc>
          <w:tcPr>
            <w:tcW w:w="2874" w:type="dxa"/>
            <w:vAlign w:val="center"/>
          </w:tcPr>
          <w:p w:rsidR="00242E09" w:rsidRDefault="00CE46B8">
            <w:pPr>
              <w:spacing w:before="20" w:after="20"/>
              <w:jc w:val="right"/>
              <w:rPr>
                <w:noProof/>
                <w:sz w:val="20"/>
              </w:rPr>
            </w:pPr>
            <w:r>
              <w:rPr>
                <w:noProof/>
                <w:sz w:val="16"/>
              </w:rPr>
              <w:t>11,883</w:t>
            </w:r>
          </w:p>
        </w:tc>
        <w:tc>
          <w:tcPr>
            <w:tcW w:w="2875" w:type="dxa"/>
            <w:vAlign w:val="center"/>
          </w:tcPr>
          <w:p w:rsidR="00242E09" w:rsidRDefault="00CE46B8">
            <w:pPr>
              <w:spacing w:before="20" w:after="20"/>
              <w:jc w:val="right"/>
              <w:rPr>
                <w:b/>
                <w:noProof/>
                <w:sz w:val="20"/>
              </w:rPr>
            </w:pPr>
            <w:r>
              <w:rPr>
                <w:b/>
                <w:noProof/>
                <w:sz w:val="20"/>
              </w:rPr>
              <w:t>23,733</w:t>
            </w:r>
          </w:p>
        </w:tc>
      </w:tr>
      <w:tr w:rsidR="00242E09">
        <w:trPr>
          <w:trHeight w:val="351"/>
        </w:trPr>
        <w:tc>
          <w:tcPr>
            <w:tcW w:w="6054" w:type="dxa"/>
            <w:gridSpan w:val="3"/>
            <w:vAlign w:val="center"/>
          </w:tcPr>
          <w:p w:rsidR="00242E09" w:rsidRDefault="00CE46B8">
            <w:pPr>
              <w:spacing w:before="20" w:after="20"/>
              <w:rPr>
                <w:noProof/>
              </w:rPr>
            </w:pPr>
            <w:r>
              <w:rPr>
                <w:noProof/>
                <w:sz w:val="22"/>
              </w:rPr>
              <w:sym w:font="Wingdings" w:char="F09F"/>
            </w:r>
            <w:r>
              <w:rPr>
                <w:noProof/>
                <w:sz w:val="22"/>
              </w:rPr>
              <w:t xml:space="preserve"> Други административни разходи</w:t>
            </w:r>
          </w:p>
        </w:tc>
        <w:tc>
          <w:tcPr>
            <w:tcW w:w="2874" w:type="dxa"/>
            <w:vAlign w:val="center"/>
          </w:tcPr>
          <w:p w:rsidR="00242E09" w:rsidRDefault="00CE46B8">
            <w:pPr>
              <w:spacing w:before="20" w:after="20"/>
              <w:jc w:val="right"/>
              <w:rPr>
                <w:b/>
                <w:noProof/>
                <w:sz w:val="20"/>
              </w:rPr>
            </w:pPr>
            <w:r>
              <w:rPr>
                <w:noProof/>
                <w:sz w:val="16"/>
              </w:rPr>
              <w:t>0,625</w:t>
            </w:r>
          </w:p>
        </w:tc>
        <w:tc>
          <w:tcPr>
            <w:tcW w:w="2874" w:type="dxa"/>
            <w:vAlign w:val="center"/>
          </w:tcPr>
          <w:p w:rsidR="00242E09" w:rsidRDefault="00CE46B8">
            <w:pPr>
              <w:spacing w:before="20" w:after="20"/>
              <w:jc w:val="right"/>
              <w:rPr>
                <w:b/>
                <w:noProof/>
                <w:sz w:val="20"/>
              </w:rPr>
            </w:pPr>
            <w:r>
              <w:rPr>
                <w:noProof/>
                <w:sz w:val="16"/>
              </w:rPr>
              <w:t>0,625</w:t>
            </w:r>
          </w:p>
        </w:tc>
        <w:tc>
          <w:tcPr>
            <w:tcW w:w="2875" w:type="dxa"/>
            <w:vAlign w:val="center"/>
          </w:tcPr>
          <w:p w:rsidR="00242E09" w:rsidRDefault="00CE46B8">
            <w:pPr>
              <w:spacing w:before="20" w:after="20"/>
              <w:jc w:val="right"/>
              <w:rPr>
                <w:b/>
                <w:noProof/>
                <w:sz w:val="20"/>
              </w:rPr>
            </w:pPr>
            <w:r>
              <w:rPr>
                <w:b/>
                <w:noProof/>
                <w:sz w:val="20"/>
              </w:rPr>
              <w:t>1,250</w:t>
            </w:r>
          </w:p>
        </w:tc>
      </w:tr>
      <w:tr w:rsidR="00242E09">
        <w:tc>
          <w:tcPr>
            <w:tcW w:w="3960" w:type="dxa"/>
            <w:vAlign w:val="center"/>
          </w:tcPr>
          <w:p w:rsidR="00242E09" w:rsidRDefault="00CE46B8">
            <w:pPr>
              <w:jc w:val="center"/>
              <w:rPr>
                <w:b/>
                <w:noProof/>
              </w:rPr>
            </w:pPr>
            <w:r>
              <w:rPr>
                <w:b/>
                <w:noProof/>
              </w:rPr>
              <w:t xml:space="preserve">ОБЩО ГД </w:t>
            </w:r>
            <w:r>
              <w:rPr>
                <w:noProof/>
                <w:sz w:val="22"/>
              </w:rPr>
              <w:t>„Евростат“</w:t>
            </w:r>
          </w:p>
        </w:tc>
        <w:tc>
          <w:tcPr>
            <w:tcW w:w="2094" w:type="dxa"/>
            <w:gridSpan w:val="2"/>
            <w:vAlign w:val="center"/>
          </w:tcPr>
          <w:p w:rsidR="00242E09" w:rsidRDefault="00242E09">
            <w:pPr>
              <w:rPr>
                <w:noProof/>
                <w:sz w:val="14"/>
              </w:rPr>
            </w:pPr>
          </w:p>
        </w:tc>
        <w:tc>
          <w:tcPr>
            <w:tcW w:w="2874" w:type="dxa"/>
            <w:vAlign w:val="center"/>
          </w:tcPr>
          <w:p w:rsidR="00242E09" w:rsidRDefault="00CE46B8">
            <w:pPr>
              <w:spacing w:before="60" w:after="60"/>
              <w:jc w:val="right"/>
              <w:rPr>
                <w:noProof/>
                <w:sz w:val="20"/>
              </w:rPr>
            </w:pPr>
            <w:r>
              <w:rPr>
                <w:noProof/>
                <w:sz w:val="16"/>
              </w:rPr>
              <w:t>12,475</w:t>
            </w:r>
          </w:p>
        </w:tc>
        <w:tc>
          <w:tcPr>
            <w:tcW w:w="2874" w:type="dxa"/>
            <w:vAlign w:val="center"/>
          </w:tcPr>
          <w:p w:rsidR="00242E09" w:rsidRDefault="00CE46B8">
            <w:pPr>
              <w:spacing w:before="20" w:after="20"/>
              <w:jc w:val="right"/>
              <w:rPr>
                <w:noProof/>
                <w:sz w:val="20"/>
              </w:rPr>
            </w:pPr>
            <w:r>
              <w:rPr>
                <w:noProof/>
                <w:sz w:val="20"/>
              </w:rPr>
              <w:t>12,508</w:t>
            </w:r>
          </w:p>
        </w:tc>
        <w:tc>
          <w:tcPr>
            <w:tcW w:w="2875" w:type="dxa"/>
            <w:vAlign w:val="center"/>
          </w:tcPr>
          <w:p w:rsidR="00242E09" w:rsidRDefault="00CE46B8">
            <w:pPr>
              <w:spacing w:before="20" w:after="20"/>
              <w:jc w:val="right"/>
              <w:rPr>
                <w:b/>
                <w:noProof/>
                <w:sz w:val="20"/>
              </w:rPr>
            </w:pPr>
            <w:r>
              <w:rPr>
                <w:b/>
                <w:noProof/>
                <w:sz w:val="20"/>
              </w:rPr>
              <w:t>24,983</w:t>
            </w:r>
          </w:p>
        </w:tc>
      </w:tr>
    </w:tbl>
    <w:p w:rsidR="00242E09" w:rsidRDefault="00242E09">
      <w:pPr>
        <w:rPr>
          <w:noProof/>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2874"/>
        <w:gridCol w:w="2874"/>
        <w:gridCol w:w="2875"/>
      </w:tblGrid>
      <w:tr w:rsidR="00242E09">
        <w:tc>
          <w:tcPr>
            <w:tcW w:w="3960" w:type="dxa"/>
            <w:shd w:val="thinDiagStripe" w:color="C0C0C0" w:fill="auto"/>
            <w:vAlign w:val="center"/>
          </w:tcPr>
          <w:p w:rsidR="00242E09" w:rsidRDefault="00CE46B8">
            <w:pPr>
              <w:jc w:val="center"/>
              <w:rPr>
                <w:b/>
                <w:noProof/>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rsidR="00242E09" w:rsidRDefault="00CE46B8">
            <w:pPr>
              <w:spacing w:before="40" w:after="40"/>
              <w:rPr>
                <w:noProof/>
              </w:rPr>
            </w:pPr>
            <w:r>
              <w:rPr>
                <w:noProof/>
                <w:sz w:val="18"/>
              </w:rPr>
              <w:t>(Общо поети задължения = Общо плащания)</w:t>
            </w:r>
          </w:p>
        </w:tc>
        <w:tc>
          <w:tcPr>
            <w:tcW w:w="2874" w:type="dxa"/>
            <w:vAlign w:val="center"/>
          </w:tcPr>
          <w:p w:rsidR="00242E09" w:rsidRDefault="00CE46B8">
            <w:pPr>
              <w:spacing w:before="20" w:after="20"/>
              <w:jc w:val="right"/>
              <w:rPr>
                <w:noProof/>
                <w:sz w:val="20"/>
              </w:rPr>
            </w:pPr>
            <w:r>
              <w:rPr>
                <w:noProof/>
                <w:sz w:val="20"/>
              </w:rPr>
              <w:t>12,475</w:t>
            </w:r>
          </w:p>
        </w:tc>
        <w:tc>
          <w:tcPr>
            <w:tcW w:w="2874" w:type="dxa"/>
            <w:vAlign w:val="center"/>
          </w:tcPr>
          <w:p w:rsidR="00242E09" w:rsidRDefault="00CE46B8">
            <w:pPr>
              <w:spacing w:before="20" w:after="20"/>
              <w:jc w:val="right"/>
              <w:rPr>
                <w:noProof/>
                <w:sz w:val="20"/>
              </w:rPr>
            </w:pPr>
            <w:r>
              <w:rPr>
                <w:noProof/>
                <w:sz w:val="20"/>
              </w:rPr>
              <w:t>12,508</w:t>
            </w:r>
          </w:p>
        </w:tc>
        <w:tc>
          <w:tcPr>
            <w:tcW w:w="2875" w:type="dxa"/>
            <w:vAlign w:val="center"/>
          </w:tcPr>
          <w:p w:rsidR="00242E09" w:rsidRDefault="00CE46B8">
            <w:pPr>
              <w:spacing w:before="20" w:after="20"/>
              <w:jc w:val="right"/>
              <w:rPr>
                <w:b/>
                <w:noProof/>
                <w:sz w:val="20"/>
              </w:rPr>
            </w:pPr>
            <w:r>
              <w:rPr>
                <w:b/>
                <w:noProof/>
                <w:sz w:val="20"/>
              </w:rPr>
              <w:t>24,983</w:t>
            </w:r>
          </w:p>
        </w:tc>
      </w:tr>
    </w:tbl>
    <w:p w:rsidR="00242E09" w:rsidRDefault="00CE46B8">
      <w:pPr>
        <w:jc w:val="right"/>
        <w:rPr>
          <w:noProof/>
          <w:sz w:val="20"/>
        </w:rPr>
      </w:pPr>
      <w:r>
        <w:rPr>
          <w:noProof/>
          <w:sz w:val="20"/>
        </w:rPr>
        <w:t xml:space="preserve">млн. EUR (до третия знак след </w:t>
      </w:r>
      <w:r>
        <w:rPr>
          <w:noProof/>
          <w:sz w:val="20"/>
        </w:rPr>
        <w:t>десетичната запетая)</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2874"/>
        <w:gridCol w:w="2874"/>
        <w:gridCol w:w="2875"/>
      </w:tblGrid>
      <w:tr w:rsidR="00242E09">
        <w:tc>
          <w:tcPr>
            <w:tcW w:w="3960" w:type="dxa"/>
            <w:tcBorders>
              <w:top w:val="nil"/>
              <w:left w:val="nil"/>
              <w:right w:val="nil"/>
            </w:tcBorders>
            <w:vAlign w:val="center"/>
          </w:tcPr>
          <w:p w:rsidR="00242E09" w:rsidRDefault="00242E09">
            <w:pPr>
              <w:jc w:val="center"/>
              <w:rPr>
                <w:noProof/>
              </w:rPr>
            </w:pPr>
          </w:p>
        </w:tc>
        <w:tc>
          <w:tcPr>
            <w:tcW w:w="1560" w:type="dxa"/>
            <w:tcBorders>
              <w:top w:val="nil"/>
              <w:left w:val="nil"/>
              <w:right w:val="nil"/>
            </w:tcBorders>
          </w:tcPr>
          <w:p w:rsidR="00242E09" w:rsidRDefault="00242E09">
            <w:pPr>
              <w:rPr>
                <w:noProof/>
                <w:sz w:val="20"/>
              </w:rPr>
            </w:pPr>
          </w:p>
        </w:tc>
        <w:tc>
          <w:tcPr>
            <w:tcW w:w="534" w:type="dxa"/>
            <w:tcBorders>
              <w:top w:val="nil"/>
              <w:left w:val="nil"/>
            </w:tcBorders>
          </w:tcPr>
          <w:p w:rsidR="00242E09" w:rsidRDefault="00242E09">
            <w:pPr>
              <w:jc w:val="center"/>
              <w:rPr>
                <w:noProof/>
                <w:sz w:val="20"/>
              </w:rPr>
            </w:pPr>
          </w:p>
        </w:tc>
        <w:tc>
          <w:tcPr>
            <w:tcW w:w="2874" w:type="dxa"/>
            <w:vAlign w:val="center"/>
          </w:tcPr>
          <w:p w:rsidR="00242E09" w:rsidRDefault="00CE46B8">
            <w:pPr>
              <w:jc w:val="center"/>
              <w:rPr>
                <w:noProof/>
                <w:sz w:val="20"/>
              </w:rPr>
            </w:pPr>
            <w:r>
              <w:rPr>
                <w:b/>
                <w:noProof/>
              </w:rPr>
              <w:t>2019 г.</w:t>
            </w:r>
          </w:p>
        </w:tc>
        <w:tc>
          <w:tcPr>
            <w:tcW w:w="2874" w:type="dxa"/>
            <w:vAlign w:val="center"/>
          </w:tcPr>
          <w:p w:rsidR="00242E09" w:rsidRDefault="00CE46B8">
            <w:pPr>
              <w:jc w:val="center"/>
              <w:rPr>
                <w:noProof/>
                <w:sz w:val="20"/>
              </w:rPr>
            </w:pPr>
            <w:r>
              <w:rPr>
                <w:b/>
                <w:noProof/>
              </w:rPr>
              <w:t>2020 г.</w:t>
            </w:r>
          </w:p>
        </w:tc>
        <w:tc>
          <w:tcPr>
            <w:tcW w:w="2875" w:type="dxa"/>
            <w:vAlign w:val="center"/>
          </w:tcPr>
          <w:p w:rsidR="00242E09" w:rsidRDefault="00CE46B8">
            <w:pPr>
              <w:jc w:val="center"/>
              <w:rPr>
                <w:b/>
                <w:noProof/>
                <w:sz w:val="20"/>
              </w:rPr>
            </w:pPr>
            <w:r>
              <w:rPr>
                <w:b/>
                <w:noProof/>
                <w:sz w:val="20"/>
              </w:rPr>
              <w:t>ОБЩО</w:t>
            </w:r>
          </w:p>
        </w:tc>
      </w:tr>
      <w:tr w:rsidR="00242E09">
        <w:tc>
          <w:tcPr>
            <w:tcW w:w="3960" w:type="dxa"/>
            <w:vMerge w:val="restart"/>
            <w:shd w:val="clear" w:color="auto" w:fill="C0C0C0"/>
            <w:vAlign w:val="center"/>
          </w:tcPr>
          <w:p w:rsidR="00242E09" w:rsidRDefault="00CE46B8">
            <w:pPr>
              <w:jc w:val="center"/>
              <w:rPr>
                <w:b/>
                <w:noProof/>
              </w:rPr>
            </w:pPr>
            <w:r>
              <w:rPr>
                <w:b/>
                <w:noProof/>
                <w:sz w:val="22"/>
              </w:rPr>
              <w:t>ОБЩО бюджетни кредити</w:t>
            </w:r>
            <w:r>
              <w:rPr>
                <w:noProof/>
                <w:sz w:val="22"/>
              </w:rPr>
              <w:br/>
            </w:r>
            <w:r>
              <w:rPr>
                <w:b/>
                <w:noProof/>
                <w:sz w:val="22"/>
              </w:rPr>
              <w:t>по ФУНКЦИИ 1 — 5</w:t>
            </w:r>
            <w:r>
              <w:rPr>
                <w:noProof/>
                <w:sz w:val="22"/>
              </w:rPr>
              <w:br/>
              <w:t>от многогодишната финансова рамка</w:t>
            </w:r>
            <w:r>
              <w:rPr>
                <w:b/>
                <w:noProof/>
                <w:sz w:val="22"/>
              </w:rPr>
              <w:t xml:space="preserve"> </w:t>
            </w:r>
          </w:p>
        </w:tc>
        <w:tc>
          <w:tcPr>
            <w:tcW w:w="2094" w:type="dxa"/>
            <w:gridSpan w:val="2"/>
            <w:vAlign w:val="center"/>
          </w:tcPr>
          <w:p w:rsidR="00242E09" w:rsidRDefault="00CE46B8">
            <w:pPr>
              <w:rPr>
                <w:noProof/>
                <w:sz w:val="14"/>
              </w:rPr>
            </w:pPr>
            <w:r>
              <w:rPr>
                <w:noProof/>
                <w:sz w:val="18"/>
              </w:rPr>
              <w:t>Поети задължения</w:t>
            </w:r>
          </w:p>
        </w:tc>
        <w:tc>
          <w:tcPr>
            <w:tcW w:w="2874" w:type="dxa"/>
            <w:vAlign w:val="center"/>
          </w:tcPr>
          <w:p w:rsidR="00242E09" w:rsidRDefault="00CE46B8">
            <w:pPr>
              <w:spacing w:before="60" w:after="60"/>
              <w:jc w:val="right"/>
              <w:rPr>
                <w:noProof/>
                <w:sz w:val="20"/>
              </w:rPr>
            </w:pPr>
            <w:r>
              <w:rPr>
                <w:noProof/>
                <w:sz w:val="20"/>
              </w:rPr>
              <w:t>23,760</w:t>
            </w:r>
          </w:p>
        </w:tc>
        <w:tc>
          <w:tcPr>
            <w:tcW w:w="2874" w:type="dxa"/>
            <w:vAlign w:val="center"/>
          </w:tcPr>
          <w:p w:rsidR="00242E09" w:rsidRDefault="00CE46B8">
            <w:pPr>
              <w:spacing w:before="60" w:after="60"/>
              <w:jc w:val="right"/>
              <w:rPr>
                <w:noProof/>
                <w:sz w:val="20"/>
              </w:rPr>
            </w:pPr>
            <w:r>
              <w:rPr>
                <w:noProof/>
                <w:sz w:val="20"/>
              </w:rPr>
              <w:t>22,693</w:t>
            </w:r>
          </w:p>
        </w:tc>
        <w:tc>
          <w:tcPr>
            <w:tcW w:w="2875" w:type="dxa"/>
            <w:vAlign w:val="center"/>
          </w:tcPr>
          <w:p w:rsidR="00242E09" w:rsidRDefault="00CE46B8">
            <w:pPr>
              <w:spacing w:before="60" w:after="60"/>
              <w:jc w:val="right"/>
              <w:rPr>
                <w:b/>
                <w:noProof/>
                <w:sz w:val="20"/>
              </w:rPr>
            </w:pPr>
            <w:r>
              <w:rPr>
                <w:b/>
                <w:noProof/>
                <w:sz w:val="20"/>
              </w:rPr>
              <w:t>46,453</w:t>
            </w:r>
          </w:p>
        </w:tc>
      </w:tr>
      <w:tr w:rsidR="00242E09">
        <w:tc>
          <w:tcPr>
            <w:tcW w:w="3960" w:type="dxa"/>
            <w:vMerge/>
            <w:shd w:val="clear" w:color="auto" w:fill="C0C0C0"/>
          </w:tcPr>
          <w:p w:rsidR="00242E09" w:rsidRDefault="00242E09">
            <w:pPr>
              <w:rPr>
                <w:noProof/>
                <w:sz w:val="20"/>
              </w:rPr>
            </w:pPr>
          </w:p>
        </w:tc>
        <w:tc>
          <w:tcPr>
            <w:tcW w:w="2094" w:type="dxa"/>
            <w:gridSpan w:val="2"/>
            <w:vAlign w:val="center"/>
          </w:tcPr>
          <w:p w:rsidR="00242E09" w:rsidRDefault="00CE46B8">
            <w:pPr>
              <w:rPr>
                <w:noProof/>
                <w:sz w:val="14"/>
              </w:rPr>
            </w:pPr>
            <w:r>
              <w:rPr>
                <w:noProof/>
                <w:sz w:val="18"/>
              </w:rPr>
              <w:t>Плащания</w:t>
            </w:r>
          </w:p>
        </w:tc>
        <w:tc>
          <w:tcPr>
            <w:tcW w:w="2874" w:type="dxa"/>
            <w:vAlign w:val="center"/>
          </w:tcPr>
          <w:p w:rsidR="00242E09" w:rsidRDefault="00CE46B8">
            <w:pPr>
              <w:spacing w:before="60" w:after="60"/>
              <w:jc w:val="right"/>
              <w:rPr>
                <w:noProof/>
                <w:sz w:val="20"/>
              </w:rPr>
            </w:pPr>
            <w:r>
              <w:rPr>
                <w:noProof/>
                <w:sz w:val="20"/>
              </w:rPr>
              <w:t>13,604</w:t>
            </w:r>
          </w:p>
        </w:tc>
        <w:tc>
          <w:tcPr>
            <w:tcW w:w="2874" w:type="dxa"/>
            <w:vAlign w:val="center"/>
          </w:tcPr>
          <w:p w:rsidR="00242E09" w:rsidRDefault="00CE46B8">
            <w:pPr>
              <w:spacing w:before="60" w:after="60"/>
              <w:jc w:val="right"/>
              <w:rPr>
                <w:noProof/>
                <w:sz w:val="20"/>
              </w:rPr>
            </w:pPr>
            <w:r>
              <w:rPr>
                <w:noProof/>
                <w:sz w:val="20"/>
              </w:rPr>
              <w:t>17,476</w:t>
            </w:r>
          </w:p>
        </w:tc>
        <w:tc>
          <w:tcPr>
            <w:tcW w:w="2875" w:type="dxa"/>
            <w:vAlign w:val="center"/>
          </w:tcPr>
          <w:p w:rsidR="00242E09" w:rsidRDefault="00CE46B8">
            <w:pPr>
              <w:spacing w:before="60" w:after="60"/>
              <w:jc w:val="right"/>
              <w:rPr>
                <w:b/>
                <w:noProof/>
                <w:sz w:val="20"/>
              </w:rPr>
            </w:pPr>
            <w:r>
              <w:rPr>
                <w:b/>
                <w:noProof/>
                <w:sz w:val="20"/>
              </w:rPr>
              <w:t>31,080</w:t>
            </w:r>
          </w:p>
        </w:tc>
      </w:tr>
    </w:tbl>
    <w:p w:rsidR="00242E09" w:rsidRDefault="00242E09">
      <w:pPr>
        <w:rPr>
          <w:noProof/>
        </w:rPr>
        <w:sectPr w:rsidR="00242E09">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rsidR="00242E09" w:rsidRDefault="00CE46B8">
      <w:pPr>
        <w:pStyle w:val="ManualHeading3"/>
        <w:rPr>
          <w:bCs/>
          <w:noProof/>
          <w:szCs w:val="24"/>
        </w:rPr>
      </w:pPr>
      <w:r>
        <w:lastRenderedPageBreak/>
        <w:t>3.2.2.</w:t>
      </w:r>
      <w:r>
        <w:tab/>
      </w:r>
      <w:r>
        <w:rPr>
          <w:noProof/>
        </w:rPr>
        <w:t xml:space="preserve">Очаквано отражение върху бюджетните кредити за оперативни разходи </w:t>
      </w:r>
    </w:p>
    <w:p w:rsidR="00242E09" w:rsidRDefault="00CE46B8">
      <w:pPr>
        <w:pStyle w:val="ListDash1"/>
        <w:rPr>
          <w:noProof/>
        </w:rPr>
      </w:pPr>
      <w:r>
        <w:rPr>
          <w:noProof/>
        </w:rPr>
        <w:sym w:font="Wingdings" w:char="F0A8"/>
      </w:r>
      <w:r>
        <w:rPr>
          <w:noProof/>
        </w:rPr>
        <w:t xml:space="preserve">Предложението/инициативата не налага използване на бюджетни кредити за оперативни разходи </w:t>
      </w:r>
    </w:p>
    <w:p w:rsidR="00242E09" w:rsidRDefault="00CE46B8">
      <w:pPr>
        <w:pStyle w:val="ListDash1"/>
        <w:rPr>
          <w:noProof/>
        </w:rPr>
      </w:pPr>
      <w:r>
        <w:rPr>
          <w:noProof/>
        </w:rPr>
        <w:sym w:font="Wingdings" w:char="F0FD"/>
      </w:r>
      <w:r>
        <w:rPr>
          <w:noProof/>
        </w:rPr>
        <w:tab/>
      </w:r>
      <w:r>
        <w:rPr>
          <w:noProof/>
        </w:rPr>
        <w:tab/>
        <w:t>Предлож</w:t>
      </w:r>
      <w:r>
        <w:rPr>
          <w:noProof/>
        </w:rPr>
        <w:t>ението/инициативата налага използване на бюджетни кредити за оперативни разходи съгласно обяснението по-долу:</w:t>
      </w:r>
    </w:p>
    <w:p w:rsidR="00242E09" w:rsidRDefault="00CE46B8">
      <w:pPr>
        <w:jc w:val="right"/>
        <w:rPr>
          <w:noProof/>
          <w:sz w:val="20"/>
        </w:rPr>
      </w:pPr>
      <w:r>
        <w:rPr>
          <w:noProof/>
          <w:sz w:val="20"/>
        </w:rPr>
        <w:t>Бюджетни кредити за поети задължения в млн. EUR (до третия знак след десетичната запетая)</w:t>
      </w:r>
    </w:p>
    <w:tbl>
      <w:tblPr>
        <w:tblpPr w:leftFromText="180" w:rightFromText="180" w:vertAnchor="text" w:tblpXSpec="center" w:tblpY="1"/>
        <w:tblOverlap w:val="neve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676"/>
        <w:gridCol w:w="9"/>
        <w:gridCol w:w="700"/>
        <w:gridCol w:w="754"/>
        <w:gridCol w:w="725"/>
        <w:gridCol w:w="8"/>
        <w:gridCol w:w="373"/>
        <w:gridCol w:w="159"/>
        <w:gridCol w:w="561"/>
        <w:gridCol w:w="159"/>
        <w:gridCol w:w="214"/>
        <w:gridCol w:w="20"/>
        <w:gridCol w:w="147"/>
        <w:gridCol w:w="339"/>
        <w:gridCol w:w="381"/>
        <w:gridCol w:w="555"/>
        <w:gridCol w:w="32"/>
        <w:gridCol w:w="32"/>
        <w:gridCol w:w="101"/>
        <w:gridCol w:w="520"/>
        <w:gridCol w:w="416"/>
        <w:gridCol w:w="304"/>
        <w:gridCol w:w="102"/>
        <w:gridCol w:w="43"/>
        <w:gridCol w:w="236"/>
        <w:gridCol w:w="159"/>
        <w:gridCol w:w="561"/>
        <w:gridCol w:w="87"/>
        <w:gridCol w:w="388"/>
        <w:gridCol w:w="44"/>
        <w:gridCol w:w="11"/>
        <w:gridCol w:w="11"/>
        <w:gridCol w:w="648"/>
        <w:gridCol w:w="50"/>
        <w:gridCol w:w="382"/>
        <w:gridCol w:w="158"/>
        <w:gridCol w:w="171"/>
        <w:gridCol w:w="71"/>
        <w:gridCol w:w="320"/>
        <w:gridCol w:w="158"/>
        <w:gridCol w:w="382"/>
        <w:gridCol w:w="338"/>
        <w:gridCol w:w="254"/>
        <w:gridCol w:w="128"/>
        <w:gridCol w:w="720"/>
        <w:gridCol w:w="256"/>
      </w:tblGrid>
      <w:tr w:rsidR="00242E09">
        <w:trPr>
          <w:gridAfter w:val="8"/>
          <w:wAfter w:w="2556" w:type="dxa"/>
        </w:trPr>
        <w:tc>
          <w:tcPr>
            <w:tcW w:w="1405" w:type="dxa"/>
            <w:vMerge w:val="restart"/>
            <w:vAlign w:val="center"/>
          </w:tcPr>
          <w:p w:rsidR="00242E09" w:rsidRDefault="00CE46B8">
            <w:pPr>
              <w:ind w:right="-29"/>
              <w:jc w:val="center"/>
              <w:rPr>
                <w:b/>
                <w:noProof/>
                <w:sz w:val="18"/>
                <w:szCs w:val="18"/>
              </w:rPr>
            </w:pPr>
            <w:r>
              <w:rPr>
                <w:b/>
                <w:noProof/>
                <w:sz w:val="18"/>
              </w:rPr>
              <w:t xml:space="preserve">Да се посочат целите и резултатите </w:t>
            </w:r>
          </w:p>
          <w:p w:rsidR="00242E09" w:rsidRDefault="00242E09">
            <w:pPr>
              <w:ind w:right="-29"/>
              <w:jc w:val="center"/>
              <w:rPr>
                <w:b/>
                <w:noProof/>
                <w:sz w:val="18"/>
                <w:szCs w:val="18"/>
              </w:rPr>
            </w:pPr>
          </w:p>
          <w:p w:rsidR="00242E09" w:rsidRDefault="00CE46B8">
            <w:pPr>
              <w:ind w:right="-29"/>
              <w:jc w:val="center"/>
              <w:rPr>
                <w:noProof/>
                <w:sz w:val="18"/>
                <w:szCs w:val="18"/>
              </w:rPr>
            </w:pPr>
            <w:r>
              <w:rPr>
                <w:noProof/>
                <w:sz w:val="18"/>
              </w:rPr>
              <w:sym w:font="Wingdings" w:char="F0F2"/>
            </w:r>
          </w:p>
        </w:tc>
        <w:tc>
          <w:tcPr>
            <w:tcW w:w="1685" w:type="dxa"/>
            <w:gridSpan w:val="2"/>
            <w:vAlign w:val="center"/>
          </w:tcPr>
          <w:p w:rsidR="00242E09" w:rsidRDefault="00242E09">
            <w:pPr>
              <w:ind w:right="-29"/>
              <w:jc w:val="center"/>
              <w:rPr>
                <w:noProof/>
                <w:sz w:val="18"/>
                <w:szCs w:val="18"/>
              </w:rPr>
            </w:pPr>
          </w:p>
        </w:tc>
        <w:tc>
          <w:tcPr>
            <w:tcW w:w="700" w:type="dxa"/>
            <w:vAlign w:val="center"/>
          </w:tcPr>
          <w:p w:rsidR="00242E09" w:rsidRDefault="00242E09">
            <w:pPr>
              <w:ind w:right="-29"/>
              <w:jc w:val="center"/>
              <w:rPr>
                <w:noProof/>
                <w:sz w:val="18"/>
                <w:szCs w:val="18"/>
              </w:rPr>
            </w:pPr>
          </w:p>
        </w:tc>
        <w:tc>
          <w:tcPr>
            <w:tcW w:w="2973" w:type="dxa"/>
            <w:gridSpan w:val="9"/>
            <w:tcBorders>
              <w:left w:val="nil"/>
            </w:tcBorders>
            <w:vAlign w:val="center"/>
          </w:tcPr>
          <w:p w:rsidR="00242E09" w:rsidRDefault="00CE46B8">
            <w:pPr>
              <w:ind w:right="-29"/>
              <w:jc w:val="center"/>
              <w:rPr>
                <w:noProof/>
                <w:sz w:val="18"/>
                <w:szCs w:val="18"/>
              </w:rPr>
            </w:pPr>
            <w:r>
              <w:rPr>
                <w:b/>
                <w:noProof/>
              </w:rPr>
              <w:t>2019 г.</w:t>
            </w:r>
          </w:p>
        </w:tc>
        <w:tc>
          <w:tcPr>
            <w:tcW w:w="2972" w:type="dxa"/>
            <w:gridSpan w:val="12"/>
            <w:vAlign w:val="center"/>
          </w:tcPr>
          <w:p w:rsidR="00242E09" w:rsidRDefault="00CE46B8">
            <w:pPr>
              <w:ind w:right="-29"/>
              <w:jc w:val="center"/>
              <w:rPr>
                <w:noProof/>
                <w:sz w:val="18"/>
                <w:szCs w:val="18"/>
              </w:rPr>
            </w:pPr>
            <w:r>
              <w:rPr>
                <w:b/>
                <w:noProof/>
              </w:rPr>
              <w:t>2020 г.</w:t>
            </w:r>
          </w:p>
        </w:tc>
        <w:tc>
          <w:tcPr>
            <w:tcW w:w="2977" w:type="dxa"/>
            <w:gridSpan w:val="14"/>
            <w:tcBorders>
              <w:left w:val="nil"/>
              <w:bottom w:val="single" w:sz="4" w:space="0" w:color="auto"/>
            </w:tcBorders>
            <w:vAlign w:val="center"/>
          </w:tcPr>
          <w:p w:rsidR="00242E09" w:rsidRDefault="00CE46B8">
            <w:pPr>
              <w:ind w:right="-29"/>
              <w:jc w:val="center"/>
              <w:rPr>
                <w:noProof/>
                <w:sz w:val="18"/>
                <w:szCs w:val="18"/>
              </w:rPr>
            </w:pPr>
            <w:r>
              <w:rPr>
                <w:b/>
                <w:noProof/>
                <w:sz w:val="18"/>
              </w:rPr>
              <w:t>ОБЩО</w:t>
            </w:r>
          </w:p>
        </w:tc>
      </w:tr>
      <w:tr w:rsidR="00242E09">
        <w:trPr>
          <w:gridAfter w:val="44"/>
          <w:wAfter w:w="12178" w:type="dxa"/>
        </w:trPr>
        <w:tc>
          <w:tcPr>
            <w:tcW w:w="1405" w:type="dxa"/>
            <w:vMerge/>
            <w:vAlign w:val="center"/>
          </w:tcPr>
          <w:p w:rsidR="00242E09" w:rsidRDefault="00242E09">
            <w:pPr>
              <w:ind w:right="-29"/>
              <w:jc w:val="center"/>
              <w:rPr>
                <w:noProof/>
                <w:sz w:val="18"/>
                <w:szCs w:val="18"/>
              </w:rPr>
            </w:pPr>
          </w:p>
        </w:tc>
        <w:tc>
          <w:tcPr>
            <w:tcW w:w="1685" w:type="dxa"/>
            <w:gridSpan w:val="2"/>
            <w:vAlign w:val="center"/>
          </w:tcPr>
          <w:p w:rsidR="00242E09" w:rsidRDefault="00CE46B8">
            <w:pPr>
              <w:spacing w:before="60" w:after="60"/>
              <w:ind w:right="-29"/>
              <w:jc w:val="center"/>
              <w:rPr>
                <w:noProof/>
                <w:sz w:val="18"/>
                <w:szCs w:val="18"/>
              </w:rPr>
            </w:pPr>
            <w:r>
              <w:rPr>
                <w:b/>
                <w:noProof/>
                <w:sz w:val="18"/>
              </w:rPr>
              <w:t>РЕЗУЛТАТИ</w:t>
            </w:r>
          </w:p>
        </w:tc>
      </w:tr>
      <w:tr w:rsidR="00242E09">
        <w:trPr>
          <w:gridAfter w:val="8"/>
          <w:wAfter w:w="2556" w:type="dxa"/>
          <w:cantSplit/>
          <w:trHeight w:val="1134"/>
        </w:trPr>
        <w:tc>
          <w:tcPr>
            <w:tcW w:w="1405" w:type="dxa"/>
            <w:vMerge/>
            <w:vAlign w:val="center"/>
          </w:tcPr>
          <w:p w:rsidR="00242E09" w:rsidRDefault="00242E09">
            <w:pPr>
              <w:rPr>
                <w:noProof/>
                <w:sz w:val="18"/>
                <w:szCs w:val="18"/>
              </w:rPr>
            </w:pPr>
          </w:p>
        </w:tc>
        <w:tc>
          <w:tcPr>
            <w:tcW w:w="1685" w:type="dxa"/>
            <w:gridSpan w:val="2"/>
            <w:vAlign w:val="center"/>
          </w:tcPr>
          <w:p w:rsidR="00242E09" w:rsidRDefault="00CE46B8">
            <w:pPr>
              <w:jc w:val="center"/>
              <w:rPr>
                <w:noProof/>
                <w:sz w:val="18"/>
                <w:szCs w:val="18"/>
              </w:rPr>
            </w:pPr>
            <w:r>
              <w:rPr>
                <w:noProof/>
                <w:sz w:val="18"/>
              </w:rPr>
              <w:t>Вид</w:t>
            </w:r>
            <w:r>
              <w:rPr>
                <w:rStyle w:val="FootnoteReference"/>
                <w:noProof/>
                <w:sz w:val="18"/>
              </w:rPr>
              <w:footnoteReference w:id="37"/>
            </w:r>
          </w:p>
          <w:p w:rsidR="00242E09" w:rsidRDefault="00242E09">
            <w:pPr>
              <w:spacing w:after="0"/>
              <w:jc w:val="center"/>
              <w:rPr>
                <w:noProof/>
                <w:sz w:val="18"/>
                <w:szCs w:val="18"/>
              </w:rPr>
            </w:pPr>
          </w:p>
        </w:tc>
        <w:tc>
          <w:tcPr>
            <w:tcW w:w="700" w:type="dxa"/>
            <w:vAlign w:val="center"/>
          </w:tcPr>
          <w:p w:rsidR="00242E09" w:rsidRDefault="00CE46B8">
            <w:pPr>
              <w:jc w:val="center"/>
              <w:rPr>
                <w:noProof/>
                <w:sz w:val="18"/>
                <w:szCs w:val="18"/>
              </w:rPr>
            </w:pPr>
            <w:r>
              <w:rPr>
                <w:noProof/>
                <w:sz w:val="18"/>
              </w:rPr>
              <w:t>Среден разход</w:t>
            </w:r>
          </w:p>
        </w:tc>
        <w:tc>
          <w:tcPr>
            <w:tcW w:w="1487" w:type="dxa"/>
            <w:gridSpan w:val="3"/>
            <w:tcBorders>
              <w:left w:val="nil"/>
              <w:right w:val="dashSmallGap" w:sz="4" w:space="0" w:color="auto"/>
            </w:tcBorders>
            <w:shd w:val="pct10" w:color="auto" w:fill="auto"/>
            <w:textDirection w:val="btLr"/>
            <w:vAlign w:val="center"/>
          </w:tcPr>
          <w:p w:rsidR="00242E09" w:rsidRDefault="00CE46B8">
            <w:pPr>
              <w:ind w:left="113" w:right="113"/>
              <w:jc w:val="center"/>
              <w:rPr>
                <w:noProof/>
                <w:sz w:val="18"/>
                <w:szCs w:val="18"/>
              </w:rPr>
            </w:pPr>
            <w:r>
              <w:rPr>
                <w:noProof/>
                <w:sz w:val="18"/>
              </w:rPr>
              <w:t>Брой</w:t>
            </w:r>
          </w:p>
        </w:tc>
        <w:tc>
          <w:tcPr>
            <w:tcW w:w="1486" w:type="dxa"/>
            <w:gridSpan w:val="6"/>
            <w:tcBorders>
              <w:left w:val="dashSmallGap" w:sz="4" w:space="0" w:color="auto"/>
            </w:tcBorders>
            <w:shd w:val="pct10" w:color="auto" w:fill="auto"/>
            <w:vAlign w:val="center"/>
          </w:tcPr>
          <w:p w:rsidR="00242E09" w:rsidRDefault="00CE46B8">
            <w:pPr>
              <w:jc w:val="center"/>
              <w:rPr>
                <w:noProof/>
                <w:sz w:val="18"/>
                <w:szCs w:val="18"/>
              </w:rPr>
            </w:pPr>
            <w:r>
              <w:rPr>
                <w:noProof/>
                <w:sz w:val="18"/>
              </w:rPr>
              <w:t>Разходи</w:t>
            </w:r>
          </w:p>
        </w:tc>
        <w:tc>
          <w:tcPr>
            <w:tcW w:w="1486" w:type="dxa"/>
            <w:gridSpan w:val="6"/>
            <w:tcBorders>
              <w:right w:val="dashSmallGap" w:sz="4" w:space="0" w:color="auto"/>
            </w:tcBorders>
            <w:shd w:val="pct10" w:color="auto" w:fill="auto"/>
            <w:textDirection w:val="btLr"/>
            <w:vAlign w:val="center"/>
          </w:tcPr>
          <w:p w:rsidR="00242E09" w:rsidRDefault="00CE46B8">
            <w:pPr>
              <w:ind w:left="113" w:right="113"/>
              <w:jc w:val="center"/>
              <w:rPr>
                <w:noProof/>
                <w:sz w:val="18"/>
                <w:szCs w:val="18"/>
              </w:rPr>
            </w:pPr>
            <w:r>
              <w:rPr>
                <w:noProof/>
                <w:sz w:val="18"/>
              </w:rPr>
              <w:t>Брой</w:t>
            </w:r>
          </w:p>
        </w:tc>
        <w:tc>
          <w:tcPr>
            <w:tcW w:w="1486" w:type="dxa"/>
            <w:gridSpan w:val="6"/>
            <w:tcBorders>
              <w:left w:val="dashSmallGap" w:sz="4" w:space="0" w:color="auto"/>
            </w:tcBorders>
            <w:shd w:val="pct10" w:color="auto" w:fill="auto"/>
            <w:vAlign w:val="center"/>
          </w:tcPr>
          <w:p w:rsidR="00242E09" w:rsidRDefault="00CE46B8">
            <w:pPr>
              <w:jc w:val="center"/>
              <w:rPr>
                <w:noProof/>
                <w:sz w:val="18"/>
                <w:szCs w:val="18"/>
              </w:rPr>
            </w:pPr>
            <w:r>
              <w:rPr>
                <w:noProof/>
                <w:sz w:val="18"/>
              </w:rPr>
              <w:t>Разходи</w:t>
            </w:r>
          </w:p>
        </w:tc>
        <w:tc>
          <w:tcPr>
            <w:tcW w:w="1486" w:type="dxa"/>
            <w:gridSpan w:val="7"/>
            <w:tcBorders>
              <w:right w:val="dashSmallGap" w:sz="4" w:space="0" w:color="auto"/>
            </w:tcBorders>
            <w:shd w:val="pct10" w:color="auto" w:fill="auto"/>
            <w:vAlign w:val="center"/>
          </w:tcPr>
          <w:p w:rsidR="00242E09" w:rsidRDefault="00CE46B8">
            <w:pPr>
              <w:jc w:val="center"/>
              <w:rPr>
                <w:noProof/>
                <w:sz w:val="18"/>
                <w:szCs w:val="18"/>
              </w:rPr>
            </w:pPr>
            <w:r>
              <w:rPr>
                <w:noProof/>
                <w:sz w:val="18"/>
              </w:rPr>
              <w:t>Общ брой</w:t>
            </w:r>
          </w:p>
        </w:tc>
        <w:tc>
          <w:tcPr>
            <w:tcW w:w="1491" w:type="dxa"/>
            <w:gridSpan w:val="7"/>
            <w:tcBorders>
              <w:left w:val="dashSmallGap" w:sz="4" w:space="0" w:color="auto"/>
            </w:tcBorders>
            <w:shd w:val="pct10" w:color="auto" w:fill="auto"/>
            <w:vAlign w:val="center"/>
          </w:tcPr>
          <w:p w:rsidR="00242E09" w:rsidRDefault="00CE46B8">
            <w:pPr>
              <w:jc w:val="center"/>
              <w:rPr>
                <w:noProof/>
                <w:sz w:val="18"/>
                <w:szCs w:val="18"/>
              </w:rPr>
            </w:pPr>
            <w:r>
              <w:rPr>
                <w:noProof/>
                <w:sz w:val="18"/>
              </w:rPr>
              <w:t>Общо разходи</w:t>
            </w:r>
          </w:p>
        </w:tc>
      </w:tr>
      <w:tr w:rsidR="00242E09">
        <w:tc>
          <w:tcPr>
            <w:tcW w:w="5277" w:type="dxa"/>
            <w:gridSpan w:val="7"/>
            <w:vAlign w:val="center"/>
          </w:tcPr>
          <w:p w:rsidR="00242E09" w:rsidRDefault="00CE46B8">
            <w:pPr>
              <w:spacing w:before="60" w:after="60"/>
              <w:ind w:right="-29"/>
              <w:jc w:val="center"/>
              <w:rPr>
                <w:noProof/>
                <w:sz w:val="18"/>
                <w:szCs w:val="18"/>
              </w:rPr>
            </w:pPr>
            <w:r>
              <w:rPr>
                <w:noProof/>
                <w:sz w:val="18"/>
              </w:rPr>
              <w:t>КОНКРЕТНА ЦЕЛ № 1</w:t>
            </w:r>
            <w:r>
              <w:rPr>
                <w:rStyle w:val="FootnoteReference"/>
                <w:noProof/>
                <w:sz w:val="18"/>
              </w:rPr>
              <w:footnoteReference w:id="38"/>
            </w:r>
            <w:r>
              <w:rPr>
                <w:noProof/>
                <w:sz w:val="18"/>
              </w:rPr>
              <w:t>…</w:t>
            </w:r>
          </w:p>
        </w:tc>
        <w:tc>
          <w:tcPr>
            <w:tcW w:w="373" w:type="dxa"/>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540" w:type="dxa"/>
            <w:gridSpan w:val="4"/>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4"/>
            <w:tcBorders>
              <w:top w:val="nil"/>
              <w:left w:val="nil"/>
              <w:bottom w:val="nil"/>
              <w:right w:val="nil"/>
            </w:tcBorders>
          </w:tcPr>
          <w:p w:rsidR="00242E09" w:rsidRDefault="00242E09">
            <w:pPr>
              <w:spacing w:before="60" w:after="60"/>
              <w:ind w:right="-29"/>
              <w:jc w:val="center"/>
              <w:rPr>
                <w:noProof/>
                <w:sz w:val="18"/>
                <w:szCs w:val="18"/>
              </w:rPr>
            </w:pPr>
          </w:p>
        </w:tc>
        <w:tc>
          <w:tcPr>
            <w:tcW w:w="936"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685" w:type="dxa"/>
            <w:gridSpan w:val="4"/>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541" w:type="dxa"/>
            <w:gridSpan w:val="5"/>
            <w:tcBorders>
              <w:top w:val="nil"/>
              <w:left w:val="nil"/>
              <w:bottom w:val="nil"/>
              <w:right w:val="nil"/>
            </w:tcBorders>
          </w:tcPr>
          <w:p w:rsidR="00242E09" w:rsidRDefault="00242E09">
            <w:pPr>
              <w:spacing w:before="60" w:after="60"/>
              <w:ind w:right="-29"/>
              <w:jc w:val="center"/>
              <w:rPr>
                <w:noProof/>
                <w:sz w:val="18"/>
                <w:szCs w:val="18"/>
              </w:rPr>
            </w:pPr>
          </w:p>
        </w:tc>
        <w:tc>
          <w:tcPr>
            <w:tcW w:w="648" w:type="dxa"/>
            <w:tcBorders>
              <w:top w:val="nil"/>
              <w:left w:val="nil"/>
              <w:bottom w:val="nil"/>
              <w:right w:val="nil"/>
            </w:tcBorders>
          </w:tcPr>
          <w:p w:rsidR="00242E09" w:rsidRDefault="00242E09">
            <w:pPr>
              <w:spacing w:before="60" w:after="60"/>
              <w:ind w:right="-29"/>
              <w:jc w:val="center"/>
              <w:rPr>
                <w:noProof/>
                <w:sz w:val="18"/>
                <w:szCs w:val="18"/>
              </w:rPr>
            </w:pPr>
          </w:p>
        </w:tc>
        <w:tc>
          <w:tcPr>
            <w:tcW w:w="432"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4"/>
            <w:tcBorders>
              <w:top w:val="nil"/>
              <w:left w:val="nil"/>
              <w:bottom w:val="nil"/>
              <w:right w:val="nil"/>
            </w:tcBorders>
          </w:tcPr>
          <w:p w:rsidR="00242E09" w:rsidRDefault="00242E09">
            <w:pPr>
              <w:spacing w:before="60" w:after="60"/>
              <w:ind w:right="-29"/>
              <w:jc w:val="center"/>
              <w:rPr>
                <w:noProof/>
                <w:sz w:val="18"/>
                <w:szCs w:val="18"/>
              </w:rPr>
            </w:pPr>
          </w:p>
        </w:tc>
        <w:tc>
          <w:tcPr>
            <w:tcW w:w="540"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3"/>
            <w:tcBorders>
              <w:top w:val="nil"/>
              <w:left w:val="nil"/>
              <w:bottom w:val="nil"/>
              <w:right w:val="nil"/>
            </w:tcBorders>
          </w:tcPr>
          <w:p w:rsidR="00242E09" w:rsidRDefault="00242E09">
            <w:pPr>
              <w:spacing w:before="60" w:after="60"/>
              <w:ind w:right="-29"/>
              <w:jc w:val="center"/>
              <w:rPr>
                <w:noProof/>
                <w:sz w:val="18"/>
                <w:szCs w:val="18"/>
              </w:rPr>
            </w:pPr>
          </w:p>
        </w:tc>
        <w:tc>
          <w:tcPr>
            <w:tcW w:w="720" w:type="dxa"/>
            <w:tcBorders>
              <w:top w:val="nil"/>
              <w:left w:val="nil"/>
              <w:bottom w:val="nil"/>
              <w:right w:val="nil"/>
            </w:tcBorders>
          </w:tcPr>
          <w:p w:rsidR="00242E09" w:rsidRDefault="00242E09">
            <w:pPr>
              <w:spacing w:before="60" w:after="60"/>
              <w:ind w:right="-29"/>
              <w:jc w:val="center"/>
              <w:rPr>
                <w:noProof/>
                <w:sz w:val="18"/>
                <w:szCs w:val="18"/>
              </w:rPr>
            </w:pPr>
          </w:p>
        </w:tc>
        <w:tc>
          <w:tcPr>
            <w:tcW w:w="256" w:type="dxa"/>
            <w:tcBorders>
              <w:top w:val="nil"/>
              <w:left w:val="nil"/>
              <w:bottom w:val="nil"/>
              <w:right w:val="nil"/>
            </w:tcBorders>
          </w:tcPr>
          <w:p w:rsidR="00242E09" w:rsidRDefault="00242E09">
            <w:pPr>
              <w:spacing w:before="60" w:after="60"/>
              <w:ind w:right="-29"/>
              <w:jc w:val="center"/>
              <w:rPr>
                <w:noProof/>
                <w:sz w:val="18"/>
                <w:szCs w:val="18"/>
              </w:rPr>
            </w:pPr>
          </w:p>
        </w:tc>
      </w:tr>
      <w:tr w:rsidR="00242E09">
        <w:trPr>
          <w:gridAfter w:val="8"/>
          <w:wAfter w:w="2556" w:type="dxa"/>
          <w:trHeight w:hRule="exact" w:val="626"/>
        </w:trPr>
        <w:tc>
          <w:tcPr>
            <w:tcW w:w="1405" w:type="dxa"/>
          </w:tcPr>
          <w:p w:rsidR="00242E09" w:rsidRDefault="00CE46B8">
            <w:pPr>
              <w:ind w:right="-29"/>
              <w:jc w:val="center"/>
              <w:rPr>
                <w:noProof/>
                <w:sz w:val="18"/>
                <w:szCs w:val="18"/>
              </w:rPr>
            </w:pPr>
            <w:r>
              <w:rPr>
                <w:noProof/>
                <w:sz w:val="18"/>
              </w:rPr>
              <w:t>– Резултат</w:t>
            </w:r>
          </w:p>
        </w:tc>
        <w:tc>
          <w:tcPr>
            <w:tcW w:w="1685" w:type="dxa"/>
            <w:gridSpan w:val="2"/>
          </w:tcPr>
          <w:p w:rsidR="00242E09" w:rsidRDefault="00CE46B8">
            <w:pPr>
              <w:ind w:right="-29"/>
              <w:jc w:val="center"/>
              <w:rPr>
                <w:noProof/>
                <w:sz w:val="18"/>
                <w:szCs w:val="18"/>
              </w:rPr>
            </w:pPr>
            <w:r>
              <w:rPr>
                <w:noProof/>
                <w:sz w:val="18"/>
              </w:rPr>
              <w:t>Регистър EuroGroups</w:t>
            </w:r>
          </w:p>
        </w:tc>
        <w:tc>
          <w:tcPr>
            <w:tcW w:w="700" w:type="dxa"/>
          </w:tcPr>
          <w:p w:rsidR="00242E09" w:rsidRDefault="00242E09">
            <w:pPr>
              <w:ind w:right="-29"/>
              <w:jc w:val="center"/>
              <w:rPr>
                <w:noProof/>
                <w:sz w:val="18"/>
                <w:szCs w:val="18"/>
              </w:rPr>
            </w:pPr>
          </w:p>
        </w:tc>
        <w:tc>
          <w:tcPr>
            <w:tcW w:w="1487" w:type="dxa"/>
            <w:gridSpan w:val="3"/>
            <w:tcBorders>
              <w:right w:val="dashSmallGap" w:sz="4" w:space="0" w:color="auto"/>
            </w:tcBorders>
          </w:tcPr>
          <w:p w:rsidR="00242E09" w:rsidRDefault="00242E09">
            <w:pPr>
              <w:ind w:right="-29"/>
              <w:jc w:val="center"/>
              <w:rPr>
                <w:noProof/>
                <w:sz w:val="18"/>
                <w:szCs w:val="18"/>
              </w:rPr>
            </w:pPr>
          </w:p>
        </w:tc>
        <w:tc>
          <w:tcPr>
            <w:tcW w:w="1486" w:type="dxa"/>
            <w:gridSpan w:val="6"/>
            <w:tcBorders>
              <w:left w:val="dashSmallGap" w:sz="4" w:space="0" w:color="auto"/>
            </w:tcBorders>
          </w:tcPr>
          <w:p w:rsidR="00242E09" w:rsidRDefault="00CE46B8">
            <w:pPr>
              <w:ind w:right="-29"/>
              <w:jc w:val="center"/>
              <w:rPr>
                <w:noProof/>
                <w:sz w:val="18"/>
                <w:szCs w:val="18"/>
              </w:rPr>
            </w:pPr>
            <w:r>
              <w:rPr>
                <w:noProof/>
                <w:sz w:val="18"/>
              </w:rPr>
              <w:t>0,750</w:t>
            </w:r>
          </w:p>
        </w:tc>
        <w:tc>
          <w:tcPr>
            <w:tcW w:w="1486" w:type="dxa"/>
            <w:gridSpan w:val="6"/>
            <w:tcBorders>
              <w:right w:val="dashSmallGap" w:sz="4" w:space="0" w:color="auto"/>
            </w:tcBorders>
          </w:tcPr>
          <w:p w:rsidR="00242E09" w:rsidRDefault="00242E09">
            <w:pPr>
              <w:ind w:right="-29"/>
              <w:jc w:val="center"/>
              <w:rPr>
                <w:noProof/>
                <w:sz w:val="18"/>
                <w:szCs w:val="18"/>
              </w:rPr>
            </w:pPr>
          </w:p>
        </w:tc>
        <w:tc>
          <w:tcPr>
            <w:tcW w:w="1486" w:type="dxa"/>
            <w:gridSpan w:val="6"/>
            <w:tcBorders>
              <w:left w:val="dashSmallGap" w:sz="4" w:space="0" w:color="auto"/>
            </w:tcBorders>
          </w:tcPr>
          <w:p w:rsidR="00242E09" w:rsidRDefault="00CE46B8">
            <w:pPr>
              <w:ind w:right="-29"/>
              <w:jc w:val="center"/>
              <w:rPr>
                <w:noProof/>
                <w:sz w:val="18"/>
                <w:szCs w:val="18"/>
              </w:rPr>
            </w:pPr>
            <w:r>
              <w:rPr>
                <w:noProof/>
                <w:sz w:val="18"/>
              </w:rPr>
              <w:t>0,750</w:t>
            </w:r>
          </w:p>
        </w:tc>
        <w:tc>
          <w:tcPr>
            <w:tcW w:w="1486" w:type="dxa"/>
            <w:gridSpan w:val="7"/>
          </w:tcPr>
          <w:p w:rsidR="00242E09" w:rsidRDefault="00242E09">
            <w:pPr>
              <w:ind w:right="-29"/>
              <w:jc w:val="center"/>
              <w:rPr>
                <w:noProof/>
                <w:sz w:val="18"/>
                <w:szCs w:val="18"/>
              </w:rPr>
            </w:pPr>
          </w:p>
        </w:tc>
        <w:tc>
          <w:tcPr>
            <w:tcW w:w="1491" w:type="dxa"/>
            <w:gridSpan w:val="7"/>
          </w:tcPr>
          <w:p w:rsidR="00242E09" w:rsidRDefault="00CE46B8">
            <w:pPr>
              <w:ind w:right="-29"/>
              <w:jc w:val="center"/>
              <w:rPr>
                <w:noProof/>
                <w:sz w:val="18"/>
                <w:szCs w:val="18"/>
              </w:rPr>
            </w:pPr>
            <w:r>
              <w:rPr>
                <w:noProof/>
                <w:sz w:val="18"/>
              </w:rPr>
              <w:t>1,500</w:t>
            </w:r>
          </w:p>
        </w:tc>
      </w:tr>
      <w:tr w:rsidR="00242E09">
        <w:trPr>
          <w:gridAfter w:val="8"/>
          <w:wAfter w:w="2556" w:type="dxa"/>
          <w:trHeight w:hRule="exact" w:val="564"/>
        </w:trPr>
        <w:tc>
          <w:tcPr>
            <w:tcW w:w="1405" w:type="dxa"/>
          </w:tcPr>
          <w:p w:rsidR="00242E09" w:rsidRDefault="00CE46B8">
            <w:pPr>
              <w:ind w:right="-29"/>
              <w:jc w:val="center"/>
              <w:rPr>
                <w:noProof/>
                <w:sz w:val="18"/>
                <w:szCs w:val="18"/>
              </w:rPr>
            </w:pPr>
            <w:r>
              <w:rPr>
                <w:noProof/>
                <w:sz w:val="18"/>
              </w:rPr>
              <w:t>– Резултат</w:t>
            </w:r>
          </w:p>
        </w:tc>
        <w:tc>
          <w:tcPr>
            <w:tcW w:w="1685" w:type="dxa"/>
            <w:gridSpan w:val="2"/>
          </w:tcPr>
          <w:p w:rsidR="00242E09" w:rsidRDefault="00CE46B8">
            <w:pPr>
              <w:ind w:right="-29"/>
              <w:jc w:val="center"/>
              <w:rPr>
                <w:noProof/>
                <w:sz w:val="18"/>
                <w:szCs w:val="18"/>
              </w:rPr>
            </w:pPr>
            <w:r>
              <w:rPr>
                <w:noProof/>
                <w:sz w:val="18"/>
              </w:rPr>
              <w:t>Тестване на регистъра EuroGroups</w:t>
            </w:r>
          </w:p>
        </w:tc>
        <w:tc>
          <w:tcPr>
            <w:tcW w:w="700" w:type="dxa"/>
          </w:tcPr>
          <w:p w:rsidR="00242E09" w:rsidRDefault="00242E09">
            <w:pPr>
              <w:ind w:right="-29"/>
              <w:jc w:val="center"/>
              <w:rPr>
                <w:noProof/>
                <w:sz w:val="18"/>
                <w:szCs w:val="18"/>
              </w:rPr>
            </w:pPr>
          </w:p>
        </w:tc>
        <w:tc>
          <w:tcPr>
            <w:tcW w:w="1487" w:type="dxa"/>
            <w:gridSpan w:val="3"/>
            <w:tcBorders>
              <w:right w:val="dashSmallGap" w:sz="4" w:space="0" w:color="auto"/>
            </w:tcBorders>
          </w:tcPr>
          <w:p w:rsidR="00242E09" w:rsidRDefault="00242E09">
            <w:pPr>
              <w:ind w:right="-29"/>
              <w:jc w:val="center"/>
              <w:rPr>
                <w:noProof/>
                <w:sz w:val="18"/>
                <w:szCs w:val="18"/>
              </w:rPr>
            </w:pPr>
          </w:p>
        </w:tc>
        <w:tc>
          <w:tcPr>
            <w:tcW w:w="1486" w:type="dxa"/>
            <w:gridSpan w:val="6"/>
            <w:tcBorders>
              <w:left w:val="dashSmallGap" w:sz="4" w:space="0" w:color="auto"/>
            </w:tcBorders>
          </w:tcPr>
          <w:p w:rsidR="00242E09" w:rsidRDefault="00CE46B8">
            <w:pPr>
              <w:ind w:right="-29"/>
              <w:jc w:val="center"/>
              <w:rPr>
                <w:noProof/>
                <w:sz w:val="18"/>
                <w:szCs w:val="18"/>
              </w:rPr>
            </w:pPr>
            <w:r>
              <w:rPr>
                <w:noProof/>
                <w:sz w:val="18"/>
              </w:rPr>
              <w:t>0,250</w:t>
            </w:r>
          </w:p>
        </w:tc>
        <w:tc>
          <w:tcPr>
            <w:tcW w:w="1486" w:type="dxa"/>
            <w:gridSpan w:val="6"/>
            <w:tcBorders>
              <w:right w:val="dashSmallGap" w:sz="4" w:space="0" w:color="auto"/>
            </w:tcBorders>
          </w:tcPr>
          <w:p w:rsidR="00242E09" w:rsidRDefault="00242E09">
            <w:pPr>
              <w:ind w:right="-29"/>
              <w:jc w:val="center"/>
              <w:rPr>
                <w:noProof/>
                <w:sz w:val="18"/>
                <w:szCs w:val="18"/>
              </w:rPr>
            </w:pPr>
          </w:p>
        </w:tc>
        <w:tc>
          <w:tcPr>
            <w:tcW w:w="1486" w:type="dxa"/>
            <w:gridSpan w:val="6"/>
            <w:tcBorders>
              <w:left w:val="dashSmallGap" w:sz="4" w:space="0" w:color="auto"/>
            </w:tcBorders>
          </w:tcPr>
          <w:p w:rsidR="00242E09" w:rsidRDefault="00CE46B8">
            <w:pPr>
              <w:ind w:right="-29"/>
              <w:jc w:val="center"/>
              <w:rPr>
                <w:noProof/>
                <w:sz w:val="18"/>
                <w:szCs w:val="18"/>
              </w:rPr>
            </w:pPr>
            <w:r>
              <w:rPr>
                <w:noProof/>
                <w:sz w:val="18"/>
              </w:rPr>
              <w:t>0,250</w:t>
            </w:r>
          </w:p>
        </w:tc>
        <w:tc>
          <w:tcPr>
            <w:tcW w:w="1486" w:type="dxa"/>
            <w:gridSpan w:val="7"/>
          </w:tcPr>
          <w:p w:rsidR="00242E09" w:rsidRDefault="00242E09">
            <w:pPr>
              <w:ind w:right="-29"/>
              <w:jc w:val="center"/>
              <w:rPr>
                <w:noProof/>
                <w:sz w:val="18"/>
                <w:szCs w:val="18"/>
              </w:rPr>
            </w:pPr>
          </w:p>
        </w:tc>
        <w:tc>
          <w:tcPr>
            <w:tcW w:w="1491" w:type="dxa"/>
            <w:gridSpan w:val="7"/>
          </w:tcPr>
          <w:p w:rsidR="00242E09" w:rsidRDefault="00CE46B8">
            <w:pPr>
              <w:ind w:right="-29"/>
              <w:jc w:val="center"/>
              <w:rPr>
                <w:noProof/>
                <w:sz w:val="18"/>
                <w:szCs w:val="18"/>
              </w:rPr>
            </w:pPr>
            <w:r>
              <w:rPr>
                <w:noProof/>
                <w:sz w:val="18"/>
              </w:rPr>
              <w:t>0,500</w:t>
            </w:r>
          </w:p>
        </w:tc>
      </w:tr>
      <w:tr w:rsidR="00242E09">
        <w:trPr>
          <w:gridAfter w:val="8"/>
          <w:wAfter w:w="2556" w:type="dxa"/>
          <w:trHeight w:hRule="exact" w:val="572"/>
        </w:trPr>
        <w:tc>
          <w:tcPr>
            <w:tcW w:w="1405" w:type="dxa"/>
          </w:tcPr>
          <w:p w:rsidR="00242E09" w:rsidRDefault="00CE46B8">
            <w:pPr>
              <w:ind w:right="-29"/>
              <w:jc w:val="center"/>
              <w:rPr>
                <w:noProof/>
                <w:sz w:val="18"/>
                <w:szCs w:val="18"/>
              </w:rPr>
            </w:pPr>
            <w:r>
              <w:rPr>
                <w:noProof/>
                <w:sz w:val="18"/>
              </w:rPr>
              <w:t xml:space="preserve">– </w:t>
            </w:r>
            <w:r>
              <w:rPr>
                <w:noProof/>
                <w:sz w:val="18"/>
              </w:rPr>
              <w:t>Резултат</w:t>
            </w:r>
          </w:p>
        </w:tc>
        <w:tc>
          <w:tcPr>
            <w:tcW w:w="1685" w:type="dxa"/>
            <w:gridSpan w:val="2"/>
          </w:tcPr>
          <w:p w:rsidR="00242E09" w:rsidRDefault="00CE46B8">
            <w:pPr>
              <w:ind w:right="-29"/>
              <w:jc w:val="center"/>
              <w:rPr>
                <w:noProof/>
                <w:sz w:val="18"/>
                <w:szCs w:val="18"/>
              </w:rPr>
            </w:pPr>
            <w:r>
              <w:rPr>
                <w:noProof/>
                <w:sz w:val="18"/>
              </w:rPr>
              <w:t>Извършване на събирания на данни</w:t>
            </w:r>
          </w:p>
        </w:tc>
        <w:tc>
          <w:tcPr>
            <w:tcW w:w="700" w:type="dxa"/>
          </w:tcPr>
          <w:p w:rsidR="00242E09" w:rsidRDefault="00242E09">
            <w:pPr>
              <w:ind w:right="-29"/>
              <w:jc w:val="center"/>
              <w:rPr>
                <w:noProof/>
                <w:sz w:val="18"/>
                <w:szCs w:val="18"/>
              </w:rPr>
            </w:pPr>
          </w:p>
        </w:tc>
        <w:tc>
          <w:tcPr>
            <w:tcW w:w="1487" w:type="dxa"/>
            <w:gridSpan w:val="3"/>
            <w:tcBorders>
              <w:right w:val="dashSmallGap" w:sz="4" w:space="0" w:color="auto"/>
            </w:tcBorders>
          </w:tcPr>
          <w:p w:rsidR="00242E09" w:rsidRDefault="00242E09">
            <w:pPr>
              <w:ind w:right="-29"/>
              <w:jc w:val="center"/>
              <w:rPr>
                <w:noProof/>
                <w:sz w:val="18"/>
                <w:szCs w:val="18"/>
              </w:rPr>
            </w:pPr>
          </w:p>
        </w:tc>
        <w:tc>
          <w:tcPr>
            <w:tcW w:w="1486" w:type="dxa"/>
            <w:gridSpan w:val="6"/>
            <w:tcBorders>
              <w:left w:val="dashSmallGap" w:sz="4" w:space="0" w:color="auto"/>
            </w:tcBorders>
          </w:tcPr>
          <w:p w:rsidR="00242E09" w:rsidRDefault="00CE46B8">
            <w:pPr>
              <w:ind w:right="-29"/>
              <w:jc w:val="center"/>
              <w:rPr>
                <w:noProof/>
                <w:sz w:val="18"/>
                <w:szCs w:val="18"/>
              </w:rPr>
            </w:pPr>
            <w:r>
              <w:rPr>
                <w:noProof/>
                <w:sz w:val="18"/>
              </w:rPr>
              <w:t>3,435</w:t>
            </w:r>
          </w:p>
        </w:tc>
        <w:tc>
          <w:tcPr>
            <w:tcW w:w="1486" w:type="dxa"/>
            <w:gridSpan w:val="6"/>
            <w:tcBorders>
              <w:right w:val="dashSmallGap" w:sz="4" w:space="0" w:color="auto"/>
            </w:tcBorders>
          </w:tcPr>
          <w:p w:rsidR="00242E09" w:rsidRDefault="00242E09">
            <w:pPr>
              <w:ind w:right="-29"/>
              <w:jc w:val="center"/>
              <w:rPr>
                <w:noProof/>
                <w:sz w:val="18"/>
                <w:szCs w:val="18"/>
              </w:rPr>
            </w:pPr>
          </w:p>
        </w:tc>
        <w:tc>
          <w:tcPr>
            <w:tcW w:w="1486" w:type="dxa"/>
            <w:gridSpan w:val="6"/>
            <w:tcBorders>
              <w:left w:val="dashSmallGap" w:sz="4" w:space="0" w:color="auto"/>
            </w:tcBorders>
          </w:tcPr>
          <w:p w:rsidR="00242E09" w:rsidRDefault="00CE46B8">
            <w:pPr>
              <w:ind w:right="-29"/>
              <w:jc w:val="center"/>
              <w:rPr>
                <w:noProof/>
                <w:sz w:val="18"/>
                <w:szCs w:val="18"/>
              </w:rPr>
            </w:pPr>
            <w:r>
              <w:rPr>
                <w:noProof/>
                <w:sz w:val="18"/>
              </w:rPr>
              <w:t>3,935</w:t>
            </w:r>
          </w:p>
        </w:tc>
        <w:tc>
          <w:tcPr>
            <w:tcW w:w="1486" w:type="dxa"/>
            <w:gridSpan w:val="7"/>
          </w:tcPr>
          <w:p w:rsidR="00242E09" w:rsidRDefault="00242E09">
            <w:pPr>
              <w:ind w:right="-29"/>
              <w:jc w:val="center"/>
              <w:rPr>
                <w:noProof/>
                <w:sz w:val="18"/>
                <w:szCs w:val="18"/>
              </w:rPr>
            </w:pPr>
          </w:p>
        </w:tc>
        <w:tc>
          <w:tcPr>
            <w:tcW w:w="1491" w:type="dxa"/>
            <w:gridSpan w:val="7"/>
          </w:tcPr>
          <w:p w:rsidR="00242E09" w:rsidRDefault="00CE46B8">
            <w:pPr>
              <w:ind w:right="-29"/>
              <w:jc w:val="center"/>
              <w:rPr>
                <w:noProof/>
                <w:sz w:val="18"/>
                <w:szCs w:val="18"/>
              </w:rPr>
            </w:pPr>
            <w:r>
              <w:rPr>
                <w:noProof/>
                <w:sz w:val="18"/>
              </w:rPr>
              <w:t>7,370</w:t>
            </w:r>
          </w:p>
        </w:tc>
      </w:tr>
      <w:tr w:rsidR="00242E09">
        <w:trPr>
          <w:gridAfter w:val="8"/>
          <w:wAfter w:w="2556" w:type="dxa"/>
          <w:trHeight w:hRule="exact" w:val="1191"/>
        </w:trPr>
        <w:tc>
          <w:tcPr>
            <w:tcW w:w="1405" w:type="dxa"/>
          </w:tcPr>
          <w:p w:rsidR="00242E09" w:rsidRDefault="00CE46B8">
            <w:pPr>
              <w:ind w:right="-29"/>
              <w:jc w:val="center"/>
              <w:rPr>
                <w:noProof/>
                <w:sz w:val="18"/>
                <w:szCs w:val="18"/>
              </w:rPr>
            </w:pPr>
            <w:r>
              <w:rPr>
                <w:noProof/>
                <w:sz w:val="18"/>
              </w:rPr>
              <w:t>– Резултат</w:t>
            </w:r>
          </w:p>
        </w:tc>
        <w:tc>
          <w:tcPr>
            <w:tcW w:w="1685" w:type="dxa"/>
            <w:gridSpan w:val="2"/>
          </w:tcPr>
          <w:p w:rsidR="00242E09" w:rsidRDefault="00CE46B8">
            <w:pPr>
              <w:ind w:right="-29"/>
              <w:jc w:val="center"/>
              <w:rPr>
                <w:noProof/>
                <w:sz w:val="18"/>
                <w:szCs w:val="18"/>
              </w:rPr>
            </w:pPr>
            <w:r>
              <w:rPr>
                <w:noProof/>
                <w:sz w:val="18"/>
              </w:rPr>
              <w:t>Методологически и пилотни проучвания</w:t>
            </w:r>
          </w:p>
        </w:tc>
        <w:tc>
          <w:tcPr>
            <w:tcW w:w="700" w:type="dxa"/>
          </w:tcPr>
          <w:p w:rsidR="00242E09" w:rsidRDefault="00242E09">
            <w:pPr>
              <w:ind w:right="-29"/>
              <w:jc w:val="center"/>
              <w:rPr>
                <w:noProof/>
                <w:sz w:val="18"/>
                <w:szCs w:val="18"/>
              </w:rPr>
            </w:pPr>
          </w:p>
        </w:tc>
        <w:tc>
          <w:tcPr>
            <w:tcW w:w="1487" w:type="dxa"/>
            <w:gridSpan w:val="3"/>
          </w:tcPr>
          <w:p w:rsidR="00242E09" w:rsidRDefault="00242E09">
            <w:pPr>
              <w:ind w:right="-29"/>
              <w:jc w:val="center"/>
              <w:rPr>
                <w:noProof/>
                <w:sz w:val="18"/>
                <w:szCs w:val="18"/>
              </w:rPr>
            </w:pPr>
          </w:p>
        </w:tc>
        <w:tc>
          <w:tcPr>
            <w:tcW w:w="1486" w:type="dxa"/>
            <w:gridSpan w:val="6"/>
          </w:tcPr>
          <w:p w:rsidR="00242E09" w:rsidRDefault="00CE46B8">
            <w:pPr>
              <w:ind w:right="-29"/>
              <w:jc w:val="center"/>
              <w:rPr>
                <w:noProof/>
                <w:sz w:val="18"/>
                <w:szCs w:val="18"/>
              </w:rPr>
            </w:pPr>
            <w:r>
              <w:rPr>
                <w:noProof/>
                <w:sz w:val="18"/>
              </w:rPr>
              <w:t>6,850</w:t>
            </w:r>
          </w:p>
          <w:p w:rsidR="00242E09" w:rsidRDefault="00242E09">
            <w:pPr>
              <w:ind w:right="-29"/>
              <w:jc w:val="center"/>
              <w:rPr>
                <w:noProof/>
                <w:sz w:val="18"/>
                <w:szCs w:val="18"/>
              </w:rPr>
            </w:pPr>
          </w:p>
        </w:tc>
        <w:tc>
          <w:tcPr>
            <w:tcW w:w="1486" w:type="dxa"/>
            <w:gridSpan w:val="6"/>
          </w:tcPr>
          <w:p w:rsidR="00242E09" w:rsidRDefault="00242E09">
            <w:pPr>
              <w:ind w:right="-29"/>
              <w:jc w:val="center"/>
              <w:rPr>
                <w:noProof/>
                <w:sz w:val="18"/>
                <w:szCs w:val="18"/>
              </w:rPr>
            </w:pPr>
          </w:p>
        </w:tc>
        <w:tc>
          <w:tcPr>
            <w:tcW w:w="1486" w:type="dxa"/>
            <w:gridSpan w:val="6"/>
          </w:tcPr>
          <w:p w:rsidR="00242E09" w:rsidRDefault="00CE46B8">
            <w:pPr>
              <w:ind w:right="-29"/>
              <w:jc w:val="center"/>
              <w:rPr>
                <w:noProof/>
                <w:sz w:val="18"/>
                <w:szCs w:val="18"/>
              </w:rPr>
            </w:pPr>
            <w:r>
              <w:rPr>
                <w:noProof/>
                <w:sz w:val="18"/>
              </w:rPr>
              <w:t>5,250</w:t>
            </w:r>
          </w:p>
        </w:tc>
        <w:tc>
          <w:tcPr>
            <w:tcW w:w="1486" w:type="dxa"/>
            <w:gridSpan w:val="7"/>
          </w:tcPr>
          <w:p w:rsidR="00242E09" w:rsidRDefault="00242E09">
            <w:pPr>
              <w:ind w:right="-29"/>
              <w:jc w:val="center"/>
              <w:rPr>
                <w:noProof/>
                <w:sz w:val="18"/>
                <w:szCs w:val="18"/>
              </w:rPr>
            </w:pPr>
          </w:p>
        </w:tc>
        <w:tc>
          <w:tcPr>
            <w:tcW w:w="1491" w:type="dxa"/>
            <w:gridSpan w:val="7"/>
          </w:tcPr>
          <w:p w:rsidR="00242E09" w:rsidRDefault="00CE46B8">
            <w:pPr>
              <w:ind w:right="-29"/>
              <w:jc w:val="center"/>
              <w:rPr>
                <w:noProof/>
                <w:sz w:val="18"/>
                <w:szCs w:val="18"/>
              </w:rPr>
            </w:pPr>
            <w:r>
              <w:rPr>
                <w:noProof/>
                <w:sz w:val="18"/>
              </w:rPr>
              <w:t>12,100</w:t>
            </w:r>
          </w:p>
        </w:tc>
      </w:tr>
      <w:tr w:rsidR="00242E09">
        <w:trPr>
          <w:gridAfter w:val="8"/>
          <w:wAfter w:w="2556" w:type="dxa"/>
        </w:trPr>
        <w:tc>
          <w:tcPr>
            <w:tcW w:w="3090" w:type="dxa"/>
            <w:gridSpan w:val="3"/>
            <w:tcBorders>
              <w:bottom w:val="single" w:sz="12" w:space="0" w:color="auto"/>
            </w:tcBorders>
            <w:vAlign w:val="center"/>
          </w:tcPr>
          <w:p w:rsidR="00242E09" w:rsidRDefault="00CE46B8">
            <w:pPr>
              <w:ind w:right="-29"/>
              <w:jc w:val="center"/>
              <w:rPr>
                <w:noProof/>
                <w:sz w:val="18"/>
                <w:szCs w:val="18"/>
              </w:rPr>
            </w:pPr>
            <w:r>
              <w:rPr>
                <w:noProof/>
                <w:sz w:val="18"/>
              </w:rPr>
              <w:t>Междинен сбор за конкретна цел № 1</w:t>
            </w:r>
          </w:p>
        </w:tc>
        <w:tc>
          <w:tcPr>
            <w:tcW w:w="2187" w:type="dxa"/>
            <w:gridSpan w:val="4"/>
            <w:tcBorders>
              <w:bottom w:val="single" w:sz="12" w:space="0" w:color="auto"/>
            </w:tcBorders>
          </w:tcPr>
          <w:p w:rsidR="00242E09" w:rsidRDefault="00242E09">
            <w:pPr>
              <w:ind w:right="-29"/>
              <w:jc w:val="center"/>
              <w:rPr>
                <w:noProof/>
                <w:sz w:val="18"/>
                <w:szCs w:val="18"/>
              </w:rPr>
            </w:pPr>
          </w:p>
        </w:tc>
        <w:tc>
          <w:tcPr>
            <w:tcW w:w="1486" w:type="dxa"/>
            <w:gridSpan w:val="6"/>
            <w:tcBorders>
              <w:bottom w:val="single" w:sz="12" w:space="0" w:color="auto"/>
            </w:tcBorders>
          </w:tcPr>
          <w:p w:rsidR="00242E09" w:rsidRDefault="00CE46B8">
            <w:pPr>
              <w:ind w:right="-29"/>
              <w:jc w:val="center"/>
              <w:rPr>
                <w:noProof/>
                <w:sz w:val="18"/>
                <w:szCs w:val="18"/>
              </w:rPr>
            </w:pPr>
            <w:r>
              <w:rPr>
                <w:noProof/>
                <w:sz w:val="18"/>
              </w:rPr>
              <w:t>11,285</w:t>
            </w:r>
          </w:p>
        </w:tc>
        <w:tc>
          <w:tcPr>
            <w:tcW w:w="1486" w:type="dxa"/>
            <w:gridSpan w:val="6"/>
            <w:tcBorders>
              <w:bottom w:val="single" w:sz="12" w:space="0" w:color="auto"/>
            </w:tcBorders>
          </w:tcPr>
          <w:p w:rsidR="00242E09" w:rsidRDefault="00242E09">
            <w:pPr>
              <w:ind w:right="-29"/>
              <w:jc w:val="center"/>
              <w:rPr>
                <w:noProof/>
                <w:sz w:val="18"/>
                <w:szCs w:val="18"/>
              </w:rPr>
            </w:pPr>
          </w:p>
        </w:tc>
        <w:tc>
          <w:tcPr>
            <w:tcW w:w="1486" w:type="dxa"/>
            <w:gridSpan w:val="6"/>
            <w:tcBorders>
              <w:bottom w:val="single" w:sz="12" w:space="0" w:color="auto"/>
            </w:tcBorders>
          </w:tcPr>
          <w:p w:rsidR="00242E09" w:rsidRDefault="00CE46B8">
            <w:pPr>
              <w:ind w:right="-29"/>
              <w:jc w:val="center"/>
              <w:rPr>
                <w:noProof/>
                <w:sz w:val="18"/>
                <w:szCs w:val="18"/>
              </w:rPr>
            </w:pPr>
            <w:r>
              <w:rPr>
                <w:noProof/>
                <w:sz w:val="18"/>
              </w:rPr>
              <w:t>10,185</w:t>
            </w:r>
          </w:p>
        </w:tc>
        <w:tc>
          <w:tcPr>
            <w:tcW w:w="1486" w:type="dxa"/>
            <w:gridSpan w:val="7"/>
            <w:tcBorders>
              <w:bottom w:val="single" w:sz="12" w:space="0" w:color="auto"/>
            </w:tcBorders>
          </w:tcPr>
          <w:p w:rsidR="00242E09" w:rsidRDefault="00242E09">
            <w:pPr>
              <w:ind w:right="-29"/>
              <w:jc w:val="center"/>
              <w:rPr>
                <w:noProof/>
                <w:sz w:val="18"/>
                <w:szCs w:val="18"/>
              </w:rPr>
            </w:pPr>
          </w:p>
        </w:tc>
        <w:tc>
          <w:tcPr>
            <w:tcW w:w="1491" w:type="dxa"/>
            <w:gridSpan w:val="7"/>
            <w:tcBorders>
              <w:bottom w:val="single" w:sz="12" w:space="0" w:color="auto"/>
            </w:tcBorders>
          </w:tcPr>
          <w:p w:rsidR="00242E09" w:rsidRDefault="00CE46B8">
            <w:pPr>
              <w:ind w:right="-29"/>
              <w:jc w:val="center"/>
              <w:rPr>
                <w:noProof/>
                <w:sz w:val="18"/>
                <w:szCs w:val="18"/>
              </w:rPr>
            </w:pPr>
            <w:r>
              <w:rPr>
                <w:noProof/>
                <w:sz w:val="18"/>
              </w:rPr>
              <w:t>21,470</w:t>
            </w:r>
          </w:p>
        </w:tc>
      </w:tr>
      <w:tr w:rsidR="00242E09">
        <w:trPr>
          <w:gridAfter w:val="3"/>
          <w:wAfter w:w="1104" w:type="dxa"/>
        </w:trPr>
        <w:tc>
          <w:tcPr>
            <w:tcW w:w="3090" w:type="dxa"/>
            <w:gridSpan w:val="3"/>
            <w:vAlign w:val="center"/>
          </w:tcPr>
          <w:p w:rsidR="00242E09" w:rsidRDefault="00CE46B8">
            <w:pPr>
              <w:spacing w:before="60" w:after="60"/>
              <w:ind w:right="-29"/>
              <w:jc w:val="center"/>
              <w:rPr>
                <w:noProof/>
                <w:sz w:val="18"/>
                <w:szCs w:val="18"/>
              </w:rPr>
            </w:pPr>
            <w:r>
              <w:rPr>
                <w:noProof/>
                <w:sz w:val="18"/>
              </w:rPr>
              <w:lastRenderedPageBreak/>
              <w:t>КОНКРЕТНА ЦЕЛ № 2…</w:t>
            </w:r>
          </w:p>
        </w:tc>
        <w:tc>
          <w:tcPr>
            <w:tcW w:w="1454"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725" w:type="dxa"/>
            <w:tcBorders>
              <w:top w:val="nil"/>
              <w:left w:val="nil"/>
              <w:bottom w:val="nil"/>
              <w:right w:val="nil"/>
            </w:tcBorders>
          </w:tcPr>
          <w:p w:rsidR="00242E09" w:rsidRDefault="00242E09">
            <w:pPr>
              <w:spacing w:before="60" w:after="60"/>
              <w:ind w:right="-29"/>
              <w:jc w:val="center"/>
              <w:rPr>
                <w:noProof/>
                <w:sz w:val="18"/>
                <w:szCs w:val="18"/>
              </w:rPr>
            </w:pPr>
          </w:p>
        </w:tc>
        <w:tc>
          <w:tcPr>
            <w:tcW w:w="540" w:type="dxa"/>
            <w:gridSpan w:val="3"/>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4"/>
            <w:tcBorders>
              <w:top w:val="nil"/>
              <w:left w:val="nil"/>
              <w:bottom w:val="nil"/>
              <w:right w:val="nil"/>
            </w:tcBorders>
          </w:tcPr>
          <w:p w:rsidR="00242E09" w:rsidRDefault="00242E09">
            <w:pPr>
              <w:spacing w:before="60" w:after="60"/>
              <w:ind w:right="-29"/>
              <w:jc w:val="center"/>
              <w:rPr>
                <w:noProof/>
                <w:sz w:val="18"/>
                <w:szCs w:val="18"/>
              </w:rPr>
            </w:pPr>
          </w:p>
        </w:tc>
        <w:tc>
          <w:tcPr>
            <w:tcW w:w="936"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685" w:type="dxa"/>
            <w:gridSpan w:val="4"/>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540" w:type="dxa"/>
            <w:gridSpan w:val="4"/>
            <w:tcBorders>
              <w:top w:val="nil"/>
              <w:left w:val="nil"/>
              <w:bottom w:val="nil"/>
              <w:right w:val="nil"/>
            </w:tcBorders>
          </w:tcPr>
          <w:p w:rsidR="00242E09" w:rsidRDefault="00242E09">
            <w:pPr>
              <w:spacing w:before="60" w:after="60"/>
              <w:ind w:right="-29"/>
              <w:jc w:val="center"/>
              <w:rPr>
                <w:noProof/>
                <w:sz w:val="18"/>
                <w:szCs w:val="18"/>
              </w:rPr>
            </w:pPr>
          </w:p>
        </w:tc>
        <w:tc>
          <w:tcPr>
            <w:tcW w:w="648"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432"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4"/>
            <w:tcBorders>
              <w:top w:val="nil"/>
              <w:left w:val="nil"/>
              <w:bottom w:val="nil"/>
              <w:right w:val="nil"/>
            </w:tcBorders>
          </w:tcPr>
          <w:p w:rsidR="00242E09" w:rsidRDefault="00242E09">
            <w:pPr>
              <w:spacing w:before="60" w:after="60"/>
              <w:ind w:right="-29"/>
              <w:jc w:val="center"/>
              <w:rPr>
                <w:noProof/>
                <w:sz w:val="18"/>
                <w:szCs w:val="18"/>
              </w:rPr>
            </w:pPr>
          </w:p>
        </w:tc>
        <w:tc>
          <w:tcPr>
            <w:tcW w:w="540"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4"/>
            <w:tcBorders>
              <w:top w:val="nil"/>
              <w:left w:val="nil"/>
              <w:bottom w:val="nil"/>
              <w:right w:val="nil"/>
            </w:tcBorders>
          </w:tcPr>
          <w:p w:rsidR="00242E09" w:rsidRDefault="00242E09">
            <w:pPr>
              <w:spacing w:before="60" w:after="60"/>
              <w:ind w:right="-29"/>
              <w:jc w:val="center"/>
              <w:rPr>
                <w:noProof/>
                <w:sz w:val="18"/>
                <w:szCs w:val="18"/>
              </w:rPr>
            </w:pPr>
          </w:p>
        </w:tc>
        <w:tc>
          <w:tcPr>
            <w:tcW w:w="720" w:type="dxa"/>
            <w:gridSpan w:val="2"/>
            <w:tcBorders>
              <w:top w:val="nil"/>
              <w:left w:val="nil"/>
              <w:bottom w:val="nil"/>
              <w:right w:val="nil"/>
            </w:tcBorders>
          </w:tcPr>
          <w:p w:rsidR="00242E09" w:rsidRDefault="00242E09">
            <w:pPr>
              <w:spacing w:before="60" w:after="60"/>
              <w:ind w:right="-29"/>
              <w:jc w:val="center"/>
              <w:rPr>
                <w:noProof/>
                <w:sz w:val="18"/>
                <w:szCs w:val="18"/>
              </w:rPr>
            </w:pPr>
          </w:p>
        </w:tc>
        <w:tc>
          <w:tcPr>
            <w:tcW w:w="254" w:type="dxa"/>
            <w:tcBorders>
              <w:top w:val="nil"/>
              <w:left w:val="nil"/>
              <w:bottom w:val="nil"/>
              <w:right w:val="nil"/>
            </w:tcBorders>
          </w:tcPr>
          <w:p w:rsidR="00242E09" w:rsidRDefault="00242E09">
            <w:pPr>
              <w:spacing w:before="60" w:after="60"/>
              <w:ind w:right="-29"/>
              <w:jc w:val="center"/>
              <w:rPr>
                <w:noProof/>
                <w:sz w:val="18"/>
                <w:szCs w:val="18"/>
              </w:rPr>
            </w:pPr>
          </w:p>
        </w:tc>
      </w:tr>
      <w:tr w:rsidR="00242E09">
        <w:trPr>
          <w:gridAfter w:val="8"/>
          <w:wAfter w:w="2556" w:type="dxa"/>
          <w:trHeight w:hRule="exact" w:val="369"/>
        </w:trPr>
        <w:tc>
          <w:tcPr>
            <w:tcW w:w="1405" w:type="dxa"/>
          </w:tcPr>
          <w:p w:rsidR="00242E09" w:rsidRDefault="00CE46B8">
            <w:pPr>
              <w:ind w:right="-29"/>
              <w:jc w:val="center"/>
              <w:rPr>
                <w:noProof/>
                <w:sz w:val="18"/>
                <w:szCs w:val="18"/>
              </w:rPr>
            </w:pPr>
            <w:r>
              <w:rPr>
                <w:noProof/>
                <w:sz w:val="18"/>
              </w:rPr>
              <w:t>– Резултат</w:t>
            </w:r>
          </w:p>
        </w:tc>
        <w:tc>
          <w:tcPr>
            <w:tcW w:w="1685" w:type="dxa"/>
            <w:gridSpan w:val="2"/>
          </w:tcPr>
          <w:p w:rsidR="00242E09" w:rsidRDefault="00242E09">
            <w:pPr>
              <w:ind w:right="-29"/>
              <w:jc w:val="center"/>
              <w:rPr>
                <w:noProof/>
                <w:sz w:val="18"/>
                <w:szCs w:val="18"/>
              </w:rPr>
            </w:pPr>
          </w:p>
        </w:tc>
        <w:tc>
          <w:tcPr>
            <w:tcW w:w="700" w:type="dxa"/>
          </w:tcPr>
          <w:p w:rsidR="00242E09" w:rsidRDefault="00242E09">
            <w:pPr>
              <w:ind w:right="-29"/>
              <w:jc w:val="center"/>
              <w:rPr>
                <w:noProof/>
                <w:sz w:val="18"/>
                <w:szCs w:val="18"/>
              </w:rPr>
            </w:pPr>
          </w:p>
        </w:tc>
        <w:tc>
          <w:tcPr>
            <w:tcW w:w="1487" w:type="dxa"/>
            <w:gridSpan w:val="3"/>
          </w:tcPr>
          <w:p w:rsidR="00242E09" w:rsidRDefault="00242E09">
            <w:pPr>
              <w:ind w:right="-29"/>
              <w:jc w:val="center"/>
              <w:rPr>
                <w:noProof/>
                <w:sz w:val="18"/>
                <w:szCs w:val="18"/>
              </w:rPr>
            </w:pPr>
          </w:p>
        </w:tc>
        <w:tc>
          <w:tcPr>
            <w:tcW w:w="1486" w:type="dxa"/>
            <w:gridSpan w:val="6"/>
          </w:tcPr>
          <w:p w:rsidR="00242E09" w:rsidRDefault="00242E09">
            <w:pPr>
              <w:ind w:right="-29"/>
              <w:jc w:val="center"/>
              <w:rPr>
                <w:noProof/>
                <w:sz w:val="18"/>
                <w:szCs w:val="18"/>
              </w:rPr>
            </w:pPr>
          </w:p>
        </w:tc>
        <w:tc>
          <w:tcPr>
            <w:tcW w:w="1486" w:type="dxa"/>
            <w:gridSpan w:val="6"/>
          </w:tcPr>
          <w:p w:rsidR="00242E09" w:rsidRDefault="00242E09">
            <w:pPr>
              <w:ind w:right="-29"/>
              <w:jc w:val="center"/>
              <w:rPr>
                <w:noProof/>
                <w:sz w:val="18"/>
                <w:szCs w:val="18"/>
              </w:rPr>
            </w:pPr>
          </w:p>
        </w:tc>
        <w:tc>
          <w:tcPr>
            <w:tcW w:w="1486" w:type="dxa"/>
            <w:gridSpan w:val="6"/>
          </w:tcPr>
          <w:p w:rsidR="00242E09" w:rsidRDefault="00242E09">
            <w:pPr>
              <w:ind w:right="-29"/>
              <w:jc w:val="center"/>
              <w:rPr>
                <w:noProof/>
                <w:sz w:val="18"/>
                <w:szCs w:val="18"/>
              </w:rPr>
            </w:pPr>
          </w:p>
        </w:tc>
        <w:tc>
          <w:tcPr>
            <w:tcW w:w="1486" w:type="dxa"/>
            <w:gridSpan w:val="7"/>
          </w:tcPr>
          <w:p w:rsidR="00242E09" w:rsidRDefault="00242E09">
            <w:pPr>
              <w:ind w:right="-29"/>
              <w:jc w:val="center"/>
              <w:rPr>
                <w:noProof/>
                <w:sz w:val="18"/>
                <w:szCs w:val="18"/>
              </w:rPr>
            </w:pPr>
          </w:p>
        </w:tc>
        <w:tc>
          <w:tcPr>
            <w:tcW w:w="1491" w:type="dxa"/>
            <w:gridSpan w:val="7"/>
          </w:tcPr>
          <w:p w:rsidR="00242E09" w:rsidRDefault="00242E09">
            <w:pPr>
              <w:ind w:right="-29"/>
              <w:jc w:val="center"/>
              <w:rPr>
                <w:noProof/>
                <w:sz w:val="18"/>
                <w:szCs w:val="18"/>
              </w:rPr>
            </w:pPr>
          </w:p>
        </w:tc>
      </w:tr>
      <w:tr w:rsidR="00242E09">
        <w:trPr>
          <w:gridAfter w:val="9"/>
          <w:wAfter w:w="2627" w:type="dxa"/>
        </w:trPr>
        <w:tc>
          <w:tcPr>
            <w:tcW w:w="3081" w:type="dxa"/>
            <w:gridSpan w:val="2"/>
            <w:tcBorders>
              <w:bottom w:val="single" w:sz="12" w:space="0" w:color="auto"/>
            </w:tcBorders>
            <w:vAlign w:val="center"/>
          </w:tcPr>
          <w:p w:rsidR="00242E09" w:rsidRDefault="00CE46B8">
            <w:pPr>
              <w:jc w:val="center"/>
              <w:rPr>
                <w:noProof/>
                <w:sz w:val="18"/>
                <w:szCs w:val="18"/>
              </w:rPr>
            </w:pPr>
            <w:r>
              <w:rPr>
                <w:noProof/>
                <w:sz w:val="18"/>
              </w:rPr>
              <w:t>Междинен сбор за конкретна цел № 2</w:t>
            </w:r>
          </w:p>
        </w:tc>
        <w:tc>
          <w:tcPr>
            <w:tcW w:w="2188" w:type="dxa"/>
            <w:gridSpan w:val="4"/>
            <w:tcBorders>
              <w:bottom w:val="single" w:sz="12" w:space="0" w:color="auto"/>
            </w:tcBorders>
          </w:tcPr>
          <w:p w:rsidR="00242E09" w:rsidRDefault="00242E09">
            <w:pPr>
              <w:ind w:right="-29"/>
              <w:jc w:val="center"/>
              <w:rPr>
                <w:noProof/>
                <w:sz w:val="18"/>
                <w:szCs w:val="18"/>
              </w:rPr>
            </w:pPr>
          </w:p>
        </w:tc>
        <w:tc>
          <w:tcPr>
            <w:tcW w:w="1474" w:type="dxa"/>
            <w:gridSpan w:val="6"/>
            <w:tcBorders>
              <w:bottom w:val="single" w:sz="12" w:space="0" w:color="auto"/>
            </w:tcBorders>
          </w:tcPr>
          <w:p w:rsidR="00242E09" w:rsidRDefault="00242E09">
            <w:pPr>
              <w:ind w:right="-29"/>
              <w:jc w:val="center"/>
              <w:rPr>
                <w:noProof/>
                <w:sz w:val="18"/>
                <w:szCs w:val="18"/>
              </w:rPr>
            </w:pPr>
          </w:p>
        </w:tc>
        <w:tc>
          <w:tcPr>
            <w:tcW w:w="1474" w:type="dxa"/>
            <w:gridSpan w:val="6"/>
            <w:tcBorders>
              <w:bottom w:val="single" w:sz="12" w:space="0" w:color="auto"/>
            </w:tcBorders>
          </w:tcPr>
          <w:p w:rsidR="00242E09" w:rsidRDefault="00242E09">
            <w:pPr>
              <w:ind w:right="-29"/>
              <w:jc w:val="center"/>
              <w:rPr>
                <w:noProof/>
                <w:sz w:val="18"/>
                <w:szCs w:val="18"/>
              </w:rPr>
            </w:pPr>
          </w:p>
        </w:tc>
        <w:tc>
          <w:tcPr>
            <w:tcW w:w="1475" w:type="dxa"/>
            <w:gridSpan w:val="6"/>
            <w:tcBorders>
              <w:bottom w:val="single" w:sz="12" w:space="0" w:color="auto"/>
            </w:tcBorders>
          </w:tcPr>
          <w:p w:rsidR="00242E09" w:rsidRDefault="00242E09">
            <w:pPr>
              <w:ind w:right="-29"/>
              <w:jc w:val="center"/>
              <w:rPr>
                <w:noProof/>
                <w:sz w:val="18"/>
                <w:szCs w:val="18"/>
              </w:rPr>
            </w:pPr>
          </w:p>
        </w:tc>
        <w:tc>
          <w:tcPr>
            <w:tcW w:w="1474" w:type="dxa"/>
            <w:gridSpan w:val="6"/>
            <w:tcBorders>
              <w:bottom w:val="single" w:sz="12" w:space="0" w:color="auto"/>
            </w:tcBorders>
          </w:tcPr>
          <w:p w:rsidR="00242E09" w:rsidRDefault="00242E09">
            <w:pPr>
              <w:ind w:right="-29"/>
              <w:jc w:val="center"/>
              <w:rPr>
                <w:noProof/>
                <w:sz w:val="18"/>
                <w:szCs w:val="18"/>
              </w:rPr>
            </w:pPr>
          </w:p>
        </w:tc>
        <w:tc>
          <w:tcPr>
            <w:tcW w:w="1475" w:type="dxa"/>
            <w:gridSpan w:val="8"/>
            <w:tcBorders>
              <w:bottom w:val="single" w:sz="12" w:space="0" w:color="auto"/>
            </w:tcBorders>
          </w:tcPr>
          <w:p w:rsidR="00242E09" w:rsidRDefault="00242E09">
            <w:pPr>
              <w:ind w:right="-29"/>
              <w:jc w:val="center"/>
              <w:rPr>
                <w:noProof/>
                <w:sz w:val="18"/>
                <w:szCs w:val="18"/>
              </w:rPr>
            </w:pPr>
          </w:p>
        </w:tc>
      </w:tr>
      <w:tr w:rsidR="00242E09">
        <w:trPr>
          <w:gridAfter w:val="9"/>
          <w:wAfter w:w="2627" w:type="dxa"/>
        </w:trPr>
        <w:tc>
          <w:tcPr>
            <w:tcW w:w="3081" w:type="dxa"/>
            <w:gridSpan w:val="2"/>
            <w:tcBorders>
              <w:top w:val="single" w:sz="12" w:space="0" w:color="auto"/>
              <w:left w:val="single" w:sz="12" w:space="0" w:color="auto"/>
              <w:bottom w:val="single" w:sz="12" w:space="0" w:color="auto"/>
            </w:tcBorders>
            <w:vAlign w:val="center"/>
          </w:tcPr>
          <w:p w:rsidR="00242E09" w:rsidRDefault="00CE46B8">
            <w:pPr>
              <w:ind w:right="-29"/>
              <w:jc w:val="center"/>
              <w:rPr>
                <w:noProof/>
                <w:sz w:val="18"/>
                <w:szCs w:val="18"/>
              </w:rPr>
            </w:pPr>
            <w:r>
              <w:rPr>
                <w:b/>
                <w:noProof/>
                <w:sz w:val="18"/>
              </w:rPr>
              <w:t>ОБЩО РАЗХОДИ</w:t>
            </w:r>
          </w:p>
        </w:tc>
        <w:tc>
          <w:tcPr>
            <w:tcW w:w="2188" w:type="dxa"/>
            <w:gridSpan w:val="4"/>
            <w:tcBorders>
              <w:top w:val="single" w:sz="12" w:space="0" w:color="auto"/>
              <w:bottom w:val="single" w:sz="12" w:space="0" w:color="auto"/>
            </w:tcBorders>
          </w:tcPr>
          <w:p w:rsidR="00242E09" w:rsidRDefault="00242E09">
            <w:pPr>
              <w:spacing w:before="180" w:after="180"/>
              <w:ind w:right="-29"/>
              <w:jc w:val="center"/>
              <w:rPr>
                <w:noProof/>
                <w:sz w:val="18"/>
                <w:szCs w:val="18"/>
              </w:rPr>
            </w:pPr>
          </w:p>
        </w:tc>
        <w:tc>
          <w:tcPr>
            <w:tcW w:w="1474" w:type="dxa"/>
            <w:gridSpan w:val="6"/>
            <w:tcBorders>
              <w:top w:val="single" w:sz="12" w:space="0" w:color="auto"/>
              <w:bottom w:val="single" w:sz="12" w:space="0" w:color="auto"/>
            </w:tcBorders>
          </w:tcPr>
          <w:p w:rsidR="00242E09" w:rsidRDefault="00CE46B8">
            <w:pPr>
              <w:spacing w:before="180" w:after="180"/>
              <w:ind w:right="-29"/>
              <w:jc w:val="center"/>
              <w:rPr>
                <w:noProof/>
                <w:sz w:val="18"/>
                <w:szCs w:val="18"/>
              </w:rPr>
            </w:pPr>
            <w:r>
              <w:rPr>
                <w:noProof/>
                <w:sz w:val="18"/>
              </w:rPr>
              <w:t>11,285</w:t>
            </w:r>
          </w:p>
        </w:tc>
        <w:tc>
          <w:tcPr>
            <w:tcW w:w="1474" w:type="dxa"/>
            <w:gridSpan w:val="6"/>
            <w:tcBorders>
              <w:top w:val="single" w:sz="12" w:space="0" w:color="auto"/>
              <w:bottom w:val="single" w:sz="12" w:space="0" w:color="auto"/>
            </w:tcBorders>
          </w:tcPr>
          <w:p w:rsidR="00242E09" w:rsidRDefault="00242E09">
            <w:pPr>
              <w:spacing w:before="180" w:after="180"/>
              <w:ind w:right="-29"/>
              <w:jc w:val="center"/>
              <w:rPr>
                <w:noProof/>
                <w:sz w:val="18"/>
                <w:szCs w:val="18"/>
              </w:rPr>
            </w:pPr>
          </w:p>
        </w:tc>
        <w:tc>
          <w:tcPr>
            <w:tcW w:w="1475" w:type="dxa"/>
            <w:gridSpan w:val="6"/>
            <w:tcBorders>
              <w:top w:val="single" w:sz="12" w:space="0" w:color="auto"/>
              <w:bottom w:val="single" w:sz="12" w:space="0" w:color="auto"/>
            </w:tcBorders>
          </w:tcPr>
          <w:p w:rsidR="00242E09" w:rsidRDefault="00CE46B8">
            <w:pPr>
              <w:spacing w:before="180" w:after="180"/>
              <w:ind w:right="-29"/>
              <w:jc w:val="center"/>
              <w:rPr>
                <w:noProof/>
                <w:sz w:val="18"/>
                <w:szCs w:val="18"/>
              </w:rPr>
            </w:pPr>
            <w:r>
              <w:rPr>
                <w:noProof/>
                <w:sz w:val="18"/>
              </w:rPr>
              <w:t>10,185</w:t>
            </w:r>
          </w:p>
        </w:tc>
        <w:tc>
          <w:tcPr>
            <w:tcW w:w="1474" w:type="dxa"/>
            <w:gridSpan w:val="6"/>
            <w:tcBorders>
              <w:top w:val="single" w:sz="12" w:space="0" w:color="auto"/>
              <w:bottom w:val="single" w:sz="12" w:space="0" w:color="auto"/>
            </w:tcBorders>
          </w:tcPr>
          <w:p w:rsidR="00242E09" w:rsidRDefault="00242E09">
            <w:pPr>
              <w:spacing w:before="180" w:after="180"/>
              <w:ind w:right="-29"/>
              <w:jc w:val="center"/>
              <w:rPr>
                <w:noProof/>
                <w:sz w:val="18"/>
                <w:szCs w:val="18"/>
              </w:rPr>
            </w:pPr>
          </w:p>
        </w:tc>
        <w:tc>
          <w:tcPr>
            <w:tcW w:w="1475" w:type="dxa"/>
            <w:gridSpan w:val="8"/>
            <w:tcBorders>
              <w:top w:val="single" w:sz="12" w:space="0" w:color="auto"/>
              <w:bottom w:val="single" w:sz="12" w:space="0" w:color="auto"/>
            </w:tcBorders>
          </w:tcPr>
          <w:p w:rsidR="00242E09" w:rsidRDefault="00CE46B8">
            <w:pPr>
              <w:spacing w:before="180" w:after="180"/>
              <w:ind w:right="-29"/>
              <w:jc w:val="center"/>
              <w:rPr>
                <w:noProof/>
                <w:sz w:val="18"/>
                <w:szCs w:val="18"/>
              </w:rPr>
            </w:pPr>
            <w:r>
              <w:rPr>
                <w:noProof/>
                <w:sz w:val="18"/>
              </w:rPr>
              <w:t>21,470</w:t>
            </w:r>
          </w:p>
        </w:tc>
      </w:tr>
    </w:tbl>
    <w:p w:rsidR="00242E09" w:rsidRDefault="00242E09">
      <w:pPr>
        <w:rPr>
          <w:noProof/>
        </w:rPr>
        <w:sectPr w:rsidR="00242E09">
          <w:pgSz w:w="16840" w:h="11907" w:orient="landscape" w:code="9"/>
          <w:pgMar w:top="1134" w:right="1418" w:bottom="567" w:left="1418" w:header="709" w:footer="709" w:gutter="0"/>
          <w:cols w:space="708"/>
          <w:docGrid w:linePitch="360"/>
        </w:sectPr>
      </w:pPr>
    </w:p>
    <w:p w:rsidR="00242E09" w:rsidRDefault="00CE46B8">
      <w:pPr>
        <w:pStyle w:val="ManualHeading3"/>
        <w:rPr>
          <w:bCs/>
          <w:noProof/>
          <w:szCs w:val="24"/>
        </w:rPr>
      </w:pPr>
      <w:r>
        <w:lastRenderedPageBreak/>
        <w:t>3.2.3.</w:t>
      </w:r>
      <w:r>
        <w:tab/>
      </w:r>
      <w:r>
        <w:rPr>
          <w:noProof/>
        </w:rPr>
        <w:t>Очаквано отражение върху бюджетните кредити за административни разходи</w:t>
      </w:r>
    </w:p>
    <w:p w:rsidR="00242E09" w:rsidRDefault="00CE46B8">
      <w:pPr>
        <w:pStyle w:val="ManualHeading4"/>
        <w:rPr>
          <w:noProof/>
        </w:rPr>
      </w:pPr>
      <w:r>
        <w:t>3.2.3.1.</w:t>
      </w:r>
      <w:r>
        <w:tab/>
      </w:r>
      <w:r>
        <w:rPr>
          <w:noProof/>
        </w:rPr>
        <w:t xml:space="preserve">Обобщение </w:t>
      </w:r>
    </w:p>
    <w:p w:rsidR="00242E09" w:rsidRDefault="00CE46B8">
      <w:pPr>
        <w:pStyle w:val="ListDash1"/>
        <w:rPr>
          <w:noProof/>
        </w:rPr>
      </w:pPr>
      <w:r>
        <w:rPr>
          <w:noProof/>
        </w:rPr>
        <w:sym w:font="Wingdings" w:char="F0A8"/>
      </w:r>
      <w:r>
        <w:rPr>
          <w:noProof/>
        </w:rPr>
        <w:tab/>
      </w:r>
      <w:r>
        <w:rPr>
          <w:noProof/>
        </w:rPr>
        <w:t xml:space="preserve">Предложението/инициативата не налага използване на бюджетни кредити за административни разходи </w:t>
      </w:r>
    </w:p>
    <w:p w:rsidR="00242E09" w:rsidRDefault="00CE46B8">
      <w:pPr>
        <w:pStyle w:val="ListDash1"/>
        <w:rPr>
          <w:noProof/>
        </w:rPr>
      </w:pPr>
      <w:r>
        <w:rPr>
          <w:noProof/>
        </w:rPr>
        <w:sym w:font="Wingdings" w:char="F0FD"/>
      </w:r>
      <w:r>
        <w:rPr>
          <w:noProof/>
        </w:rPr>
        <w:tab/>
        <w:t>Предложението/инициативата налага използване на бюджетни кредити за административни разходи съгласно обяснението по-долу:</w:t>
      </w:r>
    </w:p>
    <w:p w:rsidR="00242E09" w:rsidRDefault="00CE46B8">
      <w:pPr>
        <w:rPr>
          <w:noProof/>
          <w:sz w:val="20"/>
        </w:rPr>
      </w:pPr>
      <w:r>
        <w:rPr>
          <w:noProof/>
          <w:sz w:val="20"/>
        </w:rPr>
        <w:t>млн. EUR (до третия знак след десети</w:t>
      </w:r>
      <w:r>
        <w:rPr>
          <w:noProof/>
          <w:sz w:val="20"/>
        </w:rPr>
        <w:t>чната запетая)</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604"/>
        <w:gridCol w:w="2604"/>
        <w:gridCol w:w="2604"/>
      </w:tblGrid>
      <w:tr w:rsidR="00242E09">
        <w:trPr>
          <w:trHeight w:val="585"/>
        </w:trPr>
        <w:tc>
          <w:tcPr>
            <w:tcW w:w="1980" w:type="dxa"/>
          </w:tcPr>
          <w:p w:rsidR="00242E09" w:rsidRDefault="00242E09">
            <w:pPr>
              <w:spacing w:before="60" w:after="60" w:line="200" w:lineRule="exact"/>
              <w:rPr>
                <w:noProof/>
                <w:sz w:val="16"/>
                <w:szCs w:val="16"/>
              </w:rPr>
            </w:pPr>
          </w:p>
        </w:tc>
        <w:tc>
          <w:tcPr>
            <w:tcW w:w="2604" w:type="dxa"/>
            <w:vAlign w:val="center"/>
          </w:tcPr>
          <w:p w:rsidR="00242E09" w:rsidRDefault="00CE46B8">
            <w:pPr>
              <w:spacing w:before="60" w:after="60" w:line="200" w:lineRule="exact"/>
              <w:jc w:val="center"/>
              <w:rPr>
                <w:noProof/>
                <w:sz w:val="16"/>
                <w:szCs w:val="16"/>
              </w:rPr>
            </w:pPr>
            <w:r>
              <w:rPr>
                <w:b/>
                <w:noProof/>
              </w:rPr>
              <w:t>2019 г.</w:t>
            </w:r>
            <w:r>
              <w:rPr>
                <w:rStyle w:val="FootnoteReference"/>
                <w:b/>
                <w:noProof/>
              </w:rPr>
              <w:footnoteReference w:id="39"/>
            </w:r>
          </w:p>
        </w:tc>
        <w:tc>
          <w:tcPr>
            <w:tcW w:w="2604" w:type="dxa"/>
            <w:vAlign w:val="center"/>
          </w:tcPr>
          <w:p w:rsidR="00242E09" w:rsidRDefault="00CE46B8">
            <w:pPr>
              <w:spacing w:before="60" w:after="60" w:line="200" w:lineRule="exact"/>
              <w:jc w:val="center"/>
              <w:rPr>
                <w:noProof/>
                <w:sz w:val="16"/>
                <w:szCs w:val="16"/>
              </w:rPr>
            </w:pPr>
            <w:r>
              <w:rPr>
                <w:b/>
                <w:noProof/>
              </w:rPr>
              <w:t>2020 г.</w:t>
            </w:r>
          </w:p>
        </w:tc>
        <w:tc>
          <w:tcPr>
            <w:tcW w:w="2604" w:type="dxa"/>
            <w:vAlign w:val="center"/>
          </w:tcPr>
          <w:p w:rsidR="00242E09" w:rsidRDefault="00CE46B8">
            <w:pPr>
              <w:spacing w:before="60" w:after="60" w:line="200" w:lineRule="exact"/>
              <w:jc w:val="center"/>
              <w:rPr>
                <w:b/>
                <w:noProof/>
                <w:sz w:val="16"/>
                <w:szCs w:val="16"/>
              </w:rPr>
            </w:pPr>
            <w:r>
              <w:rPr>
                <w:b/>
                <w:noProof/>
                <w:sz w:val="16"/>
              </w:rPr>
              <w:t>ОБЩО</w:t>
            </w:r>
          </w:p>
        </w:tc>
      </w:tr>
    </w:tbl>
    <w:p w:rsidR="00242E09" w:rsidRDefault="00242E09">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604"/>
        <w:gridCol w:w="2604"/>
        <w:gridCol w:w="2604"/>
      </w:tblGrid>
      <w:tr w:rsidR="00242E09">
        <w:trPr>
          <w:trHeight w:val="585"/>
        </w:trPr>
        <w:tc>
          <w:tcPr>
            <w:tcW w:w="1980" w:type="dxa"/>
            <w:shd w:val="clear" w:color="auto" w:fill="CCCCCC"/>
            <w:vAlign w:val="center"/>
          </w:tcPr>
          <w:p w:rsidR="00242E09" w:rsidRDefault="00CE46B8">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2604" w:type="dxa"/>
            <w:vAlign w:val="center"/>
          </w:tcPr>
          <w:p w:rsidR="00242E09" w:rsidRDefault="00242E09">
            <w:pPr>
              <w:spacing w:before="60" w:after="60" w:line="200" w:lineRule="exact"/>
              <w:jc w:val="right"/>
              <w:rPr>
                <w:noProof/>
                <w:sz w:val="16"/>
                <w:szCs w:val="16"/>
              </w:rPr>
            </w:pPr>
          </w:p>
        </w:tc>
        <w:tc>
          <w:tcPr>
            <w:tcW w:w="2604" w:type="dxa"/>
            <w:vAlign w:val="center"/>
          </w:tcPr>
          <w:p w:rsidR="00242E09" w:rsidRDefault="00242E09">
            <w:pPr>
              <w:spacing w:before="60" w:after="60" w:line="200" w:lineRule="exact"/>
              <w:jc w:val="right"/>
              <w:rPr>
                <w:noProof/>
                <w:sz w:val="16"/>
                <w:szCs w:val="16"/>
              </w:rPr>
            </w:pPr>
          </w:p>
        </w:tc>
        <w:tc>
          <w:tcPr>
            <w:tcW w:w="2604" w:type="dxa"/>
            <w:vAlign w:val="center"/>
          </w:tcPr>
          <w:p w:rsidR="00242E09" w:rsidRDefault="00242E09">
            <w:pPr>
              <w:spacing w:before="60" w:after="60" w:line="200" w:lineRule="exact"/>
              <w:jc w:val="right"/>
              <w:rPr>
                <w:b/>
                <w:noProof/>
                <w:sz w:val="16"/>
                <w:szCs w:val="16"/>
              </w:rPr>
            </w:pPr>
          </w:p>
        </w:tc>
      </w:tr>
      <w:tr w:rsidR="00242E09">
        <w:trPr>
          <w:trHeight w:val="585"/>
        </w:trPr>
        <w:tc>
          <w:tcPr>
            <w:tcW w:w="1980" w:type="dxa"/>
            <w:vAlign w:val="center"/>
          </w:tcPr>
          <w:p w:rsidR="00242E09" w:rsidRDefault="00CE46B8">
            <w:pPr>
              <w:spacing w:before="60" w:after="60" w:line="200" w:lineRule="exact"/>
              <w:ind w:left="72"/>
              <w:jc w:val="left"/>
              <w:rPr>
                <w:noProof/>
                <w:sz w:val="16"/>
                <w:szCs w:val="16"/>
              </w:rPr>
            </w:pPr>
            <w:r>
              <w:rPr>
                <w:noProof/>
                <w:sz w:val="16"/>
              </w:rPr>
              <w:t xml:space="preserve">Човешки ресурси </w:t>
            </w:r>
          </w:p>
        </w:tc>
        <w:tc>
          <w:tcPr>
            <w:tcW w:w="2604" w:type="dxa"/>
            <w:vAlign w:val="center"/>
          </w:tcPr>
          <w:p w:rsidR="00242E09" w:rsidRDefault="00CE46B8">
            <w:pPr>
              <w:spacing w:before="60" w:after="60" w:line="200" w:lineRule="exact"/>
              <w:jc w:val="right"/>
              <w:rPr>
                <w:noProof/>
                <w:sz w:val="16"/>
                <w:szCs w:val="16"/>
              </w:rPr>
            </w:pPr>
            <w:r>
              <w:rPr>
                <w:noProof/>
                <w:sz w:val="16"/>
              </w:rPr>
              <w:t>11,850</w:t>
            </w:r>
          </w:p>
        </w:tc>
        <w:tc>
          <w:tcPr>
            <w:tcW w:w="2604" w:type="dxa"/>
            <w:vAlign w:val="center"/>
          </w:tcPr>
          <w:p w:rsidR="00242E09" w:rsidRDefault="00CE46B8">
            <w:pPr>
              <w:spacing w:before="60" w:after="60" w:line="200" w:lineRule="exact"/>
              <w:jc w:val="right"/>
              <w:rPr>
                <w:noProof/>
                <w:sz w:val="16"/>
                <w:szCs w:val="16"/>
              </w:rPr>
            </w:pPr>
            <w:r>
              <w:rPr>
                <w:noProof/>
                <w:sz w:val="16"/>
              </w:rPr>
              <w:t>11,883</w:t>
            </w:r>
          </w:p>
        </w:tc>
        <w:tc>
          <w:tcPr>
            <w:tcW w:w="2604" w:type="dxa"/>
            <w:vAlign w:val="center"/>
          </w:tcPr>
          <w:p w:rsidR="00242E09" w:rsidRDefault="00CE46B8">
            <w:pPr>
              <w:spacing w:before="60" w:after="60" w:line="200" w:lineRule="exact"/>
              <w:jc w:val="right"/>
              <w:rPr>
                <w:b/>
                <w:noProof/>
                <w:sz w:val="16"/>
                <w:szCs w:val="16"/>
              </w:rPr>
            </w:pPr>
            <w:r>
              <w:rPr>
                <w:b/>
                <w:noProof/>
                <w:sz w:val="16"/>
              </w:rPr>
              <w:t>23,733</w:t>
            </w:r>
          </w:p>
        </w:tc>
      </w:tr>
      <w:tr w:rsidR="00242E09">
        <w:trPr>
          <w:trHeight w:val="585"/>
        </w:trPr>
        <w:tc>
          <w:tcPr>
            <w:tcW w:w="1980" w:type="dxa"/>
            <w:vAlign w:val="center"/>
          </w:tcPr>
          <w:p w:rsidR="00242E09" w:rsidRDefault="00CE46B8">
            <w:pPr>
              <w:spacing w:before="60" w:after="60" w:line="200" w:lineRule="exact"/>
              <w:ind w:left="72"/>
              <w:jc w:val="left"/>
              <w:rPr>
                <w:noProof/>
                <w:sz w:val="16"/>
                <w:szCs w:val="16"/>
              </w:rPr>
            </w:pPr>
            <w:r>
              <w:rPr>
                <w:noProof/>
                <w:sz w:val="16"/>
              </w:rPr>
              <w:t xml:space="preserve">Други административни разходи </w:t>
            </w:r>
          </w:p>
        </w:tc>
        <w:tc>
          <w:tcPr>
            <w:tcW w:w="2604" w:type="dxa"/>
            <w:vAlign w:val="center"/>
          </w:tcPr>
          <w:p w:rsidR="00242E09" w:rsidRDefault="00CE46B8">
            <w:pPr>
              <w:spacing w:before="60" w:after="60" w:line="200" w:lineRule="exact"/>
              <w:jc w:val="right"/>
              <w:rPr>
                <w:noProof/>
                <w:sz w:val="16"/>
                <w:szCs w:val="16"/>
              </w:rPr>
            </w:pPr>
            <w:r>
              <w:rPr>
                <w:noProof/>
                <w:sz w:val="16"/>
              </w:rPr>
              <w:t>0,625</w:t>
            </w:r>
          </w:p>
        </w:tc>
        <w:tc>
          <w:tcPr>
            <w:tcW w:w="2604" w:type="dxa"/>
            <w:vAlign w:val="center"/>
          </w:tcPr>
          <w:p w:rsidR="00242E09" w:rsidRDefault="00CE46B8">
            <w:pPr>
              <w:spacing w:before="60" w:after="60" w:line="200" w:lineRule="exact"/>
              <w:jc w:val="right"/>
              <w:rPr>
                <w:noProof/>
                <w:sz w:val="16"/>
                <w:szCs w:val="16"/>
              </w:rPr>
            </w:pPr>
            <w:r>
              <w:rPr>
                <w:noProof/>
                <w:sz w:val="16"/>
              </w:rPr>
              <w:t>0,625</w:t>
            </w:r>
          </w:p>
        </w:tc>
        <w:tc>
          <w:tcPr>
            <w:tcW w:w="2604" w:type="dxa"/>
            <w:vAlign w:val="center"/>
          </w:tcPr>
          <w:p w:rsidR="00242E09" w:rsidRDefault="00CE46B8">
            <w:pPr>
              <w:spacing w:before="60" w:after="60" w:line="200" w:lineRule="exact"/>
              <w:jc w:val="right"/>
              <w:rPr>
                <w:b/>
                <w:noProof/>
                <w:sz w:val="16"/>
                <w:szCs w:val="16"/>
              </w:rPr>
            </w:pPr>
            <w:r>
              <w:rPr>
                <w:b/>
                <w:noProof/>
                <w:sz w:val="16"/>
              </w:rPr>
              <w:t>1,250</w:t>
            </w:r>
          </w:p>
        </w:tc>
      </w:tr>
      <w:tr w:rsidR="00242E09">
        <w:trPr>
          <w:trHeight w:val="585"/>
        </w:trPr>
        <w:tc>
          <w:tcPr>
            <w:tcW w:w="1980" w:type="dxa"/>
            <w:shd w:val="clear" w:color="auto" w:fill="CCCCCC"/>
            <w:vAlign w:val="center"/>
          </w:tcPr>
          <w:p w:rsidR="00242E09" w:rsidRDefault="00CE46B8">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2604" w:type="dxa"/>
            <w:vAlign w:val="center"/>
          </w:tcPr>
          <w:p w:rsidR="00242E09" w:rsidRDefault="00CE46B8">
            <w:pPr>
              <w:spacing w:before="60" w:after="60" w:line="200" w:lineRule="exact"/>
              <w:jc w:val="right"/>
              <w:rPr>
                <w:noProof/>
                <w:sz w:val="16"/>
                <w:szCs w:val="16"/>
              </w:rPr>
            </w:pPr>
            <w:r>
              <w:rPr>
                <w:noProof/>
                <w:sz w:val="16"/>
              </w:rPr>
              <w:t>12,475</w:t>
            </w:r>
          </w:p>
        </w:tc>
        <w:tc>
          <w:tcPr>
            <w:tcW w:w="2604" w:type="dxa"/>
            <w:vAlign w:val="center"/>
          </w:tcPr>
          <w:p w:rsidR="00242E09" w:rsidRDefault="00CE46B8">
            <w:pPr>
              <w:spacing w:before="60" w:after="60" w:line="200" w:lineRule="exact"/>
              <w:jc w:val="right"/>
              <w:rPr>
                <w:noProof/>
                <w:sz w:val="16"/>
                <w:szCs w:val="16"/>
              </w:rPr>
            </w:pPr>
            <w:r>
              <w:rPr>
                <w:noProof/>
                <w:sz w:val="16"/>
              </w:rPr>
              <w:t>12,508</w:t>
            </w:r>
          </w:p>
        </w:tc>
        <w:tc>
          <w:tcPr>
            <w:tcW w:w="2604" w:type="dxa"/>
            <w:vAlign w:val="center"/>
          </w:tcPr>
          <w:p w:rsidR="00242E09" w:rsidRDefault="00CE46B8">
            <w:pPr>
              <w:spacing w:before="60" w:after="60" w:line="200" w:lineRule="exact"/>
              <w:jc w:val="right"/>
              <w:rPr>
                <w:b/>
                <w:noProof/>
                <w:sz w:val="16"/>
                <w:szCs w:val="16"/>
              </w:rPr>
            </w:pPr>
            <w:r>
              <w:rPr>
                <w:b/>
                <w:noProof/>
                <w:sz w:val="16"/>
              </w:rPr>
              <w:t>24,983</w:t>
            </w:r>
          </w:p>
        </w:tc>
      </w:tr>
    </w:tbl>
    <w:p w:rsidR="00242E09" w:rsidRDefault="00242E09">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604"/>
        <w:gridCol w:w="2604"/>
        <w:gridCol w:w="2604"/>
      </w:tblGrid>
      <w:tr w:rsidR="00242E09">
        <w:trPr>
          <w:trHeight w:val="585"/>
        </w:trPr>
        <w:tc>
          <w:tcPr>
            <w:tcW w:w="1980" w:type="dxa"/>
            <w:shd w:val="clear" w:color="auto" w:fill="CCCCCC"/>
            <w:vAlign w:val="center"/>
          </w:tcPr>
          <w:p w:rsidR="00242E09" w:rsidRDefault="00CE46B8">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40"/>
            </w:r>
            <w:r>
              <w:rPr>
                <w:noProof/>
                <w:sz w:val="22"/>
              </w:rPr>
              <w:br/>
            </w:r>
            <w:r>
              <w:rPr>
                <w:b/>
                <w:noProof/>
                <w:sz w:val="16"/>
              </w:rPr>
              <w:t xml:space="preserve">от многогодишната финансова рамка </w:t>
            </w:r>
          </w:p>
          <w:p w:rsidR="00242E09" w:rsidRDefault="00242E09">
            <w:pPr>
              <w:spacing w:after="0" w:line="200" w:lineRule="exact"/>
              <w:jc w:val="center"/>
              <w:rPr>
                <w:b/>
                <w:noProof/>
                <w:sz w:val="16"/>
                <w:szCs w:val="16"/>
              </w:rPr>
            </w:pPr>
          </w:p>
        </w:tc>
        <w:tc>
          <w:tcPr>
            <w:tcW w:w="2604" w:type="dxa"/>
            <w:vAlign w:val="center"/>
          </w:tcPr>
          <w:p w:rsidR="00242E09" w:rsidRDefault="00242E09">
            <w:pPr>
              <w:spacing w:before="60" w:after="60" w:line="200" w:lineRule="exact"/>
              <w:jc w:val="right"/>
              <w:rPr>
                <w:noProof/>
                <w:sz w:val="16"/>
                <w:szCs w:val="16"/>
              </w:rPr>
            </w:pPr>
          </w:p>
        </w:tc>
        <w:tc>
          <w:tcPr>
            <w:tcW w:w="2604" w:type="dxa"/>
            <w:vAlign w:val="center"/>
          </w:tcPr>
          <w:p w:rsidR="00242E09" w:rsidRDefault="00242E09">
            <w:pPr>
              <w:spacing w:before="60" w:after="60" w:line="200" w:lineRule="exact"/>
              <w:jc w:val="right"/>
              <w:rPr>
                <w:noProof/>
                <w:sz w:val="16"/>
                <w:szCs w:val="16"/>
              </w:rPr>
            </w:pPr>
          </w:p>
        </w:tc>
        <w:tc>
          <w:tcPr>
            <w:tcW w:w="2604" w:type="dxa"/>
            <w:vAlign w:val="center"/>
          </w:tcPr>
          <w:p w:rsidR="00242E09" w:rsidRDefault="00242E09">
            <w:pPr>
              <w:spacing w:before="60" w:after="60" w:line="200" w:lineRule="exact"/>
              <w:jc w:val="right"/>
              <w:rPr>
                <w:b/>
                <w:noProof/>
                <w:sz w:val="16"/>
                <w:szCs w:val="16"/>
              </w:rPr>
            </w:pPr>
          </w:p>
        </w:tc>
      </w:tr>
      <w:tr w:rsidR="00242E09">
        <w:trPr>
          <w:trHeight w:val="585"/>
        </w:trPr>
        <w:tc>
          <w:tcPr>
            <w:tcW w:w="1980" w:type="dxa"/>
            <w:vAlign w:val="center"/>
          </w:tcPr>
          <w:p w:rsidR="00242E09" w:rsidRDefault="00CE46B8">
            <w:pPr>
              <w:spacing w:before="60" w:after="60" w:line="200" w:lineRule="exact"/>
              <w:ind w:left="72"/>
              <w:jc w:val="left"/>
              <w:rPr>
                <w:noProof/>
                <w:sz w:val="16"/>
                <w:szCs w:val="16"/>
              </w:rPr>
            </w:pPr>
            <w:r>
              <w:rPr>
                <w:noProof/>
                <w:sz w:val="16"/>
              </w:rPr>
              <w:t xml:space="preserve">Човешки ресурси </w:t>
            </w:r>
          </w:p>
        </w:tc>
        <w:tc>
          <w:tcPr>
            <w:tcW w:w="2604" w:type="dxa"/>
            <w:vAlign w:val="center"/>
          </w:tcPr>
          <w:p w:rsidR="00242E09" w:rsidRDefault="00242E09">
            <w:pPr>
              <w:spacing w:before="60" w:after="60" w:line="200" w:lineRule="exact"/>
              <w:jc w:val="right"/>
              <w:rPr>
                <w:noProof/>
                <w:sz w:val="16"/>
                <w:szCs w:val="16"/>
              </w:rPr>
            </w:pPr>
          </w:p>
        </w:tc>
        <w:tc>
          <w:tcPr>
            <w:tcW w:w="2604" w:type="dxa"/>
            <w:vAlign w:val="center"/>
          </w:tcPr>
          <w:p w:rsidR="00242E09" w:rsidRDefault="00242E09">
            <w:pPr>
              <w:spacing w:before="60" w:after="60" w:line="200" w:lineRule="exact"/>
              <w:jc w:val="right"/>
              <w:rPr>
                <w:noProof/>
                <w:sz w:val="16"/>
                <w:szCs w:val="16"/>
              </w:rPr>
            </w:pPr>
          </w:p>
        </w:tc>
        <w:tc>
          <w:tcPr>
            <w:tcW w:w="2604" w:type="dxa"/>
            <w:vAlign w:val="center"/>
          </w:tcPr>
          <w:p w:rsidR="00242E09" w:rsidRDefault="00242E09">
            <w:pPr>
              <w:spacing w:before="60" w:after="60" w:line="200" w:lineRule="exact"/>
              <w:jc w:val="right"/>
              <w:rPr>
                <w:b/>
                <w:noProof/>
                <w:sz w:val="16"/>
                <w:szCs w:val="16"/>
              </w:rPr>
            </w:pPr>
          </w:p>
        </w:tc>
      </w:tr>
      <w:tr w:rsidR="00242E09">
        <w:trPr>
          <w:trHeight w:val="585"/>
        </w:trPr>
        <w:tc>
          <w:tcPr>
            <w:tcW w:w="1980" w:type="dxa"/>
            <w:vAlign w:val="center"/>
          </w:tcPr>
          <w:p w:rsidR="00242E09" w:rsidRDefault="00CE46B8">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2604" w:type="dxa"/>
            <w:vAlign w:val="center"/>
          </w:tcPr>
          <w:p w:rsidR="00242E09" w:rsidRDefault="00242E09">
            <w:pPr>
              <w:spacing w:before="60" w:after="60" w:line="200" w:lineRule="exact"/>
              <w:jc w:val="right"/>
              <w:rPr>
                <w:noProof/>
                <w:sz w:val="16"/>
                <w:szCs w:val="16"/>
              </w:rPr>
            </w:pPr>
          </w:p>
        </w:tc>
        <w:tc>
          <w:tcPr>
            <w:tcW w:w="2604" w:type="dxa"/>
            <w:vAlign w:val="center"/>
          </w:tcPr>
          <w:p w:rsidR="00242E09" w:rsidRDefault="00242E09">
            <w:pPr>
              <w:spacing w:before="60" w:after="60" w:line="200" w:lineRule="exact"/>
              <w:jc w:val="right"/>
              <w:rPr>
                <w:noProof/>
                <w:sz w:val="16"/>
                <w:szCs w:val="16"/>
              </w:rPr>
            </w:pPr>
          </w:p>
        </w:tc>
        <w:tc>
          <w:tcPr>
            <w:tcW w:w="2604" w:type="dxa"/>
            <w:vAlign w:val="center"/>
          </w:tcPr>
          <w:p w:rsidR="00242E09" w:rsidRDefault="00242E09">
            <w:pPr>
              <w:spacing w:before="60" w:after="60" w:line="200" w:lineRule="exact"/>
              <w:jc w:val="right"/>
              <w:rPr>
                <w:b/>
                <w:noProof/>
                <w:sz w:val="16"/>
                <w:szCs w:val="16"/>
              </w:rPr>
            </w:pPr>
          </w:p>
        </w:tc>
      </w:tr>
      <w:tr w:rsidR="00242E09">
        <w:trPr>
          <w:trHeight w:val="585"/>
        </w:trPr>
        <w:tc>
          <w:tcPr>
            <w:tcW w:w="1980" w:type="dxa"/>
            <w:shd w:val="clear" w:color="auto" w:fill="CCCCCC"/>
            <w:vAlign w:val="center"/>
          </w:tcPr>
          <w:p w:rsidR="00242E09" w:rsidRDefault="00CE46B8">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2604" w:type="dxa"/>
            <w:vAlign w:val="center"/>
          </w:tcPr>
          <w:p w:rsidR="00242E09" w:rsidRDefault="00242E09">
            <w:pPr>
              <w:spacing w:before="60" w:after="60" w:line="200" w:lineRule="exact"/>
              <w:jc w:val="right"/>
              <w:rPr>
                <w:noProof/>
                <w:sz w:val="16"/>
                <w:szCs w:val="16"/>
              </w:rPr>
            </w:pPr>
          </w:p>
        </w:tc>
        <w:tc>
          <w:tcPr>
            <w:tcW w:w="2604" w:type="dxa"/>
            <w:vAlign w:val="center"/>
          </w:tcPr>
          <w:p w:rsidR="00242E09" w:rsidRDefault="00242E09">
            <w:pPr>
              <w:spacing w:before="60" w:after="60" w:line="200" w:lineRule="exact"/>
              <w:jc w:val="right"/>
              <w:rPr>
                <w:noProof/>
                <w:sz w:val="16"/>
                <w:szCs w:val="16"/>
              </w:rPr>
            </w:pPr>
          </w:p>
        </w:tc>
        <w:tc>
          <w:tcPr>
            <w:tcW w:w="2604" w:type="dxa"/>
            <w:vAlign w:val="center"/>
          </w:tcPr>
          <w:p w:rsidR="00242E09" w:rsidRDefault="00242E09">
            <w:pPr>
              <w:spacing w:before="60" w:after="60" w:line="200" w:lineRule="exact"/>
              <w:jc w:val="right"/>
              <w:rPr>
                <w:b/>
                <w:noProof/>
                <w:sz w:val="16"/>
                <w:szCs w:val="16"/>
              </w:rPr>
            </w:pPr>
          </w:p>
        </w:tc>
      </w:tr>
    </w:tbl>
    <w:p w:rsidR="00242E09" w:rsidRDefault="00242E09">
      <w:pPr>
        <w:spacing w:line="200" w:lineRule="exact"/>
        <w:rPr>
          <w:noProof/>
          <w:sz w:val="16"/>
          <w:szCs w:val="16"/>
        </w:rPr>
      </w:pPr>
    </w:p>
    <w:tbl>
      <w:tblPr>
        <w:tblW w:w="9792" w:type="dxa"/>
        <w:tblInd w:w="-612" w:type="dxa"/>
        <w:tblLayout w:type="fixed"/>
        <w:tblLook w:val="01E0" w:firstRow="1" w:lastRow="1" w:firstColumn="1" w:lastColumn="1" w:noHBand="0" w:noVBand="0"/>
      </w:tblPr>
      <w:tblGrid>
        <w:gridCol w:w="1980"/>
        <w:gridCol w:w="2604"/>
        <w:gridCol w:w="2604"/>
        <w:gridCol w:w="2604"/>
      </w:tblGrid>
      <w:tr w:rsidR="00242E0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42E09" w:rsidRDefault="00CE46B8">
            <w:pPr>
              <w:spacing w:before="60" w:after="60" w:line="200" w:lineRule="exact"/>
              <w:jc w:val="center"/>
              <w:rPr>
                <w:noProof/>
                <w:sz w:val="16"/>
                <w:szCs w:val="16"/>
              </w:rPr>
            </w:pPr>
            <w:r>
              <w:rPr>
                <w:b/>
                <w:noProof/>
                <w:sz w:val="16"/>
              </w:rPr>
              <w:t>ОБЩО</w:t>
            </w:r>
          </w:p>
        </w:tc>
        <w:tc>
          <w:tcPr>
            <w:tcW w:w="2604" w:type="dxa"/>
            <w:tcBorders>
              <w:top w:val="single" w:sz="12" w:space="0" w:color="auto"/>
              <w:left w:val="single" w:sz="2" w:space="0" w:color="auto"/>
              <w:bottom w:val="single" w:sz="12" w:space="0" w:color="auto"/>
              <w:right w:val="single" w:sz="2" w:space="0" w:color="auto"/>
            </w:tcBorders>
            <w:vAlign w:val="center"/>
          </w:tcPr>
          <w:p w:rsidR="00242E09" w:rsidRDefault="00CE46B8">
            <w:pPr>
              <w:spacing w:before="60" w:after="60" w:line="200" w:lineRule="exact"/>
              <w:jc w:val="right"/>
              <w:rPr>
                <w:b/>
                <w:noProof/>
                <w:sz w:val="16"/>
                <w:szCs w:val="16"/>
              </w:rPr>
            </w:pPr>
            <w:r>
              <w:rPr>
                <w:b/>
                <w:noProof/>
                <w:sz w:val="16"/>
              </w:rPr>
              <w:t>12,475</w:t>
            </w:r>
          </w:p>
        </w:tc>
        <w:tc>
          <w:tcPr>
            <w:tcW w:w="2604" w:type="dxa"/>
            <w:tcBorders>
              <w:top w:val="single" w:sz="12" w:space="0" w:color="auto"/>
              <w:left w:val="single" w:sz="2" w:space="0" w:color="auto"/>
              <w:bottom w:val="single" w:sz="12" w:space="0" w:color="auto"/>
              <w:right w:val="single" w:sz="2" w:space="0" w:color="auto"/>
            </w:tcBorders>
            <w:vAlign w:val="center"/>
          </w:tcPr>
          <w:p w:rsidR="00242E09" w:rsidRDefault="00CE46B8">
            <w:pPr>
              <w:spacing w:before="60" w:after="60" w:line="200" w:lineRule="exact"/>
              <w:jc w:val="right"/>
              <w:rPr>
                <w:b/>
                <w:noProof/>
                <w:sz w:val="16"/>
                <w:szCs w:val="16"/>
              </w:rPr>
            </w:pPr>
            <w:r>
              <w:rPr>
                <w:b/>
                <w:noProof/>
                <w:sz w:val="16"/>
              </w:rPr>
              <w:t>12,508</w:t>
            </w:r>
          </w:p>
        </w:tc>
        <w:tc>
          <w:tcPr>
            <w:tcW w:w="2604" w:type="dxa"/>
            <w:tcBorders>
              <w:top w:val="single" w:sz="12" w:space="0" w:color="auto"/>
              <w:left w:val="single" w:sz="2" w:space="0" w:color="auto"/>
              <w:bottom w:val="single" w:sz="12" w:space="0" w:color="auto"/>
              <w:right w:val="single" w:sz="12" w:space="0" w:color="auto"/>
            </w:tcBorders>
            <w:vAlign w:val="center"/>
          </w:tcPr>
          <w:p w:rsidR="00242E09" w:rsidRDefault="00CE46B8">
            <w:pPr>
              <w:spacing w:before="60" w:after="60" w:line="200" w:lineRule="exact"/>
              <w:jc w:val="right"/>
              <w:rPr>
                <w:b/>
                <w:noProof/>
                <w:sz w:val="16"/>
                <w:szCs w:val="16"/>
              </w:rPr>
            </w:pPr>
            <w:r>
              <w:rPr>
                <w:b/>
                <w:noProof/>
                <w:sz w:val="16"/>
              </w:rPr>
              <w:t>24,983</w:t>
            </w:r>
          </w:p>
        </w:tc>
      </w:tr>
    </w:tbl>
    <w:p w:rsidR="00242E09" w:rsidRDefault="00CE46B8">
      <w:pPr>
        <w:rPr>
          <w:noProof/>
          <w:sz w:val="18"/>
        </w:rPr>
      </w:pPr>
      <w:r>
        <w:rPr>
          <w:noProof/>
          <w:sz w:val="18"/>
        </w:rPr>
        <w:t xml:space="preserve">Нуждите от бюджетни </w:t>
      </w:r>
      <w:r>
        <w:rPr>
          <w:noProof/>
          <w:sz w:val="18"/>
        </w:rPr>
        <w:t>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w:t>
      </w:r>
      <w:r>
        <w:rPr>
          <w:noProof/>
          <w:sz w:val="18"/>
        </w:rPr>
        <w:t>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242E09" w:rsidRDefault="00242E09">
      <w:pPr>
        <w:rPr>
          <w:noProof/>
          <w:sz w:val="18"/>
        </w:rPr>
        <w:sectPr w:rsidR="00242E09">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rsidR="00242E09" w:rsidRDefault="00CE46B8">
      <w:pPr>
        <w:pStyle w:val="ManualHeading4"/>
        <w:rPr>
          <w:bCs/>
          <w:noProof/>
          <w:szCs w:val="24"/>
        </w:rPr>
      </w:pPr>
      <w:r>
        <w:lastRenderedPageBreak/>
        <w:t>3.2.3.2.</w:t>
      </w:r>
      <w:r>
        <w:tab/>
      </w:r>
      <w:r>
        <w:rPr>
          <w:noProof/>
        </w:rPr>
        <w:t>Очаквани нужди от човешки ресурси</w:t>
      </w:r>
    </w:p>
    <w:p w:rsidR="00242E09" w:rsidRDefault="00CE46B8">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242E09" w:rsidRDefault="00CE46B8">
      <w:pPr>
        <w:pStyle w:val="ListDash1"/>
        <w:rPr>
          <w:noProof/>
        </w:rPr>
      </w:pPr>
      <w:r>
        <w:rPr>
          <w:noProof/>
        </w:rPr>
        <w:sym w:font="Wingdings" w:char="F0FD"/>
      </w:r>
      <w:r>
        <w:rPr>
          <w:noProof/>
        </w:rPr>
        <w:tab/>
        <w:t>Предложението/инициативата налага използване на човешки ресурси съгласно обяснението по-долу:</w:t>
      </w:r>
    </w:p>
    <w:p w:rsidR="00242E09" w:rsidRDefault="00CE46B8">
      <w:pPr>
        <w:spacing w:after="60"/>
        <w:jc w:val="right"/>
        <w:rPr>
          <w:i/>
          <w:noProof/>
          <w:sz w:val="20"/>
        </w:rPr>
      </w:pPr>
      <w:r>
        <w:rPr>
          <w:i/>
          <w:noProof/>
          <w:sz w:val="20"/>
        </w:rPr>
        <w:t>Оценката се пос</w:t>
      </w:r>
      <w:r>
        <w:rPr>
          <w:i/>
          <w:noProof/>
          <w:sz w:val="20"/>
        </w:rPr>
        <w:t>очва в еквиваленти на пълно работно време</w:t>
      </w:r>
    </w:p>
    <w:tbl>
      <w:tblPr>
        <w:tblW w:w="3300" w:type="pct"/>
        <w:jc w:val="center"/>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57"/>
        <w:gridCol w:w="1954"/>
        <w:gridCol w:w="1059"/>
        <w:gridCol w:w="1059"/>
      </w:tblGrid>
      <w:tr w:rsidR="00242E09">
        <w:trPr>
          <w:trHeight w:val="289"/>
          <w:jc w:val="center"/>
        </w:trPr>
        <w:tc>
          <w:tcPr>
            <w:tcW w:w="3272" w:type="pct"/>
            <w:gridSpan w:val="2"/>
            <w:shd w:val="clear" w:color="auto" w:fill="auto"/>
          </w:tcPr>
          <w:p w:rsidR="00242E09" w:rsidRDefault="00242E09">
            <w:pPr>
              <w:pStyle w:val="Text1"/>
              <w:spacing w:before="40" w:after="40"/>
              <w:jc w:val="center"/>
              <w:rPr>
                <w:i/>
                <w:noProof/>
                <w:sz w:val="16"/>
                <w:szCs w:val="16"/>
              </w:rPr>
            </w:pPr>
          </w:p>
        </w:tc>
        <w:tc>
          <w:tcPr>
            <w:tcW w:w="864" w:type="pct"/>
            <w:shd w:val="clear" w:color="auto" w:fill="auto"/>
            <w:vAlign w:val="center"/>
          </w:tcPr>
          <w:p w:rsidR="00242E09" w:rsidRDefault="00CE46B8">
            <w:pPr>
              <w:spacing w:before="20" w:after="20"/>
              <w:jc w:val="center"/>
              <w:rPr>
                <w:noProof/>
                <w:sz w:val="16"/>
                <w:szCs w:val="16"/>
              </w:rPr>
            </w:pPr>
            <w:r>
              <w:rPr>
                <w:b/>
                <w:noProof/>
              </w:rPr>
              <w:t>2019 г.</w:t>
            </w:r>
          </w:p>
        </w:tc>
        <w:tc>
          <w:tcPr>
            <w:tcW w:w="864" w:type="pct"/>
            <w:shd w:val="clear" w:color="auto" w:fill="auto"/>
            <w:vAlign w:val="center"/>
          </w:tcPr>
          <w:p w:rsidR="00242E09" w:rsidRDefault="00CE46B8">
            <w:pPr>
              <w:spacing w:before="20" w:after="20"/>
              <w:jc w:val="center"/>
              <w:rPr>
                <w:noProof/>
                <w:sz w:val="16"/>
                <w:szCs w:val="16"/>
              </w:rPr>
            </w:pPr>
            <w:r>
              <w:rPr>
                <w:b/>
                <w:noProof/>
              </w:rPr>
              <w:t>2020 г.</w:t>
            </w:r>
          </w:p>
        </w:tc>
      </w:tr>
      <w:tr w:rsidR="00242E09">
        <w:trPr>
          <w:trHeight w:val="289"/>
          <w:jc w:val="center"/>
        </w:trPr>
        <w:tc>
          <w:tcPr>
            <w:tcW w:w="5000" w:type="pct"/>
            <w:gridSpan w:val="4"/>
            <w:shd w:val="clear" w:color="auto" w:fill="auto"/>
          </w:tcPr>
          <w:p w:rsidR="00242E09" w:rsidRDefault="00CE46B8">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rsidR="00242E09">
        <w:trPr>
          <w:trHeight w:val="289"/>
          <w:jc w:val="center"/>
        </w:trPr>
        <w:tc>
          <w:tcPr>
            <w:tcW w:w="3272" w:type="pct"/>
            <w:gridSpan w:val="2"/>
            <w:shd w:val="clear" w:color="auto" w:fill="auto"/>
            <w:vAlign w:val="center"/>
          </w:tcPr>
          <w:p w:rsidR="00242E09" w:rsidRDefault="00CE46B8">
            <w:pPr>
              <w:pStyle w:val="Text1"/>
              <w:spacing w:beforeLines="20" w:before="48" w:afterLines="20" w:after="48"/>
              <w:ind w:left="134"/>
              <w:jc w:val="left"/>
              <w:rPr>
                <w:b/>
                <w:noProof/>
                <w:sz w:val="16"/>
                <w:szCs w:val="16"/>
              </w:rPr>
            </w:pPr>
            <w:r>
              <w:rPr>
                <w:noProof/>
                <w:sz w:val="16"/>
              </w:rPr>
              <w:t>29 01 01 01 (Централа и представителства на Комисията)</w:t>
            </w:r>
          </w:p>
        </w:tc>
        <w:tc>
          <w:tcPr>
            <w:tcW w:w="864" w:type="pct"/>
            <w:shd w:val="clear" w:color="auto" w:fill="auto"/>
            <w:vAlign w:val="center"/>
          </w:tcPr>
          <w:p w:rsidR="00242E09" w:rsidRDefault="00CE46B8">
            <w:pPr>
              <w:spacing w:beforeLines="20" w:before="48" w:afterLines="20" w:after="48"/>
              <w:jc w:val="center"/>
              <w:rPr>
                <w:noProof/>
                <w:sz w:val="16"/>
                <w:szCs w:val="16"/>
              </w:rPr>
            </w:pPr>
            <w:r>
              <w:rPr>
                <w:noProof/>
                <w:sz w:val="16"/>
              </w:rPr>
              <w:t>74,67</w:t>
            </w:r>
          </w:p>
        </w:tc>
        <w:tc>
          <w:tcPr>
            <w:tcW w:w="864" w:type="pct"/>
            <w:shd w:val="clear" w:color="auto" w:fill="auto"/>
            <w:vAlign w:val="center"/>
          </w:tcPr>
          <w:p w:rsidR="00242E09" w:rsidRDefault="00CE46B8">
            <w:pPr>
              <w:spacing w:beforeLines="20" w:before="48" w:afterLines="20" w:after="48"/>
              <w:jc w:val="center"/>
              <w:rPr>
                <w:noProof/>
                <w:sz w:val="16"/>
                <w:szCs w:val="16"/>
              </w:rPr>
            </w:pPr>
            <w:r>
              <w:rPr>
                <w:noProof/>
                <w:sz w:val="16"/>
              </w:rPr>
              <w:t>74,92</w:t>
            </w:r>
          </w:p>
        </w:tc>
      </w:tr>
      <w:tr w:rsidR="00242E09">
        <w:trPr>
          <w:trHeight w:val="289"/>
          <w:jc w:val="center"/>
        </w:trPr>
        <w:tc>
          <w:tcPr>
            <w:tcW w:w="3272" w:type="pct"/>
            <w:gridSpan w:val="2"/>
            <w:shd w:val="clear" w:color="auto" w:fill="auto"/>
            <w:vAlign w:val="center"/>
          </w:tcPr>
          <w:p w:rsidR="00242E09" w:rsidRDefault="00CE46B8">
            <w:pPr>
              <w:pStyle w:val="Text1"/>
              <w:spacing w:beforeLines="20" w:before="48" w:afterLines="20" w:after="48"/>
              <w:ind w:left="134"/>
              <w:jc w:val="left"/>
              <w:rPr>
                <w:noProof/>
                <w:sz w:val="16"/>
                <w:szCs w:val="16"/>
              </w:rPr>
            </w:pPr>
            <w:r>
              <w:rPr>
                <w:noProof/>
                <w:sz w:val="16"/>
              </w:rPr>
              <w:t>XX 01 01 02 (Делегации)</w:t>
            </w:r>
          </w:p>
        </w:tc>
        <w:tc>
          <w:tcPr>
            <w:tcW w:w="864" w:type="pct"/>
            <w:shd w:val="clear" w:color="auto" w:fill="auto"/>
            <w:vAlign w:val="center"/>
          </w:tcPr>
          <w:p w:rsidR="00242E09" w:rsidRDefault="00242E09">
            <w:pPr>
              <w:spacing w:beforeLines="20" w:before="48" w:afterLines="20" w:after="48"/>
              <w:jc w:val="center"/>
              <w:rPr>
                <w:noProof/>
                <w:sz w:val="16"/>
                <w:szCs w:val="16"/>
              </w:rPr>
            </w:pPr>
          </w:p>
        </w:tc>
        <w:tc>
          <w:tcPr>
            <w:tcW w:w="864" w:type="pct"/>
            <w:shd w:val="clear" w:color="auto" w:fill="auto"/>
            <w:vAlign w:val="center"/>
          </w:tcPr>
          <w:p w:rsidR="00242E09" w:rsidRDefault="00242E09">
            <w:pPr>
              <w:spacing w:beforeLines="20" w:before="48" w:afterLines="20" w:after="48"/>
              <w:jc w:val="center"/>
              <w:rPr>
                <w:noProof/>
                <w:sz w:val="16"/>
                <w:szCs w:val="16"/>
              </w:rPr>
            </w:pPr>
          </w:p>
        </w:tc>
      </w:tr>
      <w:tr w:rsidR="00242E09">
        <w:trPr>
          <w:trHeight w:val="289"/>
          <w:jc w:val="center"/>
        </w:trPr>
        <w:tc>
          <w:tcPr>
            <w:tcW w:w="3272" w:type="pct"/>
            <w:gridSpan w:val="2"/>
            <w:shd w:val="clear" w:color="auto" w:fill="auto"/>
            <w:vAlign w:val="center"/>
          </w:tcPr>
          <w:p w:rsidR="00242E09" w:rsidRDefault="00CE46B8">
            <w:pPr>
              <w:pStyle w:val="Text1"/>
              <w:spacing w:beforeLines="20" w:before="48" w:afterLines="20" w:after="48"/>
              <w:ind w:left="134"/>
              <w:jc w:val="left"/>
              <w:rPr>
                <w:noProof/>
                <w:sz w:val="16"/>
                <w:szCs w:val="16"/>
              </w:rPr>
            </w:pPr>
            <w:r>
              <w:rPr>
                <w:noProof/>
                <w:sz w:val="16"/>
              </w:rPr>
              <w:t xml:space="preserve">XX 01 05 01 (Непреки </w:t>
            </w:r>
            <w:r>
              <w:rPr>
                <w:noProof/>
                <w:sz w:val="16"/>
              </w:rPr>
              <w:t>научни изследвания)</w:t>
            </w:r>
          </w:p>
        </w:tc>
        <w:tc>
          <w:tcPr>
            <w:tcW w:w="864" w:type="pct"/>
            <w:shd w:val="clear" w:color="auto" w:fill="auto"/>
            <w:vAlign w:val="center"/>
          </w:tcPr>
          <w:p w:rsidR="00242E09" w:rsidRDefault="00242E09">
            <w:pPr>
              <w:spacing w:beforeLines="20" w:before="48" w:afterLines="20" w:after="48"/>
              <w:jc w:val="center"/>
              <w:rPr>
                <w:noProof/>
                <w:sz w:val="16"/>
                <w:szCs w:val="16"/>
              </w:rPr>
            </w:pPr>
          </w:p>
        </w:tc>
        <w:tc>
          <w:tcPr>
            <w:tcW w:w="864" w:type="pct"/>
            <w:shd w:val="clear" w:color="auto" w:fill="auto"/>
            <w:vAlign w:val="center"/>
          </w:tcPr>
          <w:p w:rsidR="00242E09" w:rsidRDefault="00242E09">
            <w:pPr>
              <w:spacing w:beforeLines="20" w:before="48" w:afterLines="20" w:after="48"/>
              <w:jc w:val="center"/>
              <w:rPr>
                <w:noProof/>
                <w:sz w:val="16"/>
                <w:szCs w:val="16"/>
              </w:rPr>
            </w:pPr>
          </w:p>
        </w:tc>
      </w:tr>
      <w:tr w:rsidR="00242E09">
        <w:trPr>
          <w:trHeight w:val="289"/>
          <w:jc w:val="center"/>
        </w:trPr>
        <w:tc>
          <w:tcPr>
            <w:tcW w:w="3272" w:type="pct"/>
            <w:gridSpan w:val="2"/>
            <w:shd w:val="clear" w:color="auto" w:fill="auto"/>
            <w:vAlign w:val="center"/>
          </w:tcPr>
          <w:p w:rsidR="00242E09" w:rsidRDefault="00CE46B8">
            <w:pPr>
              <w:pStyle w:val="Text1"/>
              <w:spacing w:beforeLines="20" w:before="48" w:afterLines="20" w:after="48"/>
              <w:ind w:left="134"/>
              <w:jc w:val="left"/>
              <w:rPr>
                <w:noProof/>
                <w:sz w:val="16"/>
                <w:szCs w:val="16"/>
              </w:rPr>
            </w:pPr>
            <w:r>
              <w:rPr>
                <w:noProof/>
                <w:sz w:val="16"/>
              </w:rPr>
              <w:t>10 01 05 01 (Преки научни изследвания)</w:t>
            </w:r>
          </w:p>
        </w:tc>
        <w:tc>
          <w:tcPr>
            <w:tcW w:w="864" w:type="pct"/>
            <w:shd w:val="clear" w:color="auto" w:fill="auto"/>
            <w:vAlign w:val="center"/>
          </w:tcPr>
          <w:p w:rsidR="00242E09" w:rsidRDefault="00242E09">
            <w:pPr>
              <w:spacing w:beforeLines="20" w:before="48" w:afterLines="20" w:after="48"/>
              <w:jc w:val="center"/>
              <w:rPr>
                <w:noProof/>
                <w:sz w:val="16"/>
                <w:szCs w:val="16"/>
              </w:rPr>
            </w:pPr>
          </w:p>
        </w:tc>
        <w:tc>
          <w:tcPr>
            <w:tcW w:w="864" w:type="pct"/>
            <w:shd w:val="clear" w:color="auto" w:fill="auto"/>
            <w:vAlign w:val="center"/>
          </w:tcPr>
          <w:p w:rsidR="00242E09" w:rsidRDefault="00242E09">
            <w:pPr>
              <w:spacing w:beforeLines="20" w:before="48" w:afterLines="20" w:after="48"/>
              <w:jc w:val="center"/>
              <w:rPr>
                <w:noProof/>
                <w:sz w:val="16"/>
                <w:szCs w:val="16"/>
              </w:rPr>
            </w:pPr>
          </w:p>
        </w:tc>
      </w:tr>
      <w:tr w:rsidR="00242E09">
        <w:trPr>
          <w:trHeight w:val="248"/>
          <w:jc w:val="center"/>
        </w:trPr>
        <w:tc>
          <w:tcPr>
            <w:tcW w:w="5000" w:type="pct"/>
            <w:gridSpan w:val="4"/>
            <w:shd w:val="clear" w:color="auto" w:fill="auto"/>
            <w:vAlign w:val="center"/>
          </w:tcPr>
          <w:p w:rsidR="00242E09" w:rsidRDefault="00CE46B8">
            <w:pPr>
              <w:spacing w:before="20" w:after="20"/>
              <w:rPr>
                <w:b/>
                <w:noProof/>
                <w:sz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noProof/>
              </w:rPr>
              <w:footnoteReference w:id="41"/>
            </w:r>
          </w:p>
          <w:p w:rsidR="00242E09" w:rsidRDefault="00242E09">
            <w:pPr>
              <w:spacing w:before="20" w:after="20"/>
              <w:rPr>
                <w:b/>
                <w:noProof/>
                <w:sz w:val="16"/>
              </w:rPr>
            </w:pPr>
          </w:p>
        </w:tc>
      </w:tr>
      <w:tr w:rsidR="00242E09">
        <w:trPr>
          <w:trHeight w:val="289"/>
          <w:jc w:val="center"/>
        </w:trPr>
        <w:tc>
          <w:tcPr>
            <w:tcW w:w="3272" w:type="pct"/>
            <w:gridSpan w:val="2"/>
            <w:shd w:val="clear" w:color="auto" w:fill="auto"/>
            <w:vAlign w:val="center"/>
          </w:tcPr>
          <w:p w:rsidR="00242E09" w:rsidRDefault="00CE46B8">
            <w:pPr>
              <w:pStyle w:val="Text1"/>
              <w:spacing w:beforeLines="20" w:before="48" w:afterLines="20" w:after="48"/>
              <w:ind w:left="136"/>
              <w:jc w:val="left"/>
              <w:rPr>
                <w:b/>
                <w:noProof/>
                <w:sz w:val="16"/>
                <w:szCs w:val="16"/>
              </w:rPr>
            </w:pPr>
            <w:r>
              <w:rPr>
                <w:noProof/>
                <w:sz w:val="16"/>
              </w:rPr>
              <w:t>29 01 02 01 (ДНП, КНЕ, ПНА от общия финансов пакет)</w:t>
            </w:r>
          </w:p>
        </w:tc>
        <w:tc>
          <w:tcPr>
            <w:tcW w:w="864" w:type="pct"/>
            <w:shd w:val="clear" w:color="auto" w:fill="auto"/>
            <w:vAlign w:val="center"/>
          </w:tcPr>
          <w:p w:rsidR="00242E09" w:rsidRDefault="00CE46B8">
            <w:pPr>
              <w:spacing w:beforeLines="20" w:before="48" w:afterLines="20" w:after="48"/>
              <w:jc w:val="center"/>
              <w:rPr>
                <w:noProof/>
                <w:sz w:val="16"/>
                <w:szCs w:val="16"/>
              </w:rPr>
            </w:pPr>
            <w:r>
              <w:rPr>
                <w:noProof/>
                <w:sz w:val="16"/>
              </w:rPr>
              <w:t>25</w:t>
            </w:r>
          </w:p>
        </w:tc>
        <w:tc>
          <w:tcPr>
            <w:tcW w:w="864" w:type="pct"/>
            <w:shd w:val="clear" w:color="auto" w:fill="auto"/>
            <w:vAlign w:val="center"/>
          </w:tcPr>
          <w:p w:rsidR="00242E09" w:rsidRDefault="00CE46B8">
            <w:pPr>
              <w:spacing w:beforeLines="20" w:before="48" w:afterLines="20" w:after="48"/>
              <w:jc w:val="center"/>
              <w:rPr>
                <w:noProof/>
                <w:sz w:val="16"/>
                <w:szCs w:val="16"/>
              </w:rPr>
            </w:pPr>
            <w:r>
              <w:rPr>
                <w:noProof/>
                <w:sz w:val="16"/>
              </w:rPr>
              <w:t>25</w:t>
            </w:r>
          </w:p>
        </w:tc>
      </w:tr>
      <w:tr w:rsidR="00242E09">
        <w:trPr>
          <w:trHeight w:val="289"/>
          <w:jc w:val="center"/>
        </w:trPr>
        <w:tc>
          <w:tcPr>
            <w:tcW w:w="3272" w:type="pct"/>
            <w:gridSpan w:val="2"/>
            <w:shd w:val="clear" w:color="auto" w:fill="auto"/>
            <w:vAlign w:val="center"/>
          </w:tcPr>
          <w:p w:rsidR="00242E09" w:rsidRDefault="00CE46B8">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864" w:type="pct"/>
            <w:shd w:val="clear" w:color="auto" w:fill="auto"/>
            <w:vAlign w:val="center"/>
          </w:tcPr>
          <w:p w:rsidR="00242E09" w:rsidRDefault="00242E09">
            <w:pPr>
              <w:spacing w:beforeLines="20" w:before="48" w:afterLines="20" w:after="48"/>
              <w:jc w:val="center"/>
              <w:rPr>
                <w:noProof/>
                <w:sz w:val="16"/>
                <w:szCs w:val="16"/>
              </w:rPr>
            </w:pPr>
          </w:p>
        </w:tc>
        <w:tc>
          <w:tcPr>
            <w:tcW w:w="864" w:type="pct"/>
            <w:shd w:val="clear" w:color="auto" w:fill="auto"/>
            <w:vAlign w:val="center"/>
          </w:tcPr>
          <w:p w:rsidR="00242E09" w:rsidRDefault="00242E09">
            <w:pPr>
              <w:spacing w:beforeLines="20" w:before="48" w:afterLines="20" w:after="48"/>
              <w:jc w:val="center"/>
              <w:rPr>
                <w:noProof/>
                <w:sz w:val="16"/>
                <w:szCs w:val="16"/>
              </w:rPr>
            </w:pPr>
          </w:p>
        </w:tc>
      </w:tr>
      <w:tr w:rsidR="00242E09">
        <w:trPr>
          <w:trHeight w:val="289"/>
          <w:jc w:val="center"/>
        </w:trPr>
        <w:tc>
          <w:tcPr>
            <w:tcW w:w="1678" w:type="pct"/>
            <w:vMerge w:val="restart"/>
            <w:shd w:val="clear" w:color="auto" w:fill="auto"/>
            <w:vAlign w:val="center"/>
          </w:tcPr>
          <w:p w:rsidR="00242E09" w:rsidRDefault="00CE46B8">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42"/>
            </w:r>
          </w:p>
          <w:p w:rsidR="00242E09" w:rsidRDefault="00242E09">
            <w:pPr>
              <w:pStyle w:val="Text1"/>
              <w:spacing w:beforeLines="20" w:before="48" w:afterLines="20" w:after="48"/>
              <w:ind w:left="136"/>
              <w:jc w:val="left"/>
              <w:rPr>
                <w:b/>
                <w:noProof/>
                <w:sz w:val="16"/>
                <w:szCs w:val="16"/>
              </w:rPr>
            </w:pPr>
          </w:p>
        </w:tc>
        <w:tc>
          <w:tcPr>
            <w:tcW w:w="1594" w:type="pct"/>
            <w:shd w:val="clear" w:color="auto" w:fill="auto"/>
            <w:vAlign w:val="center"/>
          </w:tcPr>
          <w:p w:rsidR="00242E09" w:rsidRDefault="00CE46B8">
            <w:pPr>
              <w:pStyle w:val="Text1"/>
              <w:spacing w:beforeLines="20" w:before="48" w:afterLines="20" w:after="48"/>
              <w:ind w:left="136"/>
              <w:jc w:val="left"/>
              <w:rPr>
                <w:b/>
                <w:noProof/>
                <w:sz w:val="16"/>
                <w:szCs w:val="16"/>
              </w:rPr>
            </w:pPr>
            <w:r>
              <w:rPr>
                <w:noProof/>
                <w:sz w:val="16"/>
              </w:rPr>
              <w:t>– в централата</w:t>
            </w:r>
          </w:p>
          <w:p w:rsidR="00242E09" w:rsidRDefault="00242E09">
            <w:pPr>
              <w:pStyle w:val="Text1"/>
              <w:spacing w:beforeLines="20" w:before="48" w:afterLines="20" w:after="48"/>
              <w:ind w:left="136"/>
              <w:jc w:val="left"/>
              <w:rPr>
                <w:b/>
                <w:noProof/>
                <w:sz w:val="16"/>
                <w:szCs w:val="16"/>
              </w:rPr>
            </w:pPr>
          </w:p>
        </w:tc>
        <w:tc>
          <w:tcPr>
            <w:tcW w:w="864" w:type="pct"/>
            <w:shd w:val="clear" w:color="auto" w:fill="auto"/>
            <w:vAlign w:val="center"/>
          </w:tcPr>
          <w:p w:rsidR="00242E09" w:rsidRDefault="00242E09">
            <w:pPr>
              <w:pStyle w:val="Text1"/>
              <w:spacing w:beforeLines="20" w:before="48" w:afterLines="20" w:after="48"/>
              <w:rPr>
                <w:noProof/>
                <w:sz w:val="16"/>
                <w:szCs w:val="16"/>
              </w:rPr>
            </w:pPr>
          </w:p>
        </w:tc>
        <w:tc>
          <w:tcPr>
            <w:tcW w:w="864" w:type="pct"/>
            <w:shd w:val="clear" w:color="auto" w:fill="auto"/>
            <w:vAlign w:val="center"/>
          </w:tcPr>
          <w:p w:rsidR="00242E09" w:rsidRDefault="00242E09">
            <w:pPr>
              <w:spacing w:beforeLines="20" w:before="48" w:afterLines="20" w:after="48"/>
              <w:jc w:val="center"/>
              <w:rPr>
                <w:noProof/>
                <w:sz w:val="16"/>
                <w:szCs w:val="16"/>
              </w:rPr>
            </w:pPr>
          </w:p>
        </w:tc>
      </w:tr>
      <w:tr w:rsidR="00242E09">
        <w:trPr>
          <w:trHeight w:val="289"/>
          <w:jc w:val="center"/>
        </w:trPr>
        <w:tc>
          <w:tcPr>
            <w:tcW w:w="1678" w:type="pct"/>
            <w:vMerge/>
            <w:shd w:val="clear" w:color="auto" w:fill="auto"/>
            <w:vAlign w:val="center"/>
          </w:tcPr>
          <w:p w:rsidR="00242E09" w:rsidRDefault="00242E09">
            <w:pPr>
              <w:pStyle w:val="Text1"/>
              <w:spacing w:beforeLines="20" w:before="48" w:afterLines="20" w:after="48"/>
              <w:ind w:left="136"/>
              <w:jc w:val="left"/>
              <w:rPr>
                <w:b/>
                <w:noProof/>
                <w:sz w:val="16"/>
                <w:szCs w:val="16"/>
              </w:rPr>
            </w:pPr>
          </w:p>
        </w:tc>
        <w:tc>
          <w:tcPr>
            <w:tcW w:w="1594" w:type="pct"/>
            <w:shd w:val="clear" w:color="auto" w:fill="auto"/>
            <w:vAlign w:val="center"/>
          </w:tcPr>
          <w:p w:rsidR="00242E09" w:rsidRDefault="00CE46B8">
            <w:pPr>
              <w:pStyle w:val="Text1"/>
              <w:spacing w:beforeLines="20" w:before="48" w:afterLines="20" w:after="48"/>
              <w:ind w:left="136"/>
              <w:jc w:val="left"/>
              <w:rPr>
                <w:b/>
                <w:noProof/>
                <w:sz w:val="16"/>
                <w:szCs w:val="16"/>
              </w:rPr>
            </w:pPr>
            <w:r>
              <w:rPr>
                <w:noProof/>
                <w:sz w:val="16"/>
              </w:rPr>
              <w:t xml:space="preserve">– в делегациите </w:t>
            </w:r>
          </w:p>
        </w:tc>
        <w:tc>
          <w:tcPr>
            <w:tcW w:w="864" w:type="pct"/>
            <w:shd w:val="clear" w:color="auto" w:fill="auto"/>
            <w:vAlign w:val="center"/>
          </w:tcPr>
          <w:p w:rsidR="00242E09" w:rsidRDefault="00242E09">
            <w:pPr>
              <w:pStyle w:val="Text1"/>
              <w:spacing w:beforeLines="20" w:before="48" w:afterLines="20" w:after="48"/>
              <w:rPr>
                <w:noProof/>
                <w:sz w:val="16"/>
                <w:szCs w:val="16"/>
              </w:rPr>
            </w:pPr>
          </w:p>
        </w:tc>
        <w:tc>
          <w:tcPr>
            <w:tcW w:w="864" w:type="pct"/>
            <w:shd w:val="clear" w:color="auto" w:fill="auto"/>
            <w:vAlign w:val="center"/>
          </w:tcPr>
          <w:p w:rsidR="00242E09" w:rsidRDefault="00242E09">
            <w:pPr>
              <w:spacing w:beforeLines="20" w:before="48" w:afterLines="20" w:after="48"/>
              <w:jc w:val="center"/>
              <w:rPr>
                <w:noProof/>
                <w:sz w:val="16"/>
                <w:szCs w:val="16"/>
              </w:rPr>
            </w:pPr>
          </w:p>
        </w:tc>
      </w:tr>
      <w:tr w:rsidR="00242E09">
        <w:trPr>
          <w:trHeight w:val="289"/>
          <w:jc w:val="center"/>
        </w:trPr>
        <w:tc>
          <w:tcPr>
            <w:tcW w:w="3272" w:type="pct"/>
            <w:gridSpan w:val="2"/>
            <w:shd w:val="clear" w:color="auto" w:fill="auto"/>
            <w:vAlign w:val="center"/>
          </w:tcPr>
          <w:p w:rsidR="00242E09" w:rsidRDefault="00CE46B8">
            <w:pPr>
              <w:pStyle w:val="Text1"/>
              <w:spacing w:beforeLines="20" w:before="48" w:afterLines="20" w:after="48"/>
              <w:ind w:left="136"/>
              <w:jc w:val="left"/>
              <w:rPr>
                <w:noProof/>
                <w:sz w:val="16"/>
                <w:szCs w:val="16"/>
              </w:rPr>
            </w:pPr>
            <w:r>
              <w:rPr>
                <w:b/>
                <w:noProof/>
              </w:rPr>
              <w:t>XX</w:t>
            </w:r>
            <w:r>
              <w:rPr>
                <w:noProof/>
                <w:sz w:val="16"/>
              </w:rPr>
              <w:t xml:space="preserve"> 01 05 02 (ДНП, КНЕ, ПНА — Непреки научни изследвания)</w:t>
            </w:r>
          </w:p>
        </w:tc>
        <w:tc>
          <w:tcPr>
            <w:tcW w:w="864" w:type="pct"/>
            <w:shd w:val="clear" w:color="auto" w:fill="auto"/>
            <w:vAlign w:val="center"/>
          </w:tcPr>
          <w:p w:rsidR="00242E09" w:rsidRDefault="00242E09">
            <w:pPr>
              <w:spacing w:beforeLines="20" w:before="48" w:afterLines="20" w:after="48"/>
              <w:jc w:val="center"/>
              <w:rPr>
                <w:noProof/>
                <w:sz w:val="16"/>
                <w:szCs w:val="16"/>
              </w:rPr>
            </w:pPr>
          </w:p>
        </w:tc>
        <w:tc>
          <w:tcPr>
            <w:tcW w:w="864" w:type="pct"/>
            <w:shd w:val="clear" w:color="auto" w:fill="auto"/>
            <w:vAlign w:val="center"/>
          </w:tcPr>
          <w:p w:rsidR="00242E09" w:rsidRDefault="00242E09">
            <w:pPr>
              <w:spacing w:beforeLines="20" w:before="48" w:afterLines="20" w:after="48"/>
              <w:jc w:val="center"/>
              <w:rPr>
                <w:noProof/>
                <w:sz w:val="16"/>
                <w:szCs w:val="16"/>
              </w:rPr>
            </w:pPr>
          </w:p>
        </w:tc>
      </w:tr>
      <w:tr w:rsidR="00242E09">
        <w:trPr>
          <w:trHeight w:val="289"/>
          <w:jc w:val="center"/>
        </w:trPr>
        <w:tc>
          <w:tcPr>
            <w:tcW w:w="3272" w:type="pct"/>
            <w:gridSpan w:val="2"/>
            <w:shd w:val="clear" w:color="auto" w:fill="auto"/>
            <w:vAlign w:val="center"/>
          </w:tcPr>
          <w:p w:rsidR="00242E09" w:rsidRDefault="00CE46B8">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864" w:type="pct"/>
            <w:shd w:val="clear" w:color="auto" w:fill="auto"/>
            <w:vAlign w:val="center"/>
          </w:tcPr>
          <w:p w:rsidR="00242E09" w:rsidRDefault="00242E09">
            <w:pPr>
              <w:spacing w:beforeLines="20" w:before="48" w:afterLines="20" w:after="48"/>
              <w:jc w:val="center"/>
              <w:rPr>
                <w:noProof/>
                <w:sz w:val="16"/>
                <w:szCs w:val="16"/>
              </w:rPr>
            </w:pPr>
          </w:p>
        </w:tc>
        <w:tc>
          <w:tcPr>
            <w:tcW w:w="864" w:type="pct"/>
            <w:shd w:val="clear" w:color="auto" w:fill="auto"/>
            <w:vAlign w:val="center"/>
          </w:tcPr>
          <w:p w:rsidR="00242E09" w:rsidRDefault="00242E09">
            <w:pPr>
              <w:spacing w:beforeLines="20" w:before="48" w:afterLines="20" w:after="48"/>
              <w:jc w:val="center"/>
              <w:rPr>
                <w:noProof/>
                <w:sz w:val="16"/>
                <w:szCs w:val="16"/>
              </w:rPr>
            </w:pPr>
          </w:p>
        </w:tc>
      </w:tr>
      <w:tr w:rsidR="00242E09">
        <w:trPr>
          <w:trHeight w:val="289"/>
          <w:jc w:val="center"/>
        </w:trPr>
        <w:tc>
          <w:tcPr>
            <w:tcW w:w="3272" w:type="pct"/>
            <w:gridSpan w:val="2"/>
            <w:tcBorders>
              <w:bottom w:val="double" w:sz="4" w:space="0" w:color="auto"/>
            </w:tcBorders>
            <w:shd w:val="clear" w:color="auto" w:fill="auto"/>
            <w:vAlign w:val="center"/>
          </w:tcPr>
          <w:p w:rsidR="00242E09" w:rsidRDefault="00CE46B8">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864" w:type="pct"/>
            <w:tcBorders>
              <w:bottom w:val="double" w:sz="4" w:space="0" w:color="auto"/>
            </w:tcBorders>
            <w:shd w:val="clear" w:color="auto" w:fill="auto"/>
            <w:vAlign w:val="center"/>
          </w:tcPr>
          <w:p w:rsidR="00242E09" w:rsidRDefault="00242E09">
            <w:pPr>
              <w:spacing w:beforeLines="20" w:before="48" w:afterLines="20" w:after="48"/>
              <w:jc w:val="center"/>
              <w:rPr>
                <w:noProof/>
                <w:sz w:val="16"/>
                <w:szCs w:val="16"/>
              </w:rPr>
            </w:pPr>
          </w:p>
        </w:tc>
        <w:tc>
          <w:tcPr>
            <w:tcW w:w="864" w:type="pct"/>
            <w:tcBorders>
              <w:bottom w:val="double" w:sz="4" w:space="0" w:color="auto"/>
            </w:tcBorders>
            <w:shd w:val="clear" w:color="auto" w:fill="auto"/>
            <w:vAlign w:val="center"/>
          </w:tcPr>
          <w:p w:rsidR="00242E09" w:rsidRDefault="00242E09">
            <w:pPr>
              <w:spacing w:beforeLines="20" w:before="48" w:afterLines="20" w:after="48"/>
              <w:jc w:val="center"/>
              <w:rPr>
                <w:noProof/>
                <w:sz w:val="16"/>
                <w:szCs w:val="16"/>
              </w:rPr>
            </w:pPr>
          </w:p>
        </w:tc>
      </w:tr>
      <w:tr w:rsidR="00242E09">
        <w:trPr>
          <w:trHeight w:val="289"/>
          <w:jc w:val="center"/>
        </w:trPr>
        <w:tc>
          <w:tcPr>
            <w:tcW w:w="3272" w:type="pct"/>
            <w:gridSpan w:val="2"/>
            <w:tcBorders>
              <w:top w:val="double" w:sz="4" w:space="0" w:color="auto"/>
            </w:tcBorders>
            <w:shd w:val="clear" w:color="auto" w:fill="auto"/>
            <w:vAlign w:val="center"/>
          </w:tcPr>
          <w:p w:rsidR="00242E09" w:rsidRDefault="00CE46B8">
            <w:pPr>
              <w:pStyle w:val="Text1"/>
              <w:spacing w:beforeLines="20" w:before="48" w:afterLines="20" w:after="48"/>
              <w:ind w:left="136"/>
              <w:jc w:val="left"/>
              <w:rPr>
                <w:noProof/>
                <w:sz w:val="16"/>
                <w:szCs w:val="16"/>
              </w:rPr>
            </w:pPr>
            <w:r>
              <w:rPr>
                <w:b/>
                <w:noProof/>
                <w:sz w:val="16"/>
              </w:rPr>
              <w:t>ОБЩО</w:t>
            </w:r>
          </w:p>
        </w:tc>
        <w:tc>
          <w:tcPr>
            <w:tcW w:w="864" w:type="pct"/>
            <w:tcBorders>
              <w:top w:val="double" w:sz="4" w:space="0" w:color="auto"/>
            </w:tcBorders>
            <w:shd w:val="clear" w:color="auto" w:fill="auto"/>
            <w:vAlign w:val="center"/>
          </w:tcPr>
          <w:p w:rsidR="00242E09" w:rsidRDefault="00CE46B8">
            <w:pPr>
              <w:spacing w:beforeLines="20" w:before="48" w:afterLines="20" w:after="48"/>
              <w:jc w:val="center"/>
              <w:rPr>
                <w:b/>
                <w:noProof/>
                <w:sz w:val="16"/>
                <w:szCs w:val="16"/>
              </w:rPr>
            </w:pPr>
            <w:r>
              <w:rPr>
                <w:b/>
                <w:noProof/>
                <w:sz w:val="16"/>
              </w:rPr>
              <w:t>99,67</w:t>
            </w:r>
          </w:p>
        </w:tc>
        <w:tc>
          <w:tcPr>
            <w:tcW w:w="864" w:type="pct"/>
            <w:tcBorders>
              <w:top w:val="double" w:sz="4" w:space="0" w:color="auto"/>
            </w:tcBorders>
            <w:shd w:val="clear" w:color="auto" w:fill="auto"/>
            <w:vAlign w:val="center"/>
          </w:tcPr>
          <w:p w:rsidR="00242E09" w:rsidRDefault="00CE46B8">
            <w:pPr>
              <w:spacing w:beforeLines="20" w:before="48" w:afterLines="20" w:after="48"/>
              <w:jc w:val="center"/>
              <w:rPr>
                <w:b/>
                <w:noProof/>
                <w:sz w:val="16"/>
                <w:szCs w:val="16"/>
              </w:rPr>
            </w:pPr>
            <w:r>
              <w:rPr>
                <w:b/>
                <w:noProof/>
                <w:sz w:val="16"/>
              </w:rPr>
              <w:t>99,92</w:t>
            </w:r>
          </w:p>
        </w:tc>
      </w:tr>
    </w:tbl>
    <w:p w:rsidR="00242E09" w:rsidRDefault="00CE46B8">
      <w:pPr>
        <w:pStyle w:val="Text1"/>
        <w:spacing w:before="60" w:after="60"/>
        <w:ind w:left="851"/>
        <w:rPr>
          <w:noProof/>
          <w:sz w:val="18"/>
          <w:szCs w:val="18"/>
        </w:rPr>
      </w:pPr>
      <w:r>
        <w:rPr>
          <w:b/>
          <w:noProof/>
        </w:rPr>
        <w:t>XX</w:t>
      </w:r>
      <w:r>
        <w:rPr>
          <w:noProof/>
          <w:sz w:val="18"/>
        </w:rPr>
        <w:t xml:space="preserve"> е съответната област на политиката или бюджетен дял.</w:t>
      </w:r>
    </w:p>
    <w:p w:rsidR="00242E09" w:rsidRDefault="00CE46B8">
      <w:pPr>
        <w:pStyle w:val="Text1"/>
        <w:rPr>
          <w:noProof/>
          <w:sz w:val="18"/>
          <w:szCs w:val="18"/>
        </w:rPr>
      </w:pPr>
      <w:r>
        <w:rPr>
          <w:noProof/>
          <w:sz w:val="18"/>
        </w:rPr>
        <w:t xml:space="preserve">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w:t>
      </w:r>
      <w:r>
        <w:rPr>
          <w:noProof/>
          <w:sz w:val="18"/>
        </w:rPr>
        <w:t>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242E09" w:rsidRDefault="00CE46B8">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242E09">
        <w:tc>
          <w:tcPr>
            <w:tcW w:w="3240" w:type="dxa"/>
          </w:tcPr>
          <w:p w:rsidR="00242E09" w:rsidRDefault="00CE46B8">
            <w:pPr>
              <w:rPr>
                <w:noProof/>
                <w:sz w:val="20"/>
              </w:rPr>
            </w:pPr>
            <w:r>
              <w:rPr>
                <w:noProof/>
                <w:sz w:val="20"/>
              </w:rPr>
              <w:t>Длъжностни лиц</w:t>
            </w:r>
            <w:r>
              <w:rPr>
                <w:noProof/>
                <w:sz w:val="20"/>
              </w:rPr>
              <w:t>а и срочно наети служители</w:t>
            </w:r>
          </w:p>
        </w:tc>
        <w:tc>
          <w:tcPr>
            <w:tcW w:w="7200" w:type="dxa"/>
          </w:tcPr>
          <w:p w:rsidR="00242E09" w:rsidRDefault="00CE46B8">
            <w:pPr>
              <w:rPr>
                <w:noProof/>
                <w:sz w:val="20"/>
              </w:rPr>
            </w:pPr>
            <w:r>
              <w:rPr>
                <w:noProof/>
                <w:sz w:val="20"/>
              </w:rPr>
              <w:t>Методологична работа, включително за пилотни проучвания</w:t>
            </w:r>
          </w:p>
          <w:p w:rsidR="00242E09" w:rsidRDefault="00CE46B8">
            <w:pPr>
              <w:rPr>
                <w:noProof/>
                <w:sz w:val="20"/>
              </w:rPr>
            </w:pPr>
            <w:r>
              <w:rPr>
                <w:noProof/>
                <w:sz w:val="20"/>
              </w:rPr>
              <w:t>Работа с информационните технологии за получаване, валидиране и обработване на данните</w:t>
            </w:r>
          </w:p>
          <w:p w:rsidR="00242E09" w:rsidRDefault="00CE46B8">
            <w:pPr>
              <w:rPr>
                <w:noProof/>
                <w:sz w:val="20"/>
              </w:rPr>
            </w:pPr>
            <w:r>
              <w:rPr>
                <w:noProof/>
                <w:sz w:val="20"/>
              </w:rPr>
              <w:t>Анализ на данните, представяне на данните и оказване на подкрепа на ползвателите</w:t>
            </w:r>
          </w:p>
        </w:tc>
      </w:tr>
      <w:tr w:rsidR="00242E09">
        <w:tc>
          <w:tcPr>
            <w:tcW w:w="3240" w:type="dxa"/>
          </w:tcPr>
          <w:p w:rsidR="00242E09" w:rsidRDefault="00CE46B8">
            <w:pPr>
              <w:spacing w:before="60" w:after="60"/>
              <w:rPr>
                <w:noProof/>
                <w:sz w:val="20"/>
              </w:rPr>
            </w:pPr>
            <w:r>
              <w:rPr>
                <w:noProof/>
                <w:sz w:val="20"/>
              </w:rPr>
              <w:t>Външен персонал</w:t>
            </w:r>
          </w:p>
        </w:tc>
        <w:tc>
          <w:tcPr>
            <w:tcW w:w="7200" w:type="dxa"/>
          </w:tcPr>
          <w:p w:rsidR="00242E09" w:rsidRDefault="00CE46B8">
            <w:pPr>
              <w:rPr>
                <w:noProof/>
                <w:sz w:val="20"/>
              </w:rPr>
            </w:pPr>
            <w:r>
              <w:rPr>
                <w:noProof/>
                <w:sz w:val="20"/>
              </w:rPr>
              <w:t>Методологична работа, включително за пилотни проучвания</w:t>
            </w:r>
          </w:p>
          <w:p w:rsidR="00242E09" w:rsidRDefault="00CE46B8">
            <w:pPr>
              <w:rPr>
                <w:noProof/>
                <w:sz w:val="20"/>
              </w:rPr>
            </w:pPr>
            <w:r>
              <w:rPr>
                <w:noProof/>
                <w:sz w:val="20"/>
              </w:rPr>
              <w:t xml:space="preserve">Работа с информационните технологии за получаване, валидиране и обработване </w:t>
            </w:r>
            <w:r>
              <w:rPr>
                <w:noProof/>
                <w:sz w:val="20"/>
              </w:rPr>
              <w:lastRenderedPageBreak/>
              <w:t>на данните</w:t>
            </w:r>
          </w:p>
          <w:p w:rsidR="00242E09" w:rsidRDefault="00242E09">
            <w:pPr>
              <w:rPr>
                <w:noProof/>
                <w:sz w:val="20"/>
              </w:rPr>
            </w:pPr>
          </w:p>
        </w:tc>
      </w:tr>
    </w:tbl>
    <w:p w:rsidR="00242E09" w:rsidRDefault="00242E09">
      <w:pPr>
        <w:rPr>
          <w:noProof/>
        </w:rPr>
        <w:sectPr w:rsidR="00242E09">
          <w:pgSz w:w="11907" w:h="16840"/>
          <w:pgMar w:top="1134" w:right="1418" w:bottom="1134" w:left="1418" w:header="709" w:footer="709" w:gutter="0"/>
          <w:cols w:space="708"/>
          <w:docGrid w:linePitch="360"/>
        </w:sectPr>
      </w:pPr>
    </w:p>
    <w:p w:rsidR="00242E09" w:rsidRDefault="00CE46B8">
      <w:pPr>
        <w:pStyle w:val="ManualHeading3"/>
        <w:rPr>
          <w:bCs/>
          <w:noProof/>
          <w:szCs w:val="24"/>
        </w:rPr>
      </w:pPr>
      <w:r>
        <w:lastRenderedPageBreak/>
        <w:t>3.2.4.</w:t>
      </w:r>
      <w:r>
        <w:tab/>
      </w:r>
      <w:r>
        <w:rPr>
          <w:noProof/>
        </w:rPr>
        <w:t xml:space="preserve">Съвместимост с настоящата многогодишна финансова рамка </w:t>
      </w:r>
    </w:p>
    <w:p w:rsidR="00242E09" w:rsidRDefault="00CE46B8">
      <w:pPr>
        <w:pStyle w:val="ListDash1"/>
        <w:rPr>
          <w:noProof/>
        </w:rPr>
      </w:pPr>
      <w:r>
        <w:rPr>
          <w:noProof/>
        </w:rPr>
        <w:sym w:font="Wingdings" w:char="F0FD"/>
      </w:r>
      <w:r>
        <w:rPr>
          <w:noProof/>
        </w:rPr>
        <w:tab/>
        <w:t>Предложе</w:t>
      </w:r>
      <w:r>
        <w:rPr>
          <w:noProof/>
        </w:rPr>
        <w:t>нието/инициативата е съвместимо(а) с настоящата многогодишна финансова рамка.</w:t>
      </w:r>
    </w:p>
    <w:p w:rsidR="00242E09" w:rsidRDefault="00CE46B8">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rsidR="00242E09" w:rsidRDefault="00CE46B8">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w:t>
      </w:r>
      <w:r>
        <w:rPr>
          <w:noProof/>
          <w:sz w:val="20"/>
        </w:rPr>
        <w:t>те бюджетни редове и суми.</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w:t>
      </w:r>
    </w:p>
    <w:p w:rsidR="00242E09" w:rsidRDefault="00CE46B8">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rsidR="00242E09" w:rsidRDefault="00CE46B8">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242E09" w:rsidRDefault="00CE46B8">
      <w:pPr>
        <w:pStyle w:val="Text1"/>
        <w:pBdr>
          <w:top w:val="single" w:sz="4" w:space="1" w:color="auto"/>
          <w:left w:val="single" w:sz="4" w:space="4" w:color="auto"/>
          <w:bottom w:val="single" w:sz="4" w:space="1" w:color="auto"/>
          <w:right w:val="single" w:sz="4" w:space="4" w:color="auto"/>
        </w:pBdr>
        <w:rPr>
          <w:noProof/>
        </w:rPr>
      </w:pPr>
      <w:r>
        <w:rPr>
          <w:noProof/>
        </w:rPr>
        <w:t>[…]</w:t>
      </w:r>
    </w:p>
    <w:p w:rsidR="00242E09" w:rsidRDefault="00CE46B8">
      <w:pPr>
        <w:pStyle w:val="ManualHeading3"/>
        <w:rPr>
          <w:bCs/>
          <w:noProof/>
          <w:szCs w:val="24"/>
        </w:rPr>
      </w:pPr>
      <w:r>
        <w:t>3.2.5.</w:t>
      </w:r>
      <w:r>
        <w:tab/>
      </w:r>
      <w:r>
        <w:rPr>
          <w:noProof/>
        </w:rPr>
        <w:t xml:space="preserve">Участие на трети страни във финансирането </w:t>
      </w:r>
    </w:p>
    <w:p w:rsidR="00242E09" w:rsidRDefault="00CE46B8">
      <w:pPr>
        <w:pStyle w:val="ListDash1"/>
        <w:rPr>
          <w:noProof/>
        </w:rPr>
      </w:pPr>
      <w:r>
        <w:rPr>
          <w:noProof/>
        </w:rPr>
        <w:t xml:space="preserve">Предложението/инициативата не предвижда съфинансиране от трети страни. </w:t>
      </w:r>
    </w:p>
    <w:p w:rsidR="00242E09" w:rsidRDefault="00CE46B8">
      <w:pPr>
        <w:pStyle w:val="ListDash1"/>
        <w:rPr>
          <w:noProof/>
        </w:rPr>
      </w:pPr>
      <w:r>
        <w:rPr>
          <w:noProof/>
        </w:rPr>
        <w:t>Предложението/инициативата предвижда съфинансиране съгласно следните прогнози:</w:t>
      </w:r>
    </w:p>
    <w:p w:rsidR="00242E09" w:rsidRDefault="00CE46B8">
      <w:pPr>
        <w:jc w:val="right"/>
        <w:rPr>
          <w:noProof/>
          <w:sz w:val="20"/>
        </w:rPr>
      </w:pPr>
      <w:r>
        <w:rPr>
          <w:noProof/>
          <w:sz w:val="20"/>
        </w:rPr>
        <w:t>Бюджетни кредити в млн. EUR (до третия знак след десети</w:t>
      </w:r>
      <w:r>
        <w:rPr>
          <w:noProof/>
          <w:sz w:val="20"/>
        </w:rPr>
        <w:t>чната запетая)</w:t>
      </w:r>
    </w:p>
    <w:tbl>
      <w:tblPr>
        <w:tblW w:w="9754"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2471"/>
        <w:gridCol w:w="2471"/>
        <w:gridCol w:w="2472"/>
      </w:tblGrid>
      <w:tr w:rsidR="00242E09">
        <w:trPr>
          <w:cantSplit/>
        </w:trPr>
        <w:tc>
          <w:tcPr>
            <w:tcW w:w="2340" w:type="dxa"/>
          </w:tcPr>
          <w:p w:rsidR="00242E09" w:rsidRDefault="00242E09">
            <w:pPr>
              <w:spacing w:before="60" w:after="60"/>
              <w:rPr>
                <w:noProof/>
                <w:sz w:val="20"/>
              </w:rPr>
            </w:pPr>
          </w:p>
        </w:tc>
        <w:tc>
          <w:tcPr>
            <w:tcW w:w="2471" w:type="dxa"/>
            <w:vAlign w:val="center"/>
          </w:tcPr>
          <w:p w:rsidR="00242E09" w:rsidRDefault="00CE46B8">
            <w:pPr>
              <w:jc w:val="center"/>
              <w:rPr>
                <w:noProof/>
                <w:sz w:val="20"/>
              </w:rPr>
            </w:pPr>
            <w:r>
              <w:rPr>
                <w:noProof/>
                <w:sz w:val="20"/>
              </w:rPr>
              <w:t>2019 г.</w:t>
            </w:r>
          </w:p>
        </w:tc>
        <w:tc>
          <w:tcPr>
            <w:tcW w:w="2471" w:type="dxa"/>
            <w:vAlign w:val="center"/>
          </w:tcPr>
          <w:p w:rsidR="00242E09" w:rsidRDefault="00CE46B8">
            <w:pPr>
              <w:jc w:val="center"/>
              <w:rPr>
                <w:noProof/>
                <w:sz w:val="20"/>
              </w:rPr>
            </w:pPr>
            <w:r>
              <w:rPr>
                <w:noProof/>
                <w:sz w:val="20"/>
              </w:rPr>
              <w:t>2020 г.</w:t>
            </w:r>
          </w:p>
        </w:tc>
        <w:tc>
          <w:tcPr>
            <w:tcW w:w="2472" w:type="dxa"/>
            <w:vAlign w:val="center"/>
          </w:tcPr>
          <w:p w:rsidR="00242E09" w:rsidRDefault="00CE46B8">
            <w:pPr>
              <w:spacing w:before="60" w:after="60"/>
              <w:jc w:val="center"/>
              <w:rPr>
                <w:noProof/>
                <w:sz w:val="20"/>
              </w:rPr>
            </w:pPr>
            <w:r>
              <w:rPr>
                <w:noProof/>
                <w:sz w:val="20"/>
              </w:rPr>
              <w:t>Общо</w:t>
            </w:r>
          </w:p>
        </w:tc>
      </w:tr>
      <w:tr w:rsidR="00242E09">
        <w:trPr>
          <w:cantSplit/>
        </w:trPr>
        <w:tc>
          <w:tcPr>
            <w:tcW w:w="2340" w:type="dxa"/>
          </w:tcPr>
          <w:p w:rsidR="00242E09" w:rsidRDefault="00CE46B8">
            <w:pPr>
              <w:rPr>
                <w:noProof/>
              </w:rPr>
            </w:pPr>
            <w:r>
              <w:rPr>
                <w:noProof/>
                <w:sz w:val="20"/>
              </w:rPr>
              <w:t>Да се посочи съфинансиращият орган</w:t>
            </w:r>
            <w:r>
              <w:rPr>
                <w:i/>
                <w:noProof/>
                <w:sz w:val="20"/>
              </w:rPr>
              <w:t xml:space="preserve"> </w:t>
            </w:r>
          </w:p>
        </w:tc>
        <w:tc>
          <w:tcPr>
            <w:tcW w:w="2471" w:type="dxa"/>
            <w:vAlign w:val="center"/>
          </w:tcPr>
          <w:p w:rsidR="00242E09" w:rsidRDefault="00CE46B8">
            <w:pPr>
              <w:spacing w:before="60" w:after="60"/>
              <w:jc w:val="center"/>
              <w:rPr>
                <w:noProof/>
                <w:sz w:val="20"/>
              </w:rPr>
            </w:pPr>
            <w:r>
              <w:rPr>
                <w:noProof/>
                <w:sz w:val="20"/>
              </w:rPr>
              <w:t>p.m.</w:t>
            </w:r>
          </w:p>
        </w:tc>
        <w:tc>
          <w:tcPr>
            <w:tcW w:w="2471" w:type="dxa"/>
            <w:vAlign w:val="center"/>
          </w:tcPr>
          <w:p w:rsidR="00242E09" w:rsidRDefault="00CE46B8">
            <w:pPr>
              <w:spacing w:before="60" w:after="60"/>
              <w:jc w:val="center"/>
              <w:rPr>
                <w:noProof/>
                <w:sz w:val="20"/>
              </w:rPr>
            </w:pPr>
            <w:r>
              <w:rPr>
                <w:noProof/>
                <w:sz w:val="20"/>
              </w:rPr>
              <w:t>p.m.</w:t>
            </w:r>
          </w:p>
        </w:tc>
        <w:tc>
          <w:tcPr>
            <w:tcW w:w="2472" w:type="dxa"/>
            <w:vAlign w:val="center"/>
          </w:tcPr>
          <w:p w:rsidR="00242E09" w:rsidRDefault="00CE46B8">
            <w:pPr>
              <w:spacing w:before="60" w:after="60"/>
              <w:jc w:val="center"/>
              <w:rPr>
                <w:noProof/>
                <w:sz w:val="20"/>
              </w:rPr>
            </w:pPr>
            <w:r>
              <w:rPr>
                <w:noProof/>
                <w:sz w:val="20"/>
              </w:rPr>
              <w:t>p.m.</w:t>
            </w:r>
          </w:p>
        </w:tc>
      </w:tr>
      <w:tr w:rsidR="00242E09">
        <w:trPr>
          <w:cantSplit/>
        </w:trPr>
        <w:tc>
          <w:tcPr>
            <w:tcW w:w="2340" w:type="dxa"/>
          </w:tcPr>
          <w:p w:rsidR="00242E09" w:rsidRDefault="00CE46B8">
            <w:pPr>
              <w:spacing w:before="60" w:after="60"/>
              <w:jc w:val="left"/>
              <w:rPr>
                <w:noProof/>
                <w:sz w:val="20"/>
              </w:rPr>
            </w:pPr>
            <w:r>
              <w:rPr>
                <w:noProof/>
                <w:sz w:val="20"/>
              </w:rPr>
              <w:t xml:space="preserve">ОБЩО съфинансирани бюджетни кредити </w:t>
            </w:r>
          </w:p>
        </w:tc>
        <w:tc>
          <w:tcPr>
            <w:tcW w:w="2471" w:type="dxa"/>
            <w:vAlign w:val="center"/>
          </w:tcPr>
          <w:p w:rsidR="00242E09" w:rsidRDefault="00CE46B8">
            <w:pPr>
              <w:spacing w:before="60" w:after="60"/>
              <w:jc w:val="center"/>
              <w:rPr>
                <w:noProof/>
                <w:sz w:val="20"/>
              </w:rPr>
            </w:pPr>
            <w:r>
              <w:rPr>
                <w:noProof/>
                <w:sz w:val="20"/>
              </w:rPr>
              <w:t>p.m.</w:t>
            </w:r>
          </w:p>
        </w:tc>
        <w:tc>
          <w:tcPr>
            <w:tcW w:w="2471" w:type="dxa"/>
            <w:vAlign w:val="center"/>
          </w:tcPr>
          <w:p w:rsidR="00242E09" w:rsidRDefault="00CE46B8">
            <w:pPr>
              <w:spacing w:before="60" w:after="60"/>
              <w:jc w:val="center"/>
              <w:rPr>
                <w:noProof/>
                <w:sz w:val="20"/>
              </w:rPr>
            </w:pPr>
            <w:r>
              <w:rPr>
                <w:noProof/>
                <w:sz w:val="20"/>
              </w:rPr>
              <w:t>p.m.</w:t>
            </w:r>
          </w:p>
        </w:tc>
        <w:tc>
          <w:tcPr>
            <w:tcW w:w="2472" w:type="dxa"/>
            <w:vAlign w:val="center"/>
          </w:tcPr>
          <w:p w:rsidR="00242E09" w:rsidRDefault="00CE46B8">
            <w:pPr>
              <w:spacing w:before="60" w:after="60"/>
              <w:jc w:val="center"/>
              <w:rPr>
                <w:noProof/>
                <w:sz w:val="20"/>
              </w:rPr>
            </w:pPr>
            <w:r>
              <w:rPr>
                <w:noProof/>
                <w:sz w:val="20"/>
              </w:rPr>
              <w:t>p.m.</w:t>
            </w:r>
          </w:p>
        </w:tc>
      </w:tr>
    </w:tbl>
    <w:p w:rsidR="00242E09" w:rsidRDefault="00242E09">
      <w:pPr>
        <w:pStyle w:val="Text1"/>
        <w:rPr>
          <w:rStyle w:val="Text2Char"/>
          <w:noProof/>
        </w:rPr>
      </w:pPr>
    </w:p>
    <w:sectPr w:rsidR="00242E0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B8" w:rsidRDefault="00CE46B8">
      <w:pPr>
        <w:spacing w:before="0" w:after="0"/>
      </w:pPr>
      <w:r>
        <w:separator/>
      </w:r>
    </w:p>
  </w:endnote>
  <w:endnote w:type="continuationSeparator" w:id="0">
    <w:p w:rsidR="00CE46B8" w:rsidRDefault="00CE46B8">
      <w:pPr>
        <w:spacing w:before="0" w:after="0"/>
      </w:pPr>
      <w:r>
        <w:continuationSeparator/>
      </w:r>
    </w:p>
  </w:endnote>
  <w:endnote w:type="continuationNotice" w:id="1">
    <w:p w:rsidR="00CE46B8" w:rsidRDefault="00CE46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CE46B8">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CE46B8">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A1004A">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242E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CE46B8">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981C6D">
      <w:rPr>
        <w:noProof/>
      </w:rPr>
      <w:t>53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242E09">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CE46B8">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981C6D">
      <w:rPr>
        <w:noProof/>
      </w:rPr>
      <w:t>57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242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B8" w:rsidRDefault="00CE46B8">
      <w:pPr>
        <w:spacing w:before="0" w:after="0"/>
      </w:pPr>
      <w:r>
        <w:separator/>
      </w:r>
    </w:p>
  </w:footnote>
  <w:footnote w:type="continuationSeparator" w:id="0">
    <w:p w:rsidR="00CE46B8" w:rsidRDefault="00CE46B8">
      <w:pPr>
        <w:spacing w:before="0" w:after="0"/>
      </w:pPr>
      <w:r>
        <w:continuationSeparator/>
      </w:r>
    </w:p>
  </w:footnote>
  <w:footnote w:type="continuationNotice" w:id="1">
    <w:p w:rsidR="00CE46B8" w:rsidRDefault="00CE46B8">
      <w:pPr>
        <w:spacing w:before="0" w:after="0"/>
      </w:pPr>
    </w:p>
  </w:footnote>
  <w:footnote w:id="2">
    <w:p w:rsidR="00242E09" w:rsidRDefault="00CE46B8">
      <w:pPr>
        <w:pStyle w:val="FootnoteText"/>
        <w:rPr>
          <w:bCs/>
          <w:lang w:eastAsia="en-GB"/>
        </w:rPr>
      </w:pPr>
      <w:r>
        <w:rPr>
          <w:rStyle w:val="FootnoteReference"/>
        </w:rPr>
        <w:footnoteRef/>
      </w:r>
      <w:r>
        <w:tab/>
        <w:t xml:space="preserve">ЕСС e партньорство между статистическия орган на Съюза, който е Комисията (Евростат), и националните </w:t>
      </w:r>
      <w:r>
        <w:t>статистически институти (НСИ) и другите национални органи, отговарящи във всяка държава членка за разработването, изготвянето и разпространението на европейска статистика.</w:t>
      </w:r>
    </w:p>
  </w:footnote>
  <w:footnote w:id="3">
    <w:p w:rsidR="00242E09" w:rsidRDefault="00CE46B8">
      <w:pPr>
        <w:pStyle w:val="Footnote"/>
      </w:pPr>
      <w:r>
        <w:rPr>
          <w:rStyle w:val="FootnoteReference"/>
        </w:rPr>
        <w:footnoteRef/>
      </w:r>
      <w:r>
        <w:tab/>
        <w:t>Регламент (ЕС) № 99/2013 на Европейския парламент и на Съвета от 15 януари 2013 г.</w:t>
      </w:r>
      <w:r>
        <w:t xml:space="preserve"> относно Европейската статистическа програма за периода 2013 — 2017 г. (ОВ L 39, 9.2.2013 г., стр. 12), чието действие е предложено да бъде удължено, за да обхване периода 2018 — 2020 г., с Предложение COM(2016) 557 final — 2016/0265 (COD).</w:t>
      </w:r>
    </w:p>
    <w:p w:rsidR="00242E09" w:rsidRDefault="00242E09">
      <w:pPr>
        <w:pStyle w:val="FootnoteText"/>
      </w:pPr>
    </w:p>
  </w:footnote>
  <w:footnote w:id="4">
    <w:p w:rsidR="00242E09" w:rsidRDefault="00CE46B8">
      <w:pPr>
        <w:pStyle w:val="FootnoteText"/>
      </w:pPr>
      <w:r>
        <w:rPr>
          <w:rStyle w:val="FootnoteReference"/>
        </w:rPr>
        <w:footnoteRef/>
      </w:r>
      <w:r>
        <w:tab/>
        <w:t xml:space="preserve">Вж. </w:t>
      </w:r>
      <w:hyperlink r:id="rId1">
        <w:r>
          <w:rPr>
            <w:rStyle w:val="Hyperlink"/>
          </w:rPr>
          <w:t>http://ec.europa.eu/eurostat/web/quality/evaluation</w:t>
        </w:r>
      </w:hyperlink>
    </w:p>
  </w:footnote>
  <w:footnote w:id="5">
    <w:p w:rsidR="00242E09" w:rsidRDefault="00CE46B8">
      <w:pPr>
        <w:pStyle w:val="FootnoteText"/>
      </w:pPr>
      <w:r>
        <w:rPr>
          <w:rStyle w:val="FootnoteReference"/>
        </w:rPr>
        <w:footnoteRef/>
      </w:r>
      <w:r>
        <w:tab/>
      </w:r>
      <w:hyperlink r:id="rId2">
        <w:r>
          <w:rPr>
            <w:rStyle w:val="Hyperlink"/>
          </w:rPr>
          <w:t>http://ec.europa.eu/eurostat/documents/10186/7142348</w:t>
        </w:r>
        <w:r>
          <w:rPr>
            <w:rStyle w:val="Hyperlink"/>
          </w:rPr>
          <w:t>/ABS-Report.pdf</w:t>
        </w:r>
      </w:hyperlink>
      <w:r>
        <w:t xml:space="preserve">, </w:t>
      </w:r>
      <w:hyperlink r:id="rId3">
        <w:r>
          <w:rPr>
            <w:rStyle w:val="Hyperlink"/>
          </w:rPr>
          <w:t>http://ec.europa.eu/eurostat/documents/10186/6937805/Summary+report+on+the+open+pu</w:t>
        </w:r>
        <w:r>
          <w:rPr>
            <w:rStyle w:val="Hyperlink"/>
          </w:rPr>
          <w:t>blic+consultations/52c01d34-ca85-4e8d-aaae-df4ae84b8dea</w:t>
        </w:r>
      </w:hyperlink>
    </w:p>
  </w:footnote>
  <w:footnote w:id="6">
    <w:p w:rsidR="00242E09" w:rsidRDefault="00CE46B8">
      <w:pPr>
        <w:pStyle w:val="FootnoteText"/>
      </w:pPr>
      <w:r>
        <w:rPr>
          <w:rStyle w:val="FootnoteReference"/>
        </w:rPr>
        <w:footnoteRef/>
      </w:r>
      <w:r>
        <w:tab/>
        <w:t>Регламент (ЕО) № 184/2005 на Европейския парламент и на Съвета от 12 януари 2005 г. относно статистиката на Общността относно платежния баланс, международната търговия с услуги и преките чуждестранн</w:t>
      </w:r>
      <w:r>
        <w:t>и инвестиции (ОВ L 35, 8.2.2005 г., стр. 23 — 55).</w:t>
      </w:r>
    </w:p>
  </w:footnote>
  <w:footnote w:id="7">
    <w:p w:rsidR="00242E09" w:rsidRDefault="00CE46B8">
      <w:pPr>
        <w:pStyle w:val="FootnoteText"/>
      </w:pPr>
      <w:r>
        <w:rPr>
          <w:rStyle w:val="FootnoteReference"/>
        </w:rPr>
        <w:footnoteRef/>
      </w:r>
      <w:r>
        <w:tab/>
        <w:t>Регламент (ЕО) № 177/2008 на Европейския парламент и на Съвета от 20 февруари 2008 г. за установяване на обща рамка за регистрите на предприятията за статистически цели и за отмяна на Регламент (ЕИО) № 2</w:t>
      </w:r>
      <w:r>
        <w:t>186/93 на Съвета (ОВ L 61, 5.3.2008 г., стр. 6).</w:t>
      </w:r>
    </w:p>
  </w:footnote>
  <w:footnote w:id="8">
    <w:p w:rsidR="00242E09" w:rsidRDefault="00CE46B8">
      <w:pPr>
        <w:pStyle w:val="FootnoteText"/>
      </w:pPr>
      <w:r>
        <w:rPr>
          <w:rStyle w:val="FootnoteReference"/>
        </w:rPr>
        <w:footnoteRef/>
      </w:r>
      <w:r>
        <w:tab/>
        <w:t>Решение № 1297/2008/ЕО на Европейския парламент и на Съвета от 16 декември 2008 г. относно Програма за модернизиране на европейската статистика относно предприятията и търговията (MEETS), (ОВ L 340, 19.12.</w:t>
      </w:r>
      <w:r>
        <w:t>2008 г., стр. 76).</w:t>
      </w:r>
    </w:p>
  </w:footnote>
  <w:footnote w:id="9">
    <w:p w:rsidR="00242E09" w:rsidRDefault="00CE46B8">
      <w:pPr>
        <w:pStyle w:val="FootnoteText"/>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w:t>
      </w:r>
      <w:r>
        <w:t xml:space="preserve">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w:t>
      </w:r>
      <w:r>
        <w:t>164).</w:t>
      </w:r>
    </w:p>
  </w:footnote>
  <w:footnote w:id="10">
    <w:p w:rsidR="00242E09" w:rsidRDefault="00CE46B8">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11">
    <w:p w:rsidR="00242E09" w:rsidRDefault="00CE46B8">
      <w:pPr>
        <w:pStyle w:val="FootnoteText"/>
      </w:pPr>
      <w:r>
        <w:rPr>
          <w:rStyle w:val="FootnoteReference"/>
        </w:rPr>
        <w:footnoteRef/>
      </w:r>
      <w:r>
        <w:tab/>
        <w:t>Регламент (ЕС) № 549/2013 на Европейския парламент и на Съвета от 21 май 2013 г. от</w:t>
      </w:r>
      <w:r>
        <w:t>носно Европейската система от национални и регионални сметки в Европейския съюз (ОВ L 174, 26.6.2013 г., стр. 1).</w:t>
      </w:r>
    </w:p>
  </w:footnote>
  <w:footnote w:id="12">
    <w:p w:rsidR="00242E09" w:rsidRDefault="00CE46B8">
      <w:pPr>
        <w:pStyle w:val="FootnoteText"/>
      </w:pPr>
      <w:r>
        <w:rPr>
          <w:rStyle w:val="FootnoteReference"/>
        </w:rPr>
        <w:footnoteRef/>
      </w:r>
      <w:r>
        <w:tab/>
        <w:t>ОВ L 123, 12.5.2016 г., стр. 1.</w:t>
      </w:r>
    </w:p>
  </w:footnote>
  <w:footnote w:id="13">
    <w:p w:rsidR="00242E09" w:rsidRDefault="00CE46B8">
      <w:pPr>
        <w:pStyle w:val="FootnoteText"/>
      </w:pPr>
      <w:r>
        <w:rPr>
          <w:rStyle w:val="FootnoteReference"/>
        </w:rPr>
        <w:footnoteRef/>
      </w:r>
      <w:r>
        <w:tab/>
        <w:t>Регламент (ЕС) № 182/2011 на Европейския парламент и на Съвета от 16 февруари 2011 г. за установяване на о</w:t>
      </w:r>
      <w:r>
        <w:t>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4">
    <w:p w:rsidR="00242E09" w:rsidRDefault="00CE46B8">
      <w:pPr>
        <w:pStyle w:val="FootnoteText"/>
      </w:pPr>
      <w:r>
        <w:rPr>
          <w:rStyle w:val="FootnoteReference"/>
        </w:rPr>
        <w:footnoteRef/>
      </w:r>
      <w:r>
        <w:tab/>
        <w:t>Регламент (ЕО) № 184/2005 на Европейския парламент и на С</w:t>
      </w:r>
      <w:r>
        <w:t>ъвета от 12 януари 2005 г. относно статистиката на Общността относно платежния баланс, международната търговия с услуги и преките чуждестранни инвестиции (ОВ L 35, 8.2.2005 г., стр. 23).</w:t>
      </w:r>
    </w:p>
  </w:footnote>
  <w:footnote w:id="15">
    <w:p w:rsidR="00242E09" w:rsidRDefault="00CE46B8">
      <w:pPr>
        <w:pStyle w:val="FootnoteText"/>
      </w:pPr>
      <w:r>
        <w:rPr>
          <w:rStyle w:val="FootnoteReference"/>
        </w:rPr>
        <w:footnoteRef/>
      </w:r>
      <w:r>
        <w:tab/>
        <w:t xml:space="preserve">Регламент (ЕИО) № 3924/91 на Съвета от 19 декември 1991 г. относно </w:t>
      </w:r>
      <w:r>
        <w:t>установяване на статистическо изследване на промишлената продукция на Общността (ОВ L 374, 31.12.1991 г., стр. 1).</w:t>
      </w:r>
    </w:p>
  </w:footnote>
  <w:footnote w:id="16">
    <w:p w:rsidR="00242E09" w:rsidRDefault="00CE46B8">
      <w:pPr>
        <w:pStyle w:val="FootnoteText"/>
      </w:pPr>
      <w:r>
        <w:rPr>
          <w:rStyle w:val="FootnoteReference"/>
        </w:rPr>
        <w:footnoteRef/>
      </w:r>
      <w:r>
        <w:tab/>
        <w:t>Регламент (ЕО) № 1165/98 на Съвета от 19 май 1998 г. относно краткосрочната статистика (ОВ L 162, 5.6.1998 г., стр. 1).</w:t>
      </w:r>
    </w:p>
  </w:footnote>
  <w:footnote w:id="17">
    <w:p w:rsidR="00242E09" w:rsidRDefault="00CE46B8">
      <w:pPr>
        <w:pStyle w:val="FootnoteText"/>
      </w:pPr>
      <w:r>
        <w:rPr>
          <w:rStyle w:val="FootnoteReference"/>
        </w:rPr>
        <w:footnoteRef/>
      </w:r>
      <w:r>
        <w:tab/>
        <w:t>Решение № 1608/20</w:t>
      </w:r>
      <w:r>
        <w:t>03/ЕО на Европейския парламент и на Съвета от 22 юли 2003 г. относно създаването и развитието на статистически данни на Общността в научно-технологичната област (ОВ L 230, 16.9.2003 г., стр. 1).</w:t>
      </w:r>
    </w:p>
  </w:footnote>
  <w:footnote w:id="18">
    <w:p w:rsidR="00242E09" w:rsidRDefault="00CE46B8">
      <w:pPr>
        <w:pStyle w:val="FootnoteText"/>
      </w:pPr>
      <w:r>
        <w:rPr>
          <w:rStyle w:val="FootnoteReference"/>
        </w:rPr>
        <w:footnoteRef/>
      </w:r>
      <w:r>
        <w:tab/>
        <w:t xml:space="preserve">Регламент (ЕО) № 48/2004 на Европейския парламент и Съвета </w:t>
      </w:r>
      <w:r>
        <w:t>от 5 декември 2003 г. относно изготвянето на годишните статистически данни на Общността за стоманодобивната промишленост за референтните години 2003—2009 г. (ОВ L 7, 13.1.2004 г., стр. 1).</w:t>
      </w:r>
    </w:p>
  </w:footnote>
  <w:footnote w:id="19">
    <w:p w:rsidR="00242E09" w:rsidRDefault="00CE46B8">
      <w:pPr>
        <w:pStyle w:val="FootnoteText"/>
      </w:pPr>
      <w:r>
        <w:rPr>
          <w:rStyle w:val="FootnoteReference"/>
        </w:rPr>
        <w:footnoteRef/>
      </w:r>
      <w:r>
        <w:tab/>
        <w:t>Регламент (ЕО) № 638/2004 на Европейския парламент и на Съвета от</w:t>
      </w:r>
      <w:r>
        <w:t xml:space="preserve"> 31 март 2004 г. за статистиката на Общността, свързана с търговията със стоки между държавите членки, и за отмяна на Регламент (ЕИО) № 3330/91 на Съвета (ОВ L 102, 7.4.2004 г., стр. 1).</w:t>
      </w:r>
    </w:p>
  </w:footnote>
  <w:footnote w:id="20">
    <w:p w:rsidR="00242E09" w:rsidRDefault="00CE46B8">
      <w:pPr>
        <w:pStyle w:val="FootnoteText"/>
      </w:pPr>
      <w:r>
        <w:rPr>
          <w:rStyle w:val="FootnoteReference"/>
        </w:rPr>
        <w:footnoteRef/>
      </w:r>
      <w:r>
        <w:tab/>
        <w:t>Регламент (ЕО) № 808/2004 на Европейския Парламент и на Съвета от 2</w:t>
      </w:r>
      <w:r>
        <w:t>1 април 2004 г. относно статистическите данни на Общността за информационното общество (OВ L 143, 30.4.2004 г., стр. 49).</w:t>
      </w:r>
    </w:p>
  </w:footnote>
  <w:footnote w:id="21">
    <w:p w:rsidR="00242E09" w:rsidRDefault="00CE46B8">
      <w:pPr>
        <w:pStyle w:val="FootnoteText"/>
      </w:pPr>
      <w:r>
        <w:rPr>
          <w:rStyle w:val="FootnoteReference"/>
        </w:rPr>
        <w:footnoteRef/>
      </w:r>
      <w:r>
        <w:tab/>
        <w:t xml:space="preserve">Регламент (ЕО) № 716/2007 на Европейския парламент и на Съвета от 20 юни 2007 г. относно статистиката на Общността за структурата и </w:t>
      </w:r>
      <w:r>
        <w:t>дейността на предприятията с чуждестранен контрол (ОВ L 171, 29.6.2007 г., стр. 17).</w:t>
      </w:r>
    </w:p>
  </w:footnote>
  <w:footnote w:id="22">
    <w:p w:rsidR="00242E09" w:rsidRDefault="00CE46B8">
      <w:pPr>
        <w:pStyle w:val="FootnoteText"/>
      </w:pPr>
      <w:r>
        <w:rPr>
          <w:rStyle w:val="FootnoteReference"/>
        </w:rPr>
        <w:footnoteRef/>
      </w:r>
      <w:r>
        <w:tab/>
        <w:t xml:space="preserve">Регламент (ЕО) № 177/2008 на Европейския парламент и на Съвета от 20 февруари 2008 г. за установяване на обща рамка за регистрите на предприятията за статистически цели </w:t>
      </w:r>
      <w:r>
        <w:t>и за отмяна на Регламент (ЕИО) № 2186/93 на Съвета (ОВ L 61, 5.3.2008 г., стр. 6).</w:t>
      </w:r>
    </w:p>
  </w:footnote>
  <w:footnote w:id="23">
    <w:p w:rsidR="00242E09" w:rsidRDefault="00CE46B8">
      <w:pPr>
        <w:pStyle w:val="FootnoteText"/>
      </w:pPr>
      <w:r>
        <w:rPr>
          <w:rStyle w:val="FootnoteReference"/>
        </w:rPr>
        <w:footnoteRef/>
      </w:r>
      <w:r>
        <w:tab/>
        <w:t>Регламент (ЕО) № 295/2008 на Европейския парламент и на Съвета от 11 март 2008 г. относно структурната бизнес статистика (преработен) (ОВ L 97, 9.4.2008 г., стр. 13).</w:t>
      </w:r>
    </w:p>
  </w:footnote>
  <w:footnote w:id="24">
    <w:p w:rsidR="00242E09" w:rsidRDefault="00CE46B8">
      <w:pPr>
        <w:pStyle w:val="FootnoteText"/>
      </w:pPr>
      <w:r>
        <w:rPr>
          <w:rStyle w:val="FootnoteReference"/>
        </w:rPr>
        <w:footnoteRef/>
      </w:r>
      <w:r>
        <w:tab/>
        <w:t>Ре</w:t>
      </w:r>
      <w:r>
        <w:t>гламент (ЕО) № 471/2009 на Европейския парламент и на Съвета от 6 май 2009 г. относно статистиката на Общността за външната търговия с трети страни и за отмяна на Регламент (ЕО) № 1172/95 на Съвета (ОВ L 152, 16.6.2009 г., стр. 23).</w:t>
      </w:r>
    </w:p>
  </w:footnote>
  <w:footnote w:id="25">
    <w:p w:rsidR="00242E09" w:rsidRDefault="00CE46B8">
      <w:pPr>
        <w:pStyle w:val="FootnoteText"/>
      </w:pPr>
      <w:r>
        <w:rPr>
          <w:rStyle w:val="FootnoteReference"/>
        </w:rPr>
        <w:footnoteRef/>
      </w:r>
      <w:r>
        <w:tab/>
        <w:t>Регламент (ЕИО) № 696</w:t>
      </w:r>
      <w:r>
        <w:t>/93 на Съвета от 15 март 1993 г. относно статистическите отчетни единици за наблюдението и анализа на производствената система в Общността (ОВ L 76, 30.3.1993 г., стр. 1).</w:t>
      </w:r>
    </w:p>
  </w:footnote>
  <w:footnote w:id="26">
    <w:p w:rsidR="00242E09" w:rsidRDefault="00CE46B8">
      <w:pPr>
        <w:pStyle w:val="FootnoteText"/>
      </w:pPr>
      <w:r>
        <w:rPr>
          <w:rStyle w:val="FootnoteReference"/>
        </w:rPr>
        <w:footnoteRef/>
      </w:r>
      <w:r>
        <w:tab/>
        <w:t>Директива 2006/112/ЕО на Съвета от 28 ноември 2006 г. относно общата система на да</w:t>
      </w:r>
      <w:r>
        <w:t>нъка върху добавената стойност (ОВ L 347, 11.12.2006 г., стр. 1).</w:t>
      </w:r>
    </w:p>
  </w:footnote>
  <w:footnote w:id="27">
    <w:p w:rsidR="00242E09" w:rsidRDefault="00CE46B8">
      <w:pPr>
        <w:pStyle w:val="FootnoteText"/>
      </w:pPr>
      <w:r>
        <w:rPr>
          <w:rStyle w:val="FootnoteReference"/>
        </w:rPr>
        <w:footnoteRef/>
      </w:r>
      <w:r>
        <w:tab/>
        <w:t>Регламент (ЕО) № 1893/2006 на Европейския парламент и на Съвета за установяване на статистическа класификация на икономическите дейности NACE Rev. 2 и за изменение на Регламент (ЕИО) № 303</w:t>
      </w:r>
      <w:r>
        <w:t>7/90 на Съвета, както и на някои ЕО регламенти относно специфичните статистически области (ОВ L 393, 30.12.2006 г., стр. 1).</w:t>
      </w:r>
    </w:p>
  </w:footnote>
  <w:footnote w:id="28">
    <w:p w:rsidR="00242E09" w:rsidRDefault="00CE46B8">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w:t>
      </w:r>
    </w:p>
    <w:p w:rsidR="00242E09" w:rsidRDefault="00CE46B8">
      <w:pPr>
        <w:pStyle w:val="FootnoteText"/>
        <w:ind w:firstLine="0"/>
      </w:pPr>
      <w:r>
        <w:t xml:space="preserve">(ОВ L 347, </w:t>
      </w:r>
      <w:r>
        <w:t>11.12.2006 г., стр. 1).</w:t>
      </w:r>
    </w:p>
  </w:footnote>
  <w:footnote w:id="29">
    <w:p w:rsidR="00242E09" w:rsidRDefault="00CE46B8">
      <w:pPr>
        <w:pStyle w:val="FootnoteText"/>
        <w:rPr>
          <w:szCs w:val="24"/>
        </w:rPr>
      </w:pPr>
      <w:r>
        <w:rPr>
          <w:rStyle w:val="FootnoteReference"/>
        </w:rPr>
        <w:footnoteRef/>
      </w:r>
      <w:r>
        <w:tab/>
        <w:t>УБ: управление по дейности; БД: бюджетиране по дейности.</w:t>
      </w:r>
    </w:p>
  </w:footnote>
  <w:footnote w:id="30">
    <w:p w:rsidR="00242E09" w:rsidRDefault="00CE46B8">
      <w:pPr>
        <w:pStyle w:val="FootnoteText"/>
        <w:rPr>
          <w:szCs w:val="24"/>
        </w:rPr>
      </w:pPr>
      <w:r>
        <w:rPr>
          <w:rStyle w:val="FootnoteReference"/>
        </w:rPr>
        <w:footnoteRef/>
      </w:r>
      <w:r>
        <w:tab/>
        <w:t>Съгласно член 54, параграф 2, буква а) или б) от Финансовия регламент.</w:t>
      </w:r>
    </w:p>
  </w:footnote>
  <w:footnote w:id="31">
    <w:p w:rsidR="00242E09" w:rsidRDefault="00CE46B8">
      <w:pPr>
        <w:pStyle w:val="FootnoteText"/>
        <w:jc w:val="left"/>
        <w:rPr>
          <w:szCs w:val="24"/>
        </w:rPr>
      </w:pPr>
      <w:r>
        <w:rPr>
          <w:rStyle w:val="FootnoteReference"/>
        </w:rPr>
        <w:footnoteRef/>
      </w:r>
      <w:r>
        <w:tab/>
        <w:t>Подробности във връзка с методите на управление и позоваванията на Финансовия регламент могат да б</w:t>
      </w:r>
      <w:r>
        <w:t xml:space="preserve">ъдат намерени на уебсайта BudgWeb: </w:t>
      </w:r>
      <w:hyperlink r:id="rId4">
        <w:r>
          <w:rPr>
            <w:rStyle w:val="Hyperlink"/>
          </w:rPr>
          <w:t>https://myintracomm.ec.europa.eu/budgweb/EN/man/budgmanag/Pages/budgmanag.aspx</w:t>
        </w:r>
      </w:hyperlink>
      <w:r>
        <w:t xml:space="preserve"> </w:t>
      </w:r>
    </w:p>
  </w:footnote>
  <w:footnote w:id="32">
    <w:p w:rsidR="00242E09" w:rsidRDefault="00CE46B8">
      <w:pPr>
        <w:pStyle w:val="FootnoteText"/>
        <w:rPr>
          <w:szCs w:val="24"/>
        </w:rPr>
      </w:pPr>
      <w:r>
        <w:rPr>
          <w:rStyle w:val="FootnoteReference"/>
        </w:rPr>
        <w:footnoteRef/>
      </w:r>
      <w:r>
        <w:tab/>
        <w:t>Многогод. = многогодишни бюджетни кредити</w:t>
      </w:r>
      <w:r>
        <w:t xml:space="preserve"> / едногод. = едногодишни бюджетни кредити.</w:t>
      </w:r>
    </w:p>
  </w:footnote>
  <w:footnote w:id="33">
    <w:p w:rsidR="00242E09" w:rsidRDefault="00CE46B8">
      <w:pPr>
        <w:pStyle w:val="FootnoteText"/>
        <w:rPr>
          <w:szCs w:val="24"/>
        </w:rPr>
      </w:pPr>
      <w:r>
        <w:rPr>
          <w:rStyle w:val="FootnoteReference"/>
        </w:rPr>
        <w:footnoteRef/>
      </w:r>
      <w:r>
        <w:tab/>
        <w:t xml:space="preserve">ЕАСТ: Европейска асоциация за свободна търговия. </w:t>
      </w:r>
    </w:p>
  </w:footnote>
  <w:footnote w:id="34">
    <w:p w:rsidR="00242E09" w:rsidRDefault="00CE46B8">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35">
    <w:p w:rsidR="00242E09" w:rsidRDefault="00CE46B8">
      <w:pPr>
        <w:pStyle w:val="FootnoteText"/>
        <w:rPr>
          <w:szCs w:val="24"/>
        </w:rPr>
      </w:pPr>
      <w:r>
        <w:rPr>
          <w:rStyle w:val="FootnoteReference"/>
        </w:rPr>
        <w:footnoteRef/>
      </w:r>
      <w:r>
        <w:tab/>
        <w:t>Техническа и/или административна помощ и разходи в подкрепа на из</w:t>
      </w:r>
      <w:r>
        <w:t>пълнението на програми и/или дейности на ЕС (предишни редове BA), непреки научни изследвания, преки научни изследвания.</w:t>
      </w:r>
    </w:p>
  </w:footnote>
  <w:footnote w:id="36">
    <w:p w:rsidR="00242E09" w:rsidRDefault="00CE46B8">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w:t>
      </w:r>
      <w:r>
        <w:t>реки научни изследвания, преки научни изследвания.</w:t>
      </w:r>
    </w:p>
  </w:footnote>
  <w:footnote w:id="37">
    <w:p w:rsidR="00242E09" w:rsidRDefault="00CE46B8">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38">
    <w:p w:rsidR="00242E09" w:rsidRDefault="00CE46B8">
      <w:pPr>
        <w:pStyle w:val="FootnoteText"/>
        <w:rPr>
          <w:szCs w:val="24"/>
        </w:rPr>
      </w:pPr>
      <w:r>
        <w:rPr>
          <w:rStyle w:val="FootnoteReference"/>
        </w:rPr>
        <w:footnoteRef/>
      </w:r>
      <w:r>
        <w:tab/>
        <w:t>Съгласно описанието в точка 1.4.2. „Конкрет</w:t>
      </w:r>
      <w:r>
        <w:t xml:space="preserve">ни цели…“. </w:t>
      </w:r>
    </w:p>
  </w:footnote>
  <w:footnote w:id="39">
    <w:p w:rsidR="00242E09" w:rsidRDefault="00CE46B8">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40">
    <w:p w:rsidR="00242E09" w:rsidRDefault="00CE46B8">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w:t>
      </w:r>
      <w:r>
        <w:t>ния, преки научни изследвания.</w:t>
      </w:r>
    </w:p>
  </w:footnote>
  <w:footnote w:id="41">
    <w:p w:rsidR="00242E09" w:rsidRDefault="00CE46B8">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2">
    <w:p w:rsidR="00242E09" w:rsidRDefault="00CE46B8">
      <w:pPr>
        <w:pStyle w:val="FootnoteText"/>
        <w:rPr>
          <w:szCs w:val="24"/>
        </w:rPr>
      </w:pPr>
      <w:r>
        <w:rPr>
          <w:rStyle w:val="FootnoteReference"/>
        </w:rPr>
        <w:footnoteRef/>
      </w:r>
      <w:r>
        <w:tab/>
        <w:t xml:space="preserve">Подтаван за външния персонал, покрит с </w:t>
      </w:r>
      <w:r>
        <w:t>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242E09">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242E09">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242E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9" w:rsidRDefault="00242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A4DE08"/>
    <w:lvl w:ilvl="0">
      <w:start w:val="1"/>
      <w:numFmt w:val="decimal"/>
      <w:pStyle w:val="TableofFigures"/>
      <w:lvlText w:val="%1."/>
      <w:lvlJc w:val="left"/>
      <w:pPr>
        <w:tabs>
          <w:tab w:val="num" w:pos="1209"/>
        </w:tabs>
        <w:ind w:left="1209" w:hanging="360"/>
      </w:pPr>
    </w:lvl>
  </w:abstractNum>
  <w:abstractNum w:abstractNumId="1">
    <w:nsid w:val="FFFFFF7E"/>
    <w:multiLevelType w:val="singleLevel"/>
    <w:tmpl w:val="E2E88294"/>
    <w:lvl w:ilvl="0">
      <w:start w:val="1"/>
      <w:numFmt w:val="decimal"/>
      <w:pStyle w:val="Caption"/>
      <w:lvlText w:val="%1."/>
      <w:lvlJc w:val="left"/>
      <w:pPr>
        <w:tabs>
          <w:tab w:val="num" w:pos="926"/>
        </w:tabs>
        <w:ind w:left="926" w:hanging="360"/>
      </w:pPr>
    </w:lvl>
  </w:abstractNum>
  <w:abstractNum w:abstractNumId="2">
    <w:nsid w:val="FFFFFF80"/>
    <w:multiLevelType w:val="singleLevel"/>
    <w:tmpl w:val="1FA45650"/>
    <w:lvl w:ilvl="0">
      <w:start w:val="1"/>
      <w:numFmt w:val="bullet"/>
      <w:pStyle w:val="List"/>
      <w:lvlText w:val=""/>
      <w:lvlJc w:val="left"/>
      <w:pPr>
        <w:tabs>
          <w:tab w:val="num" w:pos="1492"/>
        </w:tabs>
        <w:ind w:left="1492" w:hanging="360"/>
      </w:pPr>
      <w:rPr>
        <w:rFonts w:ascii="Symbol" w:hAnsi="Symbol" w:hint="default"/>
      </w:rPr>
    </w:lvl>
  </w:abstractNum>
  <w:abstractNum w:abstractNumId="3">
    <w:nsid w:val="FFFFFF81"/>
    <w:multiLevelType w:val="singleLevel"/>
    <w:tmpl w:val="2FF650A6"/>
    <w:lvl w:ilvl="0">
      <w:start w:val="1"/>
      <w:numFmt w:val="bullet"/>
      <w:pStyle w:val="ListNumber1Level4"/>
      <w:lvlText w:val=""/>
      <w:lvlJc w:val="left"/>
      <w:pPr>
        <w:tabs>
          <w:tab w:val="num" w:pos="1209"/>
        </w:tabs>
        <w:ind w:left="1209" w:hanging="360"/>
      </w:pPr>
      <w:rPr>
        <w:rFonts w:ascii="Symbol" w:hAnsi="Symbol" w:hint="default"/>
      </w:rPr>
    </w:lvl>
  </w:abstractNum>
  <w:abstractNum w:abstractNumId="4">
    <w:nsid w:val="FFFFFF82"/>
    <w:multiLevelType w:val="singleLevel"/>
    <w:tmpl w:val="4F9EF0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65D172F"/>
    <w:multiLevelType w:val="multilevel"/>
    <w:tmpl w:val="6AEE9BA4"/>
    <w:lvl w:ilvl="0">
      <w:start w:val="1"/>
      <w:numFmt w:val="decimal"/>
      <w:pStyle w:val="TOAHeading"/>
      <w:lvlText w:val="(%1)"/>
      <w:lvlJc w:val="left"/>
      <w:pPr>
        <w:tabs>
          <w:tab w:val="num" w:pos="1911"/>
        </w:tabs>
        <w:ind w:left="1911" w:hanging="709"/>
      </w:pPr>
    </w:lvl>
    <w:lvl w:ilvl="1">
      <w:start w:val="1"/>
      <w:numFmt w:val="lowerLetter"/>
      <w:pStyle w:val="YReferences"/>
      <w:lvlText w:val="(%2)"/>
      <w:lvlJc w:val="left"/>
      <w:pPr>
        <w:tabs>
          <w:tab w:val="num" w:pos="2619"/>
        </w:tabs>
        <w:ind w:left="2619" w:hanging="708"/>
      </w:pPr>
    </w:lvl>
    <w:lvl w:ilvl="2">
      <w:start w:val="1"/>
      <w:numFmt w:val="bullet"/>
      <w:pStyle w:val="ListDash"/>
      <w:lvlText w:val="–"/>
      <w:lvlJc w:val="left"/>
      <w:pPr>
        <w:tabs>
          <w:tab w:val="num" w:pos="3328"/>
        </w:tabs>
        <w:ind w:left="3328" w:hanging="709"/>
      </w:pPr>
      <w:rPr>
        <w:rFonts w:ascii="Times New Roman" w:hAnsi="Times New Roman"/>
      </w:rPr>
    </w:lvl>
    <w:lvl w:ilvl="3">
      <w:start w:val="1"/>
      <w:numFmt w:val="bullet"/>
      <w:pStyle w:val="ListDash3"/>
      <w:lvlText w:val=""/>
      <w:lvlJc w:val="left"/>
      <w:pPr>
        <w:tabs>
          <w:tab w:val="num" w:pos="4037"/>
        </w:tabs>
        <w:ind w:left="4037" w:hanging="709"/>
      </w:pPr>
      <w:rPr>
        <w:rFonts w:ascii="Symbol" w:hAnsi="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2B5C67"/>
    <w:multiLevelType w:val="singleLevel"/>
    <w:tmpl w:val="40D2097A"/>
    <w:lvl w:ilvl="0">
      <w:start w:val="1"/>
      <w:numFmt w:val="bullet"/>
      <w:pStyle w:val="TableofAuthorities"/>
      <w:lvlText w:val="–"/>
      <w:lvlJc w:val="left"/>
      <w:pPr>
        <w:tabs>
          <w:tab w:val="num" w:pos="283"/>
        </w:tabs>
        <w:ind w:left="283" w:hanging="283"/>
      </w:pPr>
      <w:rPr>
        <w:rFonts w:ascii="Times New Roman" w:hAnsi="Times New Roman"/>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91103A0"/>
    <w:multiLevelType w:val="singleLevel"/>
    <w:tmpl w:val="39A25962"/>
    <w:lvl w:ilvl="0">
      <w:start w:val="1"/>
      <w:numFmt w:val="bullet"/>
      <w:lvlRestart w:val="0"/>
      <w:pStyle w:val="CommentSubject"/>
      <w:lvlText w:val="–"/>
      <w:lvlJc w:val="left"/>
      <w:pPr>
        <w:tabs>
          <w:tab w:val="num" w:pos="850"/>
        </w:tabs>
        <w:ind w:left="850" w:hanging="850"/>
      </w:pPr>
    </w:lvl>
  </w:abstractNum>
  <w:abstractNum w:abstractNumId="25">
    <w:nsid w:val="6DD14640"/>
    <w:multiLevelType w:val="singleLevel"/>
    <w:tmpl w:val="6886582C"/>
    <w:lvl w:ilvl="0">
      <w:start w:val="1"/>
      <w:numFmt w:val="decimal"/>
      <w:lvlRestart w:val="0"/>
      <w:pStyle w:val="ListNumber2"/>
      <w:lvlText w:val="(%1)"/>
      <w:lvlJc w:val="left"/>
      <w:pPr>
        <w:tabs>
          <w:tab w:val="num" w:pos="709"/>
        </w:tabs>
        <w:ind w:left="709" w:hanging="709"/>
      </w:pPr>
    </w:lvl>
  </w:abstractNum>
  <w:abstractNum w:abstractNumId="26">
    <w:nsid w:val="6E5C21E3"/>
    <w:multiLevelType w:val="singleLevel"/>
    <w:tmpl w:val="91AE4CCA"/>
    <w:lvl w:ilvl="0">
      <w:start w:val="1"/>
      <w:numFmt w:val="bullet"/>
      <w:pStyle w:val="Title"/>
      <w:lvlText w:val="–"/>
      <w:lvlJc w:val="left"/>
      <w:pPr>
        <w:tabs>
          <w:tab w:val="num" w:pos="2199"/>
        </w:tabs>
        <w:ind w:left="2199" w:hanging="283"/>
      </w:pPr>
      <w:rPr>
        <w:rFonts w:ascii="Times New Roman" w:hAnsi="Times New Roman"/>
      </w:r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num>
  <w:num w:numId="2">
    <w:abstractNumId w:val="5"/>
  </w:num>
  <w:num w:numId="3">
    <w:abstractNumId w:val="15"/>
  </w:num>
  <w:num w:numId="4">
    <w:abstractNumId w:val="14"/>
  </w:num>
  <w:num w:numId="5">
    <w:abstractNumId w:val="27"/>
  </w:num>
  <w:num w:numId="6">
    <w:abstractNumId w:val="20"/>
  </w:num>
  <w:num w:numId="7">
    <w:abstractNumId w:val="2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12"/>
    <w:lvlOverride w:ilvl="0">
      <w:startOverride w:val="1"/>
    </w:lvlOverride>
  </w:num>
  <w:num w:numId="12">
    <w:abstractNumId w:val="1"/>
  </w:num>
  <w:num w:numId="13">
    <w:abstractNumId w:val="0"/>
  </w:num>
  <w:num w:numId="14">
    <w:abstractNumId w:val="2"/>
  </w:num>
  <w:num w:numId="15">
    <w:abstractNumId w:val="22"/>
  </w:num>
  <w:num w:numId="16">
    <w:abstractNumId w:val="26"/>
  </w:num>
  <w:num w:numId="17">
    <w:abstractNumId w:val="13"/>
  </w:num>
  <w:num w:numId="18">
    <w:abstractNumId w:val="29"/>
    <w:lvlOverride w:ilvl="0">
      <w:startOverride w:val="1"/>
    </w:lvlOverride>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0"/>
  </w:num>
  <w:num w:numId="44">
    <w:abstractNumId w:val="23"/>
  </w:num>
  <w:num w:numId="45">
    <w:abstractNumId w:val="9"/>
  </w:num>
  <w:num w:numId="46">
    <w:abstractNumId w:val="11"/>
  </w:num>
  <w:num w:numId="47">
    <w:abstractNumId w:val="7"/>
  </w:num>
  <w:num w:numId="48">
    <w:abstractNumId w:val="21"/>
  </w:num>
  <w:num w:numId="49">
    <w:abstractNumId w:val="6"/>
  </w:num>
  <w:num w:numId="50">
    <w:abstractNumId w:val="12"/>
  </w:num>
  <w:num w:numId="51">
    <w:abstractNumId w:val="17"/>
  </w:num>
  <w:num w:numId="52">
    <w:abstractNumId w:val="18"/>
  </w:num>
  <w:num w:numId="53">
    <w:abstractNumId w:val="8"/>
  </w:num>
  <w:num w:numId="54">
    <w:abstractNumId w:val="16"/>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7 14:07: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5"/>
    <w:docVar w:name="DQCStatus" w:val="Yellow"/>
    <w:docVar w:name="DQCVersion" w:val="3"/>
    <w:docVar w:name="DQCWithWarnings" w:val="0"/>
    <w:docVar w:name="LW_CONFIDENCE" w:val=" "/>
    <w:docVar w:name="LW_CONST_RESTREINT_UE" w:val="RESTREINT UE"/>
    <w:docVar w:name="LW_CORRIGENDUM" w:val="&lt;UNUSED&gt;"/>
    <w:docVar w:name="LW_COVERPAGE_GUID" w:val="7B33650B585D49FB865B5EFBCE49D454"/>
    <w:docVar w:name="LW_CROSSREFERENCE" w:val="{SWD(2017) 98 final}_x000b_{SWD(2017) 99 final}"/>
    <w:docVar w:name="LW_DocType" w:val="COM"/>
    <w:docVar w:name="LW_EMISSION" w:val="6.3.2017"/>
    <w:docVar w:name="LW_EMISSION_ISODATE" w:val="2017-03-06"/>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 (\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8"/>
    <w:docVar w:name="LW_REF.II.NEW.CP_YEAR" w:val="2017"/>
    <w:docVar w:name="LW_REF.INST.NEW" w:val="COM"/>
    <w:docVar w:name="LW_REF.INST.NEW_ADOPTED" w:val="final"/>
    <w:docVar w:name="LW_REF.INST.NEW_TEXT" w:val="(2017) 11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77?\u1074?\u1088?\u1086?\u1087?\u1077?\u1081?\u1089?\u1082?\u1072?\u1090?\u1072? \u1073?\u1080?\u1079?\u1085?\u1077?\u1089? \u1089?\u1090?\u1072?\u1090?\u1080?\u1089?\u1090?\u1080?\u1082?\u1072?_x000b_\u1079?\u1072? \u1080?\u1079?\u1084?\u1077?\u1085?\u1077?\u1085?\u1080?\u1077? \u1085?\u1072? \u1056?\u1077?\u1075?\u1083?\u1072?\u1084?\u1077?\u1085?\u1090? (\u1045?\u1054?) \u8470? 184/2005 \u1080? \u1079?\u1072? \u1086?\u1090?\u1084?\u1103?\u1085?\u1072? \u1085?\u1072? 10 \u1087?\u1088?\u1072?\u1074?\u1085?\u1080? \u1072?\u1082?\u1090?\u1072? \u1074? \u1086?\u1073?\u1083?\u1072?\u1089?\u1090?\u1090?\u1072? \u1085?\u1072? \u1073?\u1080?\u1079?\u1085?\u1077?\u1089? \u1089?\u1090?\u1072?\u1090?\u1080?\u1089?\u1090?\u1080?\u1082?\u1072?\u1090?\u1072?"/>
    <w:docVar w:name="LW_TYPE.DOC.CP" w:val="\u1056?\u1045?\u1043?\u1051?\u1040?\u1052?\u1045?\u1053?\u1058? \u1053?\u1040? \u1045?\u1042?\u1056?\u1054?\u1055?\u1045?\u1049?\u1057?\u1050?\u1048?\u1071? \u1055?\u1040?\u1056?\u1051?\u1040?\u1052?\u1045?\u1053?\u1058? \u1048? \u1053?\u1040? \u1057?\u1066?\u1042?\u1045?\u1058?\u1040?"/>
  </w:docVars>
  <w:rsids>
    <w:rsidRoot w:val="00242E09"/>
    <w:rsid w:val="00242E09"/>
    <w:rsid w:val="00981C6D"/>
    <w:rsid w:val="00A1004A"/>
    <w:rsid w:val="00CE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styleId="ListBullet2">
    <w:name w:val="List Bullet 2"/>
    <w:basedOn w:val="Normal"/>
    <w:pPr>
      <w:numPr>
        <w:numId w:val="7"/>
      </w:numPr>
    </w:pPr>
    <w:rPr>
      <w:rFonts w:eastAsia="Times New Roman"/>
    </w:rPr>
  </w:style>
  <w:style w:type="paragraph" w:styleId="ListBullet3">
    <w:name w:val="List Bullet 3"/>
    <w:basedOn w:val="Normal"/>
    <w:uiPriority w:val="99"/>
    <w:unhideWhenUsed/>
    <w:pPr>
      <w:numPr>
        <w:numId w:val="9"/>
      </w:numPr>
      <w:contextualSpacing/>
    </w:pPr>
  </w:style>
  <w:style w:type="paragraph" w:styleId="ListBullet4">
    <w:name w:val="List Bullet 4"/>
    <w:basedOn w:val="Normal"/>
    <w:unhideWhenUsed/>
    <w:pPr>
      <w:tabs>
        <w:tab w:val="num" w:pos="1209"/>
      </w:tabs>
      <w:ind w:left="1209" w:hanging="360"/>
      <w:contextualSpacing/>
    </w:pPr>
  </w:style>
  <w:style w:type="character" w:styleId="CommentReference">
    <w:name w:val="annotation reference"/>
    <w:uiPriority w:val="99"/>
    <w:rPr>
      <w:rFonts w:cs="Times New Roman"/>
      <w:sz w:val="16"/>
      <w:szCs w:val="16"/>
      <w:lang w:val="bg-BG" w:eastAsia="bg-BG"/>
    </w:rPr>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unhideWhenUsed/>
    <w:qFormat/>
    <w:pPr>
      <w:numPr>
        <w:numId w:val="12"/>
      </w:numPr>
      <w:tabs>
        <w:tab w:val="clear" w:pos="926"/>
      </w:tabs>
      <w:spacing w:before="0" w:after="200"/>
      <w:ind w:left="0" w:firstLine="0"/>
    </w:pPr>
    <w:rPr>
      <w:b/>
      <w:bCs/>
      <w:color w:val="4F81BD" w:themeColor="accent1"/>
      <w:sz w:val="18"/>
      <w:szCs w:val="18"/>
    </w:rPr>
  </w:style>
  <w:style w:type="paragraph" w:styleId="TableofFigures">
    <w:name w:val="table of figures"/>
    <w:basedOn w:val="Normal"/>
    <w:next w:val="Normal"/>
    <w:uiPriority w:val="99"/>
    <w:semiHidden/>
    <w:unhideWhenUsed/>
    <w:pPr>
      <w:numPr>
        <w:numId w:val="13"/>
      </w:numPr>
      <w:tabs>
        <w:tab w:val="clear" w:pos="1209"/>
      </w:tabs>
      <w:spacing w:after="0"/>
      <w:ind w:left="0" w:firstLine="0"/>
    </w:pPr>
  </w:style>
  <w:style w:type="paragraph" w:styleId="ListNumber2">
    <w:name w:val="List Number 2"/>
    <w:basedOn w:val="Normal"/>
    <w:unhideWhenUsed/>
    <w:pPr>
      <w:numPr>
        <w:numId w:val="1"/>
      </w:numPr>
      <w:contextualSpacing/>
    </w:pPr>
  </w:style>
  <w:style w:type="paragraph" w:styleId="ListNumber3">
    <w:name w:val="List Number 3"/>
    <w:basedOn w:val="Normal"/>
    <w:uiPriority w:val="99"/>
    <w:unhideWhenUsed/>
    <w:pPr>
      <w:tabs>
        <w:tab w:val="num" w:pos="1134"/>
      </w:tabs>
      <w:ind w:left="1134" w:hanging="283"/>
      <w:contextualSpacing/>
    </w:pPr>
  </w:style>
  <w:style w:type="paragraph" w:styleId="ListNumber4">
    <w:name w:val="List Number 4"/>
    <w:basedOn w:val="Normal"/>
    <w:uiPriority w:val="99"/>
    <w:unhideWhenUsed/>
    <w:pPr>
      <w:tabs>
        <w:tab w:val="num" w:pos="1134"/>
      </w:tabs>
      <w:ind w:left="1134" w:hanging="283"/>
      <w:contextualSpacing/>
    </w:pPr>
  </w:style>
  <w:style w:type="paragraph" w:styleId="CommentSubject">
    <w:name w:val="annotation subject"/>
    <w:basedOn w:val="CommentText"/>
    <w:next w:val="CommentText"/>
    <w:link w:val="CommentSubjectChar"/>
    <w:unhideWhenUsed/>
    <w:pPr>
      <w:numPr>
        <w:numId w:val="19"/>
      </w:numPr>
      <w:tabs>
        <w:tab w:val="clear" w:pos="850"/>
      </w:tabs>
      <w:ind w:left="0" w:firstLine="0"/>
    </w:pPr>
    <w:rPr>
      <w:b/>
      <w:bCs/>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bg-BG"/>
    </w:rPr>
  </w:style>
  <w:style w:type="character" w:customStyle="1" w:styleId="Text2Char">
    <w:name w:val="Text 2 Char"/>
    <w:rPr>
      <w:rFonts w:ascii="Times New Roman" w:hAnsi="Times New Roman" w:cs="Times New Roman"/>
      <w:sz w:val="24"/>
      <w:lang w:val="bg-BG"/>
    </w:rPr>
  </w:style>
  <w:style w:type="character" w:customStyle="1" w:styleId="NumPar1Char">
    <w:name w:val="NumPar 1 Char"/>
    <w:rPr>
      <w:rFonts w:ascii="Times New Roman" w:hAnsi="Times New Roman" w:cs="Times New Roman"/>
      <w:sz w:val="24"/>
      <w:lang w:val="bg-BG"/>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tabs>
        <w:tab w:val="num" w:pos="850"/>
      </w:tabs>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tabs>
        <w:tab w:val="num" w:pos="850"/>
      </w:tabs>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tabs>
        <w:tab w:val="num" w:pos="850"/>
      </w:tabs>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tabs>
        <w:tab w:val="num" w:pos="850"/>
      </w:tabs>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numPr>
        <w:numId w:val="14"/>
      </w:numPr>
      <w:tabs>
        <w:tab w:val="clear" w:pos="1492"/>
      </w:tabs>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709"/>
      </w:tabs>
      <w:spacing w:before="0" w:after="240"/>
      <w:ind w:left="709" w:hanging="709"/>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283"/>
      </w:tabs>
      <w:spacing w:before="0" w:after="240"/>
      <w:ind w:left="283" w:hanging="283"/>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uiPriority w:val="99"/>
    <w:qFormat/>
    <w:pPr>
      <w:tabs>
        <w:tab w:val="num" w:pos="850"/>
      </w:tabs>
      <w:spacing w:before="0" w:after="60"/>
      <w:ind w:left="850" w:hanging="85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bg-BG"/>
    </w:rPr>
  </w:style>
  <w:style w:type="paragraph" w:styleId="TableofAuthorities">
    <w:name w:val="table of authorities"/>
    <w:basedOn w:val="Normal"/>
    <w:next w:val="Normal"/>
    <w:semiHidden/>
    <w:pPr>
      <w:numPr>
        <w:numId w:val="15"/>
      </w:numPr>
      <w:tabs>
        <w:tab w:val="clear" w:pos="283"/>
        <w:tab w:val="num" w:pos="850"/>
      </w:tabs>
      <w:spacing w:before="0" w:after="240"/>
      <w:ind w:left="850" w:hanging="850"/>
    </w:pPr>
    <w:rPr>
      <w:rFonts w:eastAsia="Times New Roman"/>
      <w:szCs w:val="20"/>
    </w:rPr>
  </w:style>
  <w:style w:type="paragraph" w:styleId="Title">
    <w:name w:val="Title"/>
    <w:basedOn w:val="Normal"/>
    <w:link w:val="TitleChar"/>
    <w:uiPriority w:val="99"/>
    <w:qFormat/>
    <w:pPr>
      <w:numPr>
        <w:numId w:val="16"/>
      </w:numPr>
      <w:tabs>
        <w:tab w:val="clear" w:pos="2199"/>
        <w:tab w:val="num" w:pos="850"/>
      </w:tabs>
      <w:spacing w:before="240" w:after="60"/>
      <w:ind w:left="850" w:hanging="85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en-GB"/>
    </w:rPr>
  </w:style>
  <w:style w:type="paragraph" w:styleId="TOAHeading">
    <w:name w:val="toa heading"/>
    <w:basedOn w:val="Normal"/>
    <w:next w:val="Normal"/>
    <w:semiHidden/>
    <w:pPr>
      <w:numPr>
        <w:numId w:val="17"/>
      </w:numPr>
      <w:tabs>
        <w:tab w:val="clear" w:pos="1911"/>
      </w:tabs>
      <w:spacing w:after="240"/>
      <w:ind w:left="0" w:firstLine="0"/>
    </w:pPr>
    <w:rPr>
      <w:rFonts w:ascii="Arial" w:eastAsia="Times New Roman" w:hAnsi="Arial"/>
      <w:b/>
      <w:szCs w:val="20"/>
    </w:rPr>
  </w:style>
  <w:style w:type="paragraph" w:customStyle="1" w:styleId="YReferences">
    <w:name w:val="YReferences"/>
    <w:basedOn w:val="Normal"/>
    <w:next w:val="Normal"/>
    <w:pPr>
      <w:numPr>
        <w:ilvl w:val="1"/>
        <w:numId w:val="17"/>
      </w:numPr>
      <w:tabs>
        <w:tab w:val="clear" w:pos="2619"/>
      </w:tabs>
      <w:spacing w:before="0" w:after="480"/>
      <w:ind w:left="1191" w:hanging="1191"/>
    </w:pPr>
    <w:rPr>
      <w:rFonts w:eastAsia="Times New Roman"/>
      <w:szCs w:val="20"/>
    </w:rPr>
  </w:style>
  <w:style w:type="paragraph" w:customStyle="1" w:styleId="ListDash">
    <w:name w:val="List Dash"/>
    <w:basedOn w:val="Normal"/>
    <w:pPr>
      <w:numPr>
        <w:ilvl w:val="2"/>
        <w:numId w:val="17"/>
      </w:numPr>
      <w:tabs>
        <w:tab w:val="clear" w:pos="3328"/>
        <w:tab w:val="num" w:pos="283"/>
      </w:tabs>
      <w:spacing w:before="0" w:after="240"/>
      <w:ind w:left="283" w:hanging="283"/>
    </w:pPr>
    <w:rPr>
      <w:rFonts w:eastAsia="Times New Roman"/>
      <w:szCs w:val="20"/>
    </w:rPr>
  </w:style>
  <w:style w:type="paragraph" w:customStyle="1" w:styleId="ListDash3">
    <w:name w:val="List Dash 3"/>
    <w:basedOn w:val="Text3"/>
    <w:pPr>
      <w:numPr>
        <w:ilvl w:val="3"/>
        <w:numId w:val="17"/>
      </w:numPr>
      <w:tabs>
        <w:tab w:val="clear" w:pos="4037"/>
        <w:tab w:val="num" w:pos="2199"/>
      </w:tabs>
      <w:spacing w:before="0" w:after="240"/>
      <w:ind w:left="2199" w:hanging="283"/>
    </w:pPr>
    <w:rPr>
      <w:rFonts w:eastAsia="Times New Roman"/>
      <w:szCs w:val="20"/>
    </w:rPr>
  </w:style>
  <w:style w:type="paragraph" w:customStyle="1" w:styleId="ListDash4">
    <w:name w:val="List Dash 4"/>
    <w:basedOn w:val="Text4"/>
    <w:pPr>
      <w:tabs>
        <w:tab w:val="num" w:pos="926"/>
      </w:tabs>
      <w:spacing w:before="0" w:after="240"/>
      <w:ind w:left="926" w:hanging="360"/>
    </w:pPr>
    <w:rPr>
      <w:rFonts w:eastAsia="Times New Roman"/>
      <w:szCs w:val="20"/>
    </w:rPr>
  </w:style>
  <w:style w:type="paragraph" w:customStyle="1" w:styleId="ListNumber1">
    <w:name w:val="List Number 1"/>
    <w:basedOn w:val="Text1"/>
    <w:pPr>
      <w:tabs>
        <w:tab w:val="num" w:pos="1209"/>
      </w:tabs>
      <w:spacing w:before="0" w:after="240"/>
      <w:ind w:left="1209" w:hanging="360"/>
    </w:pPr>
    <w:rPr>
      <w:rFonts w:eastAsia="Times New Roman"/>
      <w:szCs w:val="20"/>
    </w:rPr>
  </w:style>
  <w:style w:type="paragraph" w:customStyle="1" w:styleId="ListNumber1Level2">
    <w:name w:val="List Number 1 (Level 2)"/>
    <w:basedOn w:val="Text1"/>
    <w:pPr>
      <w:numPr>
        <w:ilvl w:val="1"/>
        <w:numId w:val="10"/>
      </w:numPr>
      <w:spacing w:before="0" w:after="240"/>
    </w:pPr>
    <w:rPr>
      <w:rFonts w:eastAsia="Times New Roman"/>
      <w:szCs w:val="20"/>
    </w:rPr>
  </w:style>
  <w:style w:type="paragraph" w:customStyle="1" w:styleId="ListNumber1Level3">
    <w:name w:val="List Number 1 (Level 3)"/>
    <w:basedOn w:val="Text1"/>
    <w:pPr>
      <w:numPr>
        <w:ilvl w:val="2"/>
        <w:numId w:val="10"/>
      </w:numPr>
      <w:spacing w:before="0" w:after="240"/>
    </w:pPr>
    <w:rPr>
      <w:rFonts w:eastAsia="Times New Roman"/>
      <w:szCs w:val="20"/>
    </w:rPr>
  </w:style>
  <w:style w:type="paragraph" w:customStyle="1" w:styleId="ListNumber1Level4">
    <w:name w:val="List Number 1 (Level 4)"/>
    <w:basedOn w:val="Text1"/>
    <w:pPr>
      <w:numPr>
        <w:ilvl w:val="3"/>
        <w:numId w:val="10"/>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b/>
      <w:smallCaps/>
      <w:sz w:val="20"/>
      <w:szCs w:val="20"/>
      <w:u w:val="single"/>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customStyle="1" w:styleId="StyleNumPar2NotBold">
    <w:name w:val="Style NumPar 2 + Not Bold"/>
    <w:basedOn w:val="NumPar2"/>
    <w:pPr>
      <w:numPr>
        <w:ilvl w:val="0"/>
        <w:numId w:val="0"/>
      </w:numPr>
      <w:tabs>
        <w:tab w:val="num" w:pos="850"/>
      </w:tabs>
      <w:ind w:left="850" w:hanging="850"/>
    </w:pPr>
  </w:style>
  <w:style w:type="paragraph" w:customStyle="1" w:styleId="StyleNumPar1NotBold">
    <w:name w:val="Style NumPar 1 + Not Bold"/>
    <w:basedOn w:val="NumPar1"/>
    <w:link w:val="StyleNumPar1NotBoldChar"/>
    <w:pPr>
      <w:numPr>
        <w:numId w:val="0"/>
      </w:numPr>
      <w:tabs>
        <w:tab w:val="num" w:pos="850"/>
        <w:tab w:val="num" w:pos="1134"/>
      </w:tabs>
      <w:spacing w:before="240" w:after="0"/>
      <w:ind w:left="482" w:hanging="482"/>
    </w:pPr>
    <w:rPr>
      <w:rFonts w:ascii="Times New Roman Bold" w:eastAsia="Times New Roman" w:hAnsi="Times New Roman Bold"/>
      <w:b/>
      <w:smallCaps/>
      <w:szCs w:val="24"/>
    </w:rPr>
  </w:style>
  <w:style w:type="character" w:customStyle="1" w:styleId="StyleNumPar1NotBoldChar">
    <w:name w:val="Style NumPar 1 + Not Bold Char"/>
    <w:link w:val="StyleNumPar1NotBold"/>
    <w:rPr>
      <w:rFonts w:ascii="Times New Roman Bold" w:eastAsia="Times New Roman" w:hAnsi="Times New Roman Bold" w:cs="Times New Roman"/>
      <w:b/>
      <w:smallCaps/>
      <w:sz w:val="24"/>
      <w:szCs w:val="24"/>
      <w:lang w:val="bg-BG"/>
    </w:rPr>
  </w:style>
  <w:style w:type="paragraph" w:styleId="NormalWeb">
    <w:name w:val="Normal (Web)"/>
    <w:basedOn w:val="Normal"/>
    <w:pPr>
      <w:spacing w:before="100" w:beforeAutospacing="1" w:after="100" w:afterAutospacing="1"/>
    </w:pPr>
    <w:rPr>
      <w:rFonts w:ascii="Arial" w:eastAsia="Times New Roman" w:hAnsi="Arial" w:cs="Arial"/>
      <w:sz w:val="20"/>
      <w:szCs w:val="20"/>
    </w:rPr>
  </w:style>
  <w:style w:type="paragraph" w:customStyle="1" w:styleId="bodytext0">
    <w:name w:val="bodytext"/>
    <w:basedOn w:val="Normal"/>
    <w:pPr>
      <w:spacing w:before="100" w:beforeAutospacing="1" w:after="100" w:afterAutospacing="1"/>
    </w:pPr>
    <w:rPr>
      <w:rFonts w:ascii="Arial" w:eastAsia="Times New Roman" w:hAnsi="Arial" w:cs="Arial"/>
      <w:sz w:val="20"/>
      <w:szCs w:val="20"/>
    </w:rPr>
  </w:style>
  <w:style w:type="paragraph" w:customStyle="1" w:styleId="titre3">
    <w:name w:val="titre3"/>
    <w:basedOn w:val="Normal"/>
    <w:pPr>
      <w:spacing w:before="100" w:beforeAutospacing="1" w:after="100" w:afterAutospacing="1"/>
    </w:pPr>
    <w:rPr>
      <w:rFonts w:ascii="Arial" w:eastAsia="Times New Roman" w:hAnsi="Arial" w:cs="Arial"/>
      <w:b/>
      <w:bCs/>
      <w:sz w:val="20"/>
      <w:szCs w:val="20"/>
    </w:rPr>
  </w:style>
  <w:style w:type="character" w:customStyle="1" w:styleId="titre41">
    <w:name w:val="titre41"/>
    <w:rPr>
      <w:rFonts w:ascii="Arial" w:hAnsi="Arial" w:cs="Arial" w:hint="default"/>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ext">
    <w:name w:val="Text"/>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tw4winMark">
    <w:name w:val="tw4winMark"/>
    <w:rPr>
      <w:rFonts w:ascii="Times New Roman" w:hAnsi="Times New Roman"/>
      <w:vanish/>
      <w:color w:val="800080"/>
      <w:sz w:val="24"/>
      <w:vertAlign w:val="subscript"/>
      <w:lang w:val="bg-BG" w:eastAsia="bg-BG"/>
    </w:rPr>
  </w:style>
  <w:style w:type="character" w:customStyle="1" w:styleId="tw4winError">
    <w:name w:val="tw4winError"/>
    <w:rPr>
      <w:color w:val="00FF00"/>
      <w:sz w:val="40"/>
      <w:lang w:val="bg-BG" w:eastAsia="bg-BG"/>
    </w:rPr>
  </w:style>
  <w:style w:type="character" w:customStyle="1" w:styleId="tw4winTerm">
    <w:name w:val="tw4winTerm"/>
    <w:rPr>
      <w:color w:val="0000FF"/>
      <w:lang w:val="bg-BG" w:eastAsia="bg-BG"/>
    </w:rPr>
  </w:style>
  <w:style w:type="character" w:customStyle="1" w:styleId="tw4winPopup">
    <w:name w:val="tw4winPopup"/>
    <w:rPr>
      <w:noProof/>
      <w:color w:val="008000"/>
      <w:lang w:val="bg-BG" w:eastAsia="bg-BG"/>
    </w:rPr>
  </w:style>
  <w:style w:type="character" w:customStyle="1" w:styleId="tw4winJump">
    <w:name w:val="tw4winJump"/>
    <w:rPr>
      <w:noProof/>
      <w:color w:val="008080"/>
      <w:lang w:val="bg-BG" w:eastAsia="bg-BG"/>
    </w:rPr>
  </w:style>
  <w:style w:type="character" w:customStyle="1" w:styleId="tw4winExternal">
    <w:name w:val="tw4winExternal"/>
    <w:rPr>
      <w:noProof/>
      <w:color w:val="808080"/>
      <w:lang w:val="bg-BG" w:eastAsia="bg-BG"/>
    </w:rPr>
  </w:style>
  <w:style w:type="character" w:customStyle="1" w:styleId="tw4winInternal">
    <w:name w:val="tw4winInternal"/>
    <w:rPr>
      <w:noProof/>
      <w:color w:val="FF0000"/>
      <w:lang w:val="bg-BG" w:eastAsia="bg-BG"/>
    </w:rPr>
  </w:style>
  <w:style w:type="character" w:customStyle="1" w:styleId="DONOTTRANSLATE">
    <w:name w:val="DO_NOT_TRANSLATE"/>
    <w:rPr>
      <w:noProof/>
      <w:color w:val="80000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bCs/>
      <w:szCs w:val="28"/>
    </w:rPr>
  </w:style>
  <w:style w:type="character" w:customStyle="1" w:styleId="FooterCoverPageChar">
    <w:name w:val="Footer Cover Page Char"/>
    <w:link w:val="FooterCoverPage"/>
    <w:rPr>
      <w:rFonts w:ascii="Times New Roman" w:eastAsia="Times New Roman" w:hAnsi="Times New Roman" w:cs="Times New Roman"/>
      <w:bCs/>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imes New Roman"/>
      <w:bCs/>
      <w:szCs w:val="28"/>
    </w:rPr>
  </w:style>
  <w:style w:type="character" w:customStyle="1" w:styleId="HeaderCoverPageChar">
    <w:name w:val="Header Cover Page Char"/>
    <w:link w:val="HeaderCoverPage"/>
    <w:rPr>
      <w:rFonts w:ascii="Times New Roman" w:eastAsia="Times New Roman" w:hAnsi="Times New Roman" w:cs="Times New Roman"/>
      <w:bCs/>
      <w:sz w:val="24"/>
      <w:szCs w:val="28"/>
    </w:rPr>
  </w:style>
  <w:style w:type="paragraph" w:customStyle="1" w:styleId="SubTitle1">
    <w:name w:val="SubTitle 1"/>
    <w:basedOn w:val="Normal"/>
    <w:next w:val="Normal"/>
    <w:uiPriority w:val="99"/>
    <w:pPr>
      <w:spacing w:before="0" w:after="0"/>
      <w:ind w:left="851"/>
      <w:jc w:val="center"/>
    </w:pPr>
    <w:rPr>
      <w:rFonts w:ascii="Arial" w:eastAsia="Times New Roman" w:hAnsi="Arial"/>
      <w:iCs/>
      <w:sz w:val="32"/>
      <w:szCs w:val="24"/>
    </w:rPr>
  </w:style>
  <w:style w:type="character" w:customStyle="1" w:styleId="s7">
    <w:name w:val="s7"/>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stitle-article-norm2">
    <w:name w:val="stitle-article-norm2"/>
    <w:basedOn w:val="Normal"/>
    <w:pPr>
      <w:spacing w:before="240" w:line="312" w:lineRule="atLeast"/>
      <w:jc w:val="center"/>
    </w:pPr>
    <w:rPr>
      <w:rFonts w:eastAsia="Times New Roman"/>
      <w:b/>
      <w:bCs/>
      <w:szCs w:val="24"/>
    </w:rPr>
  </w:style>
  <w:style w:type="paragraph" w:customStyle="1" w:styleId="norm3">
    <w:name w:val="norm3"/>
    <w:basedOn w:val="Normal"/>
    <w:pPr>
      <w:spacing w:after="0" w:line="312" w:lineRule="atLeas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Normal"/>
    <w:pPr>
      <w:autoSpaceDE w:val="0"/>
      <w:autoSpaceDN w:val="0"/>
      <w:adjustRightInd w:val="0"/>
      <w:spacing w:after="0"/>
      <w:ind w:left="720" w:hanging="720"/>
    </w:pPr>
    <w:rPr>
      <w:bCs/>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styleId="ListBullet2">
    <w:name w:val="List Bullet 2"/>
    <w:basedOn w:val="Normal"/>
    <w:pPr>
      <w:numPr>
        <w:numId w:val="7"/>
      </w:numPr>
    </w:pPr>
    <w:rPr>
      <w:rFonts w:eastAsia="Times New Roman"/>
    </w:rPr>
  </w:style>
  <w:style w:type="paragraph" w:styleId="ListBullet3">
    <w:name w:val="List Bullet 3"/>
    <w:basedOn w:val="Normal"/>
    <w:uiPriority w:val="99"/>
    <w:unhideWhenUsed/>
    <w:pPr>
      <w:numPr>
        <w:numId w:val="9"/>
      </w:numPr>
      <w:contextualSpacing/>
    </w:pPr>
  </w:style>
  <w:style w:type="paragraph" w:styleId="ListBullet4">
    <w:name w:val="List Bullet 4"/>
    <w:basedOn w:val="Normal"/>
    <w:unhideWhenUsed/>
    <w:pPr>
      <w:tabs>
        <w:tab w:val="num" w:pos="1209"/>
      </w:tabs>
      <w:ind w:left="1209" w:hanging="360"/>
      <w:contextualSpacing/>
    </w:pPr>
  </w:style>
  <w:style w:type="character" w:styleId="CommentReference">
    <w:name w:val="annotation reference"/>
    <w:uiPriority w:val="99"/>
    <w:rPr>
      <w:rFonts w:cs="Times New Roman"/>
      <w:sz w:val="16"/>
      <w:szCs w:val="16"/>
      <w:lang w:val="bg-BG" w:eastAsia="bg-BG"/>
    </w:rPr>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unhideWhenUsed/>
    <w:qFormat/>
    <w:pPr>
      <w:numPr>
        <w:numId w:val="12"/>
      </w:numPr>
      <w:tabs>
        <w:tab w:val="clear" w:pos="926"/>
      </w:tabs>
      <w:spacing w:before="0" w:after="200"/>
      <w:ind w:left="0" w:firstLine="0"/>
    </w:pPr>
    <w:rPr>
      <w:b/>
      <w:bCs/>
      <w:color w:val="4F81BD" w:themeColor="accent1"/>
      <w:sz w:val="18"/>
      <w:szCs w:val="18"/>
    </w:rPr>
  </w:style>
  <w:style w:type="paragraph" w:styleId="TableofFigures">
    <w:name w:val="table of figures"/>
    <w:basedOn w:val="Normal"/>
    <w:next w:val="Normal"/>
    <w:uiPriority w:val="99"/>
    <w:semiHidden/>
    <w:unhideWhenUsed/>
    <w:pPr>
      <w:numPr>
        <w:numId w:val="13"/>
      </w:numPr>
      <w:tabs>
        <w:tab w:val="clear" w:pos="1209"/>
      </w:tabs>
      <w:spacing w:after="0"/>
      <w:ind w:left="0" w:firstLine="0"/>
    </w:pPr>
  </w:style>
  <w:style w:type="paragraph" w:styleId="ListNumber2">
    <w:name w:val="List Number 2"/>
    <w:basedOn w:val="Normal"/>
    <w:unhideWhenUsed/>
    <w:pPr>
      <w:numPr>
        <w:numId w:val="1"/>
      </w:numPr>
      <w:contextualSpacing/>
    </w:pPr>
  </w:style>
  <w:style w:type="paragraph" w:styleId="ListNumber3">
    <w:name w:val="List Number 3"/>
    <w:basedOn w:val="Normal"/>
    <w:uiPriority w:val="99"/>
    <w:unhideWhenUsed/>
    <w:pPr>
      <w:tabs>
        <w:tab w:val="num" w:pos="1134"/>
      </w:tabs>
      <w:ind w:left="1134" w:hanging="283"/>
      <w:contextualSpacing/>
    </w:pPr>
  </w:style>
  <w:style w:type="paragraph" w:styleId="ListNumber4">
    <w:name w:val="List Number 4"/>
    <w:basedOn w:val="Normal"/>
    <w:uiPriority w:val="99"/>
    <w:unhideWhenUsed/>
    <w:pPr>
      <w:tabs>
        <w:tab w:val="num" w:pos="1134"/>
      </w:tabs>
      <w:ind w:left="1134" w:hanging="283"/>
      <w:contextualSpacing/>
    </w:pPr>
  </w:style>
  <w:style w:type="paragraph" w:styleId="CommentSubject">
    <w:name w:val="annotation subject"/>
    <w:basedOn w:val="CommentText"/>
    <w:next w:val="CommentText"/>
    <w:link w:val="CommentSubjectChar"/>
    <w:unhideWhenUsed/>
    <w:pPr>
      <w:numPr>
        <w:numId w:val="19"/>
      </w:numPr>
      <w:tabs>
        <w:tab w:val="clear" w:pos="850"/>
      </w:tabs>
      <w:ind w:left="0" w:firstLine="0"/>
    </w:pPr>
    <w:rPr>
      <w:b/>
      <w:bCs/>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bg-BG"/>
    </w:rPr>
  </w:style>
  <w:style w:type="character" w:customStyle="1" w:styleId="Text2Char">
    <w:name w:val="Text 2 Char"/>
    <w:rPr>
      <w:rFonts w:ascii="Times New Roman" w:hAnsi="Times New Roman" w:cs="Times New Roman"/>
      <w:sz w:val="24"/>
      <w:lang w:val="bg-BG"/>
    </w:rPr>
  </w:style>
  <w:style w:type="character" w:customStyle="1" w:styleId="NumPar1Char">
    <w:name w:val="NumPar 1 Char"/>
    <w:rPr>
      <w:rFonts w:ascii="Times New Roman" w:hAnsi="Times New Roman" w:cs="Times New Roman"/>
      <w:sz w:val="24"/>
      <w:lang w:val="bg-BG"/>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tabs>
        <w:tab w:val="num" w:pos="850"/>
      </w:tabs>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tabs>
        <w:tab w:val="num" w:pos="850"/>
      </w:tabs>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tabs>
        <w:tab w:val="num" w:pos="850"/>
      </w:tabs>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tabs>
        <w:tab w:val="num" w:pos="850"/>
      </w:tabs>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numPr>
        <w:numId w:val="14"/>
      </w:numPr>
      <w:tabs>
        <w:tab w:val="clear" w:pos="1492"/>
      </w:tabs>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709"/>
      </w:tabs>
      <w:spacing w:before="0" w:after="240"/>
      <w:ind w:left="709" w:hanging="709"/>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283"/>
      </w:tabs>
      <w:spacing w:before="0" w:after="240"/>
      <w:ind w:left="283" w:hanging="283"/>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uiPriority w:val="99"/>
    <w:qFormat/>
    <w:pPr>
      <w:tabs>
        <w:tab w:val="num" w:pos="850"/>
      </w:tabs>
      <w:spacing w:before="0" w:after="60"/>
      <w:ind w:left="850" w:hanging="85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bg-BG"/>
    </w:rPr>
  </w:style>
  <w:style w:type="paragraph" w:styleId="TableofAuthorities">
    <w:name w:val="table of authorities"/>
    <w:basedOn w:val="Normal"/>
    <w:next w:val="Normal"/>
    <w:semiHidden/>
    <w:pPr>
      <w:numPr>
        <w:numId w:val="15"/>
      </w:numPr>
      <w:tabs>
        <w:tab w:val="clear" w:pos="283"/>
        <w:tab w:val="num" w:pos="850"/>
      </w:tabs>
      <w:spacing w:before="0" w:after="240"/>
      <w:ind w:left="850" w:hanging="850"/>
    </w:pPr>
    <w:rPr>
      <w:rFonts w:eastAsia="Times New Roman"/>
      <w:szCs w:val="20"/>
    </w:rPr>
  </w:style>
  <w:style w:type="paragraph" w:styleId="Title">
    <w:name w:val="Title"/>
    <w:basedOn w:val="Normal"/>
    <w:link w:val="TitleChar"/>
    <w:uiPriority w:val="99"/>
    <w:qFormat/>
    <w:pPr>
      <w:numPr>
        <w:numId w:val="16"/>
      </w:numPr>
      <w:tabs>
        <w:tab w:val="clear" w:pos="2199"/>
        <w:tab w:val="num" w:pos="850"/>
      </w:tabs>
      <w:spacing w:before="240" w:after="60"/>
      <w:ind w:left="850" w:hanging="85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en-GB"/>
    </w:rPr>
  </w:style>
  <w:style w:type="paragraph" w:styleId="TOAHeading">
    <w:name w:val="toa heading"/>
    <w:basedOn w:val="Normal"/>
    <w:next w:val="Normal"/>
    <w:semiHidden/>
    <w:pPr>
      <w:numPr>
        <w:numId w:val="17"/>
      </w:numPr>
      <w:tabs>
        <w:tab w:val="clear" w:pos="1911"/>
      </w:tabs>
      <w:spacing w:after="240"/>
      <w:ind w:left="0" w:firstLine="0"/>
    </w:pPr>
    <w:rPr>
      <w:rFonts w:ascii="Arial" w:eastAsia="Times New Roman" w:hAnsi="Arial"/>
      <w:b/>
      <w:szCs w:val="20"/>
    </w:rPr>
  </w:style>
  <w:style w:type="paragraph" w:customStyle="1" w:styleId="YReferences">
    <w:name w:val="YReferences"/>
    <w:basedOn w:val="Normal"/>
    <w:next w:val="Normal"/>
    <w:pPr>
      <w:numPr>
        <w:ilvl w:val="1"/>
        <w:numId w:val="17"/>
      </w:numPr>
      <w:tabs>
        <w:tab w:val="clear" w:pos="2619"/>
      </w:tabs>
      <w:spacing w:before="0" w:after="480"/>
      <w:ind w:left="1191" w:hanging="1191"/>
    </w:pPr>
    <w:rPr>
      <w:rFonts w:eastAsia="Times New Roman"/>
      <w:szCs w:val="20"/>
    </w:rPr>
  </w:style>
  <w:style w:type="paragraph" w:customStyle="1" w:styleId="ListDash">
    <w:name w:val="List Dash"/>
    <w:basedOn w:val="Normal"/>
    <w:pPr>
      <w:numPr>
        <w:ilvl w:val="2"/>
        <w:numId w:val="17"/>
      </w:numPr>
      <w:tabs>
        <w:tab w:val="clear" w:pos="3328"/>
        <w:tab w:val="num" w:pos="283"/>
      </w:tabs>
      <w:spacing w:before="0" w:after="240"/>
      <w:ind w:left="283" w:hanging="283"/>
    </w:pPr>
    <w:rPr>
      <w:rFonts w:eastAsia="Times New Roman"/>
      <w:szCs w:val="20"/>
    </w:rPr>
  </w:style>
  <w:style w:type="paragraph" w:customStyle="1" w:styleId="ListDash3">
    <w:name w:val="List Dash 3"/>
    <w:basedOn w:val="Text3"/>
    <w:pPr>
      <w:numPr>
        <w:ilvl w:val="3"/>
        <w:numId w:val="17"/>
      </w:numPr>
      <w:tabs>
        <w:tab w:val="clear" w:pos="4037"/>
        <w:tab w:val="num" w:pos="2199"/>
      </w:tabs>
      <w:spacing w:before="0" w:after="240"/>
      <w:ind w:left="2199" w:hanging="283"/>
    </w:pPr>
    <w:rPr>
      <w:rFonts w:eastAsia="Times New Roman"/>
      <w:szCs w:val="20"/>
    </w:rPr>
  </w:style>
  <w:style w:type="paragraph" w:customStyle="1" w:styleId="ListDash4">
    <w:name w:val="List Dash 4"/>
    <w:basedOn w:val="Text4"/>
    <w:pPr>
      <w:tabs>
        <w:tab w:val="num" w:pos="926"/>
      </w:tabs>
      <w:spacing w:before="0" w:after="240"/>
      <w:ind w:left="926" w:hanging="360"/>
    </w:pPr>
    <w:rPr>
      <w:rFonts w:eastAsia="Times New Roman"/>
      <w:szCs w:val="20"/>
    </w:rPr>
  </w:style>
  <w:style w:type="paragraph" w:customStyle="1" w:styleId="ListNumber1">
    <w:name w:val="List Number 1"/>
    <w:basedOn w:val="Text1"/>
    <w:pPr>
      <w:tabs>
        <w:tab w:val="num" w:pos="1209"/>
      </w:tabs>
      <w:spacing w:before="0" w:after="240"/>
      <w:ind w:left="1209" w:hanging="360"/>
    </w:pPr>
    <w:rPr>
      <w:rFonts w:eastAsia="Times New Roman"/>
      <w:szCs w:val="20"/>
    </w:rPr>
  </w:style>
  <w:style w:type="paragraph" w:customStyle="1" w:styleId="ListNumber1Level2">
    <w:name w:val="List Number 1 (Level 2)"/>
    <w:basedOn w:val="Text1"/>
    <w:pPr>
      <w:numPr>
        <w:ilvl w:val="1"/>
        <w:numId w:val="10"/>
      </w:numPr>
      <w:spacing w:before="0" w:after="240"/>
    </w:pPr>
    <w:rPr>
      <w:rFonts w:eastAsia="Times New Roman"/>
      <w:szCs w:val="20"/>
    </w:rPr>
  </w:style>
  <w:style w:type="paragraph" w:customStyle="1" w:styleId="ListNumber1Level3">
    <w:name w:val="List Number 1 (Level 3)"/>
    <w:basedOn w:val="Text1"/>
    <w:pPr>
      <w:numPr>
        <w:ilvl w:val="2"/>
        <w:numId w:val="10"/>
      </w:numPr>
      <w:spacing w:before="0" w:after="240"/>
    </w:pPr>
    <w:rPr>
      <w:rFonts w:eastAsia="Times New Roman"/>
      <w:szCs w:val="20"/>
    </w:rPr>
  </w:style>
  <w:style w:type="paragraph" w:customStyle="1" w:styleId="ListNumber1Level4">
    <w:name w:val="List Number 1 (Level 4)"/>
    <w:basedOn w:val="Text1"/>
    <w:pPr>
      <w:numPr>
        <w:ilvl w:val="3"/>
        <w:numId w:val="10"/>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b/>
      <w:smallCaps/>
      <w:sz w:val="20"/>
      <w:szCs w:val="20"/>
      <w:u w:val="single"/>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customStyle="1" w:styleId="StyleNumPar2NotBold">
    <w:name w:val="Style NumPar 2 + Not Bold"/>
    <w:basedOn w:val="NumPar2"/>
    <w:pPr>
      <w:numPr>
        <w:ilvl w:val="0"/>
        <w:numId w:val="0"/>
      </w:numPr>
      <w:tabs>
        <w:tab w:val="num" w:pos="850"/>
      </w:tabs>
      <w:ind w:left="850" w:hanging="850"/>
    </w:pPr>
  </w:style>
  <w:style w:type="paragraph" w:customStyle="1" w:styleId="StyleNumPar1NotBold">
    <w:name w:val="Style NumPar 1 + Not Bold"/>
    <w:basedOn w:val="NumPar1"/>
    <w:link w:val="StyleNumPar1NotBoldChar"/>
    <w:pPr>
      <w:numPr>
        <w:numId w:val="0"/>
      </w:numPr>
      <w:tabs>
        <w:tab w:val="num" w:pos="850"/>
        <w:tab w:val="num" w:pos="1134"/>
      </w:tabs>
      <w:spacing w:before="240" w:after="0"/>
      <w:ind w:left="482" w:hanging="482"/>
    </w:pPr>
    <w:rPr>
      <w:rFonts w:ascii="Times New Roman Bold" w:eastAsia="Times New Roman" w:hAnsi="Times New Roman Bold"/>
      <w:b/>
      <w:smallCaps/>
      <w:szCs w:val="24"/>
    </w:rPr>
  </w:style>
  <w:style w:type="character" w:customStyle="1" w:styleId="StyleNumPar1NotBoldChar">
    <w:name w:val="Style NumPar 1 + Not Bold Char"/>
    <w:link w:val="StyleNumPar1NotBold"/>
    <w:rPr>
      <w:rFonts w:ascii="Times New Roman Bold" w:eastAsia="Times New Roman" w:hAnsi="Times New Roman Bold" w:cs="Times New Roman"/>
      <w:b/>
      <w:smallCaps/>
      <w:sz w:val="24"/>
      <w:szCs w:val="24"/>
      <w:lang w:val="bg-BG"/>
    </w:rPr>
  </w:style>
  <w:style w:type="paragraph" w:styleId="NormalWeb">
    <w:name w:val="Normal (Web)"/>
    <w:basedOn w:val="Normal"/>
    <w:pPr>
      <w:spacing w:before="100" w:beforeAutospacing="1" w:after="100" w:afterAutospacing="1"/>
    </w:pPr>
    <w:rPr>
      <w:rFonts w:ascii="Arial" w:eastAsia="Times New Roman" w:hAnsi="Arial" w:cs="Arial"/>
      <w:sz w:val="20"/>
      <w:szCs w:val="20"/>
    </w:rPr>
  </w:style>
  <w:style w:type="paragraph" w:customStyle="1" w:styleId="bodytext0">
    <w:name w:val="bodytext"/>
    <w:basedOn w:val="Normal"/>
    <w:pPr>
      <w:spacing w:before="100" w:beforeAutospacing="1" w:after="100" w:afterAutospacing="1"/>
    </w:pPr>
    <w:rPr>
      <w:rFonts w:ascii="Arial" w:eastAsia="Times New Roman" w:hAnsi="Arial" w:cs="Arial"/>
      <w:sz w:val="20"/>
      <w:szCs w:val="20"/>
    </w:rPr>
  </w:style>
  <w:style w:type="paragraph" w:customStyle="1" w:styleId="titre3">
    <w:name w:val="titre3"/>
    <w:basedOn w:val="Normal"/>
    <w:pPr>
      <w:spacing w:before="100" w:beforeAutospacing="1" w:after="100" w:afterAutospacing="1"/>
    </w:pPr>
    <w:rPr>
      <w:rFonts w:ascii="Arial" w:eastAsia="Times New Roman" w:hAnsi="Arial" w:cs="Arial"/>
      <w:b/>
      <w:bCs/>
      <w:sz w:val="20"/>
      <w:szCs w:val="20"/>
    </w:rPr>
  </w:style>
  <w:style w:type="character" w:customStyle="1" w:styleId="titre41">
    <w:name w:val="titre41"/>
    <w:rPr>
      <w:rFonts w:ascii="Arial" w:hAnsi="Arial" w:cs="Arial" w:hint="default"/>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ext">
    <w:name w:val="Text"/>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tw4winMark">
    <w:name w:val="tw4winMark"/>
    <w:rPr>
      <w:rFonts w:ascii="Times New Roman" w:hAnsi="Times New Roman"/>
      <w:vanish/>
      <w:color w:val="800080"/>
      <w:sz w:val="24"/>
      <w:vertAlign w:val="subscript"/>
      <w:lang w:val="bg-BG" w:eastAsia="bg-BG"/>
    </w:rPr>
  </w:style>
  <w:style w:type="character" w:customStyle="1" w:styleId="tw4winError">
    <w:name w:val="tw4winError"/>
    <w:rPr>
      <w:color w:val="00FF00"/>
      <w:sz w:val="40"/>
      <w:lang w:val="bg-BG" w:eastAsia="bg-BG"/>
    </w:rPr>
  </w:style>
  <w:style w:type="character" w:customStyle="1" w:styleId="tw4winTerm">
    <w:name w:val="tw4winTerm"/>
    <w:rPr>
      <w:color w:val="0000FF"/>
      <w:lang w:val="bg-BG" w:eastAsia="bg-BG"/>
    </w:rPr>
  </w:style>
  <w:style w:type="character" w:customStyle="1" w:styleId="tw4winPopup">
    <w:name w:val="tw4winPopup"/>
    <w:rPr>
      <w:noProof/>
      <w:color w:val="008000"/>
      <w:lang w:val="bg-BG" w:eastAsia="bg-BG"/>
    </w:rPr>
  </w:style>
  <w:style w:type="character" w:customStyle="1" w:styleId="tw4winJump">
    <w:name w:val="tw4winJump"/>
    <w:rPr>
      <w:noProof/>
      <w:color w:val="008080"/>
      <w:lang w:val="bg-BG" w:eastAsia="bg-BG"/>
    </w:rPr>
  </w:style>
  <w:style w:type="character" w:customStyle="1" w:styleId="tw4winExternal">
    <w:name w:val="tw4winExternal"/>
    <w:rPr>
      <w:noProof/>
      <w:color w:val="808080"/>
      <w:lang w:val="bg-BG" w:eastAsia="bg-BG"/>
    </w:rPr>
  </w:style>
  <w:style w:type="character" w:customStyle="1" w:styleId="tw4winInternal">
    <w:name w:val="tw4winInternal"/>
    <w:rPr>
      <w:noProof/>
      <w:color w:val="FF0000"/>
      <w:lang w:val="bg-BG" w:eastAsia="bg-BG"/>
    </w:rPr>
  </w:style>
  <w:style w:type="character" w:customStyle="1" w:styleId="DONOTTRANSLATE">
    <w:name w:val="DO_NOT_TRANSLATE"/>
    <w:rPr>
      <w:noProof/>
      <w:color w:val="80000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bCs/>
      <w:szCs w:val="28"/>
    </w:rPr>
  </w:style>
  <w:style w:type="character" w:customStyle="1" w:styleId="FooterCoverPageChar">
    <w:name w:val="Footer Cover Page Char"/>
    <w:link w:val="FooterCoverPage"/>
    <w:rPr>
      <w:rFonts w:ascii="Times New Roman" w:eastAsia="Times New Roman" w:hAnsi="Times New Roman" w:cs="Times New Roman"/>
      <w:bCs/>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imes New Roman"/>
      <w:bCs/>
      <w:szCs w:val="28"/>
    </w:rPr>
  </w:style>
  <w:style w:type="character" w:customStyle="1" w:styleId="HeaderCoverPageChar">
    <w:name w:val="Header Cover Page Char"/>
    <w:link w:val="HeaderCoverPage"/>
    <w:rPr>
      <w:rFonts w:ascii="Times New Roman" w:eastAsia="Times New Roman" w:hAnsi="Times New Roman" w:cs="Times New Roman"/>
      <w:bCs/>
      <w:sz w:val="24"/>
      <w:szCs w:val="28"/>
    </w:rPr>
  </w:style>
  <w:style w:type="paragraph" w:customStyle="1" w:styleId="SubTitle1">
    <w:name w:val="SubTitle 1"/>
    <w:basedOn w:val="Normal"/>
    <w:next w:val="Normal"/>
    <w:uiPriority w:val="99"/>
    <w:pPr>
      <w:spacing w:before="0" w:after="0"/>
      <w:ind w:left="851"/>
      <w:jc w:val="center"/>
    </w:pPr>
    <w:rPr>
      <w:rFonts w:ascii="Arial" w:eastAsia="Times New Roman" w:hAnsi="Arial"/>
      <w:iCs/>
      <w:sz w:val="32"/>
      <w:szCs w:val="24"/>
    </w:rPr>
  </w:style>
  <w:style w:type="character" w:customStyle="1" w:styleId="s7">
    <w:name w:val="s7"/>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stitle-article-norm2">
    <w:name w:val="stitle-article-norm2"/>
    <w:basedOn w:val="Normal"/>
    <w:pPr>
      <w:spacing w:before="240" w:line="312" w:lineRule="atLeast"/>
      <w:jc w:val="center"/>
    </w:pPr>
    <w:rPr>
      <w:rFonts w:eastAsia="Times New Roman"/>
      <w:b/>
      <w:bCs/>
      <w:szCs w:val="24"/>
    </w:rPr>
  </w:style>
  <w:style w:type="paragraph" w:customStyle="1" w:styleId="norm3">
    <w:name w:val="norm3"/>
    <w:basedOn w:val="Normal"/>
    <w:pPr>
      <w:spacing w:after="0" w:line="312" w:lineRule="atLeas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Normal"/>
    <w:pPr>
      <w:autoSpaceDE w:val="0"/>
      <w:autoSpaceDN w:val="0"/>
      <w:adjustRightInd w:val="0"/>
      <w:spacing w:after="0"/>
      <w:ind w:left="720" w:hanging="720"/>
    </w:pPr>
    <w:rPr>
      <w:bCs/>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smart-regulation/impact/ia_carried_out/cia_2016_en.ht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10186/6937805/Summary+report+on+the+open+public+consultations/52c01d34-ca85-4e8d-aaae-df4ae84b8dea" TargetMode="External"/><Relationship Id="rId2" Type="http://schemas.openxmlformats.org/officeDocument/2006/relationships/hyperlink" Target="http://ec.europa.eu/eurostat/documents/10186/7142348/ABS-Report.pdf" TargetMode="External"/><Relationship Id="rId1" Type="http://schemas.openxmlformats.org/officeDocument/2006/relationships/hyperlink" Target="http://ec.europa.eu/eurostat/web/quality/evaluation"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8015-D023-4568-A9B1-D2387B52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57</Pages>
  <Words>16484</Words>
  <Characters>99567</Characters>
  <Application>Microsoft Office Word</Application>
  <DocSecurity>0</DocSecurity>
  <Lines>2428</Lines>
  <Paragraphs>983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cp:lastPrinted>2017-02-13T10:23:00Z</cp:lastPrinted>
  <dcterms:created xsi:type="dcterms:W3CDTF">2017-02-27T11:15:00Z</dcterms:created>
  <dcterms:modified xsi:type="dcterms:W3CDTF">2017-02-27T13:10:00Z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